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75" w:rsidRPr="00BA043C" w:rsidRDefault="00BF5075" w:rsidP="00BF5075">
      <w:pPr>
        <w:spacing w:line="60" w:lineRule="exact"/>
        <w:rPr>
          <w:color w:val="010000"/>
          <w:sz w:val="6"/>
        </w:rPr>
        <w:sectPr w:rsidR="00BF5075" w:rsidRPr="00BA043C" w:rsidSect="00BF50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BA043C" w:rsidRPr="00DC6AA5" w:rsidRDefault="00BA043C" w:rsidP="00BA043C">
      <w:pPr>
        <w:rPr>
          <w:b/>
          <w:sz w:val="28"/>
          <w:szCs w:val="28"/>
        </w:rPr>
      </w:pPr>
      <w:bookmarkStart w:id="0" w:name="lt_pId000"/>
      <w:r w:rsidRPr="00BA043C">
        <w:rPr>
          <w:b/>
          <w:sz w:val="28"/>
          <w:szCs w:val="28"/>
        </w:rPr>
        <w:lastRenderedPageBreak/>
        <w:t>Европейская экономическая комиссия</w:t>
      </w:r>
      <w:bookmarkEnd w:id="0"/>
    </w:p>
    <w:p w:rsidR="00BA043C" w:rsidRPr="00DC6AA5" w:rsidRDefault="00BA043C" w:rsidP="00BA043C">
      <w:pPr>
        <w:spacing w:line="120" w:lineRule="exact"/>
        <w:rPr>
          <w:b/>
          <w:sz w:val="10"/>
          <w:szCs w:val="28"/>
        </w:rPr>
      </w:pPr>
    </w:p>
    <w:p w:rsidR="00BA043C" w:rsidRPr="00DC6AA5" w:rsidRDefault="00BA043C" w:rsidP="00BA043C">
      <w:pPr>
        <w:rPr>
          <w:sz w:val="28"/>
          <w:szCs w:val="28"/>
        </w:rPr>
      </w:pPr>
      <w:bookmarkStart w:id="1" w:name="lt_pId001"/>
      <w:r w:rsidRPr="00BA043C">
        <w:rPr>
          <w:sz w:val="28"/>
          <w:szCs w:val="28"/>
        </w:rPr>
        <w:t>Комитет по внутреннему транспорту</w:t>
      </w:r>
      <w:bookmarkEnd w:id="1"/>
    </w:p>
    <w:p w:rsidR="00BA043C" w:rsidRPr="00DC6AA5" w:rsidRDefault="00BA043C" w:rsidP="00BA043C">
      <w:pPr>
        <w:spacing w:line="120" w:lineRule="exact"/>
        <w:rPr>
          <w:sz w:val="10"/>
          <w:szCs w:val="28"/>
        </w:rPr>
      </w:pPr>
    </w:p>
    <w:p w:rsidR="00BA043C" w:rsidRPr="00DC6AA5" w:rsidRDefault="00BA043C" w:rsidP="00BA043C">
      <w:pPr>
        <w:rPr>
          <w:b/>
          <w:sz w:val="24"/>
          <w:szCs w:val="24"/>
        </w:rPr>
      </w:pPr>
      <w:bookmarkStart w:id="2" w:name="lt_pId002"/>
      <w:r w:rsidRPr="00BA043C">
        <w:rPr>
          <w:b/>
          <w:sz w:val="24"/>
          <w:szCs w:val="24"/>
        </w:rPr>
        <w:t>Рабочая группа по перевозкам опасных грузов</w:t>
      </w:r>
      <w:bookmarkEnd w:id="2"/>
    </w:p>
    <w:p w:rsidR="00BA043C" w:rsidRPr="00DC6AA5" w:rsidRDefault="00BA043C" w:rsidP="00BA043C">
      <w:pPr>
        <w:spacing w:line="120" w:lineRule="exact"/>
        <w:rPr>
          <w:b/>
          <w:sz w:val="10"/>
          <w:szCs w:val="24"/>
        </w:rPr>
      </w:pPr>
    </w:p>
    <w:p w:rsidR="00BA043C" w:rsidRPr="00BA043C" w:rsidRDefault="00BA043C" w:rsidP="00BA043C">
      <w:pPr>
        <w:rPr>
          <w:b/>
        </w:rPr>
      </w:pPr>
      <w:bookmarkStart w:id="3" w:name="lt_pId003"/>
      <w:r w:rsidRPr="00BA043C">
        <w:rPr>
          <w:b/>
        </w:rPr>
        <w:t>Совместное совещание Комиссии экспертов МПОГ</w:t>
      </w:r>
      <w:r w:rsidRPr="00BA043C">
        <w:rPr>
          <w:b/>
        </w:rPr>
        <w:br/>
        <w:t>и Рабочей группы по перевозкам опасных грузов</w:t>
      </w:r>
      <w:bookmarkEnd w:id="3"/>
    </w:p>
    <w:p w:rsidR="00BA043C" w:rsidRPr="00BA043C" w:rsidRDefault="00BA043C" w:rsidP="00BA043C">
      <w:bookmarkStart w:id="4" w:name="lt_pId004"/>
      <w:r w:rsidRPr="00BA043C">
        <w:t>Женева, 15–25 сентября 2015 года</w:t>
      </w:r>
      <w:bookmarkEnd w:id="4"/>
    </w:p>
    <w:p w:rsidR="00BA043C" w:rsidRPr="00BA043C" w:rsidRDefault="00BA043C" w:rsidP="00BA043C">
      <w:bookmarkStart w:id="5" w:name="lt_pId005"/>
      <w:r w:rsidRPr="00BA043C">
        <w:t>Пункт 3 b) предварительной повестки дня</w:t>
      </w:r>
      <w:bookmarkEnd w:id="5"/>
    </w:p>
    <w:p w:rsidR="00BA043C" w:rsidRPr="00BA043C" w:rsidRDefault="00BA043C" w:rsidP="00BA043C">
      <w:pPr>
        <w:rPr>
          <w:b/>
        </w:rPr>
      </w:pPr>
      <w:bookmarkStart w:id="6" w:name="lt_pId006"/>
      <w:r w:rsidRPr="00BA043C">
        <w:rPr>
          <w:b/>
        </w:rPr>
        <w:t>Предложения о внесении поправок в МПОГ/ДОПОГ/ВОПОГ:</w:t>
      </w:r>
      <w:bookmarkEnd w:id="6"/>
    </w:p>
    <w:p w:rsidR="00BF5075" w:rsidRPr="00DC6AA5" w:rsidRDefault="00BA043C" w:rsidP="00BA043C">
      <w:pPr>
        <w:rPr>
          <w:b/>
        </w:rPr>
      </w:pPr>
      <w:bookmarkStart w:id="7" w:name="lt_pId007"/>
      <w:r w:rsidRPr="00BA043C">
        <w:rPr>
          <w:b/>
        </w:rPr>
        <w:t>новые предложения</w:t>
      </w:r>
      <w:bookmarkEnd w:id="7"/>
    </w:p>
    <w:p w:rsidR="00BA043C" w:rsidRPr="00DC6AA5" w:rsidRDefault="00BA043C" w:rsidP="00BA043C">
      <w:pPr>
        <w:spacing w:line="120" w:lineRule="exact"/>
        <w:rPr>
          <w:b/>
          <w:sz w:val="10"/>
        </w:rPr>
      </w:pPr>
    </w:p>
    <w:p w:rsidR="00BA043C" w:rsidRPr="00DC6AA5" w:rsidRDefault="00BA043C" w:rsidP="00BA043C">
      <w:pPr>
        <w:spacing w:line="120" w:lineRule="exact"/>
        <w:rPr>
          <w:sz w:val="10"/>
        </w:rPr>
      </w:pPr>
    </w:p>
    <w:p w:rsidR="00BA043C" w:rsidRPr="00DC6AA5" w:rsidRDefault="00BA043C" w:rsidP="00BA043C">
      <w:pPr>
        <w:spacing w:line="120" w:lineRule="exact"/>
        <w:rPr>
          <w:sz w:val="10"/>
        </w:rPr>
      </w:pPr>
    </w:p>
    <w:p w:rsidR="00BA043C" w:rsidRPr="00DC6AA5" w:rsidRDefault="00BA043C" w:rsidP="00BA043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8" w:name="lt_pId010"/>
      <w:r w:rsidRPr="00DC6AA5">
        <w:tab/>
      </w:r>
      <w:r w:rsidRPr="00DC6AA5">
        <w:tab/>
      </w:r>
      <w:r w:rsidRPr="00BA043C">
        <w:t>Расширение сферы применения специального положения 643</w:t>
      </w:r>
      <w:bookmarkEnd w:id="8"/>
    </w:p>
    <w:p w:rsidR="00BA043C" w:rsidRPr="00DC6AA5" w:rsidRDefault="00BA043C" w:rsidP="00BA043C">
      <w:pPr>
        <w:pStyle w:val="SingleTxt"/>
        <w:spacing w:after="0" w:line="120" w:lineRule="exact"/>
        <w:rPr>
          <w:sz w:val="10"/>
        </w:rPr>
      </w:pPr>
    </w:p>
    <w:p w:rsidR="00BA043C" w:rsidRPr="00DC6AA5" w:rsidRDefault="00BA043C" w:rsidP="00BA043C">
      <w:pPr>
        <w:pStyle w:val="SingleTxt"/>
        <w:spacing w:after="0" w:line="120" w:lineRule="exact"/>
        <w:rPr>
          <w:sz w:val="10"/>
        </w:rPr>
      </w:pPr>
    </w:p>
    <w:p w:rsidR="00BA043C" w:rsidRDefault="00BA043C" w:rsidP="00BA043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lang w:val="en-US"/>
        </w:rPr>
      </w:pPr>
      <w:r w:rsidRPr="00BA043C">
        <w:tab/>
      </w:r>
      <w:r w:rsidRPr="00BA043C">
        <w:tab/>
      </w:r>
      <w:bookmarkStart w:id="9" w:name="lt_pId013"/>
      <w:r w:rsidRPr="00BA043C">
        <w:t>Передано правительством Нидерландов</w:t>
      </w:r>
      <w:r w:rsidRPr="00BA043C">
        <w:rPr>
          <w:b w:val="0"/>
          <w:sz w:val="20"/>
          <w:vertAlign w:val="superscript"/>
        </w:rPr>
        <w:footnoteReference w:id="1"/>
      </w:r>
      <w:r w:rsidRPr="002D2C57">
        <w:rPr>
          <w:b w:val="0"/>
          <w:vertAlign w:val="superscript"/>
        </w:rPr>
        <w:t>,</w:t>
      </w:r>
      <w:r w:rsidRPr="00BA043C">
        <w:rPr>
          <w:b w:val="0"/>
        </w:rPr>
        <w:t xml:space="preserve"> </w:t>
      </w:r>
      <w:bookmarkEnd w:id="9"/>
      <w:r w:rsidRPr="00BA043C">
        <w:rPr>
          <w:b w:val="0"/>
          <w:sz w:val="20"/>
          <w:vertAlign w:val="superscript"/>
        </w:rPr>
        <w:footnoteReference w:id="2"/>
      </w:r>
    </w:p>
    <w:p w:rsidR="00BA043C" w:rsidRPr="00BA043C" w:rsidRDefault="00BA043C" w:rsidP="00BA043C">
      <w:pPr>
        <w:pStyle w:val="SingleTxt"/>
        <w:spacing w:after="0" w:line="120" w:lineRule="exact"/>
        <w:rPr>
          <w:sz w:val="10"/>
          <w:lang w:val="en-US"/>
        </w:rPr>
      </w:pPr>
    </w:p>
    <w:p w:rsidR="00BA043C" w:rsidRPr="00BA043C" w:rsidRDefault="00BA043C" w:rsidP="00BA043C">
      <w:pPr>
        <w:pStyle w:val="SingleTxt"/>
        <w:spacing w:after="0" w:line="120" w:lineRule="exact"/>
        <w:rPr>
          <w:sz w:val="10"/>
          <w:lang w:val="en-US"/>
        </w:rPr>
      </w:pPr>
    </w:p>
    <w:p w:rsidR="00BA043C" w:rsidRPr="00BA043C" w:rsidRDefault="00BA043C" w:rsidP="00BA043C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BA043C" w:rsidTr="00BA043C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BA043C" w:rsidRPr="00BA043C" w:rsidRDefault="00BA043C" w:rsidP="00BA043C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BA043C" w:rsidRPr="00BA043C" w:rsidTr="00BA043C">
        <w:tc>
          <w:tcPr>
            <w:tcW w:w="10051" w:type="dxa"/>
            <w:shd w:val="clear" w:color="auto" w:fill="auto"/>
          </w:tcPr>
          <w:p w:rsidR="00BA043C" w:rsidRPr="00BA043C" w:rsidRDefault="00BA043C" w:rsidP="00BA043C">
            <w:pPr>
              <w:pStyle w:val="SingleTxt"/>
              <w:ind w:left="3658" w:hanging="2391"/>
            </w:pPr>
            <w:r w:rsidRPr="00BA043C">
              <w:rPr>
                <w:b/>
              </w:rPr>
              <w:t>Существо предложения:</w:t>
            </w:r>
            <w:r>
              <w:tab/>
              <w:t xml:space="preserve">Данное предложение </w:t>
            </w:r>
            <w:r w:rsidRPr="00BA043C">
              <w:t>направлено на то, чтобы расширить сферу применения специального положения 643 с целью освободить от требований, касающихся класса 9, не только перевозку литой асфальтовой смеси, но также перевозку веществ при повышенной температуре в целях нанесения дорожной разметки.</w:t>
            </w:r>
          </w:p>
        </w:tc>
      </w:tr>
      <w:tr w:rsidR="00BA043C" w:rsidRPr="00BA043C" w:rsidTr="00BA043C">
        <w:tc>
          <w:tcPr>
            <w:tcW w:w="10051" w:type="dxa"/>
            <w:shd w:val="clear" w:color="auto" w:fill="auto"/>
          </w:tcPr>
          <w:p w:rsidR="00BA043C" w:rsidRPr="00BA043C" w:rsidRDefault="00BA043C" w:rsidP="00BA043C">
            <w:pPr>
              <w:pStyle w:val="SingleTxt"/>
              <w:ind w:left="3658" w:hanging="2391"/>
            </w:pPr>
            <w:bookmarkStart w:id="12" w:name="lt_pId018"/>
            <w:r w:rsidRPr="00BA043C">
              <w:rPr>
                <w:b/>
              </w:rPr>
              <w:t>Предлагаемое решение:</w:t>
            </w:r>
            <w:bookmarkEnd w:id="12"/>
            <w:r w:rsidRPr="00BA043C">
              <w:tab/>
              <w:t>Изменить специальное положение 643 таким образом, чтобы перевозка веществ при повышенной температуре в целях нанесения дорожной разметки не подпадала под действие требований, касающихся класса 9.</w:t>
            </w:r>
          </w:p>
        </w:tc>
      </w:tr>
      <w:tr w:rsidR="00BA043C" w:rsidRPr="00BA043C" w:rsidTr="00BA043C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BA043C" w:rsidRPr="00BA043C" w:rsidRDefault="00BA043C" w:rsidP="00BA043C">
            <w:pPr>
              <w:pStyle w:val="SingleTxt"/>
            </w:pPr>
          </w:p>
        </w:tc>
      </w:tr>
    </w:tbl>
    <w:p w:rsidR="00BA043C" w:rsidRPr="00BA043C" w:rsidRDefault="00BA043C" w:rsidP="00BA043C">
      <w:pPr>
        <w:pStyle w:val="SingleTxt"/>
        <w:spacing w:after="0" w:line="120" w:lineRule="exact"/>
        <w:rPr>
          <w:sz w:val="10"/>
        </w:rPr>
      </w:pPr>
    </w:p>
    <w:p w:rsidR="00BA043C" w:rsidRPr="00BA043C" w:rsidRDefault="00BA043C" w:rsidP="00BA043C">
      <w:pPr>
        <w:pStyle w:val="SingleTxt"/>
        <w:spacing w:after="0" w:line="120" w:lineRule="exact"/>
        <w:rPr>
          <w:sz w:val="10"/>
        </w:rPr>
      </w:pPr>
    </w:p>
    <w:p w:rsidR="00BA043C" w:rsidRPr="00BA043C" w:rsidRDefault="00BA043C" w:rsidP="00BA043C">
      <w:pPr>
        <w:pStyle w:val="SingleTxt"/>
        <w:spacing w:after="0" w:line="120" w:lineRule="exact"/>
        <w:rPr>
          <w:sz w:val="10"/>
        </w:rPr>
      </w:pPr>
    </w:p>
    <w:p w:rsidR="00BA043C" w:rsidRDefault="00BA043C" w:rsidP="00BA043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043C">
        <w:lastRenderedPageBreak/>
        <w:tab/>
      </w:r>
      <w:r w:rsidRPr="00BA043C">
        <w:tab/>
      </w:r>
      <w:bookmarkStart w:id="13" w:name="lt_pId022"/>
      <w:r w:rsidRPr="00BA043C">
        <w:t>Введение</w:t>
      </w:r>
      <w:bookmarkEnd w:id="13"/>
    </w:p>
    <w:p w:rsidR="00BA043C" w:rsidRPr="00BA043C" w:rsidRDefault="00BA043C" w:rsidP="00BA043C">
      <w:pPr>
        <w:pStyle w:val="SingleTxt"/>
        <w:keepNext/>
        <w:keepLines/>
        <w:spacing w:after="0" w:line="120" w:lineRule="exact"/>
        <w:rPr>
          <w:sz w:val="10"/>
        </w:rPr>
      </w:pPr>
    </w:p>
    <w:p w:rsidR="00BA043C" w:rsidRPr="00BA043C" w:rsidRDefault="00BA043C" w:rsidP="00BA043C">
      <w:pPr>
        <w:pStyle w:val="SingleTxt"/>
        <w:keepNext/>
        <w:keepLines/>
        <w:spacing w:after="0" w:line="120" w:lineRule="exact"/>
        <w:rPr>
          <w:sz w:val="10"/>
        </w:rPr>
      </w:pPr>
    </w:p>
    <w:p w:rsidR="00BA043C" w:rsidRPr="00BA043C" w:rsidRDefault="00BA043C" w:rsidP="00BA043C">
      <w:pPr>
        <w:pStyle w:val="SingleTxt"/>
        <w:keepNext/>
        <w:keepLines/>
        <w:rPr>
          <w:bCs/>
        </w:rPr>
      </w:pPr>
      <w:r w:rsidRPr="00BA043C">
        <w:t>1.</w:t>
      </w:r>
      <w:r w:rsidRPr="00BA043C">
        <w:tab/>
      </w:r>
      <w:r w:rsidRPr="00BA043C">
        <w:rPr>
          <w:bCs/>
        </w:rPr>
        <w:t xml:space="preserve">В соответствии со специальным положением 643, назначенным номерам ООН 3257 и 3258, </w:t>
      </w:r>
      <w:r w:rsidRPr="00BA043C">
        <w:t>перевозка литой асфальтовой смеси</w:t>
      </w:r>
      <w:r w:rsidRPr="00BA043C">
        <w:rPr>
          <w:bCs/>
        </w:rPr>
        <w:t xml:space="preserve"> не подпадает под действие требований</w:t>
      </w:r>
      <w:r w:rsidRPr="00BA043C">
        <w:t xml:space="preserve">, касающихся </w:t>
      </w:r>
      <w:r w:rsidRPr="00BA043C">
        <w:rPr>
          <w:bCs/>
        </w:rPr>
        <w:t>класса 9. Специальное положение 643 было специально предусмотрено для транспортных средств, покрывающих дороги асфальтом. Для обеспечения единообразия было бы желательно расширить сферу применения специального положения 643 с тем, чтобы перевозка веществ при повышенной температуре, отнесенных к классу 9, специально для нанесения дорожной разметки также не подпадала под действие требований, касающихся класса 9.</w:t>
      </w:r>
    </w:p>
    <w:p w:rsidR="00BA043C" w:rsidRPr="00BA043C" w:rsidRDefault="00BA043C" w:rsidP="00BA043C">
      <w:pPr>
        <w:pStyle w:val="SingleTxt"/>
        <w:rPr>
          <w:bCs/>
        </w:rPr>
      </w:pPr>
      <w:r w:rsidRPr="00BA043C">
        <w:t>2.</w:t>
      </w:r>
      <w:r w:rsidRPr="00BA043C">
        <w:tab/>
      </w:r>
      <w:r w:rsidRPr="00BA043C">
        <w:rPr>
          <w:bCs/>
        </w:rPr>
        <w:t>Грузы, перевозимые в целях нанесения дорожной разметки (например, термопластичные материалы), нагревают в котлах, которые устанавливаются на транспортные средства и транспортируются к месту нанесения разметки. Температура наружной поверхности котла никогда не превышает 70</w:t>
      </w:r>
      <w:r w:rsidR="00E44F6B">
        <w:rPr>
          <w:bCs/>
        </w:rPr>
        <w:t> </w:t>
      </w:r>
      <w:r w:rsidRPr="00BA043C">
        <w:rPr>
          <w:bCs/>
        </w:rPr>
        <w:t>°C. Котлы прикрепляются к транспортному средству таким образом, чтобы предотвращалось любое их перемещение в нормальных условиях перевозки. Котлы закрываются таким образом, чтобы предотвращалась потеря их содержимого во время перевозки. Котлы используются для разжижения термопластичных материалов, применяемых на участке производства работ в машинах, наносящих дорожную разметку. Транспортные средства, на которых установлены котлы, не используются для перевозки других грузов.</w:t>
      </w:r>
    </w:p>
    <w:p w:rsidR="00BA043C" w:rsidRPr="00BA043C" w:rsidRDefault="00BA043C" w:rsidP="00BA043C">
      <w:pPr>
        <w:pStyle w:val="SingleTxt"/>
      </w:pPr>
      <w:r w:rsidRPr="00BA043C">
        <w:t>3.</w:t>
      </w:r>
      <w:r w:rsidRPr="00BA043C">
        <w:tab/>
        <w:t>Конфигурация для нанесения дорожной разметки очень похожа на конфигурацию, используемую для литой асфальтовой смеси. Кроме того, нанесение дорожной разметки на (заново) положенный асфальт непосредственно связано с процессом укладки асфальта.</w:t>
      </w:r>
    </w:p>
    <w:p w:rsidR="00BA043C" w:rsidRPr="00BA043C" w:rsidRDefault="00BA043C" w:rsidP="00BA043C">
      <w:pPr>
        <w:pStyle w:val="SingleTxt"/>
        <w:rPr>
          <w:b/>
          <w:bCs/>
        </w:rPr>
      </w:pPr>
      <w:r w:rsidRPr="00BA043C">
        <w:t>4.</w:t>
      </w:r>
      <w:r w:rsidRPr="00BA043C">
        <w:tab/>
        <w:t>Конструкция котлов не позволяет достичь соблюдения нормативных положений, касающихся тары.</w:t>
      </w:r>
    </w:p>
    <w:p w:rsidR="00BA043C" w:rsidRDefault="00BA043C" w:rsidP="00BA043C">
      <w:pPr>
        <w:pStyle w:val="SingleTxt"/>
      </w:pPr>
      <w:r w:rsidRPr="00BA043C">
        <w:t>5.</w:t>
      </w:r>
      <w:r w:rsidRPr="00BA043C">
        <w:tab/>
        <w:t>На случай, если Совместное совещание сочтет необходимым принятие дополнительных мер предосторожности, в пункте 7 сформулировано альтернативное предложение.</w:t>
      </w:r>
    </w:p>
    <w:p w:rsidR="00BA043C" w:rsidRPr="00BA043C" w:rsidRDefault="00BA043C" w:rsidP="00BA043C">
      <w:pPr>
        <w:pStyle w:val="SingleTxt"/>
        <w:spacing w:after="0" w:line="120" w:lineRule="exact"/>
        <w:rPr>
          <w:sz w:val="10"/>
        </w:rPr>
      </w:pPr>
    </w:p>
    <w:p w:rsidR="00BA043C" w:rsidRPr="00BA043C" w:rsidRDefault="00BA043C" w:rsidP="00BA043C">
      <w:pPr>
        <w:pStyle w:val="SingleTxt"/>
        <w:spacing w:after="0" w:line="120" w:lineRule="exact"/>
        <w:rPr>
          <w:sz w:val="10"/>
        </w:rPr>
      </w:pPr>
    </w:p>
    <w:p w:rsidR="00BA043C" w:rsidRDefault="00BA043C" w:rsidP="00BA043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 w:rsidRPr="00BA043C">
        <w:tab/>
      </w:r>
      <w:bookmarkStart w:id="14" w:name="lt_pId043"/>
      <w:r w:rsidRPr="00BA043C">
        <w:t>Предложение 1 (альтернативный вариант 1)</w:t>
      </w:r>
      <w:bookmarkEnd w:id="14"/>
    </w:p>
    <w:p w:rsidR="00BA043C" w:rsidRPr="00BA043C" w:rsidRDefault="00BA043C" w:rsidP="00BA043C">
      <w:pPr>
        <w:pStyle w:val="SingleTxt"/>
        <w:spacing w:after="0" w:line="120" w:lineRule="exact"/>
        <w:rPr>
          <w:sz w:val="10"/>
        </w:rPr>
      </w:pPr>
    </w:p>
    <w:p w:rsidR="00BA043C" w:rsidRPr="00BA043C" w:rsidRDefault="00BA043C" w:rsidP="00BA043C">
      <w:pPr>
        <w:pStyle w:val="SingleTxt"/>
        <w:spacing w:after="0" w:line="120" w:lineRule="exact"/>
        <w:rPr>
          <w:sz w:val="10"/>
        </w:rPr>
      </w:pPr>
    </w:p>
    <w:p w:rsidR="00BA043C" w:rsidRPr="00BA043C" w:rsidRDefault="00BA043C" w:rsidP="00BA043C">
      <w:pPr>
        <w:pStyle w:val="SingleTxt"/>
        <w:rPr>
          <w:b/>
          <w:bCs/>
        </w:rPr>
      </w:pPr>
      <w:r w:rsidRPr="00BA043C">
        <w:t>6.</w:t>
      </w:r>
      <w:r w:rsidRPr="00BA043C">
        <w:tab/>
      </w:r>
      <w:bookmarkStart w:id="15" w:name="lt_pId045"/>
      <w:r w:rsidRPr="00BA043C">
        <w:t>Изменить формулировку специального положения 643 следующим образом:</w:t>
      </w:r>
      <w:bookmarkEnd w:id="15"/>
    </w:p>
    <w:p w:rsidR="00BA043C" w:rsidRDefault="003922F2" w:rsidP="00BA043C">
      <w:pPr>
        <w:pStyle w:val="SingleTxt"/>
      </w:pPr>
      <w:r>
        <w:rPr>
          <w:b/>
          <w:bCs/>
        </w:rPr>
        <w:t>«</w:t>
      </w:r>
      <w:r w:rsidR="00BA043C" w:rsidRPr="00BA043C">
        <w:rPr>
          <w:b/>
          <w:bCs/>
        </w:rPr>
        <w:t>643</w:t>
      </w:r>
      <w:r w:rsidR="00BA043C" w:rsidRPr="00BA043C">
        <w:tab/>
        <w:t>Требования, касающиеся класса 9, не распространяются на вещества, перевозимые при повышенной температуре в целях нанесения дорожной разметки, и на литую асфальтовую смесь</w:t>
      </w:r>
      <w:r>
        <w:t>»</w:t>
      </w:r>
      <w:r w:rsidR="00BA043C" w:rsidRPr="00BA043C">
        <w:t>.</w:t>
      </w:r>
    </w:p>
    <w:p w:rsidR="00BA043C" w:rsidRPr="00BA043C" w:rsidRDefault="00BA043C" w:rsidP="00BA043C">
      <w:pPr>
        <w:pStyle w:val="SingleTxt"/>
        <w:spacing w:after="0" w:line="120" w:lineRule="exact"/>
        <w:rPr>
          <w:sz w:val="10"/>
        </w:rPr>
      </w:pPr>
    </w:p>
    <w:p w:rsidR="00BA043C" w:rsidRPr="00BA043C" w:rsidRDefault="00BA043C" w:rsidP="00BA043C">
      <w:pPr>
        <w:pStyle w:val="SingleTxt"/>
        <w:spacing w:after="0" w:line="120" w:lineRule="exact"/>
        <w:rPr>
          <w:sz w:val="10"/>
        </w:rPr>
      </w:pPr>
    </w:p>
    <w:p w:rsidR="00BA043C" w:rsidRDefault="00BA043C" w:rsidP="00BA043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 w:rsidRPr="00BA043C">
        <w:tab/>
      </w:r>
      <w:bookmarkStart w:id="16" w:name="lt_pId050"/>
      <w:r w:rsidRPr="00BA043C">
        <w:t>Предложение 2 (альтернативный вариант 2)</w:t>
      </w:r>
      <w:bookmarkEnd w:id="16"/>
    </w:p>
    <w:p w:rsidR="00BA043C" w:rsidRPr="00BA043C" w:rsidRDefault="00BA043C" w:rsidP="00BA043C">
      <w:pPr>
        <w:pStyle w:val="SingleTxt"/>
        <w:spacing w:after="0" w:line="120" w:lineRule="exact"/>
        <w:rPr>
          <w:sz w:val="10"/>
        </w:rPr>
      </w:pPr>
    </w:p>
    <w:p w:rsidR="00BA043C" w:rsidRPr="00BA043C" w:rsidRDefault="00BA043C" w:rsidP="00BA043C">
      <w:pPr>
        <w:pStyle w:val="SingleTxt"/>
        <w:spacing w:after="0" w:line="120" w:lineRule="exact"/>
        <w:rPr>
          <w:sz w:val="10"/>
        </w:rPr>
      </w:pPr>
    </w:p>
    <w:p w:rsidR="00BA043C" w:rsidRPr="00BA043C" w:rsidRDefault="00BA043C" w:rsidP="00BA043C">
      <w:pPr>
        <w:pStyle w:val="SingleTxt"/>
      </w:pPr>
      <w:r w:rsidRPr="00BA043C">
        <w:t>7.</w:t>
      </w:r>
      <w:r w:rsidRPr="00BA043C">
        <w:tab/>
      </w:r>
      <w:bookmarkStart w:id="17" w:name="lt_pId052"/>
      <w:r w:rsidRPr="00BA043C">
        <w:t>Новое специальное положение:</w:t>
      </w:r>
      <w:bookmarkEnd w:id="17"/>
    </w:p>
    <w:p w:rsidR="00BA043C" w:rsidRPr="00BA043C" w:rsidRDefault="00D46C87" w:rsidP="00BA043C">
      <w:pPr>
        <w:pStyle w:val="SingleTxt"/>
      </w:pPr>
      <w:bookmarkStart w:id="18" w:name="lt_pId053"/>
      <w:r>
        <w:rPr>
          <w:bCs/>
        </w:rPr>
        <w:t>«</w:t>
      </w:r>
      <w:r w:rsidR="00BA043C" w:rsidRPr="00BA043C">
        <w:rPr>
          <w:b/>
        </w:rPr>
        <w:t>6</w:t>
      </w:r>
      <w:r w:rsidR="00BA043C" w:rsidRPr="00BA043C">
        <w:rPr>
          <w:b/>
          <w:lang w:val="en-US"/>
        </w:rPr>
        <w:t>XX</w:t>
      </w:r>
      <w:bookmarkEnd w:id="18"/>
      <w:r w:rsidR="00BA043C" w:rsidRPr="00BA043C">
        <w:rPr>
          <w:b/>
        </w:rPr>
        <w:tab/>
      </w:r>
      <w:r w:rsidR="00BA043C" w:rsidRPr="00BA043C">
        <w:t>Требования, касающиеся класса 9, не распространяются на литую асфальтовую смесь.</w:t>
      </w:r>
    </w:p>
    <w:p w:rsidR="00BA043C" w:rsidRPr="00BA043C" w:rsidRDefault="00BA043C" w:rsidP="00D46C87">
      <w:pPr>
        <w:pStyle w:val="SingleTxt"/>
      </w:pPr>
      <w:r w:rsidRPr="00BA043C">
        <w:t>Требования, касающиеся класса 9, не распространяются на вещества при повышенной температуре, перевозимые в целях нанесения дорожной разметки, если выполнены нижеследующи</w:t>
      </w:r>
      <w:bookmarkStart w:id="19" w:name="_GoBack"/>
      <w:bookmarkEnd w:id="19"/>
      <w:r w:rsidRPr="00BA043C">
        <w:t>е условия:</w:t>
      </w:r>
    </w:p>
    <w:p w:rsidR="00BA043C" w:rsidRPr="00BA043C" w:rsidRDefault="00D46C87" w:rsidP="00D46C87">
      <w:pPr>
        <w:pStyle w:val="SingleTxt"/>
        <w:tabs>
          <w:tab w:val="right" w:pos="1685"/>
        </w:tabs>
        <w:ind w:left="1742" w:hanging="475"/>
        <w:rPr>
          <w:bCs/>
        </w:rPr>
      </w:pPr>
      <w:r>
        <w:rPr>
          <w:bCs/>
        </w:rPr>
        <w:tab/>
        <w:t>•</w:t>
      </w:r>
      <w:r>
        <w:rPr>
          <w:bCs/>
        </w:rPr>
        <w:tab/>
      </w:r>
      <w:r w:rsidR="00BA043C" w:rsidRPr="00BA043C">
        <w:rPr>
          <w:bCs/>
        </w:rPr>
        <w:t>температура наружной поверхности котла не превышает</w:t>
      </w:r>
      <w:r w:rsidR="003922F2">
        <w:rPr>
          <w:bCs/>
        </w:rPr>
        <w:t xml:space="preserve"> </w:t>
      </w:r>
      <w:r w:rsidR="003922F2" w:rsidRPr="003922F2">
        <w:rPr>
          <w:bCs/>
        </w:rPr>
        <w:t>70 °C</w:t>
      </w:r>
      <w:r w:rsidR="00BA043C" w:rsidRPr="00BA043C">
        <w:rPr>
          <w:bCs/>
        </w:rPr>
        <w:t>;</w:t>
      </w:r>
    </w:p>
    <w:p w:rsidR="00BA043C" w:rsidRPr="00BA043C" w:rsidRDefault="00D46C87" w:rsidP="00D46C87">
      <w:pPr>
        <w:pStyle w:val="SingleTxt"/>
        <w:keepNext/>
        <w:keepLines/>
        <w:tabs>
          <w:tab w:val="right" w:pos="1685"/>
        </w:tabs>
        <w:ind w:left="1742" w:hanging="475"/>
        <w:rPr>
          <w:bCs/>
        </w:rPr>
      </w:pPr>
      <w:r>
        <w:rPr>
          <w:bCs/>
        </w:rPr>
        <w:lastRenderedPageBreak/>
        <w:tab/>
        <w:t>•</w:t>
      </w:r>
      <w:r>
        <w:rPr>
          <w:bCs/>
        </w:rPr>
        <w:tab/>
      </w:r>
      <w:r w:rsidR="00BA043C" w:rsidRPr="00BA043C">
        <w:rPr>
          <w:bCs/>
        </w:rPr>
        <w:t>котел закрыт таким образом, чтобы предотвращалась потеря его содержимого во время перевозки;</w:t>
      </w:r>
    </w:p>
    <w:p w:rsidR="00BA043C" w:rsidRDefault="00D46C87" w:rsidP="00D46C87">
      <w:pPr>
        <w:pStyle w:val="SingleTxt"/>
        <w:keepNext/>
        <w:keepLines/>
        <w:tabs>
          <w:tab w:val="right" w:pos="1685"/>
        </w:tabs>
        <w:ind w:left="1742" w:hanging="475"/>
        <w:rPr>
          <w:bCs/>
        </w:rPr>
      </w:pPr>
      <w:r>
        <w:rPr>
          <w:bCs/>
        </w:rPr>
        <w:tab/>
        <w:t>•</w:t>
      </w:r>
      <w:r>
        <w:rPr>
          <w:bCs/>
        </w:rPr>
        <w:tab/>
      </w:r>
      <w:r w:rsidR="00BA043C" w:rsidRPr="00BA043C">
        <w:rPr>
          <w:bCs/>
        </w:rPr>
        <w:t>максимальная вместимость котла составляет 3 000 л</w:t>
      </w:r>
      <w:r>
        <w:rPr>
          <w:bCs/>
        </w:rPr>
        <w:t>»</w:t>
      </w:r>
      <w:r w:rsidR="00BA043C" w:rsidRPr="00BA043C">
        <w:rPr>
          <w:bCs/>
        </w:rPr>
        <w:t>.</w:t>
      </w:r>
    </w:p>
    <w:p w:rsidR="00D46C87" w:rsidRPr="00D46C87" w:rsidRDefault="00D46C87" w:rsidP="00D46C87">
      <w:pPr>
        <w:pStyle w:val="SingleTxt"/>
        <w:tabs>
          <w:tab w:val="right" w:pos="1685"/>
        </w:tabs>
        <w:spacing w:after="0" w:line="120" w:lineRule="exact"/>
        <w:ind w:left="1742" w:hanging="475"/>
        <w:rPr>
          <w:bCs/>
          <w:sz w:val="10"/>
        </w:rPr>
      </w:pPr>
    </w:p>
    <w:p w:rsidR="00D46C87" w:rsidRPr="00D46C87" w:rsidRDefault="00D46C87" w:rsidP="00D46C87">
      <w:pPr>
        <w:pStyle w:val="SingleTxt"/>
        <w:tabs>
          <w:tab w:val="right" w:pos="1685"/>
        </w:tabs>
        <w:spacing w:after="0" w:line="120" w:lineRule="exact"/>
        <w:ind w:left="1742" w:hanging="475"/>
        <w:rPr>
          <w:bCs/>
          <w:sz w:val="10"/>
        </w:rPr>
      </w:pPr>
    </w:p>
    <w:p w:rsidR="00BA043C" w:rsidRDefault="00BA043C" w:rsidP="00D46C8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A043C">
        <w:tab/>
      </w:r>
      <w:r w:rsidRPr="00BA043C">
        <w:tab/>
      </w:r>
      <w:bookmarkStart w:id="20" w:name="lt_pId061"/>
      <w:r w:rsidRPr="00BA043C">
        <w:t>Обоснование</w:t>
      </w:r>
      <w:bookmarkEnd w:id="20"/>
    </w:p>
    <w:p w:rsidR="00D46C87" w:rsidRPr="00D46C87" w:rsidRDefault="00D46C87" w:rsidP="00D46C87">
      <w:pPr>
        <w:pStyle w:val="SingleTxt"/>
        <w:spacing w:after="0" w:line="120" w:lineRule="exact"/>
        <w:rPr>
          <w:sz w:val="10"/>
        </w:rPr>
      </w:pPr>
    </w:p>
    <w:p w:rsidR="00D46C87" w:rsidRPr="00D46C87" w:rsidRDefault="00D46C87" w:rsidP="00D46C87">
      <w:pPr>
        <w:pStyle w:val="SingleTxt"/>
        <w:spacing w:after="0" w:line="120" w:lineRule="exact"/>
        <w:rPr>
          <w:sz w:val="10"/>
        </w:rPr>
      </w:pPr>
    </w:p>
    <w:p w:rsidR="00BA043C" w:rsidRPr="00BA043C" w:rsidRDefault="00BA043C" w:rsidP="00BA043C">
      <w:pPr>
        <w:pStyle w:val="SingleTxt"/>
      </w:pPr>
      <w:r w:rsidRPr="00BA043C">
        <w:t>Обеспечение единообразного применения правил, касающихся перевозки веществ при повышенной температуре, с целью предупреждения неравенства между Договаривающимися сторонами из-за различного толкования правил назначенными органами надзора и контроля.</w:t>
      </w:r>
    </w:p>
    <w:p w:rsidR="00BA043C" w:rsidRPr="00D46C87" w:rsidRDefault="006F0210" w:rsidP="00D46C87">
      <w:pPr>
        <w:pStyle w:val="SingleTxt"/>
        <w:spacing w:after="0" w:line="240" w:lineRule="auto"/>
      </w:pPr>
      <w:r w:rsidRPr="006F0210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BA043C" w:rsidRPr="00D46C87" w:rsidSect="00BF507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32" w:rsidRDefault="00741F32" w:rsidP="008A1A7A">
      <w:pPr>
        <w:spacing w:line="240" w:lineRule="auto"/>
      </w:pPr>
      <w:r>
        <w:separator/>
      </w:r>
    </w:p>
  </w:endnote>
  <w:endnote w:type="continuationSeparator" w:id="0">
    <w:p w:rsidR="00741F32" w:rsidRDefault="00741F3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BF5075" w:rsidTr="00BF507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F5075" w:rsidRPr="00BF5075" w:rsidRDefault="006F0210" w:rsidP="00BF5075">
          <w:pPr>
            <w:pStyle w:val="Pieddepage"/>
            <w:rPr>
              <w:color w:val="000000"/>
            </w:rPr>
          </w:pPr>
          <w:r>
            <w:fldChar w:fldCharType="begin"/>
          </w:r>
          <w:r w:rsidR="00BF5075">
            <w:instrText xml:space="preserve"> PAGE  \* Arabic  \* MERGEFORMAT </w:instrText>
          </w:r>
          <w:r>
            <w:fldChar w:fldCharType="separate"/>
          </w:r>
          <w:r w:rsidR="00DC6AA5">
            <w:rPr>
              <w:noProof/>
            </w:rPr>
            <w:t>2</w:t>
          </w:r>
          <w:r>
            <w:fldChar w:fldCharType="end"/>
          </w:r>
          <w:r w:rsidR="00BF5075">
            <w:t>/</w:t>
          </w:r>
          <w:fldSimple w:instr=" NUMPAGES  \* Arabic  \* MERGEFORMAT ">
            <w:r w:rsidR="00DC6AA5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BF5075" w:rsidRPr="00BF5075" w:rsidRDefault="006F0210" w:rsidP="00BF5075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976D38">
              <w:rPr>
                <w:b w:val="0"/>
                <w:color w:val="000000"/>
                <w:sz w:val="14"/>
              </w:rPr>
              <w:t>GE.15-11227</w:t>
            </w:r>
          </w:fldSimple>
        </w:p>
      </w:tc>
    </w:tr>
  </w:tbl>
  <w:p w:rsidR="00BF5075" w:rsidRPr="00BF5075" w:rsidRDefault="00BF5075" w:rsidP="00BF507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BF5075" w:rsidTr="00BF507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F5075" w:rsidRPr="00BF5075" w:rsidRDefault="006F0210" w:rsidP="00BF5075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BF5075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76D38">
            <w:rPr>
              <w:b w:val="0"/>
              <w:color w:val="000000"/>
              <w:sz w:val="14"/>
            </w:rPr>
            <w:t>GE.15-11227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F5075" w:rsidRPr="00BF5075" w:rsidRDefault="006F0210" w:rsidP="00BF5075">
          <w:pPr>
            <w:pStyle w:val="Pieddepage"/>
            <w:jc w:val="right"/>
          </w:pPr>
          <w:r>
            <w:fldChar w:fldCharType="begin"/>
          </w:r>
          <w:r w:rsidR="00BF5075">
            <w:instrText xml:space="preserve"> PAGE  \* Arabic  \* MERGEFORMAT </w:instrText>
          </w:r>
          <w:r>
            <w:fldChar w:fldCharType="separate"/>
          </w:r>
          <w:r w:rsidR="00DC6AA5">
            <w:rPr>
              <w:noProof/>
            </w:rPr>
            <w:t>3</w:t>
          </w:r>
          <w:r>
            <w:fldChar w:fldCharType="end"/>
          </w:r>
          <w:r w:rsidR="00BF5075">
            <w:t>/</w:t>
          </w:r>
          <w:fldSimple w:instr=" NUMPAGES  \* Arabic  \* MERGEFORMAT ">
            <w:r w:rsidR="00DC6AA5">
              <w:rPr>
                <w:noProof/>
              </w:rPr>
              <w:t>3</w:t>
            </w:r>
          </w:fldSimple>
        </w:p>
      </w:tc>
    </w:tr>
  </w:tbl>
  <w:p w:rsidR="00BF5075" w:rsidRPr="00BF5075" w:rsidRDefault="00BF5075" w:rsidP="00BF507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BF5075" w:rsidTr="00BF5075">
      <w:tc>
        <w:tcPr>
          <w:tcW w:w="3873" w:type="dxa"/>
        </w:tcPr>
        <w:p w:rsidR="00BF5075" w:rsidRDefault="00BF5075" w:rsidP="00BF5075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5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5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GE.15-11227 (R)</w:t>
          </w:r>
          <w:r>
            <w:rPr>
              <w:color w:val="010000"/>
            </w:rPr>
            <w:t xml:space="preserve">    270715    270715</w:t>
          </w:r>
        </w:p>
        <w:p w:rsidR="00BF5075" w:rsidRPr="00BF5075" w:rsidRDefault="00BF5075" w:rsidP="00BF507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*1511227*</w:t>
          </w:r>
        </w:p>
      </w:tc>
      <w:tc>
        <w:tcPr>
          <w:tcW w:w="5127" w:type="dxa"/>
        </w:tcPr>
        <w:p w:rsidR="00BF5075" w:rsidRDefault="00BF5075" w:rsidP="00BF5075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5075" w:rsidRPr="00BF5075" w:rsidRDefault="00BF5075" w:rsidP="00BF5075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32" w:rsidRPr="00BA043C" w:rsidRDefault="00741F32" w:rsidP="00BA043C">
      <w:pPr>
        <w:pStyle w:val="Pieddepage"/>
        <w:spacing w:after="80"/>
        <w:ind w:left="792"/>
        <w:rPr>
          <w:sz w:val="16"/>
        </w:rPr>
      </w:pPr>
      <w:r w:rsidRPr="00BA043C">
        <w:rPr>
          <w:sz w:val="16"/>
        </w:rPr>
        <w:t>__________________</w:t>
      </w:r>
    </w:p>
  </w:footnote>
  <w:footnote w:type="continuationSeparator" w:id="0">
    <w:p w:rsidR="00741F32" w:rsidRPr="00BA043C" w:rsidRDefault="00741F32" w:rsidP="00BA043C">
      <w:pPr>
        <w:pStyle w:val="Pieddepage"/>
        <w:spacing w:after="80"/>
        <w:ind w:left="792"/>
        <w:rPr>
          <w:sz w:val="16"/>
        </w:rPr>
      </w:pPr>
      <w:r w:rsidRPr="00BA043C">
        <w:rPr>
          <w:sz w:val="16"/>
        </w:rPr>
        <w:t>__________________</w:t>
      </w:r>
    </w:p>
  </w:footnote>
  <w:footnote w:id="1">
    <w:p w:rsidR="00BA043C" w:rsidRPr="007D7E6B" w:rsidRDefault="00BA043C" w:rsidP="00BA043C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BA043C">
        <w:rPr>
          <w:rStyle w:val="Appelnotedebasdep"/>
          <w:color w:val="auto"/>
        </w:rPr>
        <w:footnoteRef/>
      </w:r>
      <w:r w:rsidRPr="007D7E6B">
        <w:tab/>
      </w:r>
      <w:bookmarkStart w:id="10" w:name="lt_pId081"/>
      <w:r w:rsidRPr="0031640D">
        <w:t>В соответствии с программой работы Комитета по внут</w:t>
      </w:r>
      <w:r>
        <w:t>реннему транспорту на 2014−2015 </w:t>
      </w:r>
      <w:r w:rsidRPr="0031640D">
        <w:t>годы (ECE/TRANS</w:t>
      </w:r>
      <w:r>
        <w:t>/240, пункт </w:t>
      </w:r>
      <w:r w:rsidRPr="0031640D">
        <w:t>100; ECE/TRANS/20</w:t>
      </w:r>
      <w:r>
        <w:t>14/23, направление деятельности 9, пункт </w:t>
      </w:r>
      <w:r w:rsidRPr="0031640D">
        <w:t>9.2).</w:t>
      </w:r>
      <w:bookmarkEnd w:id="10"/>
    </w:p>
  </w:footnote>
  <w:footnote w:id="2">
    <w:p w:rsidR="00BA043C" w:rsidRPr="0031640D" w:rsidRDefault="00BA043C" w:rsidP="00BA043C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7D7E6B">
        <w:tab/>
      </w:r>
      <w:r w:rsidRPr="00BA043C">
        <w:rPr>
          <w:rStyle w:val="Appelnotedebasdep"/>
          <w:color w:val="auto"/>
        </w:rPr>
        <w:footnoteRef/>
      </w:r>
      <w:r w:rsidRPr="0031640D">
        <w:tab/>
      </w:r>
      <w:bookmarkStart w:id="11" w:name="lt_pId084"/>
      <w:r w:rsidRPr="0031640D">
        <w:t>Распространен Межправительственной организацией по международным железнодорожным перевозкам (ОТИФ) в качестве документа OTIF/RID/RC/2015/53.</w:t>
      </w:r>
      <w:bookmarkEnd w:id="1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BF5075" w:rsidTr="00BF507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F5075" w:rsidRPr="00BF5075" w:rsidRDefault="006F0210" w:rsidP="00BF5075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976D38">
              <w:rPr>
                <w:b/>
              </w:rPr>
              <w:t>ECE/TRANS/WP.15/AC.1/2015/53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BF5075" w:rsidRDefault="00BF5075" w:rsidP="00BF5075">
          <w:pPr>
            <w:pStyle w:val="En-tte"/>
          </w:pPr>
        </w:p>
      </w:tc>
    </w:tr>
  </w:tbl>
  <w:p w:rsidR="00BF5075" w:rsidRPr="00BF5075" w:rsidRDefault="00BF5075" w:rsidP="00BF50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BF5075" w:rsidTr="00BF507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F5075" w:rsidRDefault="00BF5075" w:rsidP="00BF5075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BF5075" w:rsidRPr="00BF5075" w:rsidRDefault="006F0210" w:rsidP="00BF5075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BF5075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76D38">
            <w:rPr>
              <w:b/>
            </w:rPr>
            <w:t>ECE/TRANS/WP.15/AC.1/2015/53</w:t>
          </w:r>
          <w:r>
            <w:rPr>
              <w:b/>
            </w:rPr>
            <w:fldChar w:fldCharType="end"/>
          </w:r>
        </w:p>
      </w:tc>
    </w:tr>
  </w:tbl>
  <w:p w:rsidR="00BF5075" w:rsidRPr="00BF5075" w:rsidRDefault="00BF5075" w:rsidP="00BF507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BF5075" w:rsidTr="00BF507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F5075" w:rsidRPr="00BF5075" w:rsidRDefault="00BF5075" w:rsidP="00BF507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F5075" w:rsidRDefault="00BF5075" w:rsidP="00BF5075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F5075" w:rsidRPr="00BF5075" w:rsidRDefault="00BF5075" w:rsidP="00BF5075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/TRANS/WP.15/AC.1/2015/53</w:t>
          </w:r>
        </w:p>
      </w:tc>
    </w:tr>
    <w:tr w:rsidR="00BF5075" w:rsidRPr="00BA043C" w:rsidTr="00BF507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F5075" w:rsidRPr="00BF5075" w:rsidRDefault="00BF5075" w:rsidP="00BF5075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F5075" w:rsidRPr="00BF5075" w:rsidRDefault="00BF5075" w:rsidP="00BF507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F5075" w:rsidRPr="00BF5075" w:rsidRDefault="00BF5075" w:rsidP="00BF5075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F5075" w:rsidRPr="00BA043C" w:rsidRDefault="00BF5075" w:rsidP="00BF5075">
          <w:pPr>
            <w:pStyle w:val="Distribution"/>
            <w:rPr>
              <w:color w:val="000000"/>
              <w:lang w:val="en-US"/>
            </w:rPr>
          </w:pPr>
          <w:r w:rsidRPr="00BA043C">
            <w:rPr>
              <w:color w:val="000000"/>
              <w:lang w:val="en-US"/>
            </w:rPr>
            <w:t>Distr.: General</w:t>
          </w:r>
        </w:p>
        <w:p w:rsidR="00BF5075" w:rsidRPr="00BA043C" w:rsidRDefault="00BF5075" w:rsidP="00BF5075">
          <w:pPr>
            <w:pStyle w:val="Publication"/>
            <w:rPr>
              <w:color w:val="000000"/>
              <w:lang w:val="en-US"/>
            </w:rPr>
          </w:pPr>
          <w:r w:rsidRPr="00BA043C">
            <w:rPr>
              <w:color w:val="000000"/>
              <w:lang w:val="en-US"/>
            </w:rPr>
            <w:t>3 July 2015</w:t>
          </w:r>
        </w:p>
        <w:p w:rsidR="00BF5075" w:rsidRPr="00BA043C" w:rsidRDefault="00BF5075" w:rsidP="00BF5075">
          <w:pPr>
            <w:rPr>
              <w:color w:val="000000"/>
              <w:lang w:val="en-US"/>
            </w:rPr>
          </w:pPr>
          <w:r w:rsidRPr="00BA043C">
            <w:rPr>
              <w:color w:val="000000"/>
              <w:lang w:val="en-US"/>
            </w:rPr>
            <w:t>Russian</w:t>
          </w:r>
        </w:p>
        <w:p w:rsidR="00BF5075" w:rsidRPr="00BA043C" w:rsidRDefault="00BF5075" w:rsidP="00BF5075">
          <w:pPr>
            <w:pStyle w:val="Original"/>
            <w:rPr>
              <w:color w:val="000000"/>
              <w:lang w:val="en-US"/>
            </w:rPr>
          </w:pPr>
          <w:r w:rsidRPr="00BA043C">
            <w:rPr>
              <w:color w:val="000000"/>
              <w:lang w:val="en-US"/>
            </w:rPr>
            <w:t>Original: English</w:t>
          </w:r>
        </w:p>
        <w:p w:rsidR="00BF5075" w:rsidRPr="00BA043C" w:rsidRDefault="00BF5075" w:rsidP="00BF5075">
          <w:pPr>
            <w:rPr>
              <w:lang w:val="en-US"/>
            </w:rPr>
          </w:pPr>
        </w:p>
      </w:tc>
    </w:tr>
  </w:tbl>
  <w:p w:rsidR="00BF5075" w:rsidRPr="00BA043C" w:rsidRDefault="00BF5075" w:rsidP="00BF5075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1227*"/>
    <w:docVar w:name="CreationDt" w:val="7/27/2015 2:19: PM"/>
    <w:docVar w:name="DocCategory" w:val="Doc"/>
    <w:docVar w:name="DocType" w:val="Final"/>
    <w:docVar w:name="DutyStation" w:val="Geneva"/>
    <w:docVar w:name="FooterJN" w:val="GE.15-11227"/>
    <w:docVar w:name="jobn" w:val="GE.15-11227 (R)"/>
    <w:docVar w:name="jobnDT" w:val="GE.15-11227 (R)   270715"/>
    <w:docVar w:name="jobnDTDT" w:val="GE.15-11227 (R)   270715   270715"/>
    <w:docVar w:name="JobNo" w:val="GE.1511227R"/>
    <w:docVar w:name="JobNo2" w:val="1514461R"/>
    <w:docVar w:name="LocalDrive" w:val="0"/>
    <w:docVar w:name="OandT" w:val=" "/>
    <w:docVar w:name="PaperSize" w:val="A4"/>
    <w:docVar w:name="sss1" w:val="ECE/TRANS/WP.15/AC.1/2015/53"/>
    <w:docVar w:name="sss2" w:val="-"/>
    <w:docVar w:name="Symbol1" w:val="ECE/TRANS/WP.15/AC.1/2015/53"/>
    <w:docVar w:name="Symbol2" w:val="-"/>
  </w:docVars>
  <w:rsids>
    <w:rsidRoot w:val="00D50765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A662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6480C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2C57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22F2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678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E6BFB"/>
    <w:rsid w:val="006F0210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1F32"/>
    <w:rsid w:val="00743C8D"/>
    <w:rsid w:val="00745258"/>
    <w:rsid w:val="0077374B"/>
    <w:rsid w:val="007746A3"/>
    <w:rsid w:val="007766E6"/>
    <w:rsid w:val="00781ACA"/>
    <w:rsid w:val="00785F8F"/>
    <w:rsid w:val="0078722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76D38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068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043C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075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07C6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A5054"/>
    <w:rsid w:val="00CA5D07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46C87"/>
    <w:rsid w:val="00D50765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6AA5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4F6B"/>
    <w:rsid w:val="00E4741B"/>
    <w:rsid w:val="00E478DE"/>
    <w:rsid w:val="00E5226F"/>
    <w:rsid w:val="00E53135"/>
    <w:rsid w:val="00E54D94"/>
    <w:rsid w:val="00E56167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020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BF50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507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507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0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07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A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BF5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0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07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07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3779-8897-4C19-B0A8-071E6F8A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Maison</cp:lastModifiedBy>
  <cp:revision>2</cp:revision>
  <cp:lastPrinted>2015-07-27T12:53:00Z</cp:lastPrinted>
  <dcterms:created xsi:type="dcterms:W3CDTF">2015-08-13T16:05:00Z</dcterms:created>
  <dcterms:modified xsi:type="dcterms:W3CDTF">2015-08-13T16:05:00Z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1511227R</vt:lpwstr>
  </property>
  <property fmtid="{D5CDD505-2E9C-101B-9397-08002B2CF9AE}" pid="3" name="ODSRefJobNo">
    <vt:lpwstr>1514461R</vt:lpwstr>
  </property>
  <property fmtid="{D5CDD505-2E9C-101B-9397-08002B2CF9AE}" pid="4" name="Symbol1">
    <vt:lpwstr>ECE/TRANS/WP.15/AC.1/2015/53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270715</vt:lpwstr>
  </property>
</Properties>
</file>