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1" w:rsidRDefault="00AC3D11" w:rsidP="00AC3D11">
      <w:pPr>
        <w:spacing w:line="60" w:lineRule="exact"/>
        <w:rPr>
          <w:color w:val="010000"/>
          <w:sz w:val="6"/>
        </w:rPr>
        <w:sectPr w:rsidR="00AC3D11" w:rsidSect="00AC3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B75F21">
        <w:rPr>
          <w:b/>
          <w:sz w:val="28"/>
          <w:szCs w:val="28"/>
        </w:rPr>
        <w:lastRenderedPageBreak/>
        <w:t>Европейская экономическая комиссия</w:t>
      </w:r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B75F21">
        <w:rPr>
          <w:sz w:val="28"/>
          <w:szCs w:val="28"/>
        </w:rPr>
        <w:t>Комитет по внутреннему транспорту</w:t>
      </w:r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75F21" w:rsidRPr="000B742D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0B742D">
        <w:rPr>
          <w:b/>
          <w:sz w:val="24"/>
          <w:szCs w:val="24"/>
        </w:rPr>
        <w:t>Рабочая группа по перевозкам опасных грузов</w:t>
      </w:r>
    </w:p>
    <w:p w:rsidR="000B742D" w:rsidRPr="000B742D" w:rsidRDefault="000B742D" w:rsidP="000B742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B75F21">
        <w:rPr>
          <w:b/>
        </w:rPr>
        <w:t xml:space="preserve">Совместное совещание Комиссии экспертов МПОГ </w:t>
      </w:r>
      <w:r w:rsidRPr="00B75F21">
        <w:rPr>
          <w:b/>
        </w:rPr>
        <w:br/>
        <w:t>и Рабочей группы по перевозкам опасных грузов</w:t>
      </w:r>
    </w:p>
    <w:p w:rsid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15–25 сентября 2015 года</w:t>
      </w:r>
    </w:p>
    <w:p w:rsid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3 b) предварительной повестки дня</w:t>
      </w:r>
    </w:p>
    <w:p w:rsidR="00B75F21" w:rsidRPr="00B75F21" w:rsidRDefault="00B75F21" w:rsidP="00B75F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B75F21">
        <w:rPr>
          <w:b/>
        </w:rPr>
        <w:t xml:space="preserve">Предложения о внесении поправок </w:t>
      </w:r>
      <w:r w:rsidR="000839B5">
        <w:rPr>
          <w:b/>
        </w:rPr>
        <w:br/>
      </w:r>
      <w:r w:rsidRPr="00B75F21">
        <w:rPr>
          <w:b/>
        </w:rPr>
        <w:t>в МПОГ/ДОПОГ/ВОПОГ:</w:t>
      </w:r>
      <w:r w:rsidR="000839B5">
        <w:rPr>
          <w:b/>
        </w:rPr>
        <w:t xml:space="preserve"> </w:t>
      </w:r>
      <w:r w:rsidRPr="00B75F21">
        <w:rPr>
          <w:b/>
        </w:rPr>
        <w:t>новые предложения</w:t>
      </w: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Поправки к тексту главы 1.4 МПОГ/ДОПОГ, </w:t>
      </w:r>
      <w:r w:rsidRPr="00B75F21">
        <w:br/>
      </w:r>
      <w:r>
        <w:t>содержащей требования в отношении информационных табло и</w:t>
      </w:r>
      <w:r>
        <w:rPr>
          <w:lang w:val="en-US"/>
        </w:rPr>
        <w:t> </w:t>
      </w:r>
      <w:r>
        <w:t>маркировки</w:t>
      </w: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Соединенного Королевства</w:t>
      </w:r>
      <w:r w:rsidR="00D71663" w:rsidRPr="007769BA">
        <w:rPr>
          <w:b w:val="0"/>
          <w:sz w:val="18"/>
          <w:szCs w:val="18"/>
          <w:vertAlign w:val="superscript"/>
        </w:rPr>
        <w:footnoteReference w:id="2"/>
      </w:r>
      <w:r w:rsidR="00D71663" w:rsidRPr="007769BA">
        <w:rPr>
          <w:b w:val="0"/>
          <w:sz w:val="18"/>
          <w:szCs w:val="18"/>
          <w:vertAlign w:val="superscript"/>
        </w:rPr>
        <w:t xml:space="preserve">, </w:t>
      </w:r>
      <w:r w:rsidR="00D71663" w:rsidRPr="007769BA">
        <w:rPr>
          <w:b w:val="0"/>
          <w:sz w:val="18"/>
          <w:szCs w:val="18"/>
          <w:vertAlign w:val="superscript"/>
        </w:rPr>
        <w:footnoteReference w:id="3"/>
      </w:r>
      <w:r w:rsidRPr="007769BA">
        <w:rPr>
          <w:sz w:val="18"/>
          <w:szCs w:val="18"/>
          <w:vertAlign w:val="superscript"/>
        </w:rPr>
        <w:t xml:space="preserve"> </w:t>
      </w: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Pr="00B75F21" w:rsidRDefault="00B75F21" w:rsidP="00B75F21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SingleTxt"/>
      </w:pPr>
      <w:r>
        <w:t>1.</w:t>
      </w:r>
      <w:r>
        <w:tab/>
        <w:t>В неофициальном документе 11, представленном на последнем совещании WP.15 в мае 2015 года, Соединенное Королевство отметило, что в некоторых частях главы 1.4 ДОПОГ есть несоответствия, касающиеся упоминания информационных табло и маркировочных знаков в ее тексте. В ходе обсуждения указанного документа Соединенному Королевству было предложено представить Совместному совещанию на его сессии в сентябре 2015 года официальный документ, так как любые изменения, внесенные в главу 1.4 ДОПОГ, отразятся также на МПОГ.</w:t>
      </w:r>
    </w:p>
    <w:p w:rsidR="00B75F21" w:rsidRDefault="00B75F21" w:rsidP="00B75F21">
      <w:pPr>
        <w:pStyle w:val="SingleTxt"/>
      </w:pPr>
      <w:r>
        <w:t>2.</w:t>
      </w:r>
      <w:r>
        <w:tab/>
        <w:t>В тексте главы 1.4 издания ДОПОГ 2015 года информационные табло и маркировочные знаки упоминаются не только непоследовательно, но и неправильно. Нынешняя формулировка в главе 1.4 ДОПОГ гласит следующее:</w:t>
      </w:r>
    </w:p>
    <w:p w:rsidR="00B75F21" w:rsidRDefault="00B75F21" w:rsidP="00B75F21">
      <w:pPr>
        <w:pStyle w:val="SingleTxt"/>
        <w:ind w:left="2218" w:hanging="951"/>
      </w:pPr>
      <w:r w:rsidRPr="00356D2C">
        <w:tab/>
      </w:r>
      <w:r>
        <w:t>a)</w:t>
      </w:r>
      <w:r>
        <w:tab/>
        <w:t>1.4.2.2.1 f)</w:t>
      </w:r>
      <w:r>
        <w:tab/>
      </w:r>
      <w:r w:rsidR="005E0FB0">
        <w:t xml:space="preserve"> «</w:t>
      </w:r>
      <w:r>
        <w:t>…прикреплены информационные табло и нанесена маркировка, предписанные для транспортных средств</w:t>
      </w:r>
      <w:r w:rsidR="0077506E">
        <w:t>»</w:t>
      </w:r>
      <w:r>
        <w:t>;</w:t>
      </w:r>
    </w:p>
    <w:p w:rsidR="00B75F21" w:rsidRDefault="00B75F21" w:rsidP="00B75F21">
      <w:pPr>
        <w:pStyle w:val="SingleTxt"/>
        <w:ind w:left="2218" w:hanging="951"/>
      </w:pPr>
      <w:r w:rsidRPr="0077506E">
        <w:lastRenderedPageBreak/>
        <w:tab/>
      </w:r>
      <w:r>
        <w:t>b)</w:t>
      </w:r>
      <w:r>
        <w:tab/>
        <w:t>1.4.3.1.1 d)</w:t>
      </w:r>
      <w:r w:rsidR="005E0FB0">
        <w:t xml:space="preserve"> «</w:t>
      </w:r>
      <w:r>
        <w:t>…указывающая на опасность маркировка в соответствии с главой 5.3</w:t>
      </w:r>
      <w:r w:rsidR="0077506E">
        <w:t>»</w:t>
      </w:r>
      <w:r>
        <w:t>;</w:t>
      </w:r>
    </w:p>
    <w:p w:rsidR="00B75F21" w:rsidRDefault="00B75F21" w:rsidP="00B75F21">
      <w:pPr>
        <w:pStyle w:val="SingleTxt"/>
        <w:ind w:left="1742" w:hanging="475"/>
      </w:pPr>
      <w:r w:rsidRPr="0077506E">
        <w:tab/>
      </w:r>
      <w:r>
        <w:t>c)</w:t>
      </w:r>
      <w:r>
        <w:tab/>
        <w:t>1.4.3.7.1 f)</w:t>
      </w:r>
      <w:r>
        <w:tab/>
      </w:r>
      <w:r w:rsidR="005E0FB0">
        <w:t xml:space="preserve"> «</w:t>
      </w:r>
      <w:r>
        <w:t>…маркировочные знаки в соответствии с главой 5.3</w:t>
      </w:r>
      <w:r w:rsidR="0077506E">
        <w:t>»</w:t>
      </w:r>
      <w:r>
        <w:t>.</w:t>
      </w:r>
    </w:p>
    <w:p w:rsidR="00B75F21" w:rsidRDefault="00B75F21" w:rsidP="00B75F21">
      <w:pPr>
        <w:pStyle w:val="SingleTxt"/>
      </w:pPr>
      <w:r>
        <w:t>3.</w:t>
      </w:r>
      <w:r>
        <w:tab/>
        <w:t xml:space="preserve">Использование термина </w:t>
      </w:r>
      <w:r w:rsidR="0077506E">
        <w:t>«</w:t>
      </w:r>
      <w:r>
        <w:t>указывающая на опасность маркировка</w:t>
      </w:r>
      <w:r w:rsidR="0077506E">
        <w:t>»</w:t>
      </w:r>
      <w:r>
        <w:t xml:space="preserve"> является ошибочным, потому что этот термин не определен в ДОПОГ и создает несоответствие с главой 5.3. Этот термин не воспроизведен в МПОГ, хотя МПОГ не отличается последовательностью текстов этих трех подразделов. Нынешняя формулировка в главе 1.4 МПОГ гласит следующее:</w:t>
      </w:r>
    </w:p>
    <w:p w:rsidR="00B75F21" w:rsidRDefault="00B75F21" w:rsidP="00B75F21">
      <w:pPr>
        <w:pStyle w:val="SingleTxt"/>
        <w:ind w:left="2218" w:hanging="951"/>
      </w:pPr>
      <w:r w:rsidRPr="00356D2C">
        <w:tab/>
      </w:r>
      <w:r>
        <w:t>a)</w:t>
      </w:r>
      <w:r>
        <w:tab/>
        <w:t>1.4.2.2.1 f)</w:t>
      </w:r>
      <w:r w:rsidR="005E0FB0">
        <w:t xml:space="preserve"> «</w:t>
      </w:r>
      <w:r>
        <w:t>…информационные табло и маркировка, предписанные для вагонов</w:t>
      </w:r>
      <w:r w:rsidR="0077506E">
        <w:t>»</w:t>
      </w:r>
      <w:r>
        <w:t>;</w:t>
      </w:r>
    </w:p>
    <w:p w:rsidR="00B75F21" w:rsidRDefault="00B75F21" w:rsidP="00B75F21">
      <w:pPr>
        <w:pStyle w:val="SingleTxt"/>
        <w:ind w:left="2218" w:hanging="951"/>
      </w:pPr>
      <w:r w:rsidRPr="0077506E">
        <w:tab/>
      </w:r>
      <w:r>
        <w:t>b)</w:t>
      </w:r>
      <w:r>
        <w:tab/>
        <w:t>1.4.3.1.1 d)</w:t>
      </w:r>
      <w:r w:rsidR="005E0FB0">
        <w:t xml:space="preserve"> «</w:t>
      </w:r>
      <w:r>
        <w:t>…информационных табло на вагоне или большом контейнере или табличек оранжевого цвета на вагоне или большом контейнере</w:t>
      </w:r>
      <w:r w:rsidR="0077506E">
        <w:t>»</w:t>
      </w:r>
      <w:r>
        <w:t>;</w:t>
      </w:r>
    </w:p>
    <w:p w:rsidR="00B75F21" w:rsidRDefault="00B75F21" w:rsidP="00B75F21">
      <w:pPr>
        <w:pStyle w:val="SingleTxt"/>
        <w:ind w:left="2218" w:hanging="951"/>
      </w:pPr>
      <w:r w:rsidRPr="0077506E">
        <w:tab/>
      </w:r>
      <w:r>
        <w:t>c)</w:t>
      </w:r>
      <w:r>
        <w:tab/>
        <w:t>1.4.3.7.1 f)</w:t>
      </w:r>
      <w:r w:rsidR="005E0FB0">
        <w:t xml:space="preserve"> «</w:t>
      </w:r>
      <w:r>
        <w:t>…информационных табло и табличек оранжевого цвета</w:t>
      </w:r>
      <w:r w:rsidR="0077506E">
        <w:t>»</w:t>
      </w:r>
      <w:r>
        <w:t>.</w:t>
      </w:r>
    </w:p>
    <w:p w:rsidR="00B75F21" w:rsidRDefault="00B75F21" w:rsidP="00B75F21">
      <w:pPr>
        <w:pStyle w:val="SingleTxt"/>
      </w:pPr>
      <w:r>
        <w:t>4.</w:t>
      </w:r>
      <w:r>
        <w:tab/>
        <w:t>Соединенное Королевство обеспокоено тем, что неточности и несоответствия, содержащиеся в МПОГ и ДОПОГ, а также различия между текстами, относящимися к этим двум видам транспорта, приведут к путанице среди предприятий отрасли и среди органов, обеспечивающих соблюдение правил.</w:t>
      </w:r>
    </w:p>
    <w:p w:rsidR="00B75F21" w:rsidRDefault="00B75F21" w:rsidP="00B75F21">
      <w:pPr>
        <w:pStyle w:val="SingleTxt"/>
      </w:pPr>
      <w:r>
        <w:t>5.</w:t>
      </w:r>
      <w:r>
        <w:tab/>
        <w:t>Для целей ясности Соединенное Королевство рекомендует внести изменения в некоторые части текста главы 1.4 МПОГ и ДОПОГ. Это также будет способствовать согласованию текстов МПОГ и ДОПОГ при сохранении необходимых различий между этими двумя видами транспорта.</w:t>
      </w:r>
    </w:p>
    <w:p w:rsidR="00B75F21" w:rsidRDefault="00B75F21" w:rsidP="00B75F21">
      <w:pPr>
        <w:pStyle w:val="SingleTxt"/>
      </w:pPr>
      <w:r>
        <w:t>6.</w:t>
      </w:r>
      <w:r>
        <w:tab/>
        <w:t>Соединенное Королевство считает, что это даст хорошую возможность для общего упорядочения остальных частей главы 1.4 МПОГ и ДОПОГ, касающихся информационных табло и маркировочных знаков, в частности пунктов 1.4.2.1.1</w:t>
      </w:r>
      <w:r w:rsidR="00527A6E">
        <w:t> </w:t>
      </w:r>
      <w:r>
        <w:t>c), 1.4.2.1.1 e) и 1.4.3.3 h). Соединенное Королевство также считает, что в пунктах 1.4.2.1.1 e) и 1.4.3.3 h) не следует ссылаться на большие и малые контейнеры, потому, что они не определены в правилах. Эти изменения подробно описаны в нижеследующем предложении.</w:t>
      </w:r>
    </w:p>
    <w:p w:rsidR="00AC20DF" w:rsidRPr="00AC20DF" w:rsidRDefault="00AC20DF" w:rsidP="00AC20DF">
      <w:pPr>
        <w:pStyle w:val="SingleTxt"/>
        <w:spacing w:after="0" w:line="120" w:lineRule="exact"/>
        <w:rPr>
          <w:sz w:val="10"/>
        </w:rPr>
      </w:pPr>
    </w:p>
    <w:p w:rsidR="00AC20DF" w:rsidRPr="00AC20DF" w:rsidRDefault="00AC20DF" w:rsidP="00AC20DF">
      <w:pPr>
        <w:pStyle w:val="SingleTxt"/>
        <w:spacing w:after="0" w:line="120" w:lineRule="exact"/>
        <w:rPr>
          <w:sz w:val="10"/>
        </w:rPr>
      </w:pPr>
    </w:p>
    <w:p w:rsidR="00B75F21" w:rsidRDefault="00B75F21" w:rsidP="00AC20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AC20DF" w:rsidRPr="00AC20DF" w:rsidRDefault="00AC20DF" w:rsidP="00AC20DF">
      <w:pPr>
        <w:pStyle w:val="SingleTxt"/>
        <w:spacing w:after="0" w:line="120" w:lineRule="exact"/>
        <w:rPr>
          <w:sz w:val="10"/>
        </w:rPr>
      </w:pPr>
    </w:p>
    <w:p w:rsidR="00AC20DF" w:rsidRPr="00AC20DF" w:rsidRDefault="00AC20DF" w:rsidP="00AC20DF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SingleTxt"/>
      </w:pPr>
      <w:r>
        <w:t>7.</w:t>
      </w:r>
      <w:r>
        <w:tab/>
        <w:t>Включить подчеркнутый текст в пункт 1.4.2.1.1 c)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1.4.2.1.1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c)</w:t>
      </w:r>
      <w:r>
        <w:tab/>
        <w:t xml:space="preserve">использовать только такие тару, крупногабаритную тару, контейнеры средней грузоподъемности для массовых грузов (КСГМГ) и цистерны (вагоны-цистерны, вагоны со съемными цистернами, вагоны-батареи, МЭГК, переносные цистерны и контейнеры-цистерны), которые допущены и пригодны для перевозки соответствующих веществ и имеют </w:t>
      </w:r>
      <w:r w:rsidRPr="003B68D1">
        <w:rPr>
          <w:strike/>
        </w:rPr>
        <w:t>маркировку, предписанную</w:t>
      </w:r>
      <w:r>
        <w:t xml:space="preserve"> </w:t>
      </w:r>
      <w:r w:rsidRPr="003B68D1">
        <w:rPr>
          <w:u w:val="single"/>
        </w:rPr>
        <w:t>маркировочные знаки, предписанные</w:t>
      </w:r>
      <w:r>
        <w:t xml:space="preserve"> МПОГ.</w:t>
      </w:r>
    </w:p>
    <w:p w:rsidR="00B75F21" w:rsidRDefault="00B75F21" w:rsidP="00B75F21">
      <w:pPr>
        <w:pStyle w:val="SingleTxt"/>
      </w:pPr>
      <w:r>
        <w:t>1.4.2.1.1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c)</w:t>
      </w:r>
      <w:r>
        <w:tab/>
        <w:t xml:space="preserve">использовать только такие тару, крупногабаритную тару, контейнеры средней грузоподъемности для массовых грузов (КСГМГ) и цистерны (автоцистерны, съемные цистерны, транспортные средства-батареи, МЭГК, переносные цистерны и </w:t>
      </w:r>
      <w:r>
        <w:lastRenderedPageBreak/>
        <w:t xml:space="preserve">контейнеры-цистерны), которые допущены и пригодны для перевозки соответствующих веществ и имеют </w:t>
      </w:r>
      <w:r w:rsidRPr="003B68D1">
        <w:rPr>
          <w:strike/>
        </w:rPr>
        <w:t>маркировку, предписанную</w:t>
      </w:r>
      <w:r>
        <w:t xml:space="preserve"> </w:t>
      </w:r>
      <w:r w:rsidRPr="003B68D1">
        <w:rPr>
          <w:u w:val="single"/>
        </w:rPr>
        <w:t>маркировочные знаки, предписанные</w:t>
      </w:r>
      <w:r>
        <w:t xml:space="preserve"> ДОПОГ;</w:t>
      </w:r>
    </w:p>
    <w:p w:rsidR="00B75F21" w:rsidRDefault="00B75F21" w:rsidP="00B75F21">
      <w:pPr>
        <w:pStyle w:val="SingleTxt"/>
      </w:pPr>
      <w:r>
        <w:t>8.</w:t>
      </w:r>
      <w:r>
        <w:tab/>
        <w:t>Включить подчеркнутый текст в пункт 1.4.2.1.1 e)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1.4.2.1.1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e)</w:t>
      </w:r>
      <w:r>
        <w:tab/>
        <w:t xml:space="preserve">обеспечить, чтобы даже неочищенные и недегазированные порожние цистерны (вагоны-цистерны, вагоны со съемными цистернами, вагоны-батареи, МЭГК, переносные цистерны и контейнеры-цистерны) или порожние неочищенные вагоны и </w:t>
      </w:r>
      <w:r w:rsidRPr="00A961C0">
        <w:rPr>
          <w:strike/>
        </w:rPr>
        <w:t>большие и малые</w:t>
      </w:r>
      <w:r>
        <w:t xml:space="preserve"> контейнеры для массовых грузов </w:t>
      </w:r>
      <w:r w:rsidRPr="00A961C0">
        <w:rPr>
          <w:strike/>
        </w:rPr>
        <w:t>были соответствующим образом маркированы и снабжены знаками опасности</w:t>
      </w:r>
      <w:r>
        <w:t xml:space="preserve"> </w:t>
      </w:r>
      <w:r w:rsidRPr="00A961C0">
        <w:rPr>
          <w:u w:val="single"/>
        </w:rPr>
        <w:t>имели соответствующие информационные табло и маркировочные знаки в соответствии с главой 5.3</w:t>
      </w:r>
      <w:r>
        <w:t xml:space="preserve"> и чтобы порожние неочищенные цистерны были закрыты так же герметично, как если бы они были в наполненном состоянии.</w:t>
      </w:r>
    </w:p>
    <w:p w:rsidR="00B75F21" w:rsidRDefault="00B75F21" w:rsidP="00B75F21">
      <w:pPr>
        <w:pStyle w:val="SingleTxt"/>
      </w:pPr>
      <w:r>
        <w:t>1.4.2.1.1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e)</w:t>
      </w:r>
      <w:r>
        <w:tab/>
        <w:t xml:space="preserve">обеспечить, чтобы даже неочищенные и недегазированные порожние цистерны (автоцистерны, съемные цистерны, транспортные средства-батареи, МЭГК, переносные цистерны и контейнеры-цистерны) или порожние неочищенные транспортные средства и </w:t>
      </w:r>
      <w:r w:rsidRPr="008568DE">
        <w:rPr>
          <w:strike/>
        </w:rPr>
        <w:t>большие и малые</w:t>
      </w:r>
      <w:r>
        <w:t xml:space="preserve"> контейнеры для массовых грузов </w:t>
      </w:r>
      <w:r w:rsidRPr="008568DE">
        <w:rPr>
          <w:strike/>
        </w:rPr>
        <w:t>были соответствующим образом маркированы и снабжены знаками опасности</w:t>
      </w:r>
      <w:r>
        <w:t xml:space="preserve"> </w:t>
      </w:r>
      <w:r w:rsidRPr="003B7DC9">
        <w:rPr>
          <w:u w:val="single"/>
        </w:rPr>
        <w:t>имели соответствующие информационные табло и маркировочные знаки в соответствии с главой</w:t>
      </w:r>
      <w:r w:rsidR="000A0698" w:rsidRPr="003B7DC9">
        <w:rPr>
          <w:u w:val="single"/>
        </w:rPr>
        <w:t> </w:t>
      </w:r>
      <w:r w:rsidRPr="003B7DC9">
        <w:rPr>
          <w:u w:val="single"/>
        </w:rPr>
        <w:t>5.3</w:t>
      </w:r>
      <w:r>
        <w:t xml:space="preserve"> и чтобы порожние неочищенные цистерны были закрыты так же герметично, как если бы они были в наполненном состоянии.</w:t>
      </w:r>
    </w:p>
    <w:p w:rsidR="00B75F21" w:rsidRDefault="00B75F21" w:rsidP="00B75F21">
      <w:pPr>
        <w:pStyle w:val="SingleTxt"/>
      </w:pPr>
      <w:r>
        <w:t>9.</w:t>
      </w:r>
      <w:r>
        <w:tab/>
        <w:t>Включить подчеркнутый текст в пункт 1.4.2.2.1 f)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1.4.2.2.1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f)</w:t>
      </w:r>
      <w:r>
        <w:tab/>
        <w:t xml:space="preserve">удостовериться в том, что размещены информационные табло и </w:t>
      </w:r>
      <w:r w:rsidRPr="00970332">
        <w:rPr>
          <w:strike/>
        </w:rPr>
        <w:t>маркировка</w:t>
      </w:r>
      <w:r>
        <w:t xml:space="preserve"> </w:t>
      </w:r>
      <w:r w:rsidRPr="00970332">
        <w:rPr>
          <w:u w:val="single"/>
        </w:rPr>
        <w:t>маркировочные знаки</w:t>
      </w:r>
      <w:r>
        <w:t xml:space="preserve">, предписанные для вагонов </w:t>
      </w:r>
      <w:r w:rsidRPr="00970332">
        <w:rPr>
          <w:u w:val="single"/>
        </w:rPr>
        <w:t>в главе 5.3</w:t>
      </w:r>
      <w:r>
        <w:t>.</w:t>
      </w:r>
    </w:p>
    <w:p w:rsidR="00B75F21" w:rsidRDefault="00B75F21" w:rsidP="00B75F21">
      <w:pPr>
        <w:pStyle w:val="SingleTxt"/>
      </w:pPr>
      <w:r>
        <w:t>1.4.2.2.1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f)</w:t>
      </w:r>
      <w:r>
        <w:tab/>
        <w:t xml:space="preserve">удостовериться в том, что </w:t>
      </w:r>
      <w:r w:rsidRPr="00147C44">
        <w:rPr>
          <w:strike/>
        </w:rPr>
        <w:t>прикреплены</w:t>
      </w:r>
      <w:r>
        <w:t xml:space="preserve"> </w:t>
      </w:r>
      <w:r w:rsidRPr="00147C44">
        <w:rPr>
          <w:u w:val="single"/>
        </w:rPr>
        <w:t>размещены</w:t>
      </w:r>
      <w:r>
        <w:t xml:space="preserve"> информационные табло</w:t>
      </w:r>
      <w:r w:rsidRPr="00147C44">
        <w:rPr>
          <w:u w:val="single"/>
        </w:rPr>
        <w:t>,</w:t>
      </w:r>
      <w:r>
        <w:t xml:space="preserve"> </w:t>
      </w:r>
      <w:r w:rsidRPr="00147C44">
        <w:rPr>
          <w:strike/>
        </w:rPr>
        <w:t>и нанесена маркировка</w:t>
      </w:r>
      <w:r>
        <w:t xml:space="preserve"> </w:t>
      </w:r>
      <w:r w:rsidRPr="00147C44">
        <w:rPr>
          <w:u w:val="single"/>
        </w:rPr>
        <w:t>маркировочные знаки и таблички оранжевого цвета</w:t>
      </w:r>
      <w:r>
        <w:t xml:space="preserve">, предписанные для транспортных средств </w:t>
      </w:r>
      <w:r w:rsidRPr="00147C44">
        <w:rPr>
          <w:u w:val="single"/>
        </w:rPr>
        <w:t>в главе 5.3</w:t>
      </w:r>
      <w:r>
        <w:t>.</w:t>
      </w:r>
    </w:p>
    <w:p w:rsidR="00B75F21" w:rsidRDefault="00B75F21" w:rsidP="00B75F21">
      <w:pPr>
        <w:pStyle w:val="SingleTxt"/>
      </w:pPr>
      <w:r>
        <w:t>10.</w:t>
      </w:r>
      <w:r>
        <w:tab/>
        <w:t>Включить подчеркнутый текст в пункт 1.4.3.1.1 d)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1.4.3.1.1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d)</w:t>
      </w:r>
      <w:r>
        <w:tab/>
        <w:t xml:space="preserve">при непосредственной передаче опасных грузов к перевозке он должен выполнить требования, касающиеся размещения информационных табло </w:t>
      </w:r>
      <w:r w:rsidRPr="00C56B53">
        <w:rPr>
          <w:u w:val="single"/>
        </w:rPr>
        <w:t>и маркировочных знаков</w:t>
      </w:r>
      <w:r>
        <w:t xml:space="preserve"> </w:t>
      </w:r>
      <w:r w:rsidRPr="00C56B53">
        <w:rPr>
          <w:strike/>
        </w:rPr>
        <w:t>на вагоне или большом контейнере или табличек оранжевого цвета</w:t>
      </w:r>
      <w:r>
        <w:t xml:space="preserve"> на вагоне или большом контейнере </w:t>
      </w:r>
      <w:r w:rsidRPr="00C56B53">
        <w:rPr>
          <w:u w:val="single"/>
        </w:rPr>
        <w:t>в соответствии с главой 5.3</w:t>
      </w:r>
      <w:r>
        <w:t>.</w:t>
      </w:r>
    </w:p>
    <w:p w:rsidR="00B75F21" w:rsidRDefault="00B75F21" w:rsidP="00430A01">
      <w:pPr>
        <w:pStyle w:val="SingleTxt"/>
        <w:pageBreakBefore/>
      </w:pPr>
      <w:r>
        <w:t>1.4.3.1.1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d)</w:t>
      </w:r>
      <w:r>
        <w:tab/>
        <w:t xml:space="preserve">после загрузки опасных грузов в контейнер он должен выполнить требования в отношении </w:t>
      </w:r>
      <w:r w:rsidRPr="00235633">
        <w:rPr>
          <w:strike/>
        </w:rPr>
        <w:t>нанесения указывающей на опасность маркировки</w:t>
      </w:r>
      <w:r>
        <w:t xml:space="preserve"> </w:t>
      </w:r>
      <w:r w:rsidRPr="00235633">
        <w:rPr>
          <w:u w:val="single"/>
        </w:rPr>
        <w:t>размещения информационных табло и маркировочных знаков</w:t>
      </w:r>
      <w:r>
        <w:t xml:space="preserve"> в соответствии с главой 5.3.</w:t>
      </w:r>
    </w:p>
    <w:p w:rsidR="00B75F21" w:rsidRDefault="00B75F21" w:rsidP="00B75F21">
      <w:pPr>
        <w:pStyle w:val="SingleTxt"/>
      </w:pPr>
      <w:r>
        <w:t>11.</w:t>
      </w:r>
      <w:r>
        <w:tab/>
        <w:t>Включить подчеркнутый текст в пункт 1.4.3.3 h)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1.4.3.3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h)</w:t>
      </w:r>
      <w:r>
        <w:tab/>
        <w:t xml:space="preserve">при подготовке опасных грузов для перевозки он должен обеспечить, чтобы </w:t>
      </w:r>
      <w:r w:rsidRPr="00C94A38">
        <w:rPr>
          <w:strike/>
        </w:rPr>
        <w:t>предписанные таблички оранжевого цвета, знаки опасности или</w:t>
      </w:r>
      <w:r>
        <w:t xml:space="preserve"> информационные табло</w:t>
      </w:r>
      <w:r w:rsidRPr="00C94A38">
        <w:rPr>
          <w:strike/>
        </w:rPr>
        <w:t>,</w:t>
      </w:r>
      <w:r>
        <w:t xml:space="preserve"> </w:t>
      </w:r>
      <w:r w:rsidRPr="00C94A38">
        <w:rPr>
          <w:u w:val="single"/>
        </w:rPr>
        <w:t>и</w:t>
      </w:r>
      <w:r>
        <w:t xml:space="preserve"> маркировочные знаки </w:t>
      </w:r>
      <w:r w:rsidRPr="00C94A38">
        <w:rPr>
          <w:strike/>
        </w:rPr>
        <w:t>для веществ при повышенной температуре и веществ, опасных для окружающей среды</w:t>
      </w:r>
      <w:r>
        <w:t xml:space="preserve">, </w:t>
      </w:r>
      <w:r w:rsidRPr="00B01BE4">
        <w:rPr>
          <w:u w:val="single"/>
        </w:rPr>
        <w:t>а также сортировочные этикетки</w:t>
      </w:r>
      <w:r>
        <w:t xml:space="preserve"> были размещены на цистернах, вагонах и </w:t>
      </w:r>
      <w:r w:rsidRPr="00430A01">
        <w:rPr>
          <w:strike/>
        </w:rPr>
        <w:t>больших и малых</w:t>
      </w:r>
      <w:r>
        <w:t xml:space="preserve"> контейнерах в соответствии с </w:t>
      </w:r>
      <w:r w:rsidRPr="00B01BE4">
        <w:rPr>
          <w:strike/>
        </w:rPr>
        <w:t>требованиями</w:t>
      </w:r>
      <w:r>
        <w:t xml:space="preserve"> </w:t>
      </w:r>
      <w:r w:rsidRPr="00B01BE4">
        <w:rPr>
          <w:u w:val="single"/>
        </w:rPr>
        <w:t>главой</w:t>
      </w:r>
      <w:r w:rsidR="00B01BE4">
        <w:rPr>
          <w:u w:val="single"/>
        </w:rPr>
        <w:t> </w:t>
      </w:r>
      <w:r w:rsidRPr="00B01BE4">
        <w:rPr>
          <w:u w:val="single"/>
        </w:rPr>
        <w:t>5.3</w:t>
      </w:r>
      <w:r>
        <w:t>.</w:t>
      </w:r>
    </w:p>
    <w:p w:rsidR="00B75F21" w:rsidRDefault="00B75F21" w:rsidP="00B75F21">
      <w:pPr>
        <w:pStyle w:val="SingleTxt"/>
      </w:pPr>
      <w:r>
        <w:t>1.4.3.3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h)</w:t>
      </w:r>
      <w:r>
        <w:tab/>
        <w:t xml:space="preserve">при подготовке опасных грузов для перевозки он должен обеспечить, чтобы </w:t>
      </w:r>
      <w:r w:rsidRPr="0014057A">
        <w:rPr>
          <w:strike/>
        </w:rPr>
        <w:t>предписанные таблички оранжевого цвета, знаки опасности или</w:t>
      </w:r>
      <w:r>
        <w:t xml:space="preserve"> информационные табло</w:t>
      </w:r>
      <w:r w:rsidRPr="0014057A">
        <w:rPr>
          <w:strike/>
        </w:rPr>
        <w:t>, а также</w:t>
      </w:r>
      <w:r>
        <w:t xml:space="preserve"> </w:t>
      </w:r>
      <w:r w:rsidRPr="0014057A">
        <w:rPr>
          <w:u w:val="single"/>
        </w:rPr>
        <w:t>и</w:t>
      </w:r>
      <w:r>
        <w:t xml:space="preserve"> маркировочные знаки </w:t>
      </w:r>
      <w:r w:rsidRPr="005F561B">
        <w:rPr>
          <w:strike/>
        </w:rPr>
        <w:t xml:space="preserve">для веществ при повышенной температуре </w:t>
      </w:r>
      <w:r w:rsidRPr="0014057A">
        <w:rPr>
          <w:strike/>
        </w:rPr>
        <w:t>и веществ, опасных для окружающей среды,</w:t>
      </w:r>
      <w:r>
        <w:t xml:space="preserve"> были размещены на цистернах, транспортных средствах и </w:t>
      </w:r>
      <w:r w:rsidRPr="0014057A">
        <w:rPr>
          <w:strike/>
        </w:rPr>
        <w:t>больших и малых</w:t>
      </w:r>
      <w:r>
        <w:t xml:space="preserve"> контейнерах для массовых грузов в соответствии с </w:t>
      </w:r>
      <w:r w:rsidRPr="0014057A">
        <w:rPr>
          <w:strike/>
        </w:rPr>
        <w:t>требованиями</w:t>
      </w:r>
      <w:r>
        <w:t xml:space="preserve"> </w:t>
      </w:r>
      <w:r w:rsidRPr="0014057A">
        <w:rPr>
          <w:u w:val="single"/>
        </w:rPr>
        <w:t>главой 5.3</w:t>
      </w:r>
      <w:r>
        <w:t>.</w:t>
      </w:r>
    </w:p>
    <w:p w:rsidR="00B75F21" w:rsidRDefault="00B75F21" w:rsidP="00B75F21">
      <w:pPr>
        <w:pStyle w:val="SingleTxt"/>
      </w:pPr>
      <w:r>
        <w:t>12.</w:t>
      </w:r>
      <w:r>
        <w:tab/>
        <w:t>Включить подчеркнутый текст в пункт 1.4.3.7.1 f) и исключить из этого пункта зачеркнутый текст.</w:t>
      </w:r>
    </w:p>
    <w:p w:rsidR="00B75F21" w:rsidRDefault="00B75F21" w:rsidP="00B75F21">
      <w:pPr>
        <w:pStyle w:val="SingleTxt"/>
      </w:pPr>
      <w:r>
        <w:t>1.4.3.7.1 (МПОГ)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f)</w:t>
      </w:r>
      <w:r>
        <w:tab/>
        <w:t xml:space="preserve">обеспечить, чтобы после полной разгрузки, очистки и обеззараживания вагонов и контейнеров на них более не были размещены информационные табло и </w:t>
      </w:r>
      <w:r w:rsidRPr="004F1173">
        <w:rPr>
          <w:strike/>
        </w:rPr>
        <w:t>таблички оранжевого цвета</w:t>
      </w:r>
      <w:r>
        <w:t xml:space="preserve"> </w:t>
      </w:r>
      <w:r w:rsidRPr="004F1173">
        <w:rPr>
          <w:u w:val="single"/>
        </w:rPr>
        <w:t>маркировочные знаки, которые были размещены на них в соответствии с главой 5.3</w:t>
      </w:r>
      <w:r>
        <w:t>.</w:t>
      </w:r>
    </w:p>
    <w:p w:rsidR="00B75F21" w:rsidRDefault="00B75F21" w:rsidP="00B75F21">
      <w:pPr>
        <w:pStyle w:val="SingleTxt"/>
      </w:pPr>
      <w:r>
        <w:t>1.4.3.7.1 (ДОПОГ)</w:t>
      </w:r>
    </w:p>
    <w:p w:rsidR="00B75F21" w:rsidRDefault="00B75F21" w:rsidP="009764BF">
      <w:pPr>
        <w:pStyle w:val="SingleTxt"/>
        <w:tabs>
          <w:tab w:val="clear" w:pos="2693"/>
        </w:tabs>
        <w:ind w:left="2837" w:right="1138" w:hanging="432"/>
      </w:pPr>
      <w:r>
        <w:t>f)</w:t>
      </w:r>
      <w:r>
        <w:tab/>
        <w:t>обеспечить, чтобы после полной разгрузки, очистки и обеззараживания контейнеров на них более не были размещены маркировочные знаки</w:t>
      </w:r>
      <w:r w:rsidRPr="00837997">
        <w:rPr>
          <w:u w:val="single"/>
        </w:rPr>
        <w:t>, информационные табло и таблички оранжевого цвета, которые были размещены на них</w:t>
      </w:r>
      <w:r>
        <w:t xml:space="preserve"> в соответствии с главой</w:t>
      </w:r>
      <w:r w:rsidR="00B86FB1">
        <w:t> </w:t>
      </w:r>
      <w:r>
        <w:t>5.3.</w:t>
      </w:r>
    </w:p>
    <w:p w:rsidR="001A5F17" w:rsidRPr="001A5F17" w:rsidRDefault="001A5F17" w:rsidP="001A5F17">
      <w:pPr>
        <w:pStyle w:val="SingleTxt"/>
        <w:spacing w:after="0" w:line="120" w:lineRule="exact"/>
        <w:rPr>
          <w:sz w:val="10"/>
        </w:rPr>
      </w:pPr>
    </w:p>
    <w:p w:rsidR="001A5F17" w:rsidRPr="001A5F17" w:rsidRDefault="001A5F17" w:rsidP="001A5F17">
      <w:pPr>
        <w:pStyle w:val="SingleTxt"/>
        <w:spacing w:after="0" w:line="120" w:lineRule="exact"/>
        <w:rPr>
          <w:sz w:val="10"/>
        </w:rPr>
      </w:pPr>
    </w:p>
    <w:p w:rsidR="00B75F21" w:rsidRDefault="00B75F21" w:rsidP="001A5F1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Обоснование</w:t>
      </w:r>
    </w:p>
    <w:p w:rsidR="001A5F17" w:rsidRPr="001A5F17" w:rsidRDefault="001A5F17" w:rsidP="001A5F17">
      <w:pPr>
        <w:pStyle w:val="SingleTxt"/>
        <w:spacing w:after="0" w:line="120" w:lineRule="exact"/>
        <w:rPr>
          <w:sz w:val="10"/>
        </w:rPr>
      </w:pPr>
    </w:p>
    <w:p w:rsidR="001A5F17" w:rsidRPr="001A5F17" w:rsidRDefault="001A5F17" w:rsidP="001A5F17">
      <w:pPr>
        <w:pStyle w:val="SingleTxt"/>
        <w:spacing w:after="0" w:line="120" w:lineRule="exact"/>
        <w:rPr>
          <w:sz w:val="10"/>
        </w:rPr>
      </w:pPr>
    </w:p>
    <w:p w:rsidR="00B75F21" w:rsidRDefault="00B75F21" w:rsidP="00B75F21">
      <w:pPr>
        <w:pStyle w:val="SingleTxt"/>
      </w:pPr>
      <w:r>
        <w:t>13.</w:t>
      </w:r>
      <w:r>
        <w:tab/>
        <w:t xml:space="preserve">Нынешнее использование термина </w:t>
      </w:r>
      <w:r w:rsidR="0077506E">
        <w:t>«</w:t>
      </w:r>
      <w:r>
        <w:t>указывающая на опасность маркировка</w:t>
      </w:r>
      <w:r w:rsidR="0077506E">
        <w:t>»</w:t>
      </w:r>
      <w:r>
        <w:t xml:space="preserve"> вносит путаницу, так как этот термин не определен в ДОПОГ. В главе 5.3 рассматриваются требования к размещению информационных табло и маркировочных знаков на цистернах, контейнерах и транспортных средствах и содержатся характерные подробности, касающиеся </w:t>
      </w:r>
      <w:r w:rsidR="0077506E">
        <w:t>«</w:t>
      </w:r>
      <w:r>
        <w:t>маркировки в виде табличек оранжевого цвета</w:t>
      </w:r>
      <w:r w:rsidR="0077506E">
        <w:t>»</w:t>
      </w:r>
      <w:r>
        <w:t xml:space="preserve">, </w:t>
      </w:r>
      <w:r w:rsidR="0077506E">
        <w:t>«</w:t>
      </w:r>
      <w:r>
        <w:t>маркировочного знака для веществ, перевозимых при повышенной температуре</w:t>
      </w:r>
      <w:r w:rsidR="0077506E">
        <w:t>»</w:t>
      </w:r>
      <w:r>
        <w:t xml:space="preserve"> и </w:t>
      </w:r>
      <w:r w:rsidR="0077506E">
        <w:t>«</w:t>
      </w:r>
      <w:r>
        <w:t>маркировочного знака вещества, опасного для окружающей среды</w:t>
      </w:r>
      <w:r w:rsidR="0077506E">
        <w:t>»</w:t>
      </w:r>
      <w:r>
        <w:t>.</w:t>
      </w:r>
    </w:p>
    <w:p w:rsidR="00B75F21" w:rsidRDefault="00B75F21" w:rsidP="00B75F21">
      <w:pPr>
        <w:pStyle w:val="SingleTxt"/>
      </w:pPr>
      <w:r>
        <w:t>14.</w:t>
      </w:r>
      <w:r>
        <w:tab/>
        <w:t>Ссылка на требования, содержащиеся в главе 5.3, в конце пункта 1.4.2.2.1 f) ДОПОГ будет способствовать обеспечению ясности в отношении того, где именно изложены обязанности перевозчика в данном случае. Это также обеспечит согласованность с пунктами 1.4.3.1.1 d) и 1.4.3.7.1 f) ДОПОГ. Предлагаемые изменения к пунктам 1.4.2.1.1 e) и 1.4.3.3 h) ДОПОГ позволят добиться определенности во всем тексте главы 1.4 в отношении требований, предъявляемых к размещению информационных табло и маркировочных знаков.</w:t>
      </w:r>
    </w:p>
    <w:p w:rsidR="00B75F21" w:rsidRDefault="00B75F21" w:rsidP="00B75F21">
      <w:pPr>
        <w:pStyle w:val="SingleTxt"/>
      </w:pPr>
      <w:r>
        <w:t>15.</w:t>
      </w:r>
      <w:r>
        <w:tab/>
        <w:t>Воспроизведение в МПОГ тех изменений, которые внесены в ДОПОГ, позволит, к тому же, придать этим двум текстам взаимосвязанный характер и внести  больше ясности в требования, содержащиеся в главе 1.4. Предлагаемые изменения позволят также сохранить необходимые различия между этими двумя видами транспорта.</w:t>
      </w:r>
    </w:p>
    <w:p w:rsidR="00AC3D11" w:rsidRDefault="00B75F21" w:rsidP="00B75F21">
      <w:pPr>
        <w:pStyle w:val="SingleTxt"/>
      </w:pPr>
      <w:r>
        <w:t>16.</w:t>
      </w:r>
      <w:r>
        <w:tab/>
        <w:t>Данные поправки будут способствовать применимости МПОГ и ДОПОГ путем уточнения обязанностей в отношении размещения информационных табло и маркировочных знаков на контейнерах, вагонах, транспортных средствах и цистернах, а также того, где именно изложены соответствующие требования.</w:t>
      </w:r>
    </w:p>
    <w:p w:rsidR="00EA1E0B" w:rsidRPr="00EA1E0B" w:rsidRDefault="00E61577" w:rsidP="00EA1E0B">
      <w:pPr>
        <w:pStyle w:val="SingleTxt"/>
        <w:spacing w:after="0" w:line="240" w:lineRule="auto"/>
      </w:pPr>
      <w:r w:rsidRPr="00E61577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EA1E0B" w:rsidRPr="00EA1E0B" w:rsidSect="00AC3D1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C7" w:rsidRDefault="00173CC7" w:rsidP="008A1A7A">
      <w:pPr>
        <w:spacing w:line="240" w:lineRule="auto"/>
      </w:pPr>
      <w:r>
        <w:separator/>
      </w:r>
    </w:p>
  </w:endnote>
  <w:endnote w:type="continuationSeparator" w:id="0">
    <w:p w:rsidR="00173CC7" w:rsidRDefault="00173CC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C3D11" w:rsidTr="00AC3D1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Pieddepage"/>
            <w:rPr>
              <w:color w:val="000000"/>
            </w:rPr>
          </w:pPr>
          <w:r>
            <w:fldChar w:fldCharType="begin"/>
          </w:r>
          <w:r w:rsidR="00AC3D11">
            <w:instrText xml:space="preserve"> PAGE  \* Arabic  \* MERGEFORMAT </w:instrText>
          </w:r>
          <w:r>
            <w:fldChar w:fldCharType="separate"/>
          </w:r>
          <w:r w:rsidR="00701781">
            <w:rPr>
              <w:noProof/>
            </w:rPr>
            <w:t>2</w:t>
          </w:r>
          <w:r>
            <w:fldChar w:fldCharType="end"/>
          </w:r>
          <w:r w:rsidR="00AC3D11">
            <w:t>/</w:t>
          </w:r>
          <w:fldSimple w:instr=" NUMPAGES  \* Arabic  \* MERGEFORMAT ">
            <w:r w:rsidR="00701781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C3D11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48DB">
            <w:rPr>
              <w:b w:val="0"/>
              <w:color w:val="000000"/>
              <w:sz w:val="14"/>
            </w:rPr>
            <w:t>GE. 15-10381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3D11" w:rsidRPr="00AC3D11" w:rsidRDefault="00AC3D11" w:rsidP="00AC3D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C3D11" w:rsidTr="00AC3D1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C3D11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48DB">
            <w:rPr>
              <w:b w:val="0"/>
              <w:color w:val="000000"/>
              <w:sz w:val="14"/>
            </w:rPr>
            <w:t xml:space="preserve">GE. </w:t>
          </w:r>
          <w:r w:rsidR="00CC48DB">
            <w:rPr>
              <w:b w:val="0"/>
              <w:color w:val="000000"/>
              <w:sz w:val="14"/>
            </w:rPr>
            <w:t>15-10381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Pieddepage"/>
            <w:jc w:val="right"/>
          </w:pPr>
          <w:r>
            <w:fldChar w:fldCharType="begin"/>
          </w:r>
          <w:r w:rsidR="00AC3D11">
            <w:instrText xml:space="preserve"> PAGE  \* Arabic  \* MERGEFORMAT </w:instrText>
          </w:r>
          <w:r>
            <w:fldChar w:fldCharType="separate"/>
          </w:r>
          <w:r w:rsidR="00701781">
            <w:rPr>
              <w:noProof/>
            </w:rPr>
            <w:t>5</w:t>
          </w:r>
          <w:r>
            <w:fldChar w:fldCharType="end"/>
          </w:r>
          <w:r w:rsidR="00AC3D11">
            <w:t>/</w:t>
          </w:r>
          <w:fldSimple w:instr=" NUMPAGES  \* Arabic  \* MERGEFORMAT ">
            <w:r w:rsidR="00701781">
              <w:rPr>
                <w:noProof/>
              </w:rPr>
              <w:t>5</w:t>
            </w:r>
          </w:fldSimple>
        </w:p>
      </w:tc>
    </w:tr>
  </w:tbl>
  <w:p w:rsidR="00AC3D11" w:rsidRPr="00AC3D11" w:rsidRDefault="00AC3D11" w:rsidP="00AC3D1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AC3D11" w:rsidTr="00AC3D11">
      <w:tc>
        <w:tcPr>
          <w:tcW w:w="3873" w:type="dxa"/>
        </w:tcPr>
        <w:p w:rsidR="00AC3D11" w:rsidRDefault="00AC3D11" w:rsidP="00AC3D11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ECE/TRANS/WP.15/AC.1/2015/3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GE.15-10381 (R)</w:t>
          </w:r>
          <w:r>
            <w:rPr>
              <w:color w:val="010000"/>
            </w:rPr>
            <w:t xml:space="preserve">    130715    130715</w:t>
          </w:r>
        </w:p>
        <w:p w:rsidR="00AC3D11" w:rsidRPr="00AC3D11" w:rsidRDefault="00AC3D11" w:rsidP="00AC3D1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*1510381*</w:t>
          </w:r>
        </w:p>
      </w:tc>
      <w:tc>
        <w:tcPr>
          <w:tcW w:w="5127" w:type="dxa"/>
        </w:tcPr>
        <w:p w:rsidR="00AC3D11" w:rsidRDefault="00AC3D11" w:rsidP="00AC3D11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3D11" w:rsidRPr="00AC3D11" w:rsidRDefault="00AC3D11" w:rsidP="00AC3D11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C7" w:rsidRPr="00F143C1" w:rsidRDefault="00F143C1" w:rsidP="00F143C1">
      <w:pPr>
        <w:pStyle w:val="Pieddepage"/>
        <w:spacing w:after="80"/>
        <w:ind w:left="792"/>
        <w:rPr>
          <w:sz w:val="16"/>
        </w:rPr>
      </w:pPr>
      <w:r w:rsidRPr="00F143C1">
        <w:rPr>
          <w:sz w:val="16"/>
        </w:rPr>
        <w:t>__________________</w:t>
      </w:r>
    </w:p>
  </w:footnote>
  <w:footnote w:type="continuationSeparator" w:id="0">
    <w:p w:rsidR="00173CC7" w:rsidRPr="00F143C1" w:rsidRDefault="00F143C1" w:rsidP="00F143C1">
      <w:pPr>
        <w:pStyle w:val="Pieddepage"/>
        <w:spacing w:after="80"/>
        <w:ind w:left="792"/>
        <w:rPr>
          <w:sz w:val="16"/>
        </w:rPr>
      </w:pPr>
      <w:r w:rsidRPr="00F143C1">
        <w:rPr>
          <w:sz w:val="16"/>
        </w:rPr>
        <w:t>__________________</w:t>
      </w:r>
    </w:p>
  </w:footnote>
  <w:footnote w:type="continuationNotice" w:id="1">
    <w:p w:rsidR="00D71663" w:rsidRPr="00D71663" w:rsidRDefault="00D71663" w:rsidP="00D71663">
      <w:pPr>
        <w:pStyle w:val="Pieddepage"/>
      </w:pPr>
    </w:p>
  </w:footnote>
  <w:footnote w:id="2">
    <w:p w:rsidR="00D71663" w:rsidRPr="00F143C1" w:rsidRDefault="00D71663" w:rsidP="00F143C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F143C1">
        <w:tab/>
      </w:r>
      <w:bookmarkStart w:id="1" w:name="lt_pId137"/>
      <w:r w:rsidR="00F143C1" w:rsidRPr="00F143C1">
        <w:t xml:space="preserve">В соответствии с программой работы Комитета по внутреннему транспорту на </w:t>
      </w:r>
      <w:r w:rsidR="00F143C1">
        <w:br/>
      </w:r>
      <w:r w:rsidR="00F143C1" w:rsidRPr="00F143C1">
        <w:t>2014–2015 годы (ECE/TRANS/240, пункт 100; ECE/TRANS/20</w:t>
      </w:r>
      <w:r w:rsidR="00F143C1">
        <w:t>14/23, направление деятельности </w:t>
      </w:r>
      <w:r w:rsidR="00F143C1" w:rsidRPr="00F143C1">
        <w:t>9, пункт 9.2).</w:t>
      </w:r>
      <w:bookmarkEnd w:id="1"/>
    </w:p>
  </w:footnote>
  <w:footnote w:id="3">
    <w:p w:rsidR="00D71663" w:rsidRDefault="00D71663" w:rsidP="00F143C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</w:r>
      <w:bookmarkStart w:id="2" w:name="lt_pId140"/>
      <w:r w:rsidR="00F143C1" w:rsidRPr="00F143C1">
        <w:t>Распространен Межправительственной организацией по международным железнодорожным перевозкам (ОТИФ) в качестве документа OTIF/RID/RC/2015/32.</w:t>
      </w:r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C3D11" w:rsidTr="00AC3D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 w:rsidR="00AC3D11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48DB">
            <w:rPr>
              <w:b/>
            </w:rPr>
            <w:t>ECE/TRANS/WP.15/AC.1/2015/32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3D11" w:rsidRDefault="00AC3D11" w:rsidP="00AC3D11">
          <w:pPr>
            <w:pStyle w:val="En-tte"/>
          </w:pPr>
        </w:p>
      </w:tc>
    </w:tr>
  </w:tbl>
  <w:p w:rsidR="00AC3D11" w:rsidRPr="00AC3D11" w:rsidRDefault="00AC3D11" w:rsidP="00AC3D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C3D11" w:rsidTr="00AC3D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D11" w:rsidRDefault="00AC3D11" w:rsidP="00AC3D11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AC3D11" w:rsidRPr="00AC3D11" w:rsidRDefault="00E61577" w:rsidP="00AC3D11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AC3D11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48DB">
            <w:rPr>
              <w:b/>
            </w:rPr>
            <w:t>ECE/TRANS/WP.15/AC.1/2015/32</w:t>
          </w:r>
          <w:r>
            <w:rPr>
              <w:b/>
            </w:rPr>
            <w:fldChar w:fldCharType="end"/>
          </w:r>
        </w:p>
      </w:tc>
    </w:tr>
  </w:tbl>
  <w:p w:rsidR="00AC3D11" w:rsidRPr="00AC3D11" w:rsidRDefault="00AC3D11" w:rsidP="00AC3D1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AC3D11" w:rsidTr="00AC3D1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3D11" w:rsidRPr="00AC3D11" w:rsidRDefault="00AC3D11" w:rsidP="00AC3D1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3D11" w:rsidRDefault="00AC3D11" w:rsidP="00AC3D11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3D11" w:rsidRPr="00AC3D11" w:rsidRDefault="00AC3D11" w:rsidP="00AC3D11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/TRANS/WP.15/AC.1/2015/32</w:t>
          </w:r>
        </w:p>
      </w:tc>
    </w:tr>
    <w:tr w:rsidR="00AC3D11" w:rsidRPr="00356D2C" w:rsidTr="00AC3D1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D11" w:rsidRPr="00AC3D11" w:rsidRDefault="00AC3D11" w:rsidP="00AC3D11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D11" w:rsidRPr="00AC3D11" w:rsidRDefault="00AC3D11" w:rsidP="00AC3D1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D11" w:rsidRPr="00AC3D11" w:rsidRDefault="00AC3D11" w:rsidP="00AC3D11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D11" w:rsidRPr="00B75F21" w:rsidRDefault="00AC3D11" w:rsidP="00AC3D11">
          <w:pPr>
            <w:pStyle w:val="Distribution"/>
            <w:rPr>
              <w:color w:val="000000"/>
              <w:lang w:val="en-US"/>
            </w:rPr>
          </w:pPr>
          <w:r w:rsidRPr="00B75F21">
            <w:rPr>
              <w:color w:val="000000"/>
              <w:lang w:val="en-US"/>
            </w:rPr>
            <w:t>Distr.: General</w:t>
          </w:r>
        </w:p>
        <w:p w:rsidR="00AC3D11" w:rsidRPr="00B75F21" w:rsidRDefault="00AC3D11" w:rsidP="00AC3D11">
          <w:pPr>
            <w:pStyle w:val="Publication"/>
            <w:rPr>
              <w:color w:val="000000"/>
              <w:lang w:val="en-US"/>
            </w:rPr>
          </w:pPr>
          <w:r w:rsidRPr="00B75F21">
            <w:rPr>
              <w:color w:val="000000"/>
              <w:lang w:val="en-US"/>
            </w:rPr>
            <w:t>24 June 2015</w:t>
          </w:r>
        </w:p>
        <w:p w:rsidR="00AC3D11" w:rsidRPr="00B75F21" w:rsidRDefault="00AC3D11" w:rsidP="00AC3D11">
          <w:pPr>
            <w:rPr>
              <w:color w:val="000000"/>
              <w:lang w:val="en-US"/>
            </w:rPr>
          </w:pPr>
          <w:r w:rsidRPr="00B75F21">
            <w:rPr>
              <w:color w:val="000000"/>
              <w:lang w:val="en-US"/>
            </w:rPr>
            <w:t>Russian</w:t>
          </w:r>
        </w:p>
        <w:p w:rsidR="00AC3D11" w:rsidRPr="00B75F21" w:rsidRDefault="00AC3D11" w:rsidP="00AC3D11">
          <w:pPr>
            <w:pStyle w:val="Original"/>
            <w:rPr>
              <w:color w:val="000000"/>
              <w:lang w:val="en-US"/>
            </w:rPr>
          </w:pPr>
          <w:r w:rsidRPr="00B75F21">
            <w:rPr>
              <w:color w:val="000000"/>
              <w:lang w:val="en-US"/>
            </w:rPr>
            <w:t>Original: English</w:t>
          </w:r>
        </w:p>
        <w:p w:rsidR="00AC3D11" w:rsidRPr="00B75F21" w:rsidRDefault="00AC3D11" w:rsidP="00AC3D11">
          <w:pPr>
            <w:rPr>
              <w:lang w:val="en-US"/>
            </w:rPr>
          </w:pPr>
        </w:p>
      </w:tc>
    </w:tr>
  </w:tbl>
  <w:p w:rsidR="00AC3D11" w:rsidRPr="00B75F21" w:rsidRDefault="00AC3D11" w:rsidP="00AC3D11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381*"/>
    <w:docVar w:name="CreationDt" w:val="7/13/2015 4:18: PM"/>
    <w:docVar w:name="DocCategory" w:val="Doc"/>
    <w:docVar w:name="DocType" w:val="Final"/>
    <w:docVar w:name="DutyStation" w:val="Geneva"/>
    <w:docVar w:name="FooterJN" w:val="GE. 15-10381"/>
    <w:docVar w:name="jobn" w:val="GE. 15-10381 (R)"/>
    <w:docVar w:name="jobnDT" w:val="GE. 15-10381 (R)   130715"/>
    <w:docVar w:name="jobnDTDT" w:val="GE. 15-10381 (R)   130715   130715"/>
    <w:docVar w:name="JobNo" w:val="GE. 1510381R"/>
    <w:docVar w:name="JobNo2" w:val="1513269R"/>
    <w:docVar w:name="LocalDrive" w:val="0"/>
    <w:docVar w:name="OandT" w:val=" "/>
    <w:docVar w:name="PaperSize" w:val="A4"/>
    <w:docVar w:name="sss1" w:val="ECE/TRANS/WP.15/AC.1/2015/32"/>
    <w:docVar w:name="sss2" w:val="-"/>
    <w:docVar w:name="Symbol1" w:val="ECE/TRANS/WP.15/AC.1/2015/32"/>
    <w:docVar w:name="Symbol2" w:val="-"/>
  </w:docVars>
  <w:rsids>
    <w:rsidRoot w:val="00173CC7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839B5"/>
    <w:rsid w:val="00092464"/>
    <w:rsid w:val="000A0698"/>
    <w:rsid w:val="000A111E"/>
    <w:rsid w:val="000A4A11"/>
    <w:rsid w:val="000B742D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057A"/>
    <w:rsid w:val="001444A3"/>
    <w:rsid w:val="00147C44"/>
    <w:rsid w:val="00153645"/>
    <w:rsid w:val="00153E8C"/>
    <w:rsid w:val="00160648"/>
    <w:rsid w:val="00161F29"/>
    <w:rsid w:val="00162E88"/>
    <w:rsid w:val="001726A4"/>
    <w:rsid w:val="00173CC7"/>
    <w:rsid w:val="00175AC4"/>
    <w:rsid w:val="00177361"/>
    <w:rsid w:val="001802BD"/>
    <w:rsid w:val="00193822"/>
    <w:rsid w:val="0019704E"/>
    <w:rsid w:val="001A39EE"/>
    <w:rsid w:val="001A4338"/>
    <w:rsid w:val="001A5F17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35633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7260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4C0C"/>
    <w:rsid w:val="00326F5F"/>
    <w:rsid w:val="00332D90"/>
    <w:rsid w:val="00333B06"/>
    <w:rsid w:val="00337D91"/>
    <w:rsid w:val="00346BFB"/>
    <w:rsid w:val="00350756"/>
    <w:rsid w:val="003542EE"/>
    <w:rsid w:val="00356D2C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B68D1"/>
    <w:rsid w:val="003B7DC9"/>
    <w:rsid w:val="003C12AC"/>
    <w:rsid w:val="003C2842"/>
    <w:rsid w:val="003D0825"/>
    <w:rsid w:val="003D2003"/>
    <w:rsid w:val="003D5DA2"/>
    <w:rsid w:val="003E5193"/>
    <w:rsid w:val="00402244"/>
    <w:rsid w:val="00427FE5"/>
    <w:rsid w:val="00430A01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1173"/>
    <w:rsid w:val="004F36FB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27A6E"/>
    <w:rsid w:val="00533411"/>
    <w:rsid w:val="005427EA"/>
    <w:rsid w:val="00545562"/>
    <w:rsid w:val="0054563F"/>
    <w:rsid w:val="005469E1"/>
    <w:rsid w:val="00552E08"/>
    <w:rsid w:val="00555153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0FB0"/>
    <w:rsid w:val="005E3D0D"/>
    <w:rsid w:val="005E7DCF"/>
    <w:rsid w:val="005F561B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3086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1781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506E"/>
    <w:rsid w:val="007766E6"/>
    <w:rsid w:val="007769BA"/>
    <w:rsid w:val="00781ACA"/>
    <w:rsid w:val="00785F8F"/>
    <w:rsid w:val="00787B44"/>
    <w:rsid w:val="00791295"/>
    <w:rsid w:val="00791951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5B9C"/>
    <w:rsid w:val="00806380"/>
    <w:rsid w:val="00821CE2"/>
    <w:rsid w:val="00830FF8"/>
    <w:rsid w:val="00833A04"/>
    <w:rsid w:val="00833B8D"/>
    <w:rsid w:val="00837997"/>
    <w:rsid w:val="00843750"/>
    <w:rsid w:val="00844407"/>
    <w:rsid w:val="00853E2A"/>
    <w:rsid w:val="008541E9"/>
    <w:rsid w:val="008568DE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580C"/>
    <w:rsid w:val="0095649D"/>
    <w:rsid w:val="00961A7F"/>
    <w:rsid w:val="00963BDB"/>
    <w:rsid w:val="00970332"/>
    <w:rsid w:val="009764BF"/>
    <w:rsid w:val="00984EE4"/>
    <w:rsid w:val="0099025A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1C0"/>
    <w:rsid w:val="00A96C80"/>
    <w:rsid w:val="00AA0ABF"/>
    <w:rsid w:val="00AA27C2"/>
    <w:rsid w:val="00AB49FD"/>
    <w:rsid w:val="00AC20DF"/>
    <w:rsid w:val="00AC271B"/>
    <w:rsid w:val="00AC3D11"/>
    <w:rsid w:val="00AD12DB"/>
    <w:rsid w:val="00AD6322"/>
    <w:rsid w:val="00AD6752"/>
    <w:rsid w:val="00AD78B1"/>
    <w:rsid w:val="00AF0B91"/>
    <w:rsid w:val="00AF12F5"/>
    <w:rsid w:val="00AF1A65"/>
    <w:rsid w:val="00AF1E64"/>
    <w:rsid w:val="00AF3B70"/>
    <w:rsid w:val="00B01BE4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5F21"/>
    <w:rsid w:val="00B77560"/>
    <w:rsid w:val="00B77FC0"/>
    <w:rsid w:val="00B86FB1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2C61"/>
    <w:rsid w:val="00C45A45"/>
    <w:rsid w:val="00C50728"/>
    <w:rsid w:val="00C50845"/>
    <w:rsid w:val="00C53EF2"/>
    <w:rsid w:val="00C56B0F"/>
    <w:rsid w:val="00C56B53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4A38"/>
    <w:rsid w:val="00C96443"/>
    <w:rsid w:val="00CA2CF3"/>
    <w:rsid w:val="00CB519E"/>
    <w:rsid w:val="00CC48DB"/>
    <w:rsid w:val="00CC5B37"/>
    <w:rsid w:val="00CD2ED3"/>
    <w:rsid w:val="00CD3C62"/>
    <w:rsid w:val="00CE4211"/>
    <w:rsid w:val="00CE47C2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1663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577"/>
    <w:rsid w:val="00E616D0"/>
    <w:rsid w:val="00E62CCE"/>
    <w:rsid w:val="00E64F51"/>
    <w:rsid w:val="00E65C07"/>
    <w:rsid w:val="00E8225E"/>
    <w:rsid w:val="00E83FBA"/>
    <w:rsid w:val="00E90547"/>
    <w:rsid w:val="00E970B0"/>
    <w:rsid w:val="00EA1656"/>
    <w:rsid w:val="00EA1819"/>
    <w:rsid w:val="00EA1E0B"/>
    <w:rsid w:val="00EA255B"/>
    <w:rsid w:val="00EB646E"/>
    <w:rsid w:val="00EC34C1"/>
    <w:rsid w:val="00EC6F5D"/>
    <w:rsid w:val="00EC7A61"/>
    <w:rsid w:val="00ED1C96"/>
    <w:rsid w:val="00EE3586"/>
    <w:rsid w:val="00EE60C6"/>
    <w:rsid w:val="00EE7954"/>
    <w:rsid w:val="00EF1FBD"/>
    <w:rsid w:val="00F07943"/>
    <w:rsid w:val="00F07DDF"/>
    <w:rsid w:val="00F143C1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2CEC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AC3D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D1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3D1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D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D1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8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C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1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1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8A0E-10CE-4303-9D20-A7541CAA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Maison</cp:lastModifiedBy>
  <cp:revision>2</cp:revision>
  <cp:lastPrinted>2015-08-03T07:55:00Z</cp:lastPrinted>
  <dcterms:created xsi:type="dcterms:W3CDTF">2015-08-11T08:52:00Z</dcterms:created>
  <dcterms:modified xsi:type="dcterms:W3CDTF">2015-08-11T08:52:00Z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1510381R</vt:lpwstr>
  </property>
  <property fmtid="{D5CDD505-2E9C-101B-9397-08002B2CF9AE}" pid="3" name="ODSRefJobNo">
    <vt:lpwstr>1513269R</vt:lpwstr>
  </property>
  <property fmtid="{D5CDD505-2E9C-101B-9397-08002B2CF9AE}" pid="4" name="Symbol1">
    <vt:lpwstr>ECE/TRANS/WP.15/AC.1/2015/32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June 2015</vt:lpwstr>
  </property>
  <property fmtid="{D5CDD505-2E9C-101B-9397-08002B2CF9AE}" pid="12" name="Original">
    <vt:lpwstr>English</vt:lpwstr>
  </property>
  <property fmtid="{D5CDD505-2E9C-101B-9397-08002B2CF9AE}" pid="13" name="Release Date">
    <vt:lpwstr>130715</vt:lpwstr>
  </property>
</Properties>
</file>