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83" w:rsidRPr="00C07EC8" w:rsidRDefault="00C96DF2" w:rsidP="00C96DF2">
      <w:pPr>
        <w:spacing w:before="120"/>
        <w:rPr>
          <w:b/>
          <w:sz w:val="28"/>
          <w:szCs w:val="28"/>
        </w:rPr>
      </w:pPr>
      <w:r w:rsidRPr="00C07EC8">
        <w:rPr>
          <w:b/>
          <w:sz w:val="28"/>
          <w:szCs w:val="28"/>
        </w:rPr>
        <w:t>Economic Commission for Europe</w:t>
      </w:r>
    </w:p>
    <w:p w:rsidR="00C96DF2" w:rsidRPr="00C07EC8" w:rsidRDefault="008F31D2" w:rsidP="00C96DF2">
      <w:pPr>
        <w:spacing w:before="120"/>
        <w:rPr>
          <w:sz w:val="28"/>
          <w:szCs w:val="28"/>
        </w:rPr>
      </w:pPr>
      <w:r w:rsidRPr="00C07EC8">
        <w:rPr>
          <w:sz w:val="28"/>
          <w:szCs w:val="28"/>
        </w:rPr>
        <w:t>Inland Transport Committee</w:t>
      </w:r>
    </w:p>
    <w:p w:rsidR="008F31D2" w:rsidRPr="00C07EC8" w:rsidRDefault="008F31D2" w:rsidP="00C96DF2">
      <w:pPr>
        <w:spacing w:before="120"/>
        <w:rPr>
          <w:b/>
          <w:sz w:val="24"/>
          <w:szCs w:val="24"/>
        </w:rPr>
      </w:pPr>
      <w:r w:rsidRPr="00C07EC8">
        <w:rPr>
          <w:b/>
          <w:sz w:val="24"/>
          <w:szCs w:val="24"/>
        </w:rPr>
        <w:t>Working Party on the Transport of Dangerous Goods</w:t>
      </w:r>
    </w:p>
    <w:p w:rsidR="00C45755" w:rsidRPr="00C07EC8" w:rsidRDefault="00C45755" w:rsidP="00C45755">
      <w:pPr>
        <w:spacing w:before="120"/>
        <w:rPr>
          <w:b/>
        </w:rPr>
      </w:pPr>
      <w:r w:rsidRPr="00C07EC8">
        <w:rPr>
          <w:b/>
        </w:rPr>
        <w:t xml:space="preserve">Ninety-ninth </w:t>
      </w:r>
      <w:proofErr w:type="gramStart"/>
      <w:r w:rsidRPr="00C07EC8">
        <w:rPr>
          <w:b/>
        </w:rPr>
        <w:t>session</w:t>
      </w:r>
      <w:proofErr w:type="gramEnd"/>
    </w:p>
    <w:p w:rsidR="00C45755" w:rsidRPr="00C07EC8" w:rsidRDefault="00C45755" w:rsidP="00C45755">
      <w:r w:rsidRPr="00C07EC8">
        <w:t>Geneva, 9-13 November 2015</w:t>
      </w:r>
    </w:p>
    <w:p w:rsidR="00C45755" w:rsidRPr="00C07EC8" w:rsidRDefault="00C45755" w:rsidP="00C45755">
      <w:r w:rsidRPr="00C07EC8">
        <w:t>Item 1 of the provisional agenda</w:t>
      </w:r>
    </w:p>
    <w:p w:rsidR="00F0507C" w:rsidRPr="00C07EC8" w:rsidRDefault="00C45755" w:rsidP="00C45755">
      <w:pPr>
        <w:rPr>
          <w:b/>
        </w:rPr>
      </w:pPr>
      <w:r w:rsidRPr="00C07EC8">
        <w:rPr>
          <w:b/>
        </w:rPr>
        <w:t>Adoption of the agenda</w:t>
      </w:r>
    </w:p>
    <w:p w:rsidR="00F0507C" w:rsidRPr="00C07EC8" w:rsidRDefault="00F0507C" w:rsidP="00F0507C">
      <w:pPr>
        <w:pStyle w:val="HChG"/>
      </w:pPr>
      <w:r w:rsidRPr="00C07EC8">
        <w:tab/>
      </w:r>
      <w:r w:rsidRPr="00C07EC8">
        <w:tab/>
      </w:r>
      <w:r w:rsidR="00C45755" w:rsidRPr="00C07EC8">
        <w:t xml:space="preserve">Provisional agenda for the ninety-ninth session </w:t>
      </w:r>
    </w:p>
    <w:p w:rsidR="00F0507C" w:rsidRPr="00C07EC8" w:rsidRDefault="00F0507C" w:rsidP="00F0507C">
      <w:pPr>
        <w:pStyle w:val="H23G"/>
      </w:pPr>
      <w:r w:rsidRPr="00C07EC8">
        <w:tab/>
      </w:r>
      <w:r w:rsidRPr="00C07EC8">
        <w:tab/>
        <w:t>Addendum</w:t>
      </w:r>
    </w:p>
    <w:p w:rsidR="00F0507C" w:rsidRPr="00C07EC8" w:rsidRDefault="00F0507C" w:rsidP="00F0507C">
      <w:pPr>
        <w:pStyle w:val="H1G"/>
      </w:pPr>
      <w:r w:rsidRPr="00C07EC8">
        <w:tab/>
      </w:r>
      <w:r w:rsidRPr="00C07EC8">
        <w:tab/>
        <w:t>Annotations and list of documents</w:t>
      </w:r>
    </w:p>
    <w:p w:rsidR="00F0507C" w:rsidRPr="00C07EC8" w:rsidRDefault="00F0507C" w:rsidP="00F0507C">
      <w:pPr>
        <w:keepNext/>
        <w:keepLines/>
        <w:tabs>
          <w:tab w:val="right" w:pos="851"/>
        </w:tabs>
        <w:spacing w:before="360" w:after="240" w:line="300" w:lineRule="exact"/>
        <w:ind w:left="1134" w:right="1134" w:hanging="1134"/>
        <w:rPr>
          <w:b/>
          <w:sz w:val="28"/>
        </w:rPr>
      </w:pPr>
      <w:r w:rsidRPr="00C07EC8">
        <w:rPr>
          <w:b/>
          <w:sz w:val="28"/>
        </w:rPr>
        <w:tab/>
        <w:t>1.</w:t>
      </w:r>
      <w:r w:rsidRPr="00C07EC8">
        <w:rPr>
          <w:b/>
          <w:sz w:val="28"/>
        </w:rPr>
        <w:tab/>
        <w:t>Adoption of the agenda</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F0507C" w:rsidRPr="00C07EC8" w:rsidTr="0033430C">
        <w:trPr>
          <w:cantSplit/>
        </w:trPr>
        <w:tc>
          <w:tcPr>
            <w:tcW w:w="3402" w:type="dxa"/>
            <w:shd w:val="clear" w:color="auto" w:fill="auto"/>
          </w:tcPr>
          <w:p w:rsidR="00F0507C" w:rsidRPr="00C07EC8" w:rsidRDefault="00F0507C" w:rsidP="00C45755">
            <w:pPr>
              <w:spacing w:after="60"/>
              <w:ind w:right="99"/>
            </w:pPr>
            <w:r w:rsidRPr="00C07EC8">
              <w:t>ECE/TRANS/WP.15/22</w:t>
            </w:r>
            <w:r w:rsidR="00C45755" w:rsidRPr="00C07EC8">
              <w:t>9</w:t>
            </w:r>
            <w:r w:rsidRPr="00C07EC8">
              <w:t xml:space="preserve"> (Secretariat)</w:t>
            </w:r>
          </w:p>
        </w:tc>
        <w:tc>
          <w:tcPr>
            <w:tcW w:w="3969" w:type="dxa"/>
            <w:shd w:val="clear" w:color="auto" w:fill="auto"/>
          </w:tcPr>
          <w:p w:rsidR="00F0507C" w:rsidRPr="00C07EC8" w:rsidRDefault="00F0507C" w:rsidP="00C45755">
            <w:pPr>
              <w:spacing w:after="60"/>
            </w:pPr>
            <w:r w:rsidRPr="00C07EC8">
              <w:t>Provisional agenda for the ninety-</w:t>
            </w:r>
            <w:r w:rsidR="00C45755" w:rsidRPr="00C07EC8">
              <w:t>ninth</w:t>
            </w:r>
            <w:r w:rsidRPr="00C07EC8">
              <w:t xml:space="preserve"> session</w:t>
            </w:r>
          </w:p>
        </w:tc>
      </w:tr>
      <w:tr w:rsidR="00F0507C" w:rsidRPr="00C07EC8" w:rsidTr="0033430C">
        <w:trPr>
          <w:cantSplit/>
        </w:trPr>
        <w:tc>
          <w:tcPr>
            <w:tcW w:w="3402" w:type="dxa"/>
            <w:shd w:val="clear" w:color="auto" w:fill="auto"/>
          </w:tcPr>
          <w:p w:rsidR="00F0507C" w:rsidRPr="00C07EC8" w:rsidRDefault="00883801" w:rsidP="00C45755">
            <w:pPr>
              <w:spacing w:after="60"/>
              <w:ind w:right="99"/>
            </w:pPr>
            <w:r w:rsidRPr="00C07EC8">
              <w:t>ECE/TRANS/WP.15/22</w:t>
            </w:r>
            <w:r w:rsidR="00C45755" w:rsidRPr="00C07EC8">
              <w:t>9</w:t>
            </w:r>
            <w:r w:rsidRPr="00C07EC8">
              <w:t>/Add.1 (S</w:t>
            </w:r>
            <w:r w:rsidR="00F0507C" w:rsidRPr="00C07EC8">
              <w:t>ecretariat)</w:t>
            </w:r>
          </w:p>
        </w:tc>
        <w:tc>
          <w:tcPr>
            <w:tcW w:w="3969" w:type="dxa"/>
            <w:shd w:val="clear" w:color="auto" w:fill="auto"/>
          </w:tcPr>
          <w:p w:rsidR="00F0507C" w:rsidRPr="00C07EC8" w:rsidRDefault="00F0507C" w:rsidP="0033430C">
            <w:pPr>
              <w:spacing w:after="60"/>
            </w:pPr>
            <w:r w:rsidRPr="00C07EC8">
              <w:t>Annotations and list of documents</w:t>
            </w:r>
          </w:p>
        </w:tc>
      </w:tr>
    </w:tbl>
    <w:p w:rsidR="00F0507C" w:rsidRPr="00C07EC8" w:rsidRDefault="00F0507C" w:rsidP="00283C2F">
      <w:pPr>
        <w:keepNext/>
        <w:keepLines/>
        <w:tabs>
          <w:tab w:val="right" w:pos="851"/>
        </w:tabs>
        <w:spacing w:before="120" w:after="120" w:line="270" w:lineRule="exact"/>
        <w:ind w:left="1134" w:right="1134" w:hanging="1134"/>
        <w:rPr>
          <w:b/>
          <w:sz w:val="24"/>
        </w:rPr>
      </w:pPr>
      <w:r w:rsidRPr="00C07EC8">
        <w:rPr>
          <w:b/>
          <w:sz w:val="24"/>
        </w:rPr>
        <w:tab/>
      </w:r>
      <w:r w:rsidRPr="00C07EC8">
        <w:rPr>
          <w:b/>
          <w:sz w:val="24"/>
        </w:rPr>
        <w:tab/>
        <w:t>Background documents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F0507C" w:rsidRPr="00C07EC8" w:rsidTr="0033430C">
        <w:trPr>
          <w:cantSplit/>
        </w:trPr>
        <w:tc>
          <w:tcPr>
            <w:tcW w:w="3402" w:type="dxa"/>
            <w:shd w:val="clear" w:color="auto" w:fill="auto"/>
          </w:tcPr>
          <w:p w:rsidR="00F0507C" w:rsidRPr="00C07EC8" w:rsidRDefault="007E4AFB" w:rsidP="0033430C">
            <w:pPr>
              <w:spacing w:after="60"/>
              <w:ind w:right="99"/>
              <w:rPr>
                <w:b/>
              </w:rPr>
            </w:pPr>
            <w:r w:rsidRPr="00C07EC8">
              <w:t>ECE/TRANS/WP.15/190/Add.1 (S</w:t>
            </w:r>
            <w:r w:rsidR="00F0507C" w:rsidRPr="00C07EC8">
              <w:t>ecretariat)</w:t>
            </w:r>
          </w:p>
        </w:tc>
        <w:tc>
          <w:tcPr>
            <w:tcW w:w="3969" w:type="dxa"/>
            <w:shd w:val="clear" w:color="auto" w:fill="auto"/>
          </w:tcPr>
          <w:p w:rsidR="00F0507C" w:rsidRPr="00C07EC8" w:rsidRDefault="00F0507C" w:rsidP="0033430C">
            <w:pPr>
              <w:spacing w:after="60"/>
              <w:rPr>
                <w:b/>
              </w:rPr>
            </w:pPr>
            <w:r w:rsidRPr="00C07EC8">
              <w:t>Terms of Reference and Rules of Procedure of the Working Party</w:t>
            </w:r>
          </w:p>
        </w:tc>
      </w:tr>
      <w:tr w:rsidR="00F0507C" w:rsidRPr="00C07EC8" w:rsidTr="0033430C">
        <w:trPr>
          <w:cantSplit/>
        </w:trPr>
        <w:tc>
          <w:tcPr>
            <w:tcW w:w="3402" w:type="dxa"/>
            <w:shd w:val="clear" w:color="auto" w:fill="auto"/>
          </w:tcPr>
          <w:p w:rsidR="00F0507C" w:rsidRPr="00C07EC8" w:rsidRDefault="00F0507C" w:rsidP="00C45755">
            <w:pPr>
              <w:spacing w:after="60"/>
              <w:ind w:right="99"/>
            </w:pPr>
            <w:r w:rsidRPr="00C07EC8">
              <w:t>ECE/TRANS/WP.15/22</w:t>
            </w:r>
            <w:r w:rsidR="00C45755" w:rsidRPr="00C07EC8">
              <w:t>8</w:t>
            </w:r>
            <w:r w:rsidRPr="00C07EC8">
              <w:t xml:space="preserve"> (Secretariat)</w:t>
            </w:r>
          </w:p>
        </w:tc>
        <w:tc>
          <w:tcPr>
            <w:tcW w:w="3969" w:type="dxa"/>
            <w:shd w:val="clear" w:color="auto" w:fill="auto"/>
          </w:tcPr>
          <w:p w:rsidR="00F0507C" w:rsidRPr="00C07EC8" w:rsidRDefault="00C45755" w:rsidP="00C45755">
            <w:pPr>
              <w:spacing w:after="60"/>
            </w:pPr>
            <w:r w:rsidRPr="00C07EC8">
              <w:t>Report of the Working Group on its ninety-eighth session held in Geneva from 4 to 6 May 2015</w:t>
            </w:r>
          </w:p>
        </w:tc>
      </w:tr>
      <w:tr w:rsidR="00F0507C" w:rsidRPr="00C07EC8" w:rsidTr="0033430C">
        <w:trPr>
          <w:cantSplit/>
        </w:trPr>
        <w:tc>
          <w:tcPr>
            <w:tcW w:w="3402" w:type="dxa"/>
            <w:shd w:val="clear" w:color="auto" w:fill="auto"/>
          </w:tcPr>
          <w:p w:rsidR="00F0507C" w:rsidRPr="00C07EC8" w:rsidRDefault="00F60211" w:rsidP="0033430C">
            <w:pPr>
              <w:spacing w:after="60"/>
              <w:ind w:right="99"/>
            </w:pPr>
            <w:r w:rsidRPr="00C07EC8">
              <w:t>ECE/TRANS/242</w:t>
            </w:r>
          </w:p>
        </w:tc>
        <w:tc>
          <w:tcPr>
            <w:tcW w:w="3969" w:type="dxa"/>
            <w:shd w:val="clear" w:color="auto" w:fill="auto"/>
          </w:tcPr>
          <w:p w:rsidR="00F0507C" w:rsidRPr="00C07EC8" w:rsidRDefault="00F60211" w:rsidP="00F60211">
            <w:pPr>
              <w:spacing w:after="60"/>
            </w:pPr>
            <w:r w:rsidRPr="00C07EC8">
              <w:t>ADR applicable as from 1 January 2015</w:t>
            </w:r>
          </w:p>
        </w:tc>
      </w:tr>
    </w:tbl>
    <w:p w:rsidR="00F0507C" w:rsidRPr="00C07EC8" w:rsidRDefault="00F0507C" w:rsidP="00F0507C">
      <w:pPr>
        <w:keepNext/>
        <w:keepLines/>
        <w:tabs>
          <w:tab w:val="right" w:pos="851"/>
        </w:tabs>
        <w:spacing w:before="360" w:after="240" w:line="300" w:lineRule="exact"/>
        <w:ind w:left="1134" w:right="1134" w:hanging="1134"/>
        <w:rPr>
          <w:b/>
          <w:sz w:val="28"/>
        </w:rPr>
      </w:pPr>
      <w:r w:rsidRPr="00C07EC8">
        <w:rPr>
          <w:b/>
          <w:sz w:val="28"/>
        </w:rPr>
        <w:tab/>
        <w:t>2.</w:t>
      </w:r>
      <w:r w:rsidRPr="00C07EC8">
        <w:rPr>
          <w:b/>
          <w:sz w:val="28"/>
        </w:rPr>
        <w:tab/>
      </w:r>
      <w:r w:rsidR="00C45755" w:rsidRPr="00C07EC8">
        <w:rPr>
          <w:b/>
          <w:sz w:val="28"/>
          <w:szCs w:val="28"/>
        </w:rPr>
        <w:t>Seventy-seventh session of the Inland Transport Committee</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0A26AD" w:rsidRPr="00C07EC8" w:rsidTr="0033430C">
        <w:trPr>
          <w:cantSplit/>
        </w:trPr>
        <w:tc>
          <w:tcPr>
            <w:tcW w:w="3402" w:type="dxa"/>
            <w:shd w:val="clear" w:color="auto" w:fill="auto"/>
          </w:tcPr>
          <w:p w:rsidR="000A26AD" w:rsidRPr="00C07EC8" w:rsidRDefault="000A26AD" w:rsidP="00A941DA">
            <w:pPr>
              <w:ind w:right="99"/>
            </w:pPr>
            <w:r w:rsidRPr="00C07EC8">
              <w:t>ECE/TRANS/24</w:t>
            </w:r>
            <w:r w:rsidR="00A941DA" w:rsidRPr="00C07EC8">
              <w:t>8</w:t>
            </w:r>
            <w:r w:rsidR="009C1225">
              <w:t xml:space="preserve"> </w:t>
            </w:r>
          </w:p>
        </w:tc>
        <w:tc>
          <w:tcPr>
            <w:tcW w:w="3969" w:type="dxa"/>
            <w:shd w:val="clear" w:color="auto" w:fill="auto"/>
          </w:tcPr>
          <w:p w:rsidR="000A26AD" w:rsidRPr="00C07EC8" w:rsidRDefault="000A26AD" w:rsidP="00F60211">
            <w:pPr>
              <w:ind w:right="99"/>
            </w:pPr>
            <w:r w:rsidRPr="00C07EC8">
              <w:t>Report of the Inland Transport Committee on its seventy-</w:t>
            </w:r>
            <w:r w:rsidR="00F60211" w:rsidRPr="00C07EC8">
              <w:t>seventh</w:t>
            </w:r>
            <w:r w:rsidRPr="00C07EC8">
              <w:t xml:space="preserve"> session (2</w:t>
            </w:r>
            <w:r w:rsidR="00C45755" w:rsidRPr="00C07EC8">
              <w:t>4</w:t>
            </w:r>
            <w:r w:rsidRPr="00C07EC8">
              <w:t>-2</w:t>
            </w:r>
            <w:r w:rsidR="00C45755" w:rsidRPr="00C07EC8">
              <w:t>6</w:t>
            </w:r>
            <w:r w:rsidRPr="00C07EC8">
              <w:t xml:space="preserve"> February 201</w:t>
            </w:r>
            <w:r w:rsidR="00C45755" w:rsidRPr="00C07EC8">
              <w:t>5</w:t>
            </w:r>
            <w:r w:rsidRPr="00C07EC8">
              <w:t>)</w:t>
            </w:r>
          </w:p>
        </w:tc>
      </w:tr>
    </w:tbl>
    <w:p w:rsidR="00F0507C" w:rsidRPr="00C07EC8" w:rsidRDefault="00F0507C" w:rsidP="00F0507C">
      <w:pPr>
        <w:keepNext/>
        <w:keepLines/>
        <w:tabs>
          <w:tab w:val="right" w:pos="851"/>
        </w:tabs>
        <w:spacing w:before="360" w:after="240" w:line="300" w:lineRule="exact"/>
        <w:ind w:left="1134" w:right="1134" w:hanging="1134"/>
        <w:rPr>
          <w:b/>
          <w:sz w:val="28"/>
        </w:rPr>
      </w:pPr>
      <w:r w:rsidRPr="00C07EC8">
        <w:rPr>
          <w:b/>
          <w:sz w:val="28"/>
        </w:rPr>
        <w:tab/>
        <w:t>3.</w:t>
      </w:r>
      <w:r w:rsidRPr="00C07EC8">
        <w:rPr>
          <w:b/>
          <w:sz w:val="28"/>
        </w:rPr>
        <w:tab/>
        <w:t>Status of the European Agreement concerning the International Carriage of Dangerous Goods by Road (ADR) and related issues</w:t>
      </w:r>
    </w:p>
    <w:p w:rsidR="00F0507C" w:rsidRPr="00C07EC8" w:rsidRDefault="00F0507C" w:rsidP="00F0507C">
      <w:pPr>
        <w:pStyle w:val="SingleTxtG"/>
        <w:ind w:firstLine="567"/>
      </w:pPr>
      <w:r w:rsidRPr="00C07EC8">
        <w:t>The Working Party will be informed of the status of ADR, the Protocol of amendment of 1993, special agreements and notifications in accordance with Chapter 1.9.</w:t>
      </w:r>
    </w:p>
    <w:p w:rsidR="00F0507C" w:rsidRPr="00C07EC8" w:rsidRDefault="00F0507C" w:rsidP="00F0507C">
      <w:pPr>
        <w:pStyle w:val="SingleTxtG"/>
        <w:ind w:firstLine="567"/>
      </w:pPr>
      <w:r w:rsidRPr="00C07EC8">
        <w:t>At the time of drafting this document, there were no changes to the status of ADR (48 Contracting Parties) nor to that of the Protocol of amendment of 1993 (33 Contracting States) since the last session.</w:t>
      </w:r>
    </w:p>
    <w:p w:rsidR="00F0507C" w:rsidRPr="00C07EC8" w:rsidRDefault="00F0507C" w:rsidP="00F0507C">
      <w:pPr>
        <w:keepNext/>
        <w:keepLines/>
        <w:tabs>
          <w:tab w:val="right" w:pos="851"/>
        </w:tabs>
        <w:spacing w:before="360" w:after="240" w:line="300" w:lineRule="exact"/>
        <w:ind w:left="1134" w:right="1134" w:hanging="1134"/>
        <w:rPr>
          <w:b/>
          <w:sz w:val="28"/>
        </w:rPr>
      </w:pPr>
      <w:r w:rsidRPr="00C07EC8">
        <w:rPr>
          <w:b/>
          <w:sz w:val="28"/>
        </w:rPr>
        <w:lastRenderedPageBreak/>
        <w:tab/>
        <w:t>4.</w:t>
      </w:r>
      <w:r w:rsidRPr="00C07EC8">
        <w:rPr>
          <w:b/>
          <w:sz w:val="28"/>
        </w:rPr>
        <w:tab/>
        <w:t>Interpretation of ADR</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8D46CD" w:rsidRPr="00C07EC8" w:rsidTr="00245B60">
        <w:tc>
          <w:tcPr>
            <w:tcW w:w="3402" w:type="dxa"/>
            <w:shd w:val="clear" w:color="auto" w:fill="auto"/>
          </w:tcPr>
          <w:p w:rsidR="008D46CD" w:rsidRPr="00C07EC8" w:rsidRDefault="008D46CD" w:rsidP="00245B60">
            <w:pPr>
              <w:pStyle w:val="SingleTxtG"/>
              <w:ind w:left="0" w:right="99"/>
              <w:jc w:val="left"/>
            </w:pPr>
            <w:r w:rsidRPr="008D46CD">
              <w:t>INF.5 (Netherlands)</w:t>
            </w:r>
          </w:p>
        </w:tc>
        <w:tc>
          <w:tcPr>
            <w:tcW w:w="3969" w:type="dxa"/>
            <w:shd w:val="clear" w:color="auto" w:fill="auto"/>
          </w:tcPr>
          <w:p w:rsidR="008D46CD" w:rsidRPr="00C07EC8" w:rsidRDefault="008D46CD" w:rsidP="008D46CD">
            <w:pPr>
              <w:pStyle w:val="SingleTxtG"/>
              <w:ind w:left="0" w:right="99"/>
              <w:jc w:val="left"/>
              <w:rPr>
                <w:szCs w:val="28"/>
              </w:rPr>
            </w:pPr>
            <w:r w:rsidRPr="008D46CD">
              <w:t>Construction of EX/III load compartments</w:t>
            </w:r>
          </w:p>
        </w:tc>
      </w:tr>
      <w:tr w:rsidR="00BA71D3" w:rsidRPr="00C07EC8" w:rsidTr="006D6578">
        <w:tc>
          <w:tcPr>
            <w:tcW w:w="3402" w:type="dxa"/>
            <w:shd w:val="clear" w:color="auto" w:fill="auto"/>
          </w:tcPr>
          <w:p w:rsidR="00BA71D3" w:rsidRPr="00C07EC8" w:rsidRDefault="00BA71D3" w:rsidP="00BA71D3">
            <w:pPr>
              <w:pStyle w:val="SingleTxtG"/>
              <w:ind w:left="0" w:right="99"/>
              <w:jc w:val="left"/>
            </w:pPr>
            <w:r w:rsidRPr="008D46CD">
              <w:t>INF.</w:t>
            </w:r>
            <w:r>
              <w:t>11</w:t>
            </w:r>
            <w:r w:rsidRPr="008D46CD">
              <w:t> (</w:t>
            </w:r>
            <w:r>
              <w:t>IRU</w:t>
            </w:r>
            <w:r w:rsidRPr="008D46CD">
              <w:t>)</w:t>
            </w:r>
          </w:p>
        </w:tc>
        <w:tc>
          <w:tcPr>
            <w:tcW w:w="3969" w:type="dxa"/>
            <w:shd w:val="clear" w:color="auto" w:fill="auto"/>
          </w:tcPr>
          <w:p w:rsidR="00BA71D3" w:rsidRPr="00C07EC8" w:rsidRDefault="00BA71D3" w:rsidP="006D6578">
            <w:pPr>
              <w:pStyle w:val="SingleTxtG"/>
              <w:ind w:left="0" w:right="99"/>
              <w:jc w:val="left"/>
              <w:rPr>
                <w:szCs w:val="28"/>
              </w:rPr>
            </w:pPr>
            <w:r w:rsidRPr="005F4F0A">
              <w:t>Interpretation</w:t>
            </w:r>
            <w:r w:rsidRPr="0078202E">
              <w:t xml:space="preserve"> of the prohibition of the driver or driver’s assistant from opening packages in relation to ADR 7.5.7.5 and 8.3.3</w:t>
            </w:r>
          </w:p>
        </w:tc>
      </w:tr>
    </w:tbl>
    <w:p w:rsidR="00F0507C" w:rsidRPr="00C07EC8" w:rsidRDefault="00F0507C" w:rsidP="00283C2F">
      <w:pPr>
        <w:keepNext/>
        <w:keepLines/>
        <w:tabs>
          <w:tab w:val="right" w:pos="851"/>
        </w:tabs>
        <w:spacing w:before="120" w:after="120" w:line="300" w:lineRule="exact"/>
        <w:ind w:left="1134" w:right="1134" w:hanging="1134"/>
        <w:rPr>
          <w:b/>
          <w:sz w:val="28"/>
        </w:rPr>
      </w:pPr>
      <w:r w:rsidRPr="00C07EC8">
        <w:rPr>
          <w:b/>
          <w:sz w:val="28"/>
        </w:rPr>
        <w:tab/>
        <w:t>5.</w:t>
      </w:r>
      <w:r w:rsidRPr="00C07EC8">
        <w:rPr>
          <w:b/>
          <w:sz w:val="28"/>
        </w:rPr>
        <w:tab/>
        <w:t>Work of the RID/ADR/ADN Joint Meeting</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F60211" w:rsidRPr="00C07EC8" w:rsidTr="00F60211">
        <w:tc>
          <w:tcPr>
            <w:tcW w:w="3402" w:type="dxa"/>
            <w:shd w:val="clear" w:color="auto" w:fill="auto"/>
          </w:tcPr>
          <w:p w:rsidR="00F60211" w:rsidRPr="00C07EC8" w:rsidRDefault="00F60211" w:rsidP="000A26AD">
            <w:pPr>
              <w:pStyle w:val="SingleTxtG"/>
              <w:ind w:left="0" w:right="99"/>
              <w:jc w:val="left"/>
            </w:pPr>
            <w:r w:rsidRPr="00C07EC8">
              <w:t>ECE/TRANS/WP.15/AC.1/138/Add.1 (Secretariat)</w:t>
            </w:r>
          </w:p>
        </w:tc>
        <w:tc>
          <w:tcPr>
            <w:tcW w:w="3969" w:type="dxa"/>
            <w:shd w:val="clear" w:color="auto" w:fill="auto"/>
          </w:tcPr>
          <w:p w:rsidR="00F60211" w:rsidRPr="00C07EC8" w:rsidRDefault="00F60211" w:rsidP="00F60211">
            <w:pPr>
              <w:spacing w:after="60"/>
              <w:ind w:right="99"/>
              <w:rPr>
                <w:b/>
              </w:rPr>
            </w:pPr>
            <w:r w:rsidRPr="00C07EC8">
              <w:rPr>
                <w:szCs w:val="28"/>
              </w:rPr>
              <w:t>Report of the Joint Meeting on its spring 2015 session</w:t>
            </w:r>
          </w:p>
        </w:tc>
      </w:tr>
      <w:tr w:rsidR="00F60211" w:rsidRPr="00C07EC8" w:rsidTr="00F60211">
        <w:tc>
          <w:tcPr>
            <w:tcW w:w="3402" w:type="dxa"/>
            <w:shd w:val="clear" w:color="auto" w:fill="auto"/>
          </w:tcPr>
          <w:p w:rsidR="00F60211" w:rsidRPr="00C07EC8" w:rsidRDefault="00C07EC8" w:rsidP="002A62E8">
            <w:pPr>
              <w:pStyle w:val="SingleTxtG"/>
              <w:ind w:left="0" w:right="99"/>
              <w:jc w:val="left"/>
            </w:pPr>
            <w:r w:rsidRPr="00C07EC8">
              <w:rPr>
                <w:bCs/>
                <w:szCs w:val="24"/>
              </w:rPr>
              <w:t xml:space="preserve">ECE/TRANS/WP.15/AC.1/2015/23 </w:t>
            </w:r>
            <w:r w:rsidR="002A62E8">
              <w:rPr>
                <w:bCs/>
                <w:szCs w:val="24"/>
              </w:rPr>
              <w:t>and</w:t>
            </w:r>
            <w:r w:rsidRPr="00C07EC8">
              <w:rPr>
                <w:bCs/>
                <w:szCs w:val="24"/>
              </w:rPr>
              <w:t xml:space="preserve"> Add.1 </w:t>
            </w:r>
            <w:r w:rsidRPr="00C07EC8">
              <w:t>(Secretariat)</w:t>
            </w:r>
          </w:p>
        </w:tc>
        <w:tc>
          <w:tcPr>
            <w:tcW w:w="3969" w:type="dxa"/>
            <w:shd w:val="clear" w:color="auto" w:fill="auto"/>
          </w:tcPr>
          <w:p w:rsidR="00F60211" w:rsidRPr="00C07EC8" w:rsidRDefault="00C07EC8" w:rsidP="00F60211">
            <w:pPr>
              <w:spacing w:after="60"/>
              <w:ind w:right="99"/>
              <w:rPr>
                <w:szCs w:val="28"/>
              </w:rPr>
            </w:pPr>
            <w:r w:rsidRPr="00C07EC8">
              <w:t>Report of the Ad Hoc Working Group on the Harmonization of RID/ADR/ADN with the United Nations Recommendations on the Transport of Dangerous Goods</w:t>
            </w:r>
          </w:p>
        </w:tc>
      </w:tr>
      <w:tr w:rsidR="0083382B" w:rsidRPr="00C07EC8" w:rsidTr="00F60211">
        <w:tc>
          <w:tcPr>
            <w:tcW w:w="3402" w:type="dxa"/>
            <w:shd w:val="clear" w:color="auto" w:fill="auto"/>
          </w:tcPr>
          <w:p w:rsidR="0083382B" w:rsidRPr="00C07EC8" w:rsidRDefault="0083382B" w:rsidP="002A62E8">
            <w:pPr>
              <w:pStyle w:val="SingleTxtG"/>
              <w:ind w:left="0" w:right="99"/>
              <w:jc w:val="left"/>
              <w:rPr>
                <w:bCs/>
                <w:szCs w:val="24"/>
              </w:rPr>
            </w:pPr>
            <w:r>
              <w:rPr>
                <w:bCs/>
                <w:szCs w:val="24"/>
              </w:rPr>
              <w:t xml:space="preserve">INF.9 </w:t>
            </w:r>
            <w:r w:rsidRPr="00C07EC8">
              <w:t>(Secretariat)</w:t>
            </w:r>
            <w:r w:rsidR="0027121E">
              <w:br/>
              <w:t xml:space="preserve">+ </w:t>
            </w:r>
            <w:r w:rsidR="00283C2F">
              <w:t>INF.14</w:t>
            </w:r>
            <w:r w:rsidR="00283C2F" w:rsidRPr="007F5048">
              <w:t> (</w:t>
            </w:r>
            <w:r w:rsidR="00283C2F">
              <w:t>France</w:t>
            </w:r>
            <w:r w:rsidR="00283C2F" w:rsidRPr="007F5048">
              <w:t>)</w:t>
            </w:r>
            <w:r w:rsidR="00283C2F">
              <w:t xml:space="preserve"> </w:t>
            </w:r>
            <w:r w:rsidR="00283C2F">
              <w:br/>
              <w:t>+ INF.16</w:t>
            </w:r>
            <w:r w:rsidR="00283C2F" w:rsidRPr="007F5048">
              <w:t> (</w:t>
            </w:r>
            <w:r w:rsidR="00283C2F">
              <w:t>France</w:t>
            </w:r>
            <w:r w:rsidR="00283C2F" w:rsidRPr="007F5048">
              <w:t>)</w:t>
            </w:r>
            <w:r w:rsidR="00283C2F">
              <w:br/>
              <w:t>+ INF.17</w:t>
            </w:r>
            <w:r w:rsidR="00283C2F" w:rsidRPr="007F5048">
              <w:t> (</w:t>
            </w:r>
            <w:r w:rsidR="00283C2F">
              <w:t>Germany</w:t>
            </w:r>
            <w:r w:rsidR="00283C2F" w:rsidRPr="007F5048">
              <w:t>)</w:t>
            </w:r>
            <w:r w:rsidR="00283C2F">
              <w:br/>
              <w:t>+ INF.18</w:t>
            </w:r>
            <w:r w:rsidR="00283C2F" w:rsidRPr="007F5048">
              <w:t> (</w:t>
            </w:r>
            <w:r w:rsidR="00283C2F">
              <w:t>Switzerland</w:t>
            </w:r>
            <w:r w:rsidR="00283C2F" w:rsidRPr="007F5048">
              <w:t>)</w:t>
            </w:r>
          </w:p>
        </w:tc>
        <w:tc>
          <w:tcPr>
            <w:tcW w:w="3969" w:type="dxa"/>
            <w:shd w:val="clear" w:color="auto" w:fill="auto"/>
          </w:tcPr>
          <w:p w:rsidR="0083382B" w:rsidRPr="00C07EC8" w:rsidRDefault="0083382B" w:rsidP="00F60211">
            <w:pPr>
              <w:spacing w:after="60"/>
              <w:ind w:right="99"/>
            </w:pPr>
            <w:r w:rsidRPr="00996122">
              <w:t>Consolidated list of amendments adopted by the Joint Meeting and by the Working Party during the biennium</w:t>
            </w:r>
            <w:r w:rsidRPr="00863EAE">
              <w:t xml:space="preserve"> </w:t>
            </w:r>
            <w:r w:rsidRPr="00863EAE">
              <w:footnoteReference w:customMarkFollows="1" w:id="2"/>
              <w:t>*</w:t>
            </w:r>
          </w:p>
        </w:tc>
      </w:tr>
      <w:tr w:rsidR="00C07EC8" w:rsidRPr="00C07EC8" w:rsidTr="00F60211">
        <w:tc>
          <w:tcPr>
            <w:tcW w:w="3402" w:type="dxa"/>
            <w:shd w:val="clear" w:color="auto" w:fill="auto"/>
          </w:tcPr>
          <w:p w:rsidR="00C07EC8" w:rsidRPr="00C07EC8" w:rsidRDefault="00C07EC8" w:rsidP="000A26AD">
            <w:pPr>
              <w:pStyle w:val="SingleTxtG"/>
              <w:ind w:left="0" w:right="99"/>
              <w:jc w:val="left"/>
              <w:rPr>
                <w:bCs/>
                <w:szCs w:val="24"/>
              </w:rPr>
            </w:pPr>
            <w:r w:rsidRPr="00C07EC8">
              <w:rPr>
                <w:bCs/>
                <w:szCs w:val="24"/>
              </w:rPr>
              <w:t xml:space="preserve">ECE/TRANS/WP.15/2015/18 </w:t>
            </w:r>
            <w:r w:rsidRPr="00C07EC8">
              <w:t>(Secretariat)</w:t>
            </w:r>
          </w:p>
        </w:tc>
        <w:tc>
          <w:tcPr>
            <w:tcW w:w="3969" w:type="dxa"/>
            <w:shd w:val="clear" w:color="auto" w:fill="auto"/>
          </w:tcPr>
          <w:p w:rsidR="00C07EC8" w:rsidRPr="00C07EC8" w:rsidRDefault="00C07EC8" w:rsidP="00F60211">
            <w:pPr>
              <w:spacing w:after="60"/>
              <w:ind w:right="99"/>
            </w:pPr>
            <w:r w:rsidRPr="00C07EC8">
              <w:t>Consequential amendment</w:t>
            </w:r>
          </w:p>
        </w:tc>
      </w:tr>
      <w:tr w:rsidR="007F5048" w:rsidRPr="00C07EC8" w:rsidTr="00F60211">
        <w:tc>
          <w:tcPr>
            <w:tcW w:w="3402" w:type="dxa"/>
            <w:shd w:val="clear" w:color="auto" w:fill="auto"/>
          </w:tcPr>
          <w:p w:rsidR="007F5048" w:rsidRPr="007F5048" w:rsidRDefault="007F5048" w:rsidP="000A26AD">
            <w:pPr>
              <w:pStyle w:val="SingleTxtG"/>
              <w:ind w:left="0" w:right="99"/>
              <w:jc w:val="left"/>
            </w:pPr>
            <w:r w:rsidRPr="007F5048">
              <w:t>INF.6 (Romania)</w:t>
            </w:r>
          </w:p>
        </w:tc>
        <w:tc>
          <w:tcPr>
            <w:tcW w:w="3969" w:type="dxa"/>
            <w:shd w:val="clear" w:color="auto" w:fill="auto"/>
          </w:tcPr>
          <w:p w:rsidR="007F5048" w:rsidRPr="00C07EC8" w:rsidRDefault="007F5048" w:rsidP="00F60211">
            <w:pPr>
              <w:spacing w:after="60"/>
              <w:ind w:right="99"/>
            </w:pPr>
            <w:r w:rsidRPr="007F5048">
              <w:t>Amendments to sub-section 1.4.2.2 Carrier</w:t>
            </w:r>
          </w:p>
        </w:tc>
      </w:tr>
      <w:tr w:rsidR="00D80CF7" w:rsidRPr="00C07EC8" w:rsidTr="006D6578">
        <w:tc>
          <w:tcPr>
            <w:tcW w:w="3402" w:type="dxa"/>
            <w:shd w:val="clear" w:color="auto" w:fill="auto"/>
          </w:tcPr>
          <w:p w:rsidR="00D80CF7" w:rsidRPr="007F5048" w:rsidRDefault="00D80CF7" w:rsidP="00D80CF7">
            <w:pPr>
              <w:pStyle w:val="SingleTxtG"/>
              <w:ind w:left="0" w:right="99"/>
              <w:jc w:val="left"/>
            </w:pPr>
            <w:r>
              <w:t>INF.13</w:t>
            </w:r>
            <w:r w:rsidRPr="007F5048">
              <w:t> (</w:t>
            </w:r>
            <w:r>
              <w:t>Austria</w:t>
            </w:r>
            <w:r w:rsidRPr="007F5048">
              <w:t>)</w:t>
            </w:r>
          </w:p>
        </w:tc>
        <w:tc>
          <w:tcPr>
            <w:tcW w:w="3969" w:type="dxa"/>
            <w:shd w:val="clear" w:color="auto" w:fill="auto"/>
          </w:tcPr>
          <w:p w:rsidR="00D80CF7" w:rsidRPr="00C07EC8" w:rsidRDefault="00D80CF7" w:rsidP="006D6578">
            <w:pPr>
              <w:spacing w:after="60"/>
              <w:ind w:right="99"/>
            </w:pPr>
            <w:r>
              <w:t>Use of “vehicle” and “transport unit” in 8.1.4 and 8.1.5 ADR</w:t>
            </w:r>
          </w:p>
        </w:tc>
      </w:tr>
    </w:tbl>
    <w:p w:rsidR="00F0507C" w:rsidRPr="00C07EC8" w:rsidRDefault="00F0507C" w:rsidP="00283C2F">
      <w:pPr>
        <w:pStyle w:val="HChG"/>
        <w:spacing w:before="120" w:after="120"/>
      </w:pPr>
      <w:r w:rsidRPr="00C07EC8">
        <w:tab/>
        <w:t>6.</w:t>
      </w:r>
      <w:r w:rsidRPr="00C07EC8">
        <w:tab/>
        <w:t xml:space="preserve">Proposals for amendments to </w:t>
      </w:r>
      <w:r w:rsidR="00883801" w:rsidRPr="00C07EC8">
        <w:t>a</w:t>
      </w:r>
      <w:r w:rsidRPr="00C07EC8">
        <w:t>nnexes A and B of ADR</w:t>
      </w:r>
    </w:p>
    <w:p w:rsidR="00F0507C" w:rsidRPr="00C07EC8" w:rsidRDefault="00F0507C" w:rsidP="00283C2F">
      <w:pPr>
        <w:pStyle w:val="H1G"/>
        <w:spacing w:before="120" w:after="120"/>
      </w:pPr>
      <w:r w:rsidRPr="00C07EC8">
        <w:tab/>
        <w:t>(a)</w:t>
      </w:r>
      <w:r w:rsidRPr="00C07EC8">
        <w:tab/>
        <w:t>Construction and approval of vehicles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F0507C" w:rsidRPr="00C07EC8" w:rsidTr="0033430C">
        <w:trPr>
          <w:cantSplit/>
        </w:trPr>
        <w:tc>
          <w:tcPr>
            <w:tcW w:w="3402" w:type="dxa"/>
            <w:shd w:val="clear" w:color="auto" w:fill="auto"/>
          </w:tcPr>
          <w:p w:rsidR="0027121E" w:rsidRDefault="00E92B2E" w:rsidP="00C07EC8">
            <w:pPr>
              <w:spacing w:after="60"/>
              <w:ind w:right="99"/>
            </w:pPr>
            <w:r w:rsidRPr="00C07EC8">
              <w:t>ECE/TRANS/WP.15/201</w:t>
            </w:r>
            <w:r w:rsidR="004B0FD2" w:rsidRPr="00C07EC8">
              <w:t>5</w:t>
            </w:r>
            <w:r w:rsidRPr="00C07EC8">
              <w:t>/1</w:t>
            </w:r>
            <w:r w:rsidR="004B0FD2" w:rsidRPr="00C07EC8">
              <w:t>5</w:t>
            </w:r>
            <w:r w:rsidRPr="00C07EC8">
              <w:t xml:space="preserve"> (</w:t>
            </w:r>
            <w:r w:rsidR="004B0FD2" w:rsidRPr="00C07EC8">
              <w:t>Netherlands</w:t>
            </w:r>
            <w:r w:rsidRPr="00C07EC8">
              <w:t>)</w:t>
            </w:r>
            <w:r w:rsidR="007A4243">
              <w:t xml:space="preserve"> </w:t>
            </w:r>
          </w:p>
          <w:p w:rsidR="00F0507C" w:rsidRPr="00C07EC8" w:rsidRDefault="0027121E" w:rsidP="00C07EC8">
            <w:pPr>
              <w:spacing w:after="60"/>
              <w:ind w:right="99"/>
            </w:pPr>
            <w:r>
              <w:t xml:space="preserve">+ </w:t>
            </w:r>
            <w:r w:rsidRPr="00154DD8">
              <w:t>INF.7 (Netherlands)</w:t>
            </w:r>
            <w:r>
              <w:br/>
            </w:r>
            <w:r w:rsidR="007A4243">
              <w:t>+ INF.8 (Romania)</w:t>
            </w:r>
          </w:p>
        </w:tc>
        <w:tc>
          <w:tcPr>
            <w:tcW w:w="3969" w:type="dxa"/>
            <w:shd w:val="clear" w:color="auto" w:fill="auto"/>
          </w:tcPr>
          <w:p w:rsidR="00F0507C" w:rsidRPr="00C07EC8" w:rsidRDefault="004B0FD2" w:rsidP="00E92B2E">
            <w:pPr>
              <w:spacing w:after="60"/>
              <w:ind w:right="99"/>
            </w:pPr>
            <w:r w:rsidRPr="00C07EC8">
              <w:rPr>
                <w:szCs w:val="28"/>
              </w:rPr>
              <w:t>Proposal for amendment by the informal working group on the electrical system of vehicles carrying dangerous goods</w:t>
            </w:r>
          </w:p>
        </w:tc>
      </w:tr>
      <w:tr w:rsidR="00F0507C" w:rsidRPr="00C07EC8" w:rsidTr="0033430C">
        <w:trPr>
          <w:cantSplit/>
        </w:trPr>
        <w:tc>
          <w:tcPr>
            <w:tcW w:w="3402" w:type="dxa"/>
            <w:shd w:val="clear" w:color="auto" w:fill="auto"/>
          </w:tcPr>
          <w:p w:rsidR="00F0507C" w:rsidRPr="00F04B4A" w:rsidRDefault="00C07EC8" w:rsidP="00C07EC8">
            <w:pPr>
              <w:spacing w:after="60"/>
              <w:ind w:right="99"/>
            </w:pPr>
            <w:r w:rsidRPr="00F04B4A">
              <w:t>ECE/TRANS/WP.15/2015/16 (AEGPL and  NGV Global)</w:t>
            </w:r>
          </w:p>
        </w:tc>
        <w:tc>
          <w:tcPr>
            <w:tcW w:w="3969" w:type="dxa"/>
            <w:shd w:val="clear" w:color="auto" w:fill="auto"/>
          </w:tcPr>
          <w:p w:rsidR="00F0507C" w:rsidRPr="00C07EC8" w:rsidRDefault="00F04B4A" w:rsidP="007E4AFB">
            <w:pPr>
              <w:spacing w:after="60"/>
              <w:ind w:right="99"/>
            </w:pPr>
            <w:r w:rsidRPr="00C07EC8">
              <w:t>Use of Liquefied Petroleum Gas (LPG) and Compressed Natural Gas (CNG) as fuel for vehicles carrying dangerous goods</w:t>
            </w:r>
          </w:p>
        </w:tc>
      </w:tr>
      <w:tr w:rsidR="00C07EC8" w:rsidRPr="00C07EC8" w:rsidTr="0033430C">
        <w:trPr>
          <w:cantSplit/>
        </w:trPr>
        <w:tc>
          <w:tcPr>
            <w:tcW w:w="3402" w:type="dxa"/>
            <w:shd w:val="clear" w:color="auto" w:fill="auto"/>
          </w:tcPr>
          <w:p w:rsidR="00C07EC8" w:rsidRPr="00F04B4A" w:rsidRDefault="00C07EC8" w:rsidP="00C07EC8">
            <w:pPr>
              <w:spacing w:after="60"/>
              <w:ind w:right="99"/>
            </w:pPr>
            <w:r w:rsidRPr="00F04B4A">
              <w:t>ECE/TRANS/WP.15/2015/17 (Germany)</w:t>
            </w:r>
            <w:r w:rsidR="00283C2F">
              <w:br/>
              <w:t xml:space="preserve">+ </w:t>
            </w:r>
            <w:r w:rsidR="00283C2F" w:rsidRPr="00154DD8">
              <w:t>INF.</w:t>
            </w:r>
            <w:r w:rsidR="00283C2F">
              <w:t>15</w:t>
            </w:r>
            <w:r w:rsidR="00283C2F" w:rsidRPr="00154DD8">
              <w:t> (</w:t>
            </w:r>
            <w:r w:rsidR="00283C2F">
              <w:t>NGV Global/AEGPL</w:t>
            </w:r>
            <w:r w:rsidR="00283C2F" w:rsidRPr="00154DD8">
              <w:t>)</w:t>
            </w:r>
          </w:p>
        </w:tc>
        <w:tc>
          <w:tcPr>
            <w:tcW w:w="3969" w:type="dxa"/>
            <w:shd w:val="clear" w:color="auto" w:fill="auto"/>
          </w:tcPr>
          <w:p w:rsidR="00C07EC8" w:rsidRPr="00C07EC8" w:rsidRDefault="00F04B4A" w:rsidP="007E4AFB">
            <w:pPr>
              <w:spacing w:after="60"/>
              <w:ind w:right="99"/>
            </w:pPr>
            <w:r w:rsidRPr="00C07EC8">
              <w:t>Use of Liquefied Natural Gas (LNG), Compressed Natural Gas (CNG) and Liquefied Petroleum Gas (LPG) as fuel for vehicles carrying dangerous goods</w:t>
            </w:r>
          </w:p>
        </w:tc>
      </w:tr>
      <w:tr w:rsidR="007052EF" w:rsidRPr="00C07EC8" w:rsidTr="0033430C">
        <w:trPr>
          <w:cantSplit/>
        </w:trPr>
        <w:tc>
          <w:tcPr>
            <w:tcW w:w="3402" w:type="dxa"/>
            <w:shd w:val="clear" w:color="auto" w:fill="auto"/>
          </w:tcPr>
          <w:p w:rsidR="007052EF" w:rsidRPr="00F04B4A" w:rsidRDefault="007052EF" w:rsidP="00C07EC8">
            <w:pPr>
              <w:spacing w:after="60"/>
              <w:ind w:right="99"/>
            </w:pPr>
            <w:r w:rsidRPr="007052EF">
              <w:t>INF.4 (Netherlands)</w:t>
            </w:r>
          </w:p>
        </w:tc>
        <w:tc>
          <w:tcPr>
            <w:tcW w:w="3969" w:type="dxa"/>
            <w:shd w:val="clear" w:color="auto" w:fill="auto"/>
          </w:tcPr>
          <w:p w:rsidR="007052EF" w:rsidRPr="00C07EC8" w:rsidRDefault="007052EF" w:rsidP="007E4AFB">
            <w:pPr>
              <w:spacing w:after="60"/>
              <w:ind w:right="99"/>
            </w:pPr>
            <w:r w:rsidRPr="007052EF">
              <w:t>Endurance braking system on trailers and another suggested up-date of Annex 5 of ECE Regulation No. 13</w:t>
            </w:r>
          </w:p>
        </w:tc>
      </w:tr>
    </w:tbl>
    <w:p w:rsidR="00F0507C" w:rsidRPr="00C07EC8" w:rsidRDefault="00F0507C" w:rsidP="00283C2F">
      <w:pPr>
        <w:pStyle w:val="H1G"/>
        <w:spacing w:before="120" w:after="120"/>
      </w:pPr>
      <w:r w:rsidRPr="00C07EC8">
        <w:lastRenderedPageBreak/>
        <w:tab/>
        <w:t>(b)</w:t>
      </w:r>
      <w:r w:rsidRPr="00C07EC8">
        <w:tab/>
        <w:t>Miscellaneous proposals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5E6DFA" w:rsidRPr="00C07EC8" w:rsidTr="004B0FD2">
        <w:trPr>
          <w:cantSplit/>
        </w:trPr>
        <w:tc>
          <w:tcPr>
            <w:tcW w:w="3402" w:type="dxa"/>
            <w:shd w:val="clear" w:color="auto" w:fill="auto"/>
          </w:tcPr>
          <w:p w:rsidR="005E6DFA" w:rsidRPr="00C07EC8" w:rsidRDefault="005E6DFA" w:rsidP="005E6DFA">
            <w:pPr>
              <w:spacing w:after="60"/>
              <w:ind w:right="99"/>
            </w:pPr>
            <w:r w:rsidRPr="00C07EC8">
              <w:t>ECE/TRANS/WP.15/2015/7 (Switzerland)</w:t>
            </w:r>
          </w:p>
        </w:tc>
        <w:tc>
          <w:tcPr>
            <w:tcW w:w="3969" w:type="dxa"/>
            <w:shd w:val="clear" w:color="auto" w:fill="auto"/>
          </w:tcPr>
          <w:p w:rsidR="005E6DFA" w:rsidRPr="00C07EC8" w:rsidRDefault="00C07EC8" w:rsidP="004B0FD2">
            <w:pPr>
              <w:spacing w:after="60"/>
              <w:ind w:right="99"/>
            </w:pPr>
            <w:r w:rsidRPr="00C07EC8">
              <w:t>Proposal of definition of carriage by private individuals in accordance with 1.1.3.1 (a)</w:t>
            </w:r>
          </w:p>
        </w:tc>
      </w:tr>
      <w:tr w:rsidR="004B0FD2" w:rsidRPr="00C07EC8" w:rsidTr="004B0FD2">
        <w:trPr>
          <w:cantSplit/>
        </w:trPr>
        <w:tc>
          <w:tcPr>
            <w:tcW w:w="3402" w:type="dxa"/>
            <w:shd w:val="clear" w:color="auto" w:fill="auto"/>
          </w:tcPr>
          <w:p w:rsidR="004B0FD2" w:rsidRPr="00C07EC8" w:rsidRDefault="004B0FD2" w:rsidP="005E6DFA">
            <w:pPr>
              <w:spacing w:after="60"/>
              <w:ind w:right="99"/>
            </w:pPr>
            <w:r w:rsidRPr="00C07EC8">
              <w:t>ECE/TRANS/WP.15/2015/8 (</w:t>
            </w:r>
            <w:r w:rsidR="005E6DFA" w:rsidRPr="00C07EC8">
              <w:t>Switzerland</w:t>
            </w:r>
            <w:r w:rsidRPr="00C07EC8">
              <w:t>)</w:t>
            </w:r>
          </w:p>
        </w:tc>
        <w:tc>
          <w:tcPr>
            <w:tcW w:w="3969" w:type="dxa"/>
            <w:shd w:val="clear" w:color="auto" w:fill="auto"/>
          </w:tcPr>
          <w:p w:rsidR="004B0FD2" w:rsidRPr="00C07EC8" w:rsidRDefault="00C07EC8" w:rsidP="004B0FD2">
            <w:pPr>
              <w:spacing w:after="60"/>
              <w:ind w:right="99"/>
            </w:pPr>
            <w:r w:rsidRPr="00C07EC8">
              <w:rPr>
                <w:rFonts w:ascii="inherit" w:hAnsi="inherit"/>
                <w:color w:val="000000"/>
                <w:spacing w:val="-3"/>
                <w:sz w:val="18"/>
                <w:szCs w:val="18"/>
                <w:lang w:eastAsia="fr-FR"/>
              </w:rPr>
              <w:t>Special provision 644</w:t>
            </w:r>
          </w:p>
        </w:tc>
      </w:tr>
      <w:tr w:rsidR="004B0FD2" w:rsidRPr="00C07EC8" w:rsidTr="004B0FD2">
        <w:trPr>
          <w:cantSplit/>
        </w:trPr>
        <w:tc>
          <w:tcPr>
            <w:tcW w:w="3402" w:type="dxa"/>
            <w:shd w:val="clear" w:color="auto" w:fill="auto"/>
          </w:tcPr>
          <w:p w:rsidR="004B0FD2" w:rsidRPr="00C07EC8" w:rsidRDefault="004B0FD2" w:rsidP="004B0FD2">
            <w:pPr>
              <w:spacing w:after="60"/>
              <w:ind w:right="99"/>
            </w:pPr>
            <w:r w:rsidRPr="00C07EC8">
              <w:t>ECE/TRANS/WP.15/2015/9 (France)</w:t>
            </w:r>
          </w:p>
        </w:tc>
        <w:tc>
          <w:tcPr>
            <w:tcW w:w="3969" w:type="dxa"/>
            <w:shd w:val="clear" w:color="auto" w:fill="auto"/>
          </w:tcPr>
          <w:p w:rsidR="004B0FD2" w:rsidRPr="00C07EC8" w:rsidRDefault="00C07EC8" w:rsidP="004B0FD2">
            <w:pPr>
              <w:spacing w:after="60"/>
              <w:ind w:right="99"/>
            </w:pPr>
            <w:r w:rsidRPr="00C07EC8">
              <w:t>Limitations with respect to explosive substances and articles – application of the table in 7.5.5.2.1</w:t>
            </w:r>
          </w:p>
        </w:tc>
      </w:tr>
      <w:tr w:rsidR="004B0FD2" w:rsidRPr="00C07EC8" w:rsidTr="004B0FD2">
        <w:trPr>
          <w:cantSplit/>
        </w:trPr>
        <w:tc>
          <w:tcPr>
            <w:tcW w:w="3402" w:type="dxa"/>
            <w:shd w:val="clear" w:color="auto" w:fill="auto"/>
          </w:tcPr>
          <w:p w:rsidR="004B0FD2" w:rsidRPr="00C07EC8" w:rsidRDefault="004B0FD2" w:rsidP="004B0FD2">
            <w:pPr>
              <w:spacing w:after="60"/>
              <w:ind w:right="99"/>
            </w:pPr>
            <w:r w:rsidRPr="00C07EC8">
              <w:t>ECE/TRANS/WP.15/2015/11 (United Kingdom)</w:t>
            </w:r>
          </w:p>
        </w:tc>
        <w:tc>
          <w:tcPr>
            <w:tcW w:w="3969" w:type="dxa"/>
            <w:shd w:val="clear" w:color="auto" w:fill="auto"/>
          </w:tcPr>
          <w:p w:rsidR="004B0FD2" w:rsidRPr="00C07EC8" w:rsidRDefault="004B0FD2" w:rsidP="004B0FD2">
            <w:pPr>
              <w:spacing w:after="60"/>
              <w:ind w:right="99"/>
            </w:pPr>
            <w:r w:rsidRPr="00C07EC8">
              <w:t xml:space="preserve">Correction of inconsistency in 5.4.2 of ADR: Large container or vehicle packing certificate </w:t>
            </w:r>
          </w:p>
        </w:tc>
      </w:tr>
      <w:tr w:rsidR="004B0FD2" w:rsidRPr="00C07EC8" w:rsidTr="004B0FD2">
        <w:trPr>
          <w:cantSplit/>
        </w:trPr>
        <w:tc>
          <w:tcPr>
            <w:tcW w:w="3402" w:type="dxa"/>
            <w:shd w:val="clear" w:color="auto" w:fill="auto"/>
          </w:tcPr>
          <w:p w:rsidR="004B0FD2" w:rsidRPr="00C07EC8" w:rsidRDefault="004B0FD2" w:rsidP="004B0FD2">
            <w:pPr>
              <w:spacing w:after="60"/>
              <w:ind w:right="99"/>
            </w:pPr>
            <w:r w:rsidRPr="00C07EC8">
              <w:t>ECE/TRANS/WP.15/2015/12 (United Kingdom)</w:t>
            </w:r>
          </w:p>
        </w:tc>
        <w:tc>
          <w:tcPr>
            <w:tcW w:w="3969" w:type="dxa"/>
            <w:shd w:val="clear" w:color="auto" w:fill="auto"/>
          </w:tcPr>
          <w:p w:rsidR="004B0FD2" w:rsidRPr="00C07EC8" w:rsidRDefault="004B0FD2" w:rsidP="004B0FD2">
            <w:pPr>
              <w:spacing w:after="60"/>
            </w:pPr>
            <w:r w:rsidRPr="00C07EC8">
              <w:t>Simplification and alignment of Tunnel category E text and 1.9.5.2.2 of ADR</w:t>
            </w:r>
          </w:p>
          <w:p w:rsidR="004B0FD2" w:rsidRPr="00C07EC8" w:rsidRDefault="004B0FD2" w:rsidP="004B0FD2">
            <w:pPr>
              <w:spacing w:after="60"/>
              <w:ind w:right="99"/>
            </w:pPr>
          </w:p>
        </w:tc>
      </w:tr>
      <w:tr w:rsidR="004B0FD2" w:rsidRPr="00C07EC8" w:rsidTr="004B0FD2">
        <w:trPr>
          <w:cantSplit/>
        </w:trPr>
        <w:tc>
          <w:tcPr>
            <w:tcW w:w="3402" w:type="dxa"/>
            <w:shd w:val="clear" w:color="auto" w:fill="auto"/>
          </w:tcPr>
          <w:p w:rsidR="004B0FD2" w:rsidRPr="00C07EC8" w:rsidRDefault="004B0FD2" w:rsidP="004B0FD2">
            <w:pPr>
              <w:spacing w:after="60"/>
              <w:ind w:right="99"/>
            </w:pPr>
            <w:r w:rsidRPr="00C07EC8">
              <w:t>ECE/TRANS/WP.15/2015/14 (IRU)</w:t>
            </w:r>
            <w:r w:rsidR="00021DAE">
              <w:t xml:space="preserve"> </w:t>
            </w:r>
            <w:r w:rsidR="0027121E">
              <w:br/>
            </w:r>
            <w:r w:rsidR="00021DAE">
              <w:t xml:space="preserve">+ INF.10 </w:t>
            </w:r>
            <w:r w:rsidR="00021DAE" w:rsidRPr="00021DAE">
              <w:t>(CEFIC)</w:t>
            </w:r>
          </w:p>
        </w:tc>
        <w:tc>
          <w:tcPr>
            <w:tcW w:w="3969" w:type="dxa"/>
            <w:shd w:val="clear" w:color="auto" w:fill="auto"/>
          </w:tcPr>
          <w:p w:rsidR="004B0FD2" w:rsidRPr="00C07EC8" w:rsidRDefault="004B0FD2" w:rsidP="004B0FD2">
            <w:pPr>
              <w:spacing w:after="60"/>
            </w:pPr>
            <w:r w:rsidRPr="00C07EC8">
              <w:t>Draft proposal to amend sub-section 5.4.1.1.1 (f)</w:t>
            </w:r>
          </w:p>
          <w:p w:rsidR="004B0FD2" w:rsidRPr="00C07EC8" w:rsidRDefault="004B0FD2" w:rsidP="004B0FD2">
            <w:pPr>
              <w:spacing w:after="60"/>
              <w:ind w:right="99"/>
            </w:pPr>
          </w:p>
        </w:tc>
      </w:tr>
      <w:tr w:rsidR="00BA71D3" w:rsidRPr="00C07EC8" w:rsidTr="006D6578">
        <w:trPr>
          <w:cantSplit/>
        </w:trPr>
        <w:tc>
          <w:tcPr>
            <w:tcW w:w="3402" w:type="dxa"/>
            <w:shd w:val="clear" w:color="auto" w:fill="auto"/>
          </w:tcPr>
          <w:p w:rsidR="00BA71D3" w:rsidRPr="007052EF" w:rsidRDefault="00BA71D3" w:rsidP="00BA71D3">
            <w:pPr>
              <w:spacing w:after="60"/>
              <w:ind w:right="99"/>
            </w:pPr>
            <w:r>
              <w:t>INF.12</w:t>
            </w:r>
            <w:r w:rsidRPr="00154DD8">
              <w:t> (</w:t>
            </w:r>
            <w:r>
              <w:t>Germany</w:t>
            </w:r>
            <w:r w:rsidRPr="00154DD8">
              <w:t>)</w:t>
            </w:r>
          </w:p>
        </w:tc>
        <w:tc>
          <w:tcPr>
            <w:tcW w:w="3969" w:type="dxa"/>
            <w:shd w:val="clear" w:color="auto" w:fill="auto"/>
          </w:tcPr>
          <w:p w:rsidR="00BA71D3" w:rsidRPr="007052EF" w:rsidRDefault="00BA71D3" w:rsidP="006D6578">
            <w:pPr>
              <w:spacing w:after="60"/>
              <w:ind w:right="99"/>
            </w:pPr>
            <w:r>
              <w:t xml:space="preserve">References to </w:t>
            </w:r>
            <w:r w:rsidRPr="001D0548">
              <w:t>standard EN 590:2009 + A1:2010</w:t>
            </w:r>
          </w:p>
        </w:tc>
      </w:tr>
      <w:tr w:rsidR="00314B4F" w:rsidRPr="00C07EC8" w:rsidTr="00246FF4">
        <w:trPr>
          <w:cantSplit/>
        </w:trPr>
        <w:tc>
          <w:tcPr>
            <w:tcW w:w="3402" w:type="dxa"/>
            <w:shd w:val="clear" w:color="auto" w:fill="auto"/>
          </w:tcPr>
          <w:p w:rsidR="00314B4F" w:rsidRPr="007052EF" w:rsidRDefault="00314B4F" w:rsidP="00314B4F">
            <w:pPr>
              <w:spacing w:after="60"/>
              <w:ind w:right="99"/>
            </w:pPr>
            <w:r>
              <w:t>INF.19</w:t>
            </w:r>
            <w:r w:rsidRPr="00154DD8">
              <w:t> (</w:t>
            </w:r>
            <w:r>
              <w:t>Switzerland</w:t>
            </w:r>
            <w:r w:rsidRPr="00154DD8">
              <w:t>)</w:t>
            </w:r>
          </w:p>
        </w:tc>
        <w:tc>
          <w:tcPr>
            <w:tcW w:w="3969" w:type="dxa"/>
            <w:shd w:val="clear" w:color="auto" w:fill="auto"/>
          </w:tcPr>
          <w:p w:rsidR="00314B4F" w:rsidRPr="007052EF" w:rsidRDefault="00314B4F" w:rsidP="00246FF4">
            <w:pPr>
              <w:spacing w:after="60"/>
              <w:ind w:right="99"/>
            </w:pPr>
            <w:r>
              <w:t>Simplification and alignment of Tunnel category E text and 1.9.5.2.2 of ADR</w:t>
            </w:r>
            <w:r>
              <w:br/>
              <w:t>Comments on document ECE/TRANS/WP.15/2015/12</w:t>
            </w:r>
          </w:p>
        </w:tc>
      </w:tr>
    </w:tbl>
    <w:p w:rsidR="00F0507C" w:rsidRPr="00C07EC8" w:rsidRDefault="00F0507C" w:rsidP="00283C2F">
      <w:pPr>
        <w:keepNext/>
        <w:keepLines/>
        <w:tabs>
          <w:tab w:val="right" w:pos="851"/>
        </w:tabs>
        <w:spacing w:before="120" w:after="120" w:line="300" w:lineRule="exact"/>
        <w:ind w:left="1134" w:right="1134" w:hanging="1134"/>
        <w:rPr>
          <w:b/>
          <w:sz w:val="28"/>
        </w:rPr>
      </w:pPr>
      <w:r w:rsidRPr="00C07EC8">
        <w:rPr>
          <w:b/>
          <w:sz w:val="28"/>
        </w:rPr>
        <w:tab/>
        <w:t>7.</w:t>
      </w:r>
      <w:r w:rsidRPr="00C07EC8">
        <w:rPr>
          <w:b/>
          <w:sz w:val="28"/>
        </w:rPr>
        <w:tab/>
        <w:t>Programme of work</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C07EC8" w:rsidRPr="00C07EC8" w:rsidTr="00245B60">
        <w:tc>
          <w:tcPr>
            <w:tcW w:w="3402" w:type="dxa"/>
          </w:tcPr>
          <w:p w:rsidR="00C07EC8" w:rsidRPr="00C07EC8" w:rsidRDefault="00C07EC8" w:rsidP="00245B60">
            <w:pPr>
              <w:pStyle w:val="SingleTxtG"/>
              <w:ind w:left="0" w:right="99"/>
              <w:jc w:val="left"/>
            </w:pPr>
            <w:r w:rsidRPr="00C07EC8">
              <w:t>ECE/TRANS/WP.15/2015/10 (Secretariat)</w:t>
            </w:r>
          </w:p>
        </w:tc>
        <w:tc>
          <w:tcPr>
            <w:tcW w:w="3969" w:type="dxa"/>
            <w:shd w:val="clear" w:color="auto" w:fill="auto"/>
          </w:tcPr>
          <w:p w:rsidR="00C07EC8" w:rsidRPr="00C07EC8" w:rsidRDefault="00C07EC8" w:rsidP="00C07EC8">
            <w:pPr>
              <w:spacing w:after="60"/>
            </w:pPr>
            <w:r w:rsidRPr="00C07EC8">
              <w:t>Biennial evaluation</w:t>
            </w:r>
          </w:p>
        </w:tc>
      </w:tr>
      <w:tr w:rsidR="00C07EC8" w:rsidRPr="00C07EC8" w:rsidTr="00245B60">
        <w:tc>
          <w:tcPr>
            <w:tcW w:w="3402" w:type="dxa"/>
          </w:tcPr>
          <w:p w:rsidR="00C07EC8" w:rsidRPr="00C07EC8" w:rsidRDefault="00C07EC8" w:rsidP="00245B60">
            <w:pPr>
              <w:pStyle w:val="SingleTxtG"/>
              <w:ind w:left="0" w:right="99"/>
              <w:jc w:val="left"/>
            </w:pPr>
            <w:r w:rsidRPr="00C07EC8">
              <w:t>ECE/TRANS/WP.15/2015/13 (Secretariat)</w:t>
            </w:r>
          </w:p>
        </w:tc>
        <w:tc>
          <w:tcPr>
            <w:tcW w:w="3969" w:type="dxa"/>
            <w:shd w:val="clear" w:color="auto" w:fill="auto"/>
          </w:tcPr>
          <w:p w:rsidR="00C07EC8" w:rsidRPr="00C07EC8" w:rsidRDefault="00C07EC8" w:rsidP="00C07EC8">
            <w:pPr>
              <w:spacing w:after="60"/>
              <w:ind w:right="99"/>
            </w:pPr>
            <w:r w:rsidRPr="00C07EC8">
              <w:t>Draft programme of work for 2016-2020</w:t>
            </w:r>
          </w:p>
        </w:tc>
      </w:tr>
      <w:tr w:rsidR="005346AD" w:rsidRPr="00C07EC8" w:rsidTr="006D6578">
        <w:tc>
          <w:tcPr>
            <w:tcW w:w="3402" w:type="dxa"/>
          </w:tcPr>
          <w:p w:rsidR="005346AD" w:rsidRPr="00C07EC8" w:rsidRDefault="005346AD" w:rsidP="00EB4CA0">
            <w:pPr>
              <w:pStyle w:val="SingleTxtG"/>
              <w:ind w:left="0" w:right="99"/>
              <w:jc w:val="left"/>
            </w:pPr>
            <w:r>
              <w:t>ECE/TRANS/WP.15/2015/19</w:t>
            </w:r>
            <w:r w:rsidRPr="00C07EC8">
              <w:t xml:space="preserve"> (Secretariat)</w:t>
            </w:r>
            <w:r>
              <w:t xml:space="preserve"> </w:t>
            </w:r>
            <w:bookmarkStart w:id="0" w:name="_GoBack"/>
            <w:bookmarkEnd w:id="0"/>
          </w:p>
        </w:tc>
        <w:tc>
          <w:tcPr>
            <w:tcW w:w="3969" w:type="dxa"/>
            <w:shd w:val="clear" w:color="auto" w:fill="auto"/>
          </w:tcPr>
          <w:p w:rsidR="005346AD" w:rsidRPr="00C07EC8" w:rsidRDefault="005346AD" w:rsidP="006D6578">
            <w:pPr>
              <w:spacing w:after="60"/>
              <w:ind w:right="99"/>
            </w:pPr>
            <w:r>
              <w:t>P</w:t>
            </w:r>
            <w:r w:rsidRPr="00C07EC8">
              <w:t>rogramme of work for 2016-20</w:t>
            </w:r>
            <w:r>
              <w:t>17</w:t>
            </w:r>
          </w:p>
        </w:tc>
      </w:tr>
    </w:tbl>
    <w:p w:rsidR="000A26AD" w:rsidRPr="00C07EC8" w:rsidRDefault="000A26AD" w:rsidP="00283C2F">
      <w:pPr>
        <w:keepNext/>
        <w:keepLines/>
        <w:tabs>
          <w:tab w:val="right" w:pos="851"/>
        </w:tabs>
        <w:spacing w:before="120" w:after="120" w:line="300" w:lineRule="exact"/>
        <w:ind w:left="1134" w:right="1134" w:hanging="1134"/>
        <w:rPr>
          <w:b/>
          <w:sz w:val="28"/>
        </w:rPr>
      </w:pPr>
      <w:r w:rsidRPr="00C07EC8">
        <w:rPr>
          <w:b/>
          <w:sz w:val="28"/>
        </w:rPr>
        <w:tab/>
        <w:t>8.</w:t>
      </w:r>
      <w:r w:rsidRPr="00C07EC8">
        <w:rPr>
          <w:b/>
          <w:sz w:val="28"/>
        </w:rPr>
        <w:tab/>
        <w:t>Election of officers for 20</w:t>
      </w:r>
      <w:r w:rsidR="00883801" w:rsidRPr="00C07EC8">
        <w:rPr>
          <w:b/>
          <w:sz w:val="28"/>
        </w:rPr>
        <w:t>1</w:t>
      </w:r>
      <w:r w:rsidR="004B0FD2" w:rsidRPr="00C07EC8">
        <w:rPr>
          <w:b/>
          <w:sz w:val="28"/>
        </w:rPr>
        <w:t>6</w:t>
      </w:r>
    </w:p>
    <w:p w:rsidR="00283C2F" w:rsidRPr="00C07EC8" w:rsidRDefault="00283C2F" w:rsidP="00283C2F">
      <w:pPr>
        <w:pStyle w:val="SingleTxtG"/>
      </w:pPr>
      <w:r w:rsidRPr="00C07EC8">
        <w:tab/>
        <w:t>No document has been submitted under this agenda item.</w:t>
      </w:r>
    </w:p>
    <w:p w:rsidR="00F0507C" w:rsidRPr="00C07EC8" w:rsidRDefault="00F0507C" w:rsidP="00283C2F">
      <w:pPr>
        <w:keepNext/>
        <w:keepLines/>
        <w:tabs>
          <w:tab w:val="right" w:pos="851"/>
        </w:tabs>
        <w:spacing w:before="120" w:after="120" w:line="300" w:lineRule="exact"/>
        <w:ind w:left="1134" w:right="1134" w:hanging="1134"/>
        <w:rPr>
          <w:b/>
          <w:sz w:val="28"/>
        </w:rPr>
      </w:pPr>
      <w:r w:rsidRPr="00C07EC8">
        <w:rPr>
          <w:b/>
          <w:sz w:val="28"/>
        </w:rPr>
        <w:tab/>
      </w:r>
      <w:r w:rsidR="000A26AD" w:rsidRPr="00C07EC8">
        <w:rPr>
          <w:b/>
          <w:sz w:val="28"/>
        </w:rPr>
        <w:t>9</w:t>
      </w:r>
      <w:r w:rsidRPr="00C07EC8">
        <w:rPr>
          <w:b/>
          <w:sz w:val="28"/>
        </w:rPr>
        <w:t>.</w:t>
      </w:r>
      <w:r w:rsidRPr="00C07EC8">
        <w:rPr>
          <w:b/>
          <w:sz w:val="28"/>
        </w:rPr>
        <w:tab/>
        <w:t>Any other business</w:t>
      </w:r>
    </w:p>
    <w:p w:rsidR="00C07EC8" w:rsidRPr="00C07EC8" w:rsidRDefault="00C07EC8" w:rsidP="00C07EC8">
      <w:pPr>
        <w:pStyle w:val="SingleTxtG"/>
      </w:pPr>
      <w:r w:rsidRPr="00C07EC8">
        <w:tab/>
        <w:t>No document has been submitted under this agenda item.</w:t>
      </w:r>
    </w:p>
    <w:p w:rsidR="00F0507C" w:rsidRPr="00C07EC8" w:rsidRDefault="00F0507C" w:rsidP="00283C2F">
      <w:pPr>
        <w:keepNext/>
        <w:keepLines/>
        <w:tabs>
          <w:tab w:val="right" w:pos="851"/>
        </w:tabs>
        <w:spacing w:before="120" w:after="120" w:line="300" w:lineRule="exact"/>
        <w:ind w:left="1134" w:right="1134" w:hanging="1134"/>
        <w:rPr>
          <w:b/>
          <w:sz w:val="28"/>
        </w:rPr>
      </w:pPr>
      <w:r w:rsidRPr="00C07EC8">
        <w:rPr>
          <w:b/>
          <w:sz w:val="28"/>
        </w:rPr>
        <w:tab/>
      </w:r>
      <w:r w:rsidR="000A26AD" w:rsidRPr="00C07EC8">
        <w:rPr>
          <w:b/>
          <w:sz w:val="28"/>
        </w:rPr>
        <w:t>10</w:t>
      </w:r>
      <w:r w:rsidRPr="00C07EC8">
        <w:rPr>
          <w:b/>
          <w:sz w:val="28"/>
        </w:rPr>
        <w:t>.</w:t>
      </w:r>
      <w:r w:rsidRPr="00C07EC8">
        <w:rPr>
          <w:b/>
          <w:sz w:val="28"/>
        </w:rPr>
        <w:tab/>
        <w:t>Adoption of the report</w:t>
      </w:r>
    </w:p>
    <w:p w:rsidR="000A26AD" w:rsidRPr="00C07EC8" w:rsidRDefault="00F0043E" w:rsidP="00F0043E">
      <w:pPr>
        <w:pStyle w:val="SingleTxtG"/>
        <w:spacing w:before="240" w:after="0"/>
        <w:jc w:val="center"/>
        <w:rPr>
          <w:u w:val="single"/>
        </w:rPr>
      </w:pPr>
      <w:r w:rsidRPr="00C07EC8">
        <w:rPr>
          <w:u w:val="single"/>
        </w:rPr>
        <w:tab/>
      </w:r>
      <w:r w:rsidRPr="00C07EC8">
        <w:rPr>
          <w:u w:val="single"/>
        </w:rPr>
        <w:tab/>
      </w:r>
      <w:r w:rsidRPr="00C07EC8">
        <w:rPr>
          <w:u w:val="single"/>
        </w:rPr>
        <w:tab/>
      </w:r>
    </w:p>
    <w:sectPr w:rsidR="000A26AD" w:rsidRPr="00C07EC8" w:rsidSect="00F0507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E8" w:rsidRDefault="003826E8"/>
  </w:endnote>
  <w:endnote w:type="continuationSeparator" w:id="0">
    <w:p w:rsidR="003826E8" w:rsidRDefault="003826E8"/>
  </w:endnote>
  <w:endnote w:type="continuationNotice" w:id="1">
    <w:p w:rsidR="003826E8" w:rsidRDefault="00382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78" w:rsidRPr="00F0507C" w:rsidRDefault="006D6578" w:rsidP="00F0507C">
    <w:pPr>
      <w:pStyle w:val="Pieddepage"/>
      <w:tabs>
        <w:tab w:val="right" w:pos="9638"/>
      </w:tabs>
      <w:rPr>
        <w:sz w:val="18"/>
      </w:rPr>
    </w:pPr>
    <w:r w:rsidRPr="00F0507C">
      <w:rPr>
        <w:b/>
        <w:sz w:val="18"/>
      </w:rPr>
      <w:fldChar w:fldCharType="begin"/>
    </w:r>
    <w:r w:rsidRPr="00F0507C">
      <w:rPr>
        <w:b/>
        <w:sz w:val="18"/>
      </w:rPr>
      <w:instrText xml:space="preserve"> PAGE  \* MERGEFORMAT </w:instrText>
    </w:r>
    <w:r w:rsidRPr="00F0507C">
      <w:rPr>
        <w:b/>
        <w:sz w:val="18"/>
      </w:rPr>
      <w:fldChar w:fldCharType="separate"/>
    </w:r>
    <w:r w:rsidR="00EB4CA0">
      <w:rPr>
        <w:b/>
        <w:noProof/>
        <w:sz w:val="18"/>
      </w:rPr>
      <w:t>2</w:t>
    </w:r>
    <w:r w:rsidRPr="00F0507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78" w:rsidRPr="00F0507C" w:rsidRDefault="006D6578" w:rsidP="00F0507C">
    <w:pPr>
      <w:pStyle w:val="Pieddepage"/>
      <w:tabs>
        <w:tab w:val="right" w:pos="9638"/>
      </w:tabs>
      <w:rPr>
        <w:b/>
        <w:sz w:val="18"/>
      </w:rPr>
    </w:pPr>
    <w:r>
      <w:tab/>
    </w:r>
    <w:r w:rsidRPr="00F0507C">
      <w:rPr>
        <w:b/>
        <w:sz w:val="18"/>
      </w:rPr>
      <w:fldChar w:fldCharType="begin"/>
    </w:r>
    <w:r w:rsidRPr="00F0507C">
      <w:rPr>
        <w:b/>
        <w:sz w:val="18"/>
      </w:rPr>
      <w:instrText xml:space="preserve"> PAGE  \* MERGEFORMAT </w:instrText>
    </w:r>
    <w:r w:rsidRPr="00F0507C">
      <w:rPr>
        <w:b/>
        <w:sz w:val="18"/>
      </w:rPr>
      <w:fldChar w:fldCharType="separate"/>
    </w:r>
    <w:r w:rsidR="00EB4CA0">
      <w:rPr>
        <w:b/>
        <w:noProof/>
        <w:sz w:val="18"/>
      </w:rPr>
      <w:t>3</w:t>
    </w:r>
    <w:r w:rsidRPr="00F0507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78" w:rsidRPr="00F0507C" w:rsidRDefault="006D6578">
    <w:pPr>
      <w:pStyle w:val="Pieddepage"/>
      <w:rPr>
        <w:sz w:val="20"/>
      </w:rPr>
    </w:pPr>
    <w:r>
      <w:rPr>
        <w:noProof/>
        <w:lang w:val="fr-FR" w:eastAsia="fr-FR"/>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E8" w:rsidRPr="000B175B" w:rsidRDefault="003826E8" w:rsidP="000B175B">
      <w:pPr>
        <w:tabs>
          <w:tab w:val="right" w:pos="2155"/>
        </w:tabs>
        <w:spacing w:after="80"/>
        <w:ind w:left="680"/>
        <w:rPr>
          <w:u w:val="single"/>
        </w:rPr>
      </w:pPr>
      <w:r>
        <w:rPr>
          <w:u w:val="single"/>
        </w:rPr>
        <w:tab/>
      </w:r>
    </w:p>
  </w:footnote>
  <w:footnote w:type="continuationSeparator" w:id="0">
    <w:p w:rsidR="003826E8" w:rsidRPr="00FC68B7" w:rsidRDefault="003826E8" w:rsidP="00FC68B7">
      <w:pPr>
        <w:tabs>
          <w:tab w:val="left" w:pos="2155"/>
        </w:tabs>
        <w:spacing w:after="80"/>
        <w:ind w:left="680"/>
        <w:rPr>
          <w:u w:val="single"/>
        </w:rPr>
      </w:pPr>
      <w:r>
        <w:rPr>
          <w:u w:val="single"/>
        </w:rPr>
        <w:tab/>
      </w:r>
    </w:p>
  </w:footnote>
  <w:footnote w:type="continuationNotice" w:id="1">
    <w:p w:rsidR="003826E8" w:rsidRDefault="003826E8"/>
  </w:footnote>
  <w:footnote w:id="2">
    <w:p w:rsidR="006D6578" w:rsidRPr="00863EAE" w:rsidRDefault="006D6578" w:rsidP="0083382B">
      <w:pPr>
        <w:pStyle w:val="Notedebasdepage"/>
      </w:pPr>
      <w:r>
        <w:tab/>
      </w:r>
      <w:r w:rsidRPr="0078570C">
        <w:rPr>
          <w:rStyle w:val="Appelnotedebasdep"/>
          <w:sz w:val="20"/>
        </w:rPr>
        <w:t>*</w:t>
      </w:r>
      <w:r w:rsidRPr="0078570C">
        <w:rPr>
          <w:sz w:val="20"/>
        </w:rPr>
        <w:tab/>
      </w:r>
      <w:r w:rsidRPr="0078570C">
        <w:t xml:space="preserve">Includes the </w:t>
      </w:r>
      <w:r w:rsidR="0027121E" w:rsidRPr="00C07EC8">
        <w:t>texts adopted by the Joint Meeting at its autumn 2015 session</w:t>
      </w:r>
      <w:r w:rsidR="0027121E">
        <w:t xml:space="preserve"> (</w:t>
      </w:r>
      <w:r w:rsidRPr="0078570C">
        <w:t>ECE/TRANS/WP.15/AC.1/140, Annex I</w:t>
      </w:r>
      <w:r w:rsidR="0027121E">
        <w:t>)</w:t>
      </w:r>
      <w:r w:rsidRPr="0078570C">
        <w:t>, ECE/TRANS/WP.15/AC.1/2015/23/Add.1 and the texts adopted by the Joint Meeting at its Spring 2015 session (ECE</w:t>
      </w:r>
      <w:r w:rsidR="0027121E">
        <w:t>/TRANS/WP.15/AC.1/138 Annex 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78" w:rsidRPr="00560FD1" w:rsidRDefault="006D6578">
    <w:pPr>
      <w:pStyle w:val="En-tte"/>
      <w:rPr>
        <w:lang w:val="fr-CH"/>
      </w:rPr>
    </w:pPr>
    <w:r>
      <w:rPr>
        <w:lang w:val="fr-CH"/>
      </w:rPr>
      <w:t>INF.2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78" w:rsidRPr="00F0507C" w:rsidRDefault="006D6578" w:rsidP="00F0507C">
    <w:pPr>
      <w:pStyle w:val="En-tte"/>
      <w:jc w:val="right"/>
    </w:pPr>
    <w:r>
      <w:rPr>
        <w:lang w:val="fr-CH"/>
      </w:rPr>
      <w:t>INF.2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78" w:rsidRPr="00437BBF" w:rsidRDefault="006D6578" w:rsidP="00560FD1">
    <w:pPr>
      <w:pStyle w:val="En-tte"/>
      <w:jc w:val="right"/>
      <w:rPr>
        <w:sz w:val="28"/>
        <w:szCs w:val="28"/>
        <w:lang w:val="fr-CH"/>
      </w:rPr>
    </w:pPr>
    <w:r w:rsidRPr="00437BBF">
      <w:rPr>
        <w:sz w:val="28"/>
        <w:szCs w:val="28"/>
        <w:lang w:val="fr-CH"/>
      </w:rPr>
      <w:t>INF.2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71"/>
    <w:rsid w:val="00021DAE"/>
    <w:rsid w:val="00046B1F"/>
    <w:rsid w:val="00050F6B"/>
    <w:rsid w:val="00057E97"/>
    <w:rsid w:val="000646F4"/>
    <w:rsid w:val="0006498B"/>
    <w:rsid w:val="00072C8C"/>
    <w:rsid w:val="000733B5"/>
    <w:rsid w:val="00081815"/>
    <w:rsid w:val="000931C0"/>
    <w:rsid w:val="000A26AD"/>
    <w:rsid w:val="000B0595"/>
    <w:rsid w:val="000B175B"/>
    <w:rsid w:val="000B3A0F"/>
    <w:rsid w:val="000B4EF7"/>
    <w:rsid w:val="000C2C03"/>
    <w:rsid w:val="000C2D2E"/>
    <w:rsid w:val="000E0415"/>
    <w:rsid w:val="001103AA"/>
    <w:rsid w:val="0011666B"/>
    <w:rsid w:val="00154DD8"/>
    <w:rsid w:val="00165F3A"/>
    <w:rsid w:val="001B4B04"/>
    <w:rsid w:val="001C6663"/>
    <w:rsid w:val="001C7895"/>
    <w:rsid w:val="001D0C8C"/>
    <w:rsid w:val="001D1419"/>
    <w:rsid w:val="001D26DF"/>
    <w:rsid w:val="001D3A03"/>
    <w:rsid w:val="001E7B67"/>
    <w:rsid w:val="00202DA8"/>
    <w:rsid w:val="00211E0B"/>
    <w:rsid w:val="00231C92"/>
    <w:rsid w:val="00237E67"/>
    <w:rsid w:val="00245B60"/>
    <w:rsid w:val="0024772E"/>
    <w:rsid w:val="00261AF1"/>
    <w:rsid w:val="00265210"/>
    <w:rsid w:val="00267F5F"/>
    <w:rsid w:val="0027030F"/>
    <w:rsid w:val="0027121E"/>
    <w:rsid w:val="00283C2F"/>
    <w:rsid w:val="00286B4D"/>
    <w:rsid w:val="002A62E8"/>
    <w:rsid w:val="002D4643"/>
    <w:rsid w:val="002F175C"/>
    <w:rsid w:val="00302E18"/>
    <w:rsid w:val="00314B4F"/>
    <w:rsid w:val="003229D8"/>
    <w:rsid w:val="003242F9"/>
    <w:rsid w:val="0033430C"/>
    <w:rsid w:val="00352709"/>
    <w:rsid w:val="003619B5"/>
    <w:rsid w:val="00365763"/>
    <w:rsid w:val="00371178"/>
    <w:rsid w:val="003826E8"/>
    <w:rsid w:val="0039236B"/>
    <w:rsid w:val="00392E47"/>
    <w:rsid w:val="003A6810"/>
    <w:rsid w:val="003C2CC4"/>
    <w:rsid w:val="003D0535"/>
    <w:rsid w:val="003D1847"/>
    <w:rsid w:val="003D4B23"/>
    <w:rsid w:val="003E130E"/>
    <w:rsid w:val="00406872"/>
    <w:rsid w:val="00410C89"/>
    <w:rsid w:val="00422E03"/>
    <w:rsid w:val="00426B9B"/>
    <w:rsid w:val="004325CB"/>
    <w:rsid w:val="00437BBF"/>
    <w:rsid w:val="0044122F"/>
    <w:rsid w:val="00442A83"/>
    <w:rsid w:val="0045428C"/>
    <w:rsid w:val="0045495B"/>
    <w:rsid w:val="004561E5"/>
    <w:rsid w:val="0048397A"/>
    <w:rsid w:val="00485CBB"/>
    <w:rsid w:val="004866B7"/>
    <w:rsid w:val="00494A71"/>
    <w:rsid w:val="004B0FD2"/>
    <w:rsid w:val="004C2461"/>
    <w:rsid w:val="004C7462"/>
    <w:rsid w:val="004E77B2"/>
    <w:rsid w:val="00504B2D"/>
    <w:rsid w:val="005210E2"/>
    <w:rsid w:val="0052136D"/>
    <w:rsid w:val="00523BDE"/>
    <w:rsid w:val="0052775E"/>
    <w:rsid w:val="005346AD"/>
    <w:rsid w:val="005420F2"/>
    <w:rsid w:val="00560FD1"/>
    <w:rsid w:val="005628B6"/>
    <w:rsid w:val="005941EC"/>
    <w:rsid w:val="0059724D"/>
    <w:rsid w:val="00597E25"/>
    <w:rsid w:val="005B3DB3"/>
    <w:rsid w:val="005B4E13"/>
    <w:rsid w:val="005C342F"/>
    <w:rsid w:val="005E6DFA"/>
    <w:rsid w:val="005F7B75"/>
    <w:rsid w:val="006001EE"/>
    <w:rsid w:val="00601947"/>
    <w:rsid w:val="00605042"/>
    <w:rsid w:val="00611FC4"/>
    <w:rsid w:val="00613771"/>
    <w:rsid w:val="006176FB"/>
    <w:rsid w:val="00631435"/>
    <w:rsid w:val="00640B26"/>
    <w:rsid w:val="00652D0A"/>
    <w:rsid w:val="00662BB6"/>
    <w:rsid w:val="00676606"/>
    <w:rsid w:val="00684C21"/>
    <w:rsid w:val="006A2530"/>
    <w:rsid w:val="006A6504"/>
    <w:rsid w:val="006C3589"/>
    <w:rsid w:val="006C3B3C"/>
    <w:rsid w:val="006D37AF"/>
    <w:rsid w:val="006D51D0"/>
    <w:rsid w:val="006D5FB9"/>
    <w:rsid w:val="006D6578"/>
    <w:rsid w:val="006E295F"/>
    <w:rsid w:val="006E564B"/>
    <w:rsid w:val="006E7191"/>
    <w:rsid w:val="00703577"/>
    <w:rsid w:val="007052EF"/>
    <w:rsid w:val="00705894"/>
    <w:rsid w:val="0072632A"/>
    <w:rsid w:val="007327D5"/>
    <w:rsid w:val="007629C8"/>
    <w:rsid w:val="0077047D"/>
    <w:rsid w:val="0078570C"/>
    <w:rsid w:val="007A4243"/>
    <w:rsid w:val="007B6BA5"/>
    <w:rsid w:val="007C3390"/>
    <w:rsid w:val="007C4F4B"/>
    <w:rsid w:val="007E01E9"/>
    <w:rsid w:val="007E4AFB"/>
    <w:rsid w:val="007E63F3"/>
    <w:rsid w:val="007F5048"/>
    <w:rsid w:val="007F6611"/>
    <w:rsid w:val="00811920"/>
    <w:rsid w:val="00815AD0"/>
    <w:rsid w:val="00816C49"/>
    <w:rsid w:val="008242D7"/>
    <w:rsid w:val="008257B1"/>
    <w:rsid w:val="00832334"/>
    <w:rsid w:val="0083382B"/>
    <w:rsid w:val="00843767"/>
    <w:rsid w:val="00853B94"/>
    <w:rsid w:val="008652A6"/>
    <w:rsid w:val="008679D9"/>
    <w:rsid w:val="00877894"/>
    <w:rsid w:val="00883801"/>
    <w:rsid w:val="008878DE"/>
    <w:rsid w:val="008979B1"/>
    <w:rsid w:val="008A6B25"/>
    <w:rsid w:val="008A6C4F"/>
    <w:rsid w:val="008B2335"/>
    <w:rsid w:val="008B76A1"/>
    <w:rsid w:val="008D46CD"/>
    <w:rsid w:val="008E0678"/>
    <w:rsid w:val="008F31D2"/>
    <w:rsid w:val="00917FDE"/>
    <w:rsid w:val="009223CA"/>
    <w:rsid w:val="0093410E"/>
    <w:rsid w:val="00940F93"/>
    <w:rsid w:val="009760F3"/>
    <w:rsid w:val="00976CFB"/>
    <w:rsid w:val="009A0830"/>
    <w:rsid w:val="009A0E8D"/>
    <w:rsid w:val="009B26E7"/>
    <w:rsid w:val="009C1225"/>
    <w:rsid w:val="00A00697"/>
    <w:rsid w:val="00A00A3F"/>
    <w:rsid w:val="00A01489"/>
    <w:rsid w:val="00A3026E"/>
    <w:rsid w:val="00A338F1"/>
    <w:rsid w:val="00A35BE0"/>
    <w:rsid w:val="00A6129C"/>
    <w:rsid w:val="00A72F22"/>
    <w:rsid w:val="00A7360F"/>
    <w:rsid w:val="00A748A6"/>
    <w:rsid w:val="00A769F4"/>
    <w:rsid w:val="00A776B4"/>
    <w:rsid w:val="00A85655"/>
    <w:rsid w:val="00A941DA"/>
    <w:rsid w:val="00A94361"/>
    <w:rsid w:val="00AA293C"/>
    <w:rsid w:val="00B12945"/>
    <w:rsid w:val="00B30179"/>
    <w:rsid w:val="00B421C1"/>
    <w:rsid w:val="00B55C71"/>
    <w:rsid w:val="00B56E4A"/>
    <w:rsid w:val="00B56E9C"/>
    <w:rsid w:val="00B64B1F"/>
    <w:rsid w:val="00B6553F"/>
    <w:rsid w:val="00B77D05"/>
    <w:rsid w:val="00B81206"/>
    <w:rsid w:val="00B81E12"/>
    <w:rsid w:val="00BA71D3"/>
    <w:rsid w:val="00BC3FA0"/>
    <w:rsid w:val="00BC74E9"/>
    <w:rsid w:val="00BF68A8"/>
    <w:rsid w:val="00C07EC8"/>
    <w:rsid w:val="00C11A03"/>
    <w:rsid w:val="00C22592"/>
    <w:rsid w:val="00C22C0C"/>
    <w:rsid w:val="00C4527F"/>
    <w:rsid w:val="00C45755"/>
    <w:rsid w:val="00C463DD"/>
    <w:rsid w:val="00C4724C"/>
    <w:rsid w:val="00C629A0"/>
    <w:rsid w:val="00C64629"/>
    <w:rsid w:val="00C659EF"/>
    <w:rsid w:val="00C745C3"/>
    <w:rsid w:val="00C96DF2"/>
    <w:rsid w:val="00CB3E03"/>
    <w:rsid w:val="00CC1FBE"/>
    <w:rsid w:val="00CD4AA6"/>
    <w:rsid w:val="00CE4A8F"/>
    <w:rsid w:val="00D2031B"/>
    <w:rsid w:val="00D248B6"/>
    <w:rsid w:val="00D25FE2"/>
    <w:rsid w:val="00D43252"/>
    <w:rsid w:val="00D47EEA"/>
    <w:rsid w:val="00D618D5"/>
    <w:rsid w:val="00D773DF"/>
    <w:rsid w:val="00D80CF7"/>
    <w:rsid w:val="00D95303"/>
    <w:rsid w:val="00D978C6"/>
    <w:rsid w:val="00DA3C1C"/>
    <w:rsid w:val="00DC05B3"/>
    <w:rsid w:val="00E046DF"/>
    <w:rsid w:val="00E27346"/>
    <w:rsid w:val="00E71BC8"/>
    <w:rsid w:val="00E71EE4"/>
    <w:rsid w:val="00E7260F"/>
    <w:rsid w:val="00E73F5D"/>
    <w:rsid w:val="00E77E4E"/>
    <w:rsid w:val="00E92B2E"/>
    <w:rsid w:val="00E96630"/>
    <w:rsid w:val="00EB4CA0"/>
    <w:rsid w:val="00ED7A2A"/>
    <w:rsid w:val="00EF1D7F"/>
    <w:rsid w:val="00EF3E9C"/>
    <w:rsid w:val="00F0043E"/>
    <w:rsid w:val="00F03AC8"/>
    <w:rsid w:val="00F04B4A"/>
    <w:rsid w:val="00F0507C"/>
    <w:rsid w:val="00F2666A"/>
    <w:rsid w:val="00F31E5F"/>
    <w:rsid w:val="00F37887"/>
    <w:rsid w:val="00F60211"/>
    <w:rsid w:val="00F6100A"/>
    <w:rsid w:val="00F843FB"/>
    <w:rsid w:val="00F93781"/>
    <w:rsid w:val="00FA7D6D"/>
    <w:rsid w:val="00FB3165"/>
    <w:rsid w:val="00FB613B"/>
    <w:rsid w:val="00FC68B7"/>
    <w:rsid w:val="00FD1969"/>
    <w:rsid w:val="00FD3F98"/>
    <w:rsid w:val="00FD67D2"/>
    <w:rsid w:val="00FE106A"/>
    <w:rsid w:val="00FE3F71"/>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
    <w:rsid w:val="000646F4"/>
    <w:rPr>
      <w:rFonts w:ascii="Times New Roman" w:hAnsi="Times New Roman"/>
      <w:sz w:val="18"/>
      <w:vertAlign w:val="superscript"/>
    </w:rPr>
  </w:style>
  <w:style w:type="paragraph" w:styleId="Notedebasdepage">
    <w:name w:val="footnote text"/>
    <w:aliases w:val="5_G"/>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character" w:customStyle="1" w:styleId="NotedebasdepageCar">
    <w:name w:val="Note de bas de page Car"/>
    <w:aliases w:val="5_G Car"/>
    <w:link w:val="Notedebasdepage"/>
    <w:locked/>
    <w:rsid w:val="00F0507C"/>
    <w:rPr>
      <w:sz w:val="18"/>
      <w:lang w:val="en-GB" w:eastAsia="en-US"/>
    </w:rPr>
  </w:style>
  <w:style w:type="character" w:customStyle="1" w:styleId="SingleTxtGCar">
    <w:name w:val="_ Single Txt_G Car"/>
    <w:link w:val="SingleTxtG"/>
    <w:locked/>
    <w:rsid w:val="00F0507C"/>
    <w:rPr>
      <w:lang w:val="en-GB" w:eastAsia="en-US"/>
    </w:rPr>
  </w:style>
  <w:style w:type="character" w:customStyle="1" w:styleId="HChGChar">
    <w:name w:val="_ H _Ch_G Char"/>
    <w:link w:val="HChG"/>
    <w:uiPriority w:val="99"/>
    <w:locked/>
    <w:rsid w:val="00C45755"/>
    <w:rPr>
      <w:b/>
      <w:sz w:val="28"/>
      <w:lang w:eastAsia="en-US"/>
    </w:rPr>
  </w:style>
  <w:style w:type="paragraph" w:styleId="Textedebulles">
    <w:name w:val="Balloon Text"/>
    <w:basedOn w:val="Normal"/>
    <w:link w:val="TextedebullesCar"/>
    <w:rsid w:val="002A62E8"/>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2A62E8"/>
    <w:rPr>
      <w:rFonts w:ascii="Tahoma" w:hAnsi="Tahoma" w:cs="Tahoma"/>
      <w:sz w:val="16"/>
      <w:szCs w:val="16"/>
      <w:lang w:val="en-GB" w:eastAsia="en-US"/>
    </w:rPr>
  </w:style>
  <w:style w:type="character" w:customStyle="1" w:styleId="apple-converted-space">
    <w:name w:val="apple-converted-space"/>
    <w:basedOn w:val="Policepardfaut"/>
    <w:rsid w:val="007F5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
    <w:rsid w:val="000646F4"/>
    <w:rPr>
      <w:rFonts w:ascii="Times New Roman" w:hAnsi="Times New Roman"/>
      <w:sz w:val="18"/>
      <w:vertAlign w:val="superscript"/>
    </w:rPr>
  </w:style>
  <w:style w:type="paragraph" w:styleId="Notedebasdepage">
    <w:name w:val="footnote text"/>
    <w:aliases w:val="5_G"/>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character" w:customStyle="1" w:styleId="NotedebasdepageCar">
    <w:name w:val="Note de bas de page Car"/>
    <w:aliases w:val="5_G Car"/>
    <w:link w:val="Notedebasdepage"/>
    <w:locked/>
    <w:rsid w:val="00F0507C"/>
    <w:rPr>
      <w:sz w:val="18"/>
      <w:lang w:val="en-GB" w:eastAsia="en-US"/>
    </w:rPr>
  </w:style>
  <w:style w:type="character" w:customStyle="1" w:styleId="SingleTxtGCar">
    <w:name w:val="_ Single Txt_G Car"/>
    <w:link w:val="SingleTxtG"/>
    <w:locked/>
    <w:rsid w:val="00F0507C"/>
    <w:rPr>
      <w:lang w:val="en-GB" w:eastAsia="en-US"/>
    </w:rPr>
  </w:style>
  <w:style w:type="character" w:customStyle="1" w:styleId="HChGChar">
    <w:name w:val="_ H _Ch_G Char"/>
    <w:link w:val="HChG"/>
    <w:uiPriority w:val="99"/>
    <w:locked/>
    <w:rsid w:val="00C45755"/>
    <w:rPr>
      <w:b/>
      <w:sz w:val="28"/>
      <w:lang w:eastAsia="en-US"/>
    </w:rPr>
  </w:style>
  <w:style w:type="paragraph" w:styleId="Textedebulles">
    <w:name w:val="Balloon Text"/>
    <w:basedOn w:val="Normal"/>
    <w:link w:val="TextedebullesCar"/>
    <w:rsid w:val="002A62E8"/>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2A62E8"/>
    <w:rPr>
      <w:rFonts w:ascii="Tahoma" w:hAnsi="Tahoma" w:cs="Tahoma"/>
      <w:sz w:val="16"/>
      <w:szCs w:val="16"/>
      <w:lang w:val="en-GB" w:eastAsia="en-US"/>
    </w:rPr>
  </w:style>
  <w:style w:type="character" w:customStyle="1" w:styleId="apple-converted-space">
    <w:name w:val="apple-converted-space"/>
    <w:basedOn w:val="Policepardfaut"/>
    <w:rsid w:val="007F5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43342">
      <w:bodyDiv w:val="1"/>
      <w:marLeft w:val="0"/>
      <w:marRight w:val="0"/>
      <w:marTop w:val="0"/>
      <w:marBottom w:val="0"/>
      <w:divBdr>
        <w:top w:val="none" w:sz="0" w:space="0" w:color="auto"/>
        <w:left w:val="none" w:sz="0" w:space="0" w:color="auto"/>
        <w:bottom w:val="none" w:sz="0" w:space="0" w:color="auto"/>
        <w:right w:val="none" w:sz="0" w:space="0" w:color="auto"/>
      </w:divBdr>
    </w:div>
    <w:div w:id="843857451">
      <w:bodyDiv w:val="1"/>
      <w:marLeft w:val="0"/>
      <w:marRight w:val="0"/>
      <w:marTop w:val="0"/>
      <w:marBottom w:val="0"/>
      <w:divBdr>
        <w:top w:val="none" w:sz="0" w:space="0" w:color="auto"/>
        <w:left w:val="none" w:sz="0" w:space="0" w:color="auto"/>
        <w:bottom w:val="none" w:sz="0" w:space="0" w:color="auto"/>
        <w:right w:val="none" w:sz="0" w:space="0" w:color="auto"/>
      </w:divBdr>
    </w:div>
    <w:div w:id="1267927841">
      <w:bodyDiv w:val="1"/>
      <w:marLeft w:val="0"/>
      <w:marRight w:val="0"/>
      <w:marTop w:val="0"/>
      <w:marBottom w:val="0"/>
      <w:divBdr>
        <w:top w:val="none" w:sz="0" w:space="0" w:color="auto"/>
        <w:left w:val="none" w:sz="0" w:space="0" w:color="auto"/>
        <w:bottom w:val="none" w:sz="0" w:space="0" w:color="auto"/>
        <w:right w:val="none" w:sz="0" w:space="0" w:color="auto"/>
      </w:divBdr>
    </w:div>
    <w:div w:id="1726297452">
      <w:bodyDiv w:val="1"/>
      <w:marLeft w:val="0"/>
      <w:marRight w:val="0"/>
      <w:marTop w:val="0"/>
      <w:marBottom w:val="0"/>
      <w:divBdr>
        <w:top w:val="none" w:sz="0" w:space="0" w:color="auto"/>
        <w:left w:val="none" w:sz="0" w:space="0" w:color="auto"/>
        <w:bottom w:val="none" w:sz="0" w:space="0" w:color="auto"/>
        <w:right w:val="none" w:sz="0" w:space="0" w:color="auto"/>
      </w:divBdr>
    </w:div>
    <w:div w:id="21384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TRANS_WP15_AC1_E.dotm</Template>
  <TotalTime>1</TotalTime>
  <Pages>1</Pages>
  <Words>705</Words>
  <Characters>3878</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Sabrina Mansion</dc:creator>
  <cp:lastModifiedBy>Amend from ST/SG/AC.10/11/Rev.5/Amend.1</cp:lastModifiedBy>
  <cp:revision>4</cp:revision>
  <cp:lastPrinted>2015-11-05T08:24:00Z</cp:lastPrinted>
  <dcterms:created xsi:type="dcterms:W3CDTF">2015-11-06T13:37:00Z</dcterms:created>
  <dcterms:modified xsi:type="dcterms:W3CDTF">2015-11-06T13:40:00Z</dcterms:modified>
</cp:coreProperties>
</file>