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D8" w:rsidRPr="00F02BB3" w:rsidRDefault="003A5BD8" w:rsidP="003A5BD8">
      <w:pPr>
        <w:spacing w:before="120" w:after="0" w:line="240" w:lineRule="atLeast"/>
        <w:rPr>
          <w:b/>
          <w:bCs/>
          <w:sz w:val="28"/>
          <w:szCs w:val="28"/>
        </w:rPr>
      </w:pPr>
      <w:r w:rsidRPr="00F02BB3">
        <w:rPr>
          <w:b/>
          <w:bCs/>
          <w:noProof/>
          <w:sz w:val="28"/>
          <w:szCs w:val="28"/>
        </w:rPr>
        <w:t>Economic Commission for Europe</w:t>
      </w:r>
    </w:p>
    <w:p w:rsidR="003A5BD8" w:rsidRPr="00F02BB3" w:rsidRDefault="003A5BD8" w:rsidP="003A5BD8">
      <w:pPr>
        <w:spacing w:before="120" w:after="0" w:line="240" w:lineRule="atLeast"/>
        <w:rPr>
          <w:sz w:val="28"/>
          <w:szCs w:val="28"/>
        </w:rPr>
      </w:pPr>
      <w:r w:rsidRPr="00F02BB3">
        <w:rPr>
          <w:noProof/>
          <w:sz w:val="28"/>
          <w:szCs w:val="28"/>
        </w:rPr>
        <w:t>Inland Transport Committee</w:t>
      </w:r>
    </w:p>
    <w:p w:rsidR="003A5BD8" w:rsidRPr="00F02BB3" w:rsidRDefault="003A5BD8" w:rsidP="003A5BD8">
      <w:pPr>
        <w:tabs>
          <w:tab w:val="right" w:pos="9639"/>
        </w:tabs>
        <w:spacing w:before="120" w:after="0" w:line="240" w:lineRule="atLeast"/>
        <w:rPr>
          <w:b/>
          <w:bCs/>
        </w:rPr>
      </w:pPr>
      <w:r w:rsidRPr="00F02BB3">
        <w:rPr>
          <w:b/>
          <w:bCs/>
          <w:noProof/>
        </w:rPr>
        <w:t>Working Party on the Transport of Dangerous Goods</w:t>
      </w:r>
    </w:p>
    <w:p w:rsidR="003A5BD8" w:rsidRPr="00F02BB3" w:rsidRDefault="003A5BD8" w:rsidP="003A5BD8">
      <w:pPr>
        <w:spacing w:before="120" w:after="0" w:line="240" w:lineRule="atLeast"/>
        <w:rPr>
          <w:b/>
          <w:bCs/>
          <w:sz w:val="20"/>
          <w:szCs w:val="20"/>
        </w:rPr>
      </w:pPr>
      <w:r w:rsidRPr="00F02BB3">
        <w:rPr>
          <w:b/>
          <w:bCs/>
          <w:noProof/>
          <w:sz w:val="20"/>
          <w:szCs w:val="20"/>
        </w:rPr>
        <w:t>Ninety-</w:t>
      </w:r>
      <w:r w:rsidR="005E0EFB">
        <w:rPr>
          <w:b/>
          <w:bCs/>
          <w:noProof/>
          <w:sz w:val="20"/>
          <w:szCs w:val="20"/>
        </w:rPr>
        <w:t>ninth</w:t>
      </w:r>
      <w:r w:rsidRPr="00F02BB3">
        <w:rPr>
          <w:b/>
          <w:bCs/>
          <w:noProof/>
          <w:sz w:val="20"/>
          <w:szCs w:val="20"/>
        </w:rPr>
        <w:t xml:space="preserve"> session</w:t>
      </w:r>
      <w:r w:rsidRPr="00F02BB3">
        <w:rPr>
          <w:b/>
          <w:bCs/>
          <w:sz w:val="20"/>
          <w:szCs w:val="20"/>
        </w:rPr>
        <w:t xml:space="preserve"> </w:t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 w:rsidR="00BF321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825AA">
        <w:rPr>
          <w:b/>
          <w:bCs/>
          <w:sz w:val="20"/>
          <w:szCs w:val="20"/>
        </w:rPr>
        <w:t xml:space="preserve">5 </w:t>
      </w:r>
      <w:r w:rsidR="004F7131">
        <w:rPr>
          <w:b/>
          <w:bCs/>
          <w:sz w:val="20"/>
          <w:szCs w:val="20"/>
        </w:rPr>
        <w:t>November</w:t>
      </w:r>
      <w:r w:rsidR="00F50600">
        <w:rPr>
          <w:b/>
          <w:bCs/>
          <w:sz w:val="20"/>
          <w:szCs w:val="20"/>
        </w:rPr>
        <w:t xml:space="preserve"> </w:t>
      </w:r>
      <w:r w:rsidR="00B116DA">
        <w:rPr>
          <w:b/>
          <w:sz w:val="20"/>
          <w:szCs w:val="20"/>
        </w:rPr>
        <w:t>2015</w:t>
      </w:r>
    </w:p>
    <w:p w:rsidR="003A5BD8" w:rsidRPr="00F02BB3" w:rsidRDefault="003A5BD8" w:rsidP="003A5BD8">
      <w:pPr>
        <w:spacing w:after="0"/>
        <w:rPr>
          <w:sz w:val="20"/>
          <w:szCs w:val="20"/>
        </w:rPr>
      </w:pPr>
      <w:r w:rsidRPr="00F02BB3">
        <w:rPr>
          <w:sz w:val="20"/>
          <w:szCs w:val="20"/>
        </w:rPr>
        <w:t xml:space="preserve">Geneva, </w:t>
      </w:r>
      <w:r w:rsidR="00A91916">
        <w:rPr>
          <w:sz w:val="20"/>
          <w:szCs w:val="20"/>
        </w:rPr>
        <w:t>9</w:t>
      </w:r>
      <w:r w:rsidR="00B116DA">
        <w:rPr>
          <w:sz w:val="20"/>
          <w:szCs w:val="20"/>
        </w:rPr>
        <w:t>-</w:t>
      </w:r>
      <w:r w:rsidR="00A91916">
        <w:rPr>
          <w:sz w:val="20"/>
          <w:szCs w:val="20"/>
        </w:rPr>
        <w:t>13</w:t>
      </w:r>
      <w:r w:rsidR="00B116DA">
        <w:rPr>
          <w:sz w:val="20"/>
          <w:szCs w:val="20"/>
        </w:rPr>
        <w:t xml:space="preserve"> </w:t>
      </w:r>
      <w:r w:rsidR="00A91916">
        <w:rPr>
          <w:sz w:val="20"/>
          <w:szCs w:val="20"/>
        </w:rPr>
        <w:t>November</w:t>
      </w:r>
      <w:r w:rsidR="00B116DA">
        <w:rPr>
          <w:sz w:val="20"/>
          <w:szCs w:val="20"/>
        </w:rPr>
        <w:t xml:space="preserve"> 2015</w:t>
      </w:r>
    </w:p>
    <w:p w:rsidR="003A5BD8" w:rsidRDefault="003A5BD8" w:rsidP="003A5BD8">
      <w:pPr>
        <w:spacing w:after="0"/>
        <w:rPr>
          <w:bCs/>
          <w:noProof/>
          <w:sz w:val="20"/>
          <w:szCs w:val="20"/>
        </w:rPr>
      </w:pPr>
      <w:r w:rsidRPr="00D22F04">
        <w:rPr>
          <w:sz w:val="20"/>
          <w:szCs w:val="20"/>
        </w:rPr>
        <w:t>Item</w:t>
      </w:r>
      <w:r w:rsidR="009213E0" w:rsidRPr="00D22F04">
        <w:rPr>
          <w:sz w:val="20"/>
          <w:szCs w:val="20"/>
        </w:rPr>
        <w:t xml:space="preserve"> </w:t>
      </w:r>
      <w:r w:rsidR="00757AF5">
        <w:rPr>
          <w:sz w:val="20"/>
          <w:szCs w:val="20"/>
        </w:rPr>
        <w:t>5</w:t>
      </w:r>
      <w:r w:rsidRPr="00D22F04">
        <w:rPr>
          <w:sz w:val="20"/>
          <w:szCs w:val="20"/>
        </w:rPr>
        <w:t xml:space="preserve"> of the provisional agenda</w:t>
      </w:r>
      <w:r w:rsidRPr="00D22F04">
        <w:rPr>
          <w:sz w:val="20"/>
          <w:szCs w:val="20"/>
        </w:rPr>
        <w:br/>
      </w:r>
      <w:r w:rsidR="00757AF5" w:rsidRPr="00757AF5">
        <w:rPr>
          <w:b/>
          <w:sz w:val="20"/>
          <w:szCs w:val="20"/>
        </w:rPr>
        <w:t>Work of the RID/ADR/ADN Joint Meeting</w:t>
      </w:r>
    </w:p>
    <w:p w:rsidR="007F29A4" w:rsidRPr="007D4221" w:rsidRDefault="003A5BD8" w:rsidP="007F29A4">
      <w:pPr>
        <w:pStyle w:val="HChG"/>
      </w:pPr>
      <w:r w:rsidRPr="00F02BB3">
        <w:tab/>
      </w:r>
      <w:r w:rsidRPr="00F02BB3">
        <w:tab/>
      </w:r>
      <w:r w:rsidR="00B87A3D">
        <w:t>Use of “vehicle” and “transport unit” in 8.1.4 and 8.1.5 ADR</w:t>
      </w:r>
    </w:p>
    <w:p w:rsidR="007F29A4" w:rsidRPr="007D4221" w:rsidRDefault="007F29A4" w:rsidP="007F29A4">
      <w:pPr>
        <w:pStyle w:val="H1G"/>
      </w:pPr>
      <w:r w:rsidRPr="007D4221">
        <w:tab/>
      </w:r>
      <w:r w:rsidRPr="007D4221">
        <w:tab/>
        <w:t xml:space="preserve">Transmitted by the Government of </w:t>
      </w:r>
      <w:r w:rsidR="004F7131">
        <w:t>Austria</w:t>
      </w:r>
    </w:p>
    <w:p w:rsidR="007F29A4" w:rsidRPr="007D4221" w:rsidRDefault="007F29A4" w:rsidP="007F29A4">
      <w:pPr>
        <w:pStyle w:val="HChG"/>
      </w:pPr>
      <w:r w:rsidRPr="007D4221">
        <w:tab/>
      </w:r>
      <w:r w:rsidRPr="007D4221">
        <w:tab/>
        <w:t>Introduction</w:t>
      </w:r>
    </w:p>
    <w:p w:rsidR="004F7131" w:rsidRDefault="004F7131" w:rsidP="00536D51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In the last session of the Joint meeting (September 201</w:t>
      </w:r>
      <w:r w:rsidR="008F351E">
        <w:rPr>
          <w:sz w:val="20"/>
          <w:szCs w:val="20"/>
        </w:rPr>
        <w:t>5</w:t>
      </w:r>
      <w:r>
        <w:rPr>
          <w:sz w:val="20"/>
          <w:szCs w:val="20"/>
        </w:rPr>
        <w:t xml:space="preserve">) the following amendment </w:t>
      </w:r>
      <w:r w:rsidR="00917824">
        <w:rPr>
          <w:sz w:val="20"/>
          <w:szCs w:val="20"/>
        </w:rPr>
        <w:t xml:space="preserve">of ADR </w:t>
      </w:r>
      <w:r>
        <w:rPr>
          <w:sz w:val="20"/>
          <w:szCs w:val="20"/>
        </w:rPr>
        <w:t xml:space="preserve">was </w:t>
      </w:r>
      <w:proofErr w:type="gramStart"/>
      <w:r>
        <w:rPr>
          <w:sz w:val="20"/>
          <w:szCs w:val="20"/>
        </w:rPr>
        <w:t>adopted</w:t>
      </w:r>
      <w:r w:rsidR="00917824">
        <w:rPr>
          <w:sz w:val="20"/>
          <w:szCs w:val="20"/>
        </w:rPr>
        <w:t xml:space="preserve">  (</w:t>
      </w:r>
      <w:proofErr w:type="gramEnd"/>
      <w:r w:rsidR="00917824">
        <w:rPr>
          <w:sz w:val="20"/>
          <w:szCs w:val="20"/>
        </w:rPr>
        <w:t xml:space="preserve">see also: </w:t>
      </w:r>
      <w:proofErr w:type="spellStart"/>
      <w:r w:rsidR="00917824">
        <w:rPr>
          <w:sz w:val="20"/>
          <w:szCs w:val="20"/>
        </w:rPr>
        <w:t>Inf</w:t>
      </w:r>
      <w:proofErr w:type="spellEnd"/>
      <w:r w:rsidR="00917824">
        <w:rPr>
          <w:sz w:val="20"/>
          <w:szCs w:val="20"/>
        </w:rPr>
        <w:t xml:space="preserve">  9, note by the secretariat, p. 54):</w:t>
      </w:r>
    </w:p>
    <w:p w:rsidR="004F7131" w:rsidRPr="00B87A3D" w:rsidRDefault="004F7131" w:rsidP="004F7131">
      <w:pPr>
        <w:pStyle w:val="SingleTxtG"/>
        <w:rPr>
          <w:i/>
          <w:sz w:val="20"/>
        </w:rPr>
      </w:pPr>
      <w:r w:rsidRPr="00B87A3D">
        <w:rPr>
          <w:i/>
          <w:sz w:val="20"/>
        </w:rPr>
        <w:t>5.4.3.4</w:t>
      </w:r>
      <w:r w:rsidRPr="00B87A3D">
        <w:rPr>
          <w:i/>
          <w:sz w:val="20"/>
        </w:rPr>
        <w:tab/>
      </w:r>
      <w:r w:rsidRPr="00B87A3D">
        <w:rPr>
          <w:i/>
          <w:sz w:val="20"/>
        </w:rPr>
        <w:tab/>
        <w:t>In the fourth page of the model of the Instruction in writing, in the heading after the Table, replace "</w:t>
      </w:r>
      <w:r w:rsidRPr="00B87A3D">
        <w:rPr>
          <w:b/>
          <w:i/>
          <w:sz w:val="20"/>
        </w:rPr>
        <w:t>vehicle</w:t>
      </w:r>
      <w:r w:rsidRPr="00B87A3D">
        <w:rPr>
          <w:i/>
          <w:sz w:val="20"/>
        </w:rPr>
        <w:t>" by "</w:t>
      </w:r>
      <w:r w:rsidRPr="00B87A3D">
        <w:rPr>
          <w:b/>
          <w:i/>
          <w:sz w:val="20"/>
        </w:rPr>
        <w:t>transport unit</w:t>
      </w:r>
      <w:r w:rsidRPr="00B87A3D">
        <w:rPr>
          <w:i/>
          <w:sz w:val="20"/>
        </w:rPr>
        <w:t>".</w:t>
      </w:r>
    </w:p>
    <w:p w:rsidR="004F7131" w:rsidRPr="004F7131" w:rsidRDefault="004F7131" w:rsidP="004F7131">
      <w:pPr>
        <w:pStyle w:val="SingleTxtG"/>
        <w:rPr>
          <w:sz w:val="16"/>
          <w:szCs w:val="20"/>
        </w:rPr>
      </w:pPr>
      <w:r w:rsidRPr="00B87A3D">
        <w:rPr>
          <w:i/>
          <w:sz w:val="20"/>
        </w:rPr>
        <w:t>(Reference document: ECE/TRANS/WP.15/AC.1/140/Add.1)</w:t>
      </w:r>
    </w:p>
    <w:p w:rsidR="00A61FC0" w:rsidRDefault="00917824" w:rsidP="00536D51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proofErr w:type="gramStart"/>
      <w:r w:rsidR="008F351E">
        <w:rPr>
          <w:sz w:val="20"/>
          <w:szCs w:val="20"/>
        </w:rPr>
        <w:t>During</w:t>
      </w:r>
      <w:proofErr w:type="gramEnd"/>
      <w:r w:rsidR="008F351E">
        <w:rPr>
          <w:sz w:val="20"/>
          <w:szCs w:val="20"/>
        </w:rPr>
        <w:t xml:space="preserve"> the discussion about this proposed amendment (Document </w:t>
      </w:r>
      <w:r w:rsidR="008F351E" w:rsidRPr="00B87A3D">
        <w:rPr>
          <w:sz w:val="20"/>
          <w:szCs w:val="20"/>
        </w:rPr>
        <w:t>ECE/TRANS/WP.15/AC.1/2015/35</w:t>
      </w:r>
      <w:r w:rsidR="008F351E">
        <w:rPr>
          <w:sz w:val="20"/>
          <w:szCs w:val="20"/>
        </w:rPr>
        <w:t xml:space="preserve"> of the joint meeting in Sept.2014, transmitted by the </w:t>
      </w:r>
      <w:r w:rsidR="008F351E" w:rsidRPr="00B87A3D">
        <w:rPr>
          <w:sz w:val="20"/>
          <w:szCs w:val="20"/>
        </w:rPr>
        <w:t>Government of Romania</w:t>
      </w:r>
      <w:r w:rsidR="008F351E">
        <w:rPr>
          <w:sz w:val="20"/>
          <w:szCs w:val="20"/>
        </w:rPr>
        <w:t>)</w:t>
      </w:r>
      <w:r w:rsidR="00A61FC0">
        <w:rPr>
          <w:sz w:val="20"/>
          <w:szCs w:val="20"/>
        </w:rPr>
        <w:t xml:space="preserve"> a discussion about the application of “vehicle”</w:t>
      </w:r>
      <w:r w:rsidR="008F351E">
        <w:rPr>
          <w:sz w:val="20"/>
          <w:szCs w:val="20"/>
        </w:rPr>
        <w:t xml:space="preserve"> and </w:t>
      </w:r>
      <w:r w:rsidR="00A61FC0">
        <w:rPr>
          <w:sz w:val="20"/>
          <w:szCs w:val="20"/>
        </w:rPr>
        <w:t xml:space="preserve">“transport unit” took place. </w:t>
      </w:r>
    </w:p>
    <w:p w:rsidR="008F351E" w:rsidRDefault="00A61FC0" w:rsidP="00536D51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T</w:t>
      </w:r>
      <w:r w:rsidR="008F351E">
        <w:rPr>
          <w:sz w:val="20"/>
          <w:szCs w:val="20"/>
        </w:rPr>
        <w:t>he report</w:t>
      </w:r>
      <w:r>
        <w:rPr>
          <w:sz w:val="20"/>
          <w:szCs w:val="20"/>
        </w:rPr>
        <w:t xml:space="preserve"> (</w:t>
      </w:r>
      <w:r w:rsidRPr="00A61FC0">
        <w:rPr>
          <w:sz w:val="20"/>
          <w:szCs w:val="20"/>
        </w:rPr>
        <w:t>ECE/TRANS/WP.15/AC.1/140</w:t>
      </w:r>
      <w:r>
        <w:rPr>
          <w:sz w:val="20"/>
          <w:szCs w:val="20"/>
        </w:rPr>
        <w:t>, Par. 55)</w:t>
      </w:r>
      <w:r w:rsidRPr="00A61FC0">
        <w:rPr>
          <w:sz w:val="20"/>
          <w:szCs w:val="20"/>
        </w:rPr>
        <w:t xml:space="preserve"> </w:t>
      </w:r>
      <w:r w:rsidR="008F351E">
        <w:rPr>
          <w:sz w:val="20"/>
          <w:szCs w:val="20"/>
        </w:rPr>
        <w:t>cites</w:t>
      </w:r>
      <w:r>
        <w:rPr>
          <w:sz w:val="20"/>
          <w:szCs w:val="20"/>
        </w:rPr>
        <w:t>:</w:t>
      </w:r>
    </w:p>
    <w:p w:rsidR="008F351E" w:rsidRPr="008F351E" w:rsidRDefault="008F351E" w:rsidP="00536D51">
      <w:pPr>
        <w:pStyle w:val="SingleTxtG"/>
        <w:rPr>
          <w:i/>
          <w:sz w:val="20"/>
          <w:szCs w:val="20"/>
        </w:rPr>
      </w:pPr>
      <w:r w:rsidRPr="008F351E">
        <w:rPr>
          <w:i/>
          <w:sz w:val="20"/>
          <w:szCs w:val="20"/>
        </w:rPr>
        <w:t xml:space="preserve">Some comments were made as to whether it was appropriate to choose the terms “vehicle” and “transport unit” for the </w:t>
      </w:r>
      <w:r w:rsidRPr="008F351E">
        <w:rPr>
          <w:b/>
          <w:i/>
          <w:sz w:val="20"/>
          <w:szCs w:val="20"/>
        </w:rPr>
        <w:t>class specific equipment in sections 8.1.4 and 8.1.5</w:t>
      </w:r>
      <w:r w:rsidRPr="008F351E">
        <w:rPr>
          <w:i/>
          <w:sz w:val="20"/>
          <w:szCs w:val="20"/>
        </w:rPr>
        <w:t xml:space="preserve"> of ADR. The Joint Meeting welcomed a proposal by the representative of Austria to submit an informal document on that question at the next session of WP.15.</w:t>
      </w:r>
    </w:p>
    <w:p w:rsidR="00917824" w:rsidRPr="00917824" w:rsidRDefault="00AD0448" w:rsidP="00AD0448">
      <w:pPr>
        <w:pStyle w:val="H1G"/>
        <w:rPr>
          <w:sz w:val="20"/>
          <w:szCs w:val="20"/>
        </w:rPr>
      </w:pPr>
      <w:r>
        <w:tab/>
      </w:r>
      <w:r>
        <w:tab/>
      </w:r>
      <w:r w:rsidR="00D52211">
        <w:t xml:space="preserve">Section 8.1.4 ADR / </w:t>
      </w:r>
      <w:r w:rsidR="00D52211" w:rsidRPr="00D52211">
        <w:t>Fire-fighting equipment</w:t>
      </w:r>
    </w:p>
    <w:p w:rsidR="00D52211" w:rsidRDefault="00D52211" w:rsidP="00536D51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The term “transport unit” is used </w:t>
      </w:r>
      <w:r w:rsidR="003E4B3D">
        <w:rPr>
          <w:sz w:val="20"/>
          <w:szCs w:val="20"/>
        </w:rPr>
        <w:t>in connection with:</w:t>
      </w:r>
    </w:p>
    <w:p w:rsidR="003E4B3D" w:rsidRDefault="003E4B3D" w:rsidP="003E4B3D">
      <w:pPr>
        <w:pStyle w:val="SingleTxtG"/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r w:rsidRPr="003E4B3D">
        <w:rPr>
          <w:sz w:val="20"/>
          <w:szCs w:val="20"/>
        </w:rPr>
        <w:t>minimum provisions</w:t>
      </w:r>
      <w:r>
        <w:rPr>
          <w:sz w:val="20"/>
          <w:szCs w:val="20"/>
        </w:rPr>
        <w:t xml:space="preserve"> of </w:t>
      </w:r>
      <w:r w:rsidRPr="003E4B3D">
        <w:rPr>
          <w:sz w:val="20"/>
          <w:szCs w:val="20"/>
        </w:rPr>
        <w:t>portable fire extinguishers</w:t>
      </w:r>
      <w:r>
        <w:rPr>
          <w:sz w:val="20"/>
          <w:szCs w:val="20"/>
        </w:rPr>
        <w:t>.</w:t>
      </w:r>
    </w:p>
    <w:p w:rsidR="00D52211" w:rsidRDefault="003E4B3D" w:rsidP="003E4B3D">
      <w:pPr>
        <w:pStyle w:val="SingleTxtG"/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table  (maximum mass of the transport unit, minimum capacity, minimum mass of the extinguishing m</w:t>
      </w:r>
      <w:r w:rsidRPr="003E4B3D">
        <w:rPr>
          <w:sz w:val="20"/>
          <w:szCs w:val="20"/>
        </w:rPr>
        <w:t xml:space="preserve">edia </w:t>
      </w:r>
      <w:r>
        <w:rPr>
          <w:sz w:val="20"/>
          <w:szCs w:val="20"/>
        </w:rPr>
        <w:t>).</w:t>
      </w:r>
    </w:p>
    <w:p w:rsidR="003E4B3D" w:rsidRDefault="003E4B3D" w:rsidP="003E4B3D">
      <w:pPr>
        <w:pStyle w:val="SingleTxtG"/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</w:t>
      </w:r>
      <w:r w:rsidRPr="003E4B3D">
        <w:rPr>
          <w:sz w:val="20"/>
          <w:szCs w:val="20"/>
        </w:rPr>
        <w:t>ire-fighting equipment</w:t>
      </w:r>
      <w:r>
        <w:rPr>
          <w:sz w:val="20"/>
          <w:szCs w:val="20"/>
        </w:rPr>
        <w:t xml:space="preserve"> in connection with 1.1.3.6 ADR.</w:t>
      </w:r>
    </w:p>
    <w:p w:rsidR="003E4B3D" w:rsidRDefault="003E4B3D" w:rsidP="003E4B3D">
      <w:pPr>
        <w:pStyle w:val="SingleTxtG"/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r w:rsidRPr="003E4B3D">
        <w:rPr>
          <w:sz w:val="20"/>
          <w:szCs w:val="20"/>
        </w:rPr>
        <w:t>accessibility</w:t>
      </w:r>
      <w:r>
        <w:rPr>
          <w:sz w:val="20"/>
          <w:szCs w:val="20"/>
        </w:rPr>
        <w:t xml:space="preserve"> and the installation of the f</w:t>
      </w:r>
      <w:r w:rsidRPr="003E4B3D">
        <w:rPr>
          <w:sz w:val="20"/>
          <w:szCs w:val="20"/>
        </w:rPr>
        <w:t>ire-fighting equipment</w:t>
      </w:r>
      <w:r w:rsidR="00C74CEA">
        <w:rPr>
          <w:sz w:val="20"/>
          <w:szCs w:val="20"/>
        </w:rPr>
        <w:t xml:space="preserve"> for the vehicle crew.</w:t>
      </w:r>
    </w:p>
    <w:p w:rsidR="00C74CEA" w:rsidRDefault="00C74CEA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The term “vehicle” is used in connection with:</w:t>
      </w:r>
    </w:p>
    <w:p w:rsidR="00C74CEA" w:rsidRDefault="00C74CEA" w:rsidP="00C74CEA">
      <w:pPr>
        <w:pStyle w:val="SingleTxtG"/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 w:rsidRPr="00C74CEA">
        <w:rPr>
          <w:sz w:val="20"/>
          <w:szCs w:val="20"/>
        </w:rPr>
        <w:t>suitability</w:t>
      </w:r>
      <w:proofErr w:type="gramEnd"/>
      <w:r>
        <w:rPr>
          <w:sz w:val="20"/>
          <w:szCs w:val="20"/>
        </w:rPr>
        <w:t xml:space="preserve"> of the </w:t>
      </w:r>
      <w:r w:rsidR="00D1373F">
        <w:rPr>
          <w:sz w:val="20"/>
          <w:szCs w:val="20"/>
        </w:rPr>
        <w:t>f</w:t>
      </w:r>
      <w:r w:rsidRPr="00C74CEA">
        <w:rPr>
          <w:sz w:val="20"/>
          <w:szCs w:val="20"/>
        </w:rPr>
        <w:t>ire-fighting equipment</w:t>
      </w:r>
      <w:r>
        <w:rPr>
          <w:sz w:val="20"/>
          <w:szCs w:val="20"/>
        </w:rPr>
        <w:t>.</w:t>
      </w:r>
    </w:p>
    <w:p w:rsidR="00C74CEA" w:rsidRDefault="00C74CEA" w:rsidP="00C74CEA">
      <w:pPr>
        <w:pStyle w:val="SingleTxtG"/>
        <w:ind w:left="1701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possibil</w:t>
      </w:r>
      <w:r w:rsidR="00D1373F">
        <w:rPr>
          <w:sz w:val="20"/>
          <w:szCs w:val="20"/>
        </w:rPr>
        <w:t xml:space="preserve">ity of fixed and /or automatic </w:t>
      </w:r>
      <w:r w:rsidRPr="00C74CEA">
        <w:rPr>
          <w:sz w:val="20"/>
          <w:szCs w:val="20"/>
        </w:rPr>
        <w:t>fire extinguisher</w:t>
      </w:r>
      <w:r>
        <w:rPr>
          <w:sz w:val="20"/>
          <w:szCs w:val="20"/>
        </w:rPr>
        <w:t>.</w:t>
      </w:r>
    </w:p>
    <w:p w:rsidR="00C74CEA" w:rsidRDefault="00C74CEA" w:rsidP="00C74CEA">
      <w:pPr>
        <w:pStyle w:val="SingleTxtG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The choose</w:t>
      </w:r>
      <w:proofErr w:type="gramEnd"/>
      <w:r>
        <w:rPr>
          <w:sz w:val="20"/>
          <w:szCs w:val="20"/>
        </w:rPr>
        <w:t xml:space="preserve"> of vehicle and transport unit is in accordance with the with the goal of the </w:t>
      </w:r>
      <w:r w:rsidR="008F351E">
        <w:rPr>
          <w:sz w:val="20"/>
          <w:szCs w:val="20"/>
        </w:rPr>
        <w:t>demanded actions</w:t>
      </w:r>
      <w:r>
        <w:rPr>
          <w:sz w:val="20"/>
          <w:szCs w:val="20"/>
        </w:rPr>
        <w:t>.</w:t>
      </w:r>
    </w:p>
    <w:p w:rsidR="00C74CEA" w:rsidRDefault="00AD0448" w:rsidP="00AD0448">
      <w:pPr>
        <w:pStyle w:val="H1G"/>
        <w:rPr>
          <w:sz w:val="20"/>
        </w:rPr>
      </w:pPr>
      <w:r>
        <w:tab/>
      </w:r>
      <w:r>
        <w:tab/>
      </w:r>
      <w:r w:rsidR="001F7C64" w:rsidRPr="001F7C64">
        <w:t>Section 8.1.</w:t>
      </w:r>
      <w:r w:rsidR="001F7C64">
        <w:t>5</w:t>
      </w:r>
      <w:r w:rsidR="001F7C64" w:rsidRPr="001F7C64">
        <w:t xml:space="preserve"> ADR / Miscellaneous equipment and equipment for personal protection</w:t>
      </w:r>
    </w:p>
    <w:p w:rsidR="001F7C64" w:rsidRDefault="001F7C64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The general equipment (8.1.5.2 ADR) is correlated with the transport unit. Only the description of the </w:t>
      </w:r>
      <w:r w:rsidRPr="001F7C64">
        <w:rPr>
          <w:sz w:val="20"/>
          <w:szCs w:val="20"/>
        </w:rPr>
        <w:t>wheel chock</w:t>
      </w:r>
      <w:r>
        <w:rPr>
          <w:sz w:val="20"/>
          <w:szCs w:val="20"/>
        </w:rPr>
        <w:t xml:space="preserve"> is </w:t>
      </w:r>
      <w:r w:rsidR="00460DCC">
        <w:rPr>
          <w:sz w:val="20"/>
          <w:szCs w:val="20"/>
        </w:rPr>
        <w:t>relation</w:t>
      </w:r>
      <w:r>
        <w:rPr>
          <w:sz w:val="20"/>
          <w:szCs w:val="20"/>
        </w:rPr>
        <w:t xml:space="preserve"> to the vehicle.</w:t>
      </w:r>
    </w:p>
    <w:p w:rsidR="008F351E" w:rsidRDefault="008F351E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 xml:space="preserve">The application </w:t>
      </w:r>
      <w:proofErr w:type="gramStart"/>
      <w:r>
        <w:rPr>
          <w:sz w:val="20"/>
          <w:szCs w:val="20"/>
        </w:rPr>
        <w:t>of  “</w:t>
      </w:r>
      <w:proofErr w:type="gramEnd"/>
      <w:r>
        <w:rPr>
          <w:sz w:val="20"/>
          <w:szCs w:val="20"/>
        </w:rPr>
        <w:t xml:space="preserve">vehicle” and “transport unit” is useful. </w:t>
      </w:r>
    </w:p>
    <w:p w:rsidR="001F7C64" w:rsidRDefault="001F7C64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3522A3">
        <w:rPr>
          <w:sz w:val="20"/>
          <w:szCs w:val="20"/>
        </w:rPr>
        <w:t xml:space="preserve">In 8.1.5.3 is the additional equipment for certain classes regulated. For </w:t>
      </w:r>
      <w:r w:rsidR="00460DCC">
        <w:rPr>
          <w:sz w:val="20"/>
          <w:szCs w:val="20"/>
        </w:rPr>
        <w:t>g</w:t>
      </w:r>
      <w:r w:rsidR="003522A3">
        <w:rPr>
          <w:sz w:val="20"/>
          <w:szCs w:val="20"/>
        </w:rPr>
        <w:t>oods</w:t>
      </w:r>
      <w:r w:rsidR="00460DCC">
        <w:rPr>
          <w:sz w:val="20"/>
          <w:szCs w:val="20"/>
        </w:rPr>
        <w:t xml:space="preserve"> with toxic properties (c</w:t>
      </w:r>
      <w:r w:rsidR="003522A3">
        <w:rPr>
          <w:sz w:val="20"/>
          <w:szCs w:val="20"/>
        </w:rPr>
        <w:t xml:space="preserve">lass 2.3 and 6.1) an additional </w:t>
      </w:r>
      <w:r w:rsidR="003522A3" w:rsidRPr="003522A3">
        <w:rPr>
          <w:sz w:val="20"/>
          <w:szCs w:val="20"/>
        </w:rPr>
        <w:t xml:space="preserve">emergency </w:t>
      </w:r>
      <w:r w:rsidR="00CC0574">
        <w:rPr>
          <w:sz w:val="20"/>
          <w:szCs w:val="20"/>
        </w:rPr>
        <w:t xml:space="preserve">escape </w:t>
      </w:r>
      <w:r w:rsidR="003522A3" w:rsidRPr="003522A3">
        <w:rPr>
          <w:sz w:val="20"/>
          <w:szCs w:val="20"/>
        </w:rPr>
        <w:t>escape mask</w:t>
      </w:r>
      <w:r w:rsidR="003522A3">
        <w:rPr>
          <w:sz w:val="20"/>
          <w:szCs w:val="20"/>
        </w:rPr>
        <w:t xml:space="preserve"> for the vehicle crew is necessary. This mask /</w:t>
      </w:r>
      <w:r w:rsidR="00D1373F">
        <w:rPr>
          <w:sz w:val="20"/>
          <w:szCs w:val="20"/>
        </w:rPr>
        <w:t xml:space="preserve"> </w:t>
      </w:r>
      <w:r w:rsidR="003522A3">
        <w:rPr>
          <w:sz w:val="20"/>
          <w:szCs w:val="20"/>
        </w:rPr>
        <w:t xml:space="preserve">masks </w:t>
      </w:r>
      <w:r w:rsidR="009C5AA5">
        <w:rPr>
          <w:sz w:val="20"/>
          <w:szCs w:val="20"/>
        </w:rPr>
        <w:t>have</w:t>
      </w:r>
      <w:r w:rsidR="003522A3">
        <w:rPr>
          <w:sz w:val="20"/>
          <w:szCs w:val="20"/>
        </w:rPr>
        <w:t xml:space="preserve"> to be carried on board of the vehicle marked with placards 2.3 </w:t>
      </w:r>
      <w:proofErr w:type="gramStart"/>
      <w:r w:rsidR="003522A3">
        <w:rPr>
          <w:sz w:val="20"/>
          <w:szCs w:val="20"/>
        </w:rPr>
        <w:t>od</w:t>
      </w:r>
      <w:proofErr w:type="gramEnd"/>
      <w:r w:rsidR="003522A3">
        <w:rPr>
          <w:sz w:val="20"/>
          <w:szCs w:val="20"/>
        </w:rPr>
        <w:t xml:space="preserve"> 6.1.</w:t>
      </w:r>
    </w:p>
    <w:p w:rsidR="003522A3" w:rsidRDefault="003522A3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If on</w:t>
      </w:r>
      <w:r w:rsidR="009C5AA5">
        <w:rPr>
          <w:sz w:val="20"/>
          <w:szCs w:val="20"/>
        </w:rPr>
        <w:t>e</w:t>
      </w:r>
      <w:r>
        <w:rPr>
          <w:sz w:val="20"/>
          <w:szCs w:val="20"/>
        </w:rPr>
        <w:t xml:space="preserve"> imagine a lorry </w:t>
      </w:r>
      <w:r w:rsidR="009C5AA5">
        <w:rPr>
          <w:sz w:val="20"/>
          <w:szCs w:val="20"/>
        </w:rPr>
        <w:t xml:space="preserve">with a trailer. Only the trailer is marked with class 2.3 or 6.1. In accordance with 8.1.5.3 are the emergency </w:t>
      </w:r>
      <w:r w:rsidR="008877CC">
        <w:rPr>
          <w:sz w:val="20"/>
          <w:szCs w:val="20"/>
        </w:rPr>
        <w:t xml:space="preserve">escape </w:t>
      </w:r>
      <w:r w:rsidR="009C5AA5">
        <w:rPr>
          <w:sz w:val="20"/>
          <w:szCs w:val="20"/>
        </w:rPr>
        <w:t xml:space="preserve">masks on board the vehicle with placards 2.3 or 6.1, this is the trailer. It is </w:t>
      </w:r>
      <w:r w:rsidR="009C5AA5" w:rsidRPr="009C5AA5">
        <w:rPr>
          <w:sz w:val="20"/>
          <w:szCs w:val="20"/>
        </w:rPr>
        <w:t>obviously</w:t>
      </w:r>
      <w:r w:rsidR="009C5AA5">
        <w:rPr>
          <w:sz w:val="20"/>
          <w:szCs w:val="20"/>
        </w:rPr>
        <w:t xml:space="preserve"> more usefully </w:t>
      </w:r>
      <w:r w:rsidR="00460DCC">
        <w:rPr>
          <w:sz w:val="20"/>
          <w:szCs w:val="20"/>
        </w:rPr>
        <w:t xml:space="preserve">that </w:t>
      </w:r>
      <w:r w:rsidR="009C5AA5">
        <w:rPr>
          <w:sz w:val="20"/>
          <w:szCs w:val="20"/>
        </w:rPr>
        <w:t>the masks are in close distance the vehicle crew (in the lorry).</w:t>
      </w:r>
    </w:p>
    <w:p w:rsidR="009C5AA5" w:rsidRDefault="009C5AA5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Therefore is the term “vehicle” in connection with the necessity </w:t>
      </w:r>
      <w:r w:rsidR="00B21132">
        <w:rPr>
          <w:sz w:val="20"/>
          <w:szCs w:val="20"/>
        </w:rPr>
        <w:t>of emergency masks not useful and should be replaced by the term “transport unit”.</w:t>
      </w:r>
    </w:p>
    <w:p w:rsidR="00B21132" w:rsidRPr="00B21132" w:rsidRDefault="00AD0448" w:rsidP="00AD0448">
      <w:pPr>
        <w:pStyle w:val="HChG"/>
        <w:rPr>
          <w:sz w:val="22"/>
          <w:szCs w:val="20"/>
        </w:rPr>
      </w:pPr>
      <w:r>
        <w:rPr>
          <w:lang w:eastAsia="ro-RO"/>
        </w:rPr>
        <w:tab/>
      </w:r>
      <w:r>
        <w:rPr>
          <w:lang w:eastAsia="ro-RO"/>
        </w:rPr>
        <w:tab/>
      </w:r>
      <w:r w:rsidR="00B21132">
        <w:rPr>
          <w:lang w:eastAsia="ro-RO"/>
        </w:rPr>
        <w:t>Proposal</w:t>
      </w:r>
    </w:p>
    <w:p w:rsidR="009C5AA5" w:rsidRDefault="00B21132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Replace in 8.1.5.3 ADR the term “vehicle” by the term “transport unit”:</w:t>
      </w:r>
    </w:p>
    <w:p w:rsidR="00B21132" w:rsidRPr="00B21132" w:rsidRDefault="00B21132" w:rsidP="00B21132">
      <w:pPr>
        <w:pStyle w:val="SingleTxtG"/>
        <w:ind w:left="1701"/>
        <w:rPr>
          <w:sz w:val="20"/>
          <w:szCs w:val="20"/>
        </w:rPr>
      </w:pPr>
      <w:r w:rsidRPr="00B21132">
        <w:rPr>
          <w:sz w:val="20"/>
          <w:szCs w:val="20"/>
        </w:rPr>
        <w:t>8.1.5.3 Additional equipment required for certain classes:</w:t>
      </w:r>
    </w:p>
    <w:p w:rsidR="00B21132" w:rsidRDefault="00B21132" w:rsidP="00B21132">
      <w:pPr>
        <w:pStyle w:val="SingleTxtG"/>
        <w:ind w:left="2268"/>
        <w:rPr>
          <w:sz w:val="20"/>
          <w:szCs w:val="20"/>
        </w:rPr>
      </w:pPr>
      <w:r w:rsidRPr="00B21132">
        <w:rPr>
          <w:sz w:val="20"/>
          <w:szCs w:val="20"/>
        </w:rPr>
        <w:t>- An emergency escape mask for each member of the vehicle crew shall be carried on board the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transport unit</w:t>
      </w:r>
      <w:r w:rsidRPr="00B21132">
        <w:rPr>
          <w:sz w:val="20"/>
          <w:szCs w:val="20"/>
        </w:rPr>
        <w:t xml:space="preserve"> for danger label numbers 2.3 or 6.1;</w:t>
      </w:r>
    </w:p>
    <w:p w:rsidR="00DE044C" w:rsidRDefault="00DE044C" w:rsidP="00C74CEA">
      <w:pPr>
        <w:pStyle w:val="SingleTxtG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5.4.3.4 / </w:t>
      </w:r>
      <w:r w:rsidRPr="00DE044C">
        <w:rPr>
          <w:sz w:val="20"/>
          <w:szCs w:val="20"/>
        </w:rPr>
        <w:t>Instruction in writing</w:t>
      </w:r>
      <w:r>
        <w:rPr>
          <w:sz w:val="20"/>
          <w:szCs w:val="20"/>
        </w:rPr>
        <w:t>:</w:t>
      </w:r>
    </w:p>
    <w:p w:rsidR="00DE044C" w:rsidRDefault="00DE044C" w:rsidP="00DE044C">
      <w:pPr>
        <w:pStyle w:val="SingleTxtG"/>
        <w:ind w:left="1701"/>
        <w:rPr>
          <w:sz w:val="20"/>
          <w:szCs w:val="20"/>
        </w:rPr>
      </w:pPr>
      <w:r>
        <w:rPr>
          <w:sz w:val="20"/>
          <w:szCs w:val="20"/>
        </w:rPr>
        <w:t>Replace the term “vehicle” by the term “transport unit” in the text after the table</w:t>
      </w:r>
    </w:p>
    <w:p w:rsidR="00DE044C" w:rsidRPr="00DE044C" w:rsidRDefault="00DE044C" w:rsidP="00DE044C">
      <w:pPr>
        <w:pStyle w:val="SingleTxtG"/>
        <w:ind w:left="1701"/>
        <w:rPr>
          <w:sz w:val="20"/>
          <w:szCs w:val="20"/>
        </w:rPr>
      </w:pPr>
      <w:r w:rsidRPr="00DE044C">
        <w:rPr>
          <w:sz w:val="20"/>
          <w:szCs w:val="20"/>
        </w:rPr>
        <w:t>Additional equipment required for certain classes:</w:t>
      </w:r>
    </w:p>
    <w:p w:rsidR="00B21132" w:rsidRDefault="00DE044C" w:rsidP="00AD41C7">
      <w:pPr>
        <w:pStyle w:val="SingleTxtG"/>
        <w:ind w:left="1701"/>
        <w:rPr>
          <w:sz w:val="20"/>
          <w:szCs w:val="20"/>
        </w:rPr>
      </w:pPr>
      <w:r w:rsidRPr="00DE044C">
        <w:rPr>
          <w:sz w:val="20"/>
          <w:szCs w:val="20"/>
        </w:rPr>
        <w:t xml:space="preserve">- </w:t>
      </w:r>
      <w:proofErr w:type="gramStart"/>
      <w:r w:rsidRPr="00DE044C">
        <w:rPr>
          <w:sz w:val="20"/>
          <w:szCs w:val="20"/>
        </w:rPr>
        <w:t>an</w:t>
      </w:r>
      <w:proofErr w:type="gramEnd"/>
      <w:r w:rsidRPr="00DE044C">
        <w:rPr>
          <w:sz w:val="20"/>
          <w:szCs w:val="20"/>
        </w:rPr>
        <w:t xml:space="preserve"> emergency escape mask for each member of the </w:t>
      </w:r>
      <w:r>
        <w:rPr>
          <w:b/>
          <w:sz w:val="20"/>
          <w:szCs w:val="20"/>
        </w:rPr>
        <w:t>transport unit</w:t>
      </w:r>
      <w:r w:rsidRPr="00DE044C">
        <w:rPr>
          <w:sz w:val="20"/>
          <w:szCs w:val="20"/>
        </w:rPr>
        <w:t xml:space="preserve"> shall be carried on board the</w:t>
      </w:r>
      <w:r w:rsidR="00692585">
        <w:rPr>
          <w:sz w:val="20"/>
          <w:szCs w:val="20"/>
        </w:rPr>
        <w:t>…</w:t>
      </w:r>
    </w:p>
    <w:p w:rsidR="00692585" w:rsidRPr="00692585" w:rsidRDefault="00692585" w:rsidP="00692585">
      <w:pPr>
        <w:pStyle w:val="SingleTxtG"/>
        <w:suppressAutoHyphens/>
        <w:spacing w:before="240" w:after="0" w:line="240" w:lineRule="atLeast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bookmarkStart w:id="0" w:name="_GoBack"/>
      <w:bookmarkEnd w:id="0"/>
    </w:p>
    <w:sectPr w:rsidR="00692585" w:rsidRPr="00692585" w:rsidSect="00536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CB" w:rsidRDefault="00A010CB" w:rsidP="00F50600">
      <w:pPr>
        <w:spacing w:after="0"/>
      </w:pPr>
      <w:r>
        <w:separator/>
      </w:r>
    </w:p>
  </w:endnote>
  <w:endnote w:type="continuationSeparator" w:id="0">
    <w:p w:rsidR="00A010CB" w:rsidRDefault="00A010CB" w:rsidP="00F50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51" w:rsidRDefault="00536D51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585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D51" w:rsidRPr="00B52683" w:rsidRDefault="00536D51" w:rsidP="002142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51" w:rsidRDefault="00536D51" w:rsidP="002142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1C7">
      <w:rPr>
        <w:rStyle w:val="PageNumber"/>
        <w:noProof/>
      </w:rPr>
      <w:t>3</w:t>
    </w:r>
    <w:r>
      <w:rPr>
        <w:rStyle w:val="PageNumber"/>
      </w:rPr>
      <w:fldChar w:fldCharType="end"/>
    </w:r>
  </w:p>
  <w:p w:rsidR="00536D51" w:rsidRDefault="00536D51" w:rsidP="002142B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51" w:rsidRDefault="00536D51">
    <w:pPr>
      <w:pStyle w:val="Footer"/>
    </w:pPr>
    <w:r>
      <w:rPr>
        <w:noProof/>
        <w:snapToGrid/>
        <w:lang w:eastAsia="en-GB"/>
      </w:rPr>
      <w:drawing>
        <wp:anchor distT="0" distB="0" distL="114300" distR="114300" simplePos="0" relativeHeight="251657728" behindDoc="0" locked="1" layoutInCell="1" allowOverlap="1" wp14:anchorId="7FE37A6D" wp14:editId="54DCB79C">
          <wp:simplePos x="0" y="0"/>
          <wp:positionH relativeFrom="column">
            <wp:posOffset>5148580</wp:posOffset>
          </wp:positionH>
          <wp:positionV relativeFrom="paragraph">
            <wp:posOffset>-342900</wp:posOffset>
          </wp:positionV>
          <wp:extent cx="930275" cy="230505"/>
          <wp:effectExtent l="0" t="0" r="3175" b="0"/>
          <wp:wrapNone/>
          <wp:docPr id="1" name="Picture 3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CB" w:rsidRDefault="00A010CB" w:rsidP="00F50600">
      <w:pPr>
        <w:spacing w:after="0"/>
      </w:pPr>
      <w:r>
        <w:separator/>
      </w:r>
    </w:p>
  </w:footnote>
  <w:footnote w:type="continuationSeparator" w:id="0">
    <w:p w:rsidR="00A010CB" w:rsidRDefault="00A010CB" w:rsidP="00F506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51" w:rsidRPr="008F351E" w:rsidRDefault="00536D51" w:rsidP="009F1EB4">
    <w:pPr>
      <w:pStyle w:val="Header"/>
      <w:jc w:val="right"/>
      <w:rPr>
        <w:color w:val="FF0000"/>
        <w:lang w:val="fr-CH"/>
      </w:rPr>
    </w:pPr>
    <w:r>
      <w:rPr>
        <w:lang w:val="fr-CH"/>
      </w:rPr>
      <w:t>INF.</w:t>
    </w:r>
    <w:r w:rsidR="00A33402">
      <w:rPr>
        <w:lang w:val="fr-CH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51" w:rsidRDefault="00536D51" w:rsidP="002336BD">
    <w:pPr>
      <w:pStyle w:val="Header"/>
      <w:jc w:val="right"/>
    </w:pPr>
    <w:r>
      <w:rPr>
        <w:noProof/>
      </w:rPr>
      <w:t>INF.6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51" w:rsidRPr="00EC5E78" w:rsidRDefault="00536D51">
    <w:pPr>
      <w:pStyle w:val="Header"/>
      <w:jc w:val="right"/>
      <w:rPr>
        <w:bCs w:val="0"/>
        <w:sz w:val="24"/>
        <w:szCs w:val="24"/>
        <w:lang w:val="de-DE"/>
      </w:rPr>
    </w:pPr>
    <w:r w:rsidRPr="00EC5E78">
      <w:rPr>
        <w:bCs w:val="0"/>
        <w:sz w:val="24"/>
        <w:szCs w:val="24"/>
        <w:lang w:val="de-DE"/>
      </w:rPr>
      <w:t>INF.</w:t>
    </w:r>
    <w:r w:rsidR="00A33402">
      <w:rPr>
        <w:bCs w:val="0"/>
        <w:sz w:val="24"/>
        <w:szCs w:val="24"/>
        <w:lang w:val="de-DE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392"/>
    <w:multiLevelType w:val="hybridMultilevel"/>
    <w:tmpl w:val="3EFCA7F4"/>
    <w:lvl w:ilvl="0" w:tplc="EC40D9C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F434B"/>
    <w:multiLevelType w:val="hybridMultilevel"/>
    <w:tmpl w:val="9B848C9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849D2"/>
    <w:multiLevelType w:val="hybridMultilevel"/>
    <w:tmpl w:val="A2063A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27813B8"/>
    <w:multiLevelType w:val="hybridMultilevel"/>
    <w:tmpl w:val="413CE9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CC04100"/>
    <w:multiLevelType w:val="hybridMultilevel"/>
    <w:tmpl w:val="14AC561E"/>
    <w:lvl w:ilvl="0" w:tplc="6DE8E9AC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D8"/>
    <w:rsid w:val="000070B4"/>
    <w:rsid w:val="00015BF1"/>
    <w:rsid w:val="000179A4"/>
    <w:rsid w:val="00017E4D"/>
    <w:rsid w:val="00024F8E"/>
    <w:rsid w:val="000457B9"/>
    <w:rsid w:val="000641FD"/>
    <w:rsid w:val="0007170B"/>
    <w:rsid w:val="0008320D"/>
    <w:rsid w:val="000847FD"/>
    <w:rsid w:val="000874E4"/>
    <w:rsid w:val="000936F1"/>
    <w:rsid w:val="000A26D3"/>
    <w:rsid w:val="000B6C90"/>
    <w:rsid w:val="000C2BA3"/>
    <w:rsid w:val="000D34C7"/>
    <w:rsid w:val="001205F9"/>
    <w:rsid w:val="001220B8"/>
    <w:rsid w:val="00137831"/>
    <w:rsid w:val="00141D9B"/>
    <w:rsid w:val="00151891"/>
    <w:rsid w:val="00161120"/>
    <w:rsid w:val="00187BC4"/>
    <w:rsid w:val="00187D9F"/>
    <w:rsid w:val="00190903"/>
    <w:rsid w:val="001A7EE9"/>
    <w:rsid w:val="001D6122"/>
    <w:rsid w:val="001E04E3"/>
    <w:rsid w:val="001F33A2"/>
    <w:rsid w:val="001F752F"/>
    <w:rsid w:val="001F7C64"/>
    <w:rsid w:val="002014E1"/>
    <w:rsid w:val="00213FD3"/>
    <w:rsid w:val="002142B7"/>
    <w:rsid w:val="0021659D"/>
    <w:rsid w:val="002261EF"/>
    <w:rsid w:val="002336BD"/>
    <w:rsid w:val="00242D1E"/>
    <w:rsid w:val="00245B8D"/>
    <w:rsid w:val="00254315"/>
    <w:rsid w:val="00271CF9"/>
    <w:rsid w:val="002C35D6"/>
    <w:rsid w:val="002D0ED6"/>
    <w:rsid w:val="002D64A0"/>
    <w:rsid w:val="002F05DE"/>
    <w:rsid w:val="00303E11"/>
    <w:rsid w:val="00333662"/>
    <w:rsid w:val="003362E2"/>
    <w:rsid w:val="003504E3"/>
    <w:rsid w:val="003522A3"/>
    <w:rsid w:val="00362467"/>
    <w:rsid w:val="0036476A"/>
    <w:rsid w:val="00373FFC"/>
    <w:rsid w:val="00375294"/>
    <w:rsid w:val="003764A4"/>
    <w:rsid w:val="00384A7A"/>
    <w:rsid w:val="003A5BD8"/>
    <w:rsid w:val="003C6F78"/>
    <w:rsid w:val="003D3576"/>
    <w:rsid w:val="003E4B3D"/>
    <w:rsid w:val="003F01EE"/>
    <w:rsid w:val="003F0382"/>
    <w:rsid w:val="003F28A2"/>
    <w:rsid w:val="00403DE4"/>
    <w:rsid w:val="0040608C"/>
    <w:rsid w:val="00431E91"/>
    <w:rsid w:val="004339D9"/>
    <w:rsid w:val="00460DCC"/>
    <w:rsid w:val="00462E50"/>
    <w:rsid w:val="00472425"/>
    <w:rsid w:val="00474BF6"/>
    <w:rsid w:val="004825AA"/>
    <w:rsid w:val="004C4F76"/>
    <w:rsid w:val="004C77E2"/>
    <w:rsid w:val="004D14E6"/>
    <w:rsid w:val="004F7131"/>
    <w:rsid w:val="00501A1F"/>
    <w:rsid w:val="005027EB"/>
    <w:rsid w:val="005050D0"/>
    <w:rsid w:val="0051219E"/>
    <w:rsid w:val="005349F3"/>
    <w:rsid w:val="00536D51"/>
    <w:rsid w:val="005956E5"/>
    <w:rsid w:val="005A7CE1"/>
    <w:rsid w:val="005B7023"/>
    <w:rsid w:val="005D2E6F"/>
    <w:rsid w:val="005E0EFB"/>
    <w:rsid w:val="00602AE6"/>
    <w:rsid w:val="00607FED"/>
    <w:rsid w:val="0062078A"/>
    <w:rsid w:val="00620D87"/>
    <w:rsid w:val="00647954"/>
    <w:rsid w:val="00651A71"/>
    <w:rsid w:val="006637BF"/>
    <w:rsid w:val="00670198"/>
    <w:rsid w:val="00682D99"/>
    <w:rsid w:val="00685347"/>
    <w:rsid w:val="00686D56"/>
    <w:rsid w:val="00692585"/>
    <w:rsid w:val="00695B5C"/>
    <w:rsid w:val="006B1EB6"/>
    <w:rsid w:val="006B2F65"/>
    <w:rsid w:val="006C393D"/>
    <w:rsid w:val="006D6B3C"/>
    <w:rsid w:val="006E33B1"/>
    <w:rsid w:val="006E70B3"/>
    <w:rsid w:val="006F60FA"/>
    <w:rsid w:val="00716EB3"/>
    <w:rsid w:val="007423AB"/>
    <w:rsid w:val="00750B50"/>
    <w:rsid w:val="00757AF5"/>
    <w:rsid w:val="00780669"/>
    <w:rsid w:val="00792810"/>
    <w:rsid w:val="007B12E6"/>
    <w:rsid w:val="007B42B3"/>
    <w:rsid w:val="007C6664"/>
    <w:rsid w:val="007F04E6"/>
    <w:rsid w:val="007F2797"/>
    <w:rsid w:val="007F29A4"/>
    <w:rsid w:val="00802C4D"/>
    <w:rsid w:val="00802D70"/>
    <w:rsid w:val="008032E6"/>
    <w:rsid w:val="00806771"/>
    <w:rsid w:val="00843A5D"/>
    <w:rsid w:val="00864617"/>
    <w:rsid w:val="00877FDE"/>
    <w:rsid w:val="008877CC"/>
    <w:rsid w:val="008973D5"/>
    <w:rsid w:val="00897DCA"/>
    <w:rsid w:val="008B6640"/>
    <w:rsid w:val="008C3C0C"/>
    <w:rsid w:val="008D2452"/>
    <w:rsid w:val="008F351E"/>
    <w:rsid w:val="009017E9"/>
    <w:rsid w:val="00905D1F"/>
    <w:rsid w:val="009061CE"/>
    <w:rsid w:val="00912DCF"/>
    <w:rsid w:val="00917824"/>
    <w:rsid w:val="009213E0"/>
    <w:rsid w:val="00933180"/>
    <w:rsid w:val="00964EFE"/>
    <w:rsid w:val="00980DC3"/>
    <w:rsid w:val="009963A0"/>
    <w:rsid w:val="009C5AA5"/>
    <w:rsid w:val="009C6281"/>
    <w:rsid w:val="009D1DF4"/>
    <w:rsid w:val="009E2F16"/>
    <w:rsid w:val="009E3366"/>
    <w:rsid w:val="009F16A7"/>
    <w:rsid w:val="009F1A9C"/>
    <w:rsid w:val="009F1EB4"/>
    <w:rsid w:val="009F49CC"/>
    <w:rsid w:val="00A010CB"/>
    <w:rsid w:val="00A127E6"/>
    <w:rsid w:val="00A179BF"/>
    <w:rsid w:val="00A245AC"/>
    <w:rsid w:val="00A3075F"/>
    <w:rsid w:val="00A33402"/>
    <w:rsid w:val="00A33F2F"/>
    <w:rsid w:val="00A45128"/>
    <w:rsid w:val="00A46674"/>
    <w:rsid w:val="00A61FC0"/>
    <w:rsid w:val="00A71474"/>
    <w:rsid w:val="00A7547B"/>
    <w:rsid w:val="00A86F11"/>
    <w:rsid w:val="00A91916"/>
    <w:rsid w:val="00A94787"/>
    <w:rsid w:val="00A94D8F"/>
    <w:rsid w:val="00AC5264"/>
    <w:rsid w:val="00AD0448"/>
    <w:rsid w:val="00AD1BBB"/>
    <w:rsid w:val="00AD41C7"/>
    <w:rsid w:val="00AF7A54"/>
    <w:rsid w:val="00B05928"/>
    <w:rsid w:val="00B116DA"/>
    <w:rsid w:val="00B21132"/>
    <w:rsid w:val="00B2686A"/>
    <w:rsid w:val="00B31EBB"/>
    <w:rsid w:val="00B4187D"/>
    <w:rsid w:val="00B44832"/>
    <w:rsid w:val="00B5178E"/>
    <w:rsid w:val="00B5791C"/>
    <w:rsid w:val="00B60F8F"/>
    <w:rsid w:val="00B7270E"/>
    <w:rsid w:val="00B7572A"/>
    <w:rsid w:val="00B819AF"/>
    <w:rsid w:val="00B87A3D"/>
    <w:rsid w:val="00BA580B"/>
    <w:rsid w:val="00BB4822"/>
    <w:rsid w:val="00BC7FD8"/>
    <w:rsid w:val="00BD6384"/>
    <w:rsid w:val="00BE3193"/>
    <w:rsid w:val="00BF321D"/>
    <w:rsid w:val="00BF71B8"/>
    <w:rsid w:val="00BF7B77"/>
    <w:rsid w:val="00C126B0"/>
    <w:rsid w:val="00C44814"/>
    <w:rsid w:val="00C50817"/>
    <w:rsid w:val="00C558DB"/>
    <w:rsid w:val="00C73E96"/>
    <w:rsid w:val="00C74CEA"/>
    <w:rsid w:val="00C85EBF"/>
    <w:rsid w:val="00C93F17"/>
    <w:rsid w:val="00CA459D"/>
    <w:rsid w:val="00CC0574"/>
    <w:rsid w:val="00CC50ED"/>
    <w:rsid w:val="00CD7258"/>
    <w:rsid w:val="00CE2A72"/>
    <w:rsid w:val="00D05339"/>
    <w:rsid w:val="00D1373F"/>
    <w:rsid w:val="00D15F0E"/>
    <w:rsid w:val="00D21770"/>
    <w:rsid w:val="00D22F04"/>
    <w:rsid w:val="00D27E23"/>
    <w:rsid w:val="00D41D96"/>
    <w:rsid w:val="00D52211"/>
    <w:rsid w:val="00D56299"/>
    <w:rsid w:val="00DB4766"/>
    <w:rsid w:val="00DE044C"/>
    <w:rsid w:val="00DF5CAA"/>
    <w:rsid w:val="00E16B09"/>
    <w:rsid w:val="00E20810"/>
    <w:rsid w:val="00E21B22"/>
    <w:rsid w:val="00E27CEF"/>
    <w:rsid w:val="00E34660"/>
    <w:rsid w:val="00E35A01"/>
    <w:rsid w:val="00E42A41"/>
    <w:rsid w:val="00E57D9D"/>
    <w:rsid w:val="00E82272"/>
    <w:rsid w:val="00E83CD4"/>
    <w:rsid w:val="00E93E6F"/>
    <w:rsid w:val="00EA202E"/>
    <w:rsid w:val="00EC2FCE"/>
    <w:rsid w:val="00EE622E"/>
    <w:rsid w:val="00F120B4"/>
    <w:rsid w:val="00F42F28"/>
    <w:rsid w:val="00F50600"/>
    <w:rsid w:val="00F5592E"/>
    <w:rsid w:val="00F62886"/>
    <w:rsid w:val="00F661E0"/>
    <w:rsid w:val="00F822A4"/>
    <w:rsid w:val="00FA2EFF"/>
    <w:rsid w:val="00FB1245"/>
    <w:rsid w:val="00FC0AD0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8"/>
    <w:pPr>
      <w:spacing w:after="240"/>
    </w:pPr>
    <w:rPr>
      <w:rFonts w:ascii="Times New Roman" w:eastAsia="Times New Roman" w:hAnsi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3A5BD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3A5BD8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bCs/>
      <w:sz w:val="28"/>
      <w:szCs w:val="28"/>
    </w:rPr>
  </w:style>
  <w:style w:type="character" w:styleId="PageNumber">
    <w:name w:val="page number"/>
    <w:aliases w:val="7_G"/>
    <w:rsid w:val="003A5BD8"/>
    <w:rPr>
      <w:rFonts w:ascii="Times New Roman" w:hAnsi="Times New Roman" w:cs="Times New Roman"/>
      <w:b/>
      <w:bCs/>
      <w:sz w:val="18"/>
      <w:szCs w:val="18"/>
    </w:rPr>
  </w:style>
  <w:style w:type="paragraph" w:customStyle="1" w:styleId="H1G">
    <w:name w:val="_ H_1_G"/>
    <w:basedOn w:val="Normal"/>
    <w:next w:val="Normal"/>
    <w:link w:val="H1GChar"/>
    <w:rsid w:val="003A5BD8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bCs/>
    </w:rPr>
  </w:style>
  <w:style w:type="paragraph" w:styleId="Footer">
    <w:name w:val="footer"/>
    <w:aliases w:val="3_G"/>
    <w:basedOn w:val="Normal"/>
    <w:link w:val="FooterChar"/>
    <w:rsid w:val="003A5BD8"/>
    <w:rPr>
      <w:sz w:val="16"/>
      <w:szCs w:val="16"/>
    </w:rPr>
  </w:style>
  <w:style w:type="character" w:customStyle="1" w:styleId="FooterChar">
    <w:name w:val="Footer Char"/>
    <w:aliases w:val="3_G Char"/>
    <w:link w:val="Footer"/>
    <w:rsid w:val="003A5BD8"/>
    <w:rPr>
      <w:rFonts w:ascii="Times New Roman" w:eastAsia="Times New Roman" w:hAnsi="Times New Roman" w:cs="Times New Roman"/>
      <w:snapToGrid w:val="0"/>
      <w:sz w:val="16"/>
      <w:szCs w:val="16"/>
      <w:lang w:eastAsia="de-DE"/>
    </w:rPr>
  </w:style>
  <w:style w:type="paragraph" w:styleId="Header">
    <w:name w:val="header"/>
    <w:aliases w:val="6_G"/>
    <w:basedOn w:val="Normal"/>
    <w:link w:val="HeaderChar"/>
    <w:rsid w:val="003A5BD8"/>
    <w:pPr>
      <w:pBdr>
        <w:bottom w:val="single" w:sz="4" w:space="4" w:color="auto"/>
      </w:pBdr>
    </w:pPr>
    <w:rPr>
      <w:b/>
      <w:bCs/>
      <w:sz w:val="18"/>
      <w:szCs w:val="18"/>
    </w:rPr>
  </w:style>
  <w:style w:type="character" w:customStyle="1" w:styleId="HeaderChar">
    <w:name w:val="Header Char"/>
    <w:aliases w:val="6_G Char"/>
    <w:link w:val="Header"/>
    <w:rsid w:val="003A5BD8"/>
    <w:rPr>
      <w:rFonts w:ascii="Times New Roman" w:eastAsia="Times New Roman" w:hAnsi="Times New Roman" w:cs="Times New Roman"/>
      <w:b/>
      <w:bCs/>
      <w:snapToGrid w:val="0"/>
      <w:sz w:val="18"/>
      <w:szCs w:val="18"/>
      <w:lang w:eastAsia="de-DE"/>
    </w:rPr>
  </w:style>
  <w:style w:type="character" w:customStyle="1" w:styleId="SingleTxtGChar">
    <w:name w:val="_ Single Txt_G Char"/>
    <w:link w:val="SingleTxtG"/>
    <w:rsid w:val="003A5BD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H1GChar">
    <w:name w:val="_ H_1_G Char"/>
    <w:link w:val="H1G"/>
    <w:rsid w:val="003A5BD8"/>
    <w:rPr>
      <w:rFonts w:ascii="Times New Roman" w:eastAsia="Times New Roman" w:hAnsi="Times New Roman" w:cs="Times New Roman"/>
      <w:b/>
      <w:bCs/>
      <w:snapToGrid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6E33B1"/>
    <w:rPr>
      <w:rFonts w:ascii="Times New Roman" w:eastAsia="Times New Roman" w:hAnsi="Times New Roman"/>
      <w:snapToGrid w:val="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3B1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1EF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1EF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2261EF"/>
    <w:rPr>
      <w:vertAlign w:val="superscript"/>
    </w:rPr>
  </w:style>
  <w:style w:type="character" w:styleId="Hyperlink">
    <w:name w:val="Hyperlink"/>
    <w:uiPriority w:val="99"/>
    <w:unhideWhenUsed/>
    <w:rsid w:val="007F04E6"/>
    <w:rPr>
      <w:color w:val="0000FF"/>
      <w:u w:val="single"/>
    </w:rPr>
  </w:style>
  <w:style w:type="paragraph" w:customStyle="1" w:styleId="Default">
    <w:name w:val="Default"/>
    <w:rsid w:val="007F0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A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459D"/>
    <w:rPr>
      <w:rFonts w:ascii="Times New Roman" w:eastAsia="Times New Roman" w:hAnsi="Times New Roman"/>
      <w:snapToGrid w:val="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59D"/>
    <w:rPr>
      <w:rFonts w:ascii="Times New Roman" w:eastAsia="Times New Roman" w:hAnsi="Times New Roman"/>
      <w:b/>
      <w:bCs/>
      <w:snapToGrid w:val="0"/>
      <w:lang w:val="en-GB" w:eastAsia="de-DE"/>
    </w:rPr>
  </w:style>
  <w:style w:type="paragraph" w:customStyle="1" w:styleId="Bullet1G">
    <w:name w:val="_Bullet 1_G"/>
    <w:basedOn w:val="Normal"/>
    <w:rsid w:val="007F29A4"/>
    <w:pPr>
      <w:numPr>
        <w:numId w:val="5"/>
      </w:numPr>
      <w:suppressAutoHyphens/>
      <w:spacing w:after="120" w:line="240" w:lineRule="atLeast"/>
      <w:ind w:right="1134"/>
      <w:jc w:val="both"/>
    </w:pPr>
    <w:rPr>
      <w:snapToGrid/>
      <w:sz w:val="20"/>
      <w:szCs w:val="20"/>
      <w:lang w:eastAsia="en-US"/>
    </w:rPr>
  </w:style>
  <w:style w:type="character" w:customStyle="1" w:styleId="HChGChar">
    <w:name w:val="_ H _Ch_G Char"/>
    <w:link w:val="HChG"/>
    <w:rsid w:val="007F29A4"/>
    <w:rPr>
      <w:rFonts w:ascii="Times New Roman" w:eastAsia="Times New Roman" w:hAnsi="Times New Roman"/>
      <w:b/>
      <w:bCs/>
      <w:snapToGrid w:val="0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D8"/>
    <w:pPr>
      <w:spacing w:after="240"/>
    </w:pPr>
    <w:rPr>
      <w:rFonts w:ascii="Times New Roman" w:eastAsia="Times New Roman" w:hAnsi="Times New Roman"/>
      <w:snapToGrid w:val="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3A5BD8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3A5BD8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bCs/>
      <w:sz w:val="28"/>
      <w:szCs w:val="28"/>
    </w:rPr>
  </w:style>
  <w:style w:type="character" w:styleId="PageNumber">
    <w:name w:val="page number"/>
    <w:aliases w:val="7_G"/>
    <w:rsid w:val="003A5BD8"/>
    <w:rPr>
      <w:rFonts w:ascii="Times New Roman" w:hAnsi="Times New Roman" w:cs="Times New Roman"/>
      <w:b/>
      <w:bCs/>
      <w:sz w:val="18"/>
      <w:szCs w:val="18"/>
    </w:rPr>
  </w:style>
  <w:style w:type="paragraph" w:customStyle="1" w:styleId="H1G">
    <w:name w:val="_ H_1_G"/>
    <w:basedOn w:val="Normal"/>
    <w:next w:val="Normal"/>
    <w:link w:val="H1GChar"/>
    <w:rsid w:val="003A5BD8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bCs/>
    </w:rPr>
  </w:style>
  <w:style w:type="paragraph" w:styleId="Footer">
    <w:name w:val="footer"/>
    <w:aliases w:val="3_G"/>
    <w:basedOn w:val="Normal"/>
    <w:link w:val="FooterChar"/>
    <w:rsid w:val="003A5BD8"/>
    <w:rPr>
      <w:sz w:val="16"/>
      <w:szCs w:val="16"/>
    </w:rPr>
  </w:style>
  <w:style w:type="character" w:customStyle="1" w:styleId="FooterChar">
    <w:name w:val="Footer Char"/>
    <w:aliases w:val="3_G Char"/>
    <w:link w:val="Footer"/>
    <w:rsid w:val="003A5BD8"/>
    <w:rPr>
      <w:rFonts w:ascii="Times New Roman" w:eastAsia="Times New Roman" w:hAnsi="Times New Roman" w:cs="Times New Roman"/>
      <w:snapToGrid w:val="0"/>
      <w:sz w:val="16"/>
      <w:szCs w:val="16"/>
      <w:lang w:eastAsia="de-DE"/>
    </w:rPr>
  </w:style>
  <w:style w:type="paragraph" w:styleId="Header">
    <w:name w:val="header"/>
    <w:aliases w:val="6_G"/>
    <w:basedOn w:val="Normal"/>
    <w:link w:val="HeaderChar"/>
    <w:rsid w:val="003A5BD8"/>
    <w:pPr>
      <w:pBdr>
        <w:bottom w:val="single" w:sz="4" w:space="4" w:color="auto"/>
      </w:pBdr>
    </w:pPr>
    <w:rPr>
      <w:b/>
      <w:bCs/>
      <w:sz w:val="18"/>
      <w:szCs w:val="18"/>
    </w:rPr>
  </w:style>
  <w:style w:type="character" w:customStyle="1" w:styleId="HeaderChar">
    <w:name w:val="Header Char"/>
    <w:aliases w:val="6_G Char"/>
    <w:link w:val="Header"/>
    <w:rsid w:val="003A5BD8"/>
    <w:rPr>
      <w:rFonts w:ascii="Times New Roman" w:eastAsia="Times New Roman" w:hAnsi="Times New Roman" w:cs="Times New Roman"/>
      <w:b/>
      <w:bCs/>
      <w:snapToGrid w:val="0"/>
      <w:sz w:val="18"/>
      <w:szCs w:val="18"/>
      <w:lang w:eastAsia="de-DE"/>
    </w:rPr>
  </w:style>
  <w:style w:type="character" w:customStyle="1" w:styleId="SingleTxtGChar">
    <w:name w:val="_ Single Txt_G Char"/>
    <w:link w:val="SingleTxtG"/>
    <w:rsid w:val="003A5BD8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customStyle="1" w:styleId="H1GChar">
    <w:name w:val="_ H_1_G Char"/>
    <w:link w:val="H1G"/>
    <w:rsid w:val="003A5BD8"/>
    <w:rPr>
      <w:rFonts w:ascii="Times New Roman" w:eastAsia="Times New Roman" w:hAnsi="Times New Roman" w:cs="Times New Roman"/>
      <w:b/>
      <w:bCs/>
      <w:snapToGrid w:val="0"/>
      <w:sz w:val="24"/>
      <w:szCs w:val="24"/>
      <w:lang w:eastAsia="de-DE"/>
    </w:rPr>
  </w:style>
  <w:style w:type="paragraph" w:styleId="Revision">
    <w:name w:val="Revision"/>
    <w:hidden/>
    <w:uiPriority w:val="99"/>
    <w:semiHidden/>
    <w:rsid w:val="006E33B1"/>
    <w:rPr>
      <w:rFonts w:ascii="Times New Roman" w:eastAsia="Times New Roman" w:hAnsi="Times New Roman"/>
      <w:snapToGrid w:val="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33B1"/>
    <w:rPr>
      <w:rFonts w:ascii="Tahoma" w:eastAsia="Times New Roman" w:hAnsi="Tahoma" w:cs="Tahoma"/>
      <w:snapToGrid w:val="0"/>
      <w:sz w:val="16"/>
      <w:szCs w:val="16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1EF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61EF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2261EF"/>
    <w:rPr>
      <w:vertAlign w:val="superscript"/>
    </w:rPr>
  </w:style>
  <w:style w:type="character" w:styleId="Hyperlink">
    <w:name w:val="Hyperlink"/>
    <w:uiPriority w:val="99"/>
    <w:unhideWhenUsed/>
    <w:rsid w:val="007F04E6"/>
    <w:rPr>
      <w:color w:val="0000FF"/>
      <w:u w:val="single"/>
    </w:rPr>
  </w:style>
  <w:style w:type="paragraph" w:customStyle="1" w:styleId="Default">
    <w:name w:val="Default"/>
    <w:rsid w:val="007F04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A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459D"/>
    <w:rPr>
      <w:rFonts w:ascii="Times New Roman" w:eastAsia="Times New Roman" w:hAnsi="Times New Roman"/>
      <w:snapToGrid w:val="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59D"/>
    <w:rPr>
      <w:rFonts w:ascii="Times New Roman" w:eastAsia="Times New Roman" w:hAnsi="Times New Roman"/>
      <w:b/>
      <w:bCs/>
      <w:snapToGrid w:val="0"/>
      <w:lang w:val="en-GB" w:eastAsia="de-DE"/>
    </w:rPr>
  </w:style>
  <w:style w:type="paragraph" w:customStyle="1" w:styleId="Bullet1G">
    <w:name w:val="_Bullet 1_G"/>
    <w:basedOn w:val="Normal"/>
    <w:rsid w:val="007F29A4"/>
    <w:pPr>
      <w:numPr>
        <w:numId w:val="5"/>
      </w:numPr>
      <w:suppressAutoHyphens/>
      <w:spacing w:after="120" w:line="240" w:lineRule="atLeast"/>
      <w:ind w:right="1134"/>
      <w:jc w:val="both"/>
    </w:pPr>
    <w:rPr>
      <w:snapToGrid/>
      <w:sz w:val="20"/>
      <w:szCs w:val="20"/>
      <w:lang w:eastAsia="en-US"/>
    </w:rPr>
  </w:style>
  <w:style w:type="character" w:customStyle="1" w:styleId="HChGChar">
    <w:name w:val="_ H _Ch_G Char"/>
    <w:link w:val="HChG"/>
    <w:rsid w:val="007F29A4"/>
    <w:rPr>
      <w:rFonts w:ascii="Times New Roman" w:eastAsia="Times New Roman" w:hAnsi="Times New Roman"/>
      <w:b/>
      <w:bCs/>
      <w:snapToGrid w:val="0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5C38-E69D-4336-B5D2-E943FE30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</dc:creator>
  <cp:lastModifiedBy>barrio-champeau</cp:lastModifiedBy>
  <cp:revision>6</cp:revision>
  <cp:lastPrinted>2015-11-05T11:56:00Z</cp:lastPrinted>
  <dcterms:created xsi:type="dcterms:W3CDTF">2015-11-05T14:55:00Z</dcterms:created>
  <dcterms:modified xsi:type="dcterms:W3CDTF">2015-11-05T15:10:00Z</dcterms:modified>
</cp:coreProperties>
</file>