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313E0">
            <w:pPr>
              <w:pStyle w:val="H56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6A5BB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434A5F" w:rsidP="006505F2">
            <w:pPr>
              <w:jc w:val="right"/>
            </w:pPr>
            <w:r w:rsidRPr="00434A5F">
              <w:rPr>
                <w:sz w:val="40"/>
              </w:rPr>
              <w:t>ST</w:t>
            </w:r>
            <w:r>
              <w:t>/SG/AC.10/C.4/</w:t>
            </w:r>
            <w:r w:rsidR="006505F2">
              <w:t>59</w:t>
            </w:r>
            <w:r>
              <w:t>/Add.1</w:t>
            </w:r>
          </w:p>
        </w:tc>
      </w:tr>
      <w:tr w:rsidR="00132EA9" w:rsidRPr="00DB58B5" w:rsidTr="006A5BB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9E6965" w:rsidP="006A5BB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_unlogo" style="width:56.55pt;height:46.7pt;visibility:visible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6A5BB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193AC7" w:rsidRDefault="00434A5F" w:rsidP="006A5BBF">
            <w:pPr>
              <w:spacing w:before="240"/>
            </w:pPr>
            <w:r w:rsidRPr="00193AC7">
              <w:t>Distr. g</w:t>
            </w:r>
            <w:r w:rsidR="007D0C30" w:rsidRPr="00193AC7">
              <w:t>é</w:t>
            </w:r>
            <w:r w:rsidRPr="00193AC7">
              <w:t>nérale</w:t>
            </w:r>
          </w:p>
          <w:p w:rsidR="00434A5F" w:rsidRPr="00193AC7" w:rsidRDefault="00193AC7" w:rsidP="00434A5F">
            <w:pPr>
              <w:spacing w:line="240" w:lineRule="exact"/>
            </w:pPr>
            <w:r>
              <w:t>29</w:t>
            </w:r>
            <w:r w:rsidR="00434A5F" w:rsidRPr="00193AC7">
              <w:t xml:space="preserve"> </w:t>
            </w:r>
            <w:r>
              <w:t>s</w:t>
            </w:r>
            <w:r w:rsidR="006505F2" w:rsidRPr="00193AC7">
              <w:t xml:space="preserve">eptembre </w:t>
            </w:r>
            <w:r w:rsidR="00434A5F" w:rsidRPr="00193AC7">
              <w:t>201</w:t>
            </w:r>
            <w:r w:rsidR="007D0C30" w:rsidRPr="00193AC7">
              <w:t>5</w:t>
            </w:r>
          </w:p>
          <w:p w:rsidR="00434A5F" w:rsidRPr="00193AC7" w:rsidRDefault="00434A5F" w:rsidP="00434A5F">
            <w:pPr>
              <w:spacing w:line="240" w:lineRule="exact"/>
            </w:pPr>
            <w:r w:rsidRPr="00193AC7">
              <w:t>Français</w:t>
            </w:r>
          </w:p>
          <w:p w:rsidR="00434A5F" w:rsidRPr="00DB58B5" w:rsidRDefault="00434A5F" w:rsidP="00434A5F">
            <w:pPr>
              <w:spacing w:line="240" w:lineRule="exact"/>
            </w:pPr>
            <w:r w:rsidRPr="00193AC7">
              <w:t>Original: anglais</w:t>
            </w:r>
            <w:r w:rsidR="00463FF8" w:rsidRPr="00193AC7">
              <w:t xml:space="preserve"> et français</w:t>
            </w:r>
          </w:p>
        </w:tc>
      </w:tr>
    </w:tbl>
    <w:p w:rsidR="00434A5F" w:rsidRPr="00CA0680" w:rsidRDefault="00434A5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434A5F" w:rsidRPr="00CA0680" w:rsidRDefault="00434A5F" w:rsidP="000305D3">
      <w:pPr>
        <w:spacing w:before="120"/>
        <w:rPr>
          <w:b/>
        </w:rPr>
      </w:pPr>
      <w:r w:rsidRPr="00FA2A45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FA2A45">
        <w:rPr>
          <w:b/>
          <w:lang w:val="fr-FR"/>
        </w:rPr>
        <w:t>experts du Système général harmonisé</w:t>
      </w:r>
      <w:r w:rsidRPr="00FA2A45">
        <w:rPr>
          <w:b/>
          <w:lang w:val="fr-FR"/>
        </w:rPr>
        <w:br/>
        <w:t>de classification et d</w:t>
      </w:r>
      <w:r>
        <w:rPr>
          <w:b/>
          <w:lang w:val="fr-FR"/>
        </w:rPr>
        <w:t>’</w:t>
      </w:r>
      <w:r w:rsidRPr="00FA2A45">
        <w:rPr>
          <w:b/>
          <w:lang w:val="fr-FR"/>
        </w:rPr>
        <w:t>étiquetage des produits chimiques</w:t>
      </w:r>
    </w:p>
    <w:p w:rsidR="00434A5F" w:rsidRDefault="006505F2" w:rsidP="000305D3">
      <w:pPr>
        <w:spacing w:before="120"/>
        <w:rPr>
          <w:b/>
        </w:rPr>
      </w:pPr>
      <w:r>
        <w:rPr>
          <w:b/>
          <w:lang w:val="fr-FR"/>
        </w:rPr>
        <w:t>Trentième</w:t>
      </w:r>
      <w:r w:rsidR="00434A5F">
        <w:rPr>
          <w:b/>
        </w:rPr>
        <w:t xml:space="preserve"> </w:t>
      </w:r>
      <w:r w:rsidR="00434A5F" w:rsidRPr="00CA0680">
        <w:rPr>
          <w:b/>
        </w:rPr>
        <w:t>session</w:t>
      </w:r>
    </w:p>
    <w:p w:rsidR="00434A5F" w:rsidRDefault="00434A5F" w:rsidP="00434A5F">
      <w:r w:rsidRPr="00E0681E">
        <w:rPr>
          <w:lang w:val="fr-FR"/>
        </w:rPr>
        <w:t xml:space="preserve">Genève, </w:t>
      </w:r>
      <w:r w:rsidR="006505F2">
        <w:rPr>
          <w:lang w:val="fr-FR"/>
        </w:rPr>
        <w:t>9</w:t>
      </w:r>
      <w:r w:rsidRPr="00E0681E">
        <w:rPr>
          <w:lang w:val="fr-FR"/>
        </w:rPr>
        <w:t xml:space="preserve"> </w:t>
      </w:r>
      <w:r w:rsidR="00193AC7">
        <w:rPr>
          <w:lang w:val="fr-FR"/>
        </w:rPr>
        <w:t xml:space="preserve">– </w:t>
      </w:r>
      <w:r w:rsidR="006505F2">
        <w:rPr>
          <w:lang w:val="fr-FR"/>
        </w:rPr>
        <w:t xml:space="preserve">11 décembre </w:t>
      </w:r>
      <w:r w:rsidRPr="00E0681E">
        <w:rPr>
          <w:lang w:val="fr-FR"/>
        </w:rPr>
        <w:t>2015</w:t>
      </w:r>
      <w:r>
        <w:rPr>
          <w:lang w:val="fr-FR"/>
        </w:rPr>
        <w:br/>
        <w:t>Point </w:t>
      </w:r>
      <w:r w:rsidRPr="00E0681E">
        <w:rPr>
          <w:lang w:val="fr-FR"/>
        </w:rPr>
        <w:t>1 de l</w:t>
      </w:r>
      <w:r>
        <w:rPr>
          <w:lang w:val="fr-FR"/>
        </w:rPr>
        <w:t>’</w:t>
      </w:r>
      <w:r w:rsidRPr="00E0681E">
        <w:rPr>
          <w:lang w:val="fr-FR"/>
        </w:rPr>
        <w:t>ordre du jour provisoire</w:t>
      </w:r>
      <w:r w:rsidRPr="00E0681E">
        <w:rPr>
          <w:lang w:val="fr-FR"/>
        </w:rPr>
        <w:br/>
      </w:r>
      <w:r w:rsidRPr="00E0681E">
        <w:rPr>
          <w:b/>
          <w:lang w:val="fr-FR"/>
        </w:rPr>
        <w:t>Adoption de l</w:t>
      </w:r>
      <w:r>
        <w:rPr>
          <w:b/>
          <w:lang w:val="fr-FR"/>
        </w:rPr>
        <w:t>’</w:t>
      </w:r>
      <w:r w:rsidRPr="00E0681E">
        <w:rPr>
          <w:b/>
          <w:lang w:val="fr-FR"/>
        </w:rPr>
        <w:t>ordre du jour</w:t>
      </w:r>
    </w:p>
    <w:p w:rsidR="00434A5F" w:rsidRPr="00E0681E" w:rsidRDefault="00434A5F" w:rsidP="00434A5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0681E">
        <w:rPr>
          <w:lang w:val="fr-FR"/>
        </w:rPr>
        <w:t xml:space="preserve">Ordre du jour provisoire </w:t>
      </w:r>
      <w:r w:rsidR="007D0C30">
        <w:rPr>
          <w:lang w:val="fr-FR"/>
        </w:rPr>
        <w:t xml:space="preserve">annoté </w:t>
      </w:r>
      <w:r w:rsidRPr="00E0681E">
        <w:rPr>
          <w:lang w:val="fr-FR"/>
        </w:rPr>
        <w:t>de la vingt-neuv</w:t>
      </w:r>
      <w:r>
        <w:rPr>
          <w:lang w:val="fr-FR"/>
        </w:rPr>
        <w:t>ième </w:t>
      </w:r>
      <w:r w:rsidRPr="00E0681E">
        <w:rPr>
          <w:lang w:val="fr-FR"/>
        </w:rPr>
        <w:t>session</w:t>
      </w:r>
    </w:p>
    <w:p w:rsidR="00434A5F" w:rsidRPr="00E0681E" w:rsidRDefault="00434A5F" w:rsidP="00434A5F">
      <w:pPr>
        <w:pStyle w:val="H1G"/>
        <w:rPr>
          <w:lang w:val="fr-FR"/>
        </w:rPr>
      </w:pPr>
      <w:r w:rsidRPr="00E0681E">
        <w:rPr>
          <w:lang w:val="fr-FR"/>
        </w:rPr>
        <w:tab/>
      </w:r>
      <w:r w:rsidRPr="00E0681E">
        <w:rPr>
          <w:lang w:val="fr-FR"/>
        </w:rPr>
        <w:tab/>
        <w:t>Additif</w:t>
      </w:r>
    </w:p>
    <w:p w:rsidR="00434A5F" w:rsidRDefault="00434A5F" w:rsidP="00434A5F">
      <w:pPr>
        <w:pStyle w:val="H23G"/>
        <w:rPr>
          <w:lang w:val="fr-FR"/>
        </w:rPr>
      </w:pPr>
      <w:r w:rsidRPr="00E0681E">
        <w:rPr>
          <w:lang w:val="fr-FR"/>
        </w:rPr>
        <w:tab/>
      </w:r>
      <w:r w:rsidRPr="00E0681E">
        <w:rPr>
          <w:lang w:val="fr-FR"/>
        </w:rPr>
        <w:tab/>
      </w:r>
      <w:r w:rsidRPr="00FA2A45">
        <w:rPr>
          <w:lang w:val="fr-FR"/>
        </w:rPr>
        <w:t>Liste des documents et annotations</w:t>
      </w:r>
    </w:p>
    <w:p w:rsidR="00FB7518" w:rsidRPr="00FB7518" w:rsidRDefault="00FB7518" w:rsidP="00FB7518">
      <w:pPr>
        <w:pStyle w:val="H1G"/>
        <w:rPr>
          <w:lang w:val="fr-FR"/>
        </w:rPr>
      </w:pPr>
      <w:r w:rsidRPr="00E0681E">
        <w:rPr>
          <w:lang w:val="fr-FR"/>
        </w:rPr>
        <w:tab/>
        <w:t>1.</w:t>
      </w:r>
      <w:r w:rsidRPr="00E0681E">
        <w:rPr>
          <w:lang w:val="fr-FR"/>
        </w:rPr>
        <w:tab/>
        <w:t>Adoption de l’ordre du jour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</w:tblGrid>
      <w:tr w:rsidR="00E03AAA" w:rsidRPr="00E0681E" w:rsidTr="006A5BBF">
        <w:tc>
          <w:tcPr>
            <w:tcW w:w="2835" w:type="dxa"/>
            <w:shd w:val="clear" w:color="auto" w:fill="auto"/>
          </w:tcPr>
          <w:p w:rsidR="00E03AAA" w:rsidRPr="00E0681E" w:rsidRDefault="00E03AAA" w:rsidP="003A757D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ST/SG/AC.10/C.4/</w:t>
            </w:r>
            <w:r w:rsidR="003A757D">
              <w:rPr>
                <w:lang w:val="fr-FR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E03AAA" w:rsidRPr="00FA2A45" w:rsidRDefault="00E03AAA" w:rsidP="003A757D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 xml:space="preserve">Ordre du jour provisoire de la </w:t>
            </w:r>
            <w:r w:rsidR="003A757D">
              <w:rPr>
                <w:lang w:val="fr-FR"/>
              </w:rPr>
              <w:t>trentième</w:t>
            </w:r>
            <w:r w:rsidRPr="00E0681E">
              <w:rPr>
                <w:lang w:val="fr-FR"/>
              </w:rPr>
              <w:t xml:space="preserve"> session</w:t>
            </w:r>
          </w:p>
        </w:tc>
      </w:tr>
      <w:tr w:rsidR="00E03AAA" w:rsidRPr="00E0681E" w:rsidTr="006A5BBF">
        <w:tc>
          <w:tcPr>
            <w:tcW w:w="2835" w:type="dxa"/>
            <w:shd w:val="clear" w:color="auto" w:fill="auto"/>
          </w:tcPr>
          <w:p w:rsidR="00E03AAA" w:rsidRPr="00E0681E" w:rsidRDefault="00E03AAA" w:rsidP="003A757D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ST/SG/AC.10/C.4/</w:t>
            </w:r>
            <w:r w:rsidR="003A757D">
              <w:rPr>
                <w:lang w:val="fr-FR"/>
              </w:rPr>
              <w:t>59</w:t>
            </w:r>
            <w:r w:rsidRPr="00E0681E">
              <w:rPr>
                <w:lang w:val="fr-FR"/>
              </w:rPr>
              <w:t>/Add.1</w:t>
            </w:r>
          </w:p>
        </w:tc>
        <w:tc>
          <w:tcPr>
            <w:tcW w:w="4536" w:type="dxa"/>
            <w:shd w:val="clear" w:color="auto" w:fill="auto"/>
          </w:tcPr>
          <w:p w:rsidR="00E03AAA" w:rsidRPr="00FA2A45" w:rsidRDefault="00E03AAA" w:rsidP="006A5BBF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Liste des documents et annotations</w:t>
            </w:r>
          </w:p>
        </w:tc>
      </w:tr>
    </w:tbl>
    <w:p w:rsidR="00434A5F" w:rsidRPr="00E0681E" w:rsidRDefault="00434A5F" w:rsidP="00434A5F">
      <w:pPr>
        <w:pStyle w:val="H23G"/>
        <w:rPr>
          <w:lang w:val="fr-FR"/>
        </w:rPr>
      </w:pPr>
      <w:r w:rsidRPr="00E0681E">
        <w:rPr>
          <w:lang w:val="fr-FR"/>
        </w:rPr>
        <w:tab/>
      </w:r>
      <w:r w:rsidRPr="00E0681E">
        <w:rPr>
          <w:lang w:val="fr-FR"/>
        </w:rPr>
        <w:tab/>
      </w:r>
      <w:r w:rsidRPr="00FA2A45">
        <w:rPr>
          <w:lang w:val="fr-FR"/>
        </w:rPr>
        <w:t>Documents de référence (secrétariat)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</w:tblGrid>
      <w:tr w:rsidR="00434A5F" w:rsidRPr="00E0681E" w:rsidTr="00703E66">
        <w:tc>
          <w:tcPr>
            <w:tcW w:w="2835" w:type="dxa"/>
            <w:shd w:val="clear" w:color="auto" w:fill="auto"/>
          </w:tcPr>
          <w:p w:rsidR="00434A5F" w:rsidRPr="00E0681E" w:rsidRDefault="00434A5F" w:rsidP="003A757D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ST/SG/AC.10/30/Rev.</w:t>
            </w:r>
            <w:r w:rsidR="003A757D">
              <w:rPr>
                <w:lang w:val="fr-F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34A5F" w:rsidRPr="00FA2A45" w:rsidRDefault="00434A5F" w:rsidP="003A757D">
            <w:pPr>
              <w:spacing w:before="30" w:after="30"/>
              <w:rPr>
                <w:lang w:val="fr-FR"/>
              </w:rPr>
            </w:pPr>
            <w:r w:rsidRPr="00FA2A45">
              <w:rPr>
                <w:lang w:val="fr-FR"/>
              </w:rPr>
              <w:t>Système général harmonisé de classification et d’étiquetage</w:t>
            </w:r>
            <w:r w:rsidR="007D0C30">
              <w:rPr>
                <w:lang w:val="fr-FR"/>
              </w:rPr>
              <w:t>s</w:t>
            </w:r>
            <w:r w:rsidRPr="00FA2A45">
              <w:rPr>
                <w:lang w:val="fr-FR"/>
              </w:rPr>
              <w:t xml:space="preserve"> de</w:t>
            </w:r>
            <w:r w:rsidR="00CF3A87">
              <w:rPr>
                <w:lang w:val="fr-FR"/>
              </w:rPr>
              <w:t>s</w:t>
            </w:r>
            <w:r w:rsidRPr="00FA2A45">
              <w:rPr>
                <w:lang w:val="fr-FR"/>
              </w:rPr>
              <w:t xml:space="preserve"> prod</w:t>
            </w:r>
            <w:r w:rsidR="003A757D">
              <w:rPr>
                <w:lang w:val="fr-FR"/>
              </w:rPr>
              <w:t>uits chimiques (SGH), sixième</w:t>
            </w:r>
            <w:r w:rsidR="007B7256">
              <w:rPr>
                <w:lang w:val="fr-FR"/>
              </w:rPr>
              <w:t> </w:t>
            </w:r>
            <w:r w:rsidRPr="00FA2A45">
              <w:rPr>
                <w:lang w:val="fr-FR"/>
              </w:rPr>
              <w:t xml:space="preserve">édition révisée </w:t>
            </w:r>
          </w:p>
        </w:tc>
      </w:tr>
      <w:tr w:rsidR="00434A5F" w:rsidRPr="00E0681E" w:rsidTr="00703E66">
        <w:tc>
          <w:tcPr>
            <w:tcW w:w="2835" w:type="dxa"/>
            <w:shd w:val="clear" w:color="auto" w:fill="auto"/>
          </w:tcPr>
          <w:p w:rsidR="00434A5F" w:rsidRPr="00E0681E" w:rsidRDefault="00434A5F" w:rsidP="003A757D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ST/SG/AC.10/1/Rev.1</w:t>
            </w:r>
            <w:r w:rsidR="003A757D">
              <w:rPr>
                <w:lang w:val="fr-FR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34A5F" w:rsidRPr="00FA2A45" w:rsidRDefault="00434A5F" w:rsidP="003A757D">
            <w:pPr>
              <w:spacing w:before="30" w:after="30"/>
              <w:rPr>
                <w:lang w:val="fr-FR"/>
              </w:rPr>
            </w:pPr>
            <w:r w:rsidRPr="00FA2A45">
              <w:rPr>
                <w:lang w:val="fr-FR"/>
              </w:rPr>
              <w:t>Recommandations relatives au transport des marchandises dangereuses, Règlement type, dix</w:t>
            </w:r>
            <w:r w:rsidRPr="00FA2A45">
              <w:rPr>
                <w:lang w:val="fr-FR"/>
              </w:rPr>
              <w:noBreakHyphen/>
            </w:r>
            <w:r w:rsidR="003A757D">
              <w:rPr>
                <w:lang w:val="fr-FR"/>
              </w:rPr>
              <w:t>neuvième</w:t>
            </w:r>
            <w:r w:rsidRPr="00FA2A45">
              <w:rPr>
                <w:lang w:val="fr-FR"/>
              </w:rPr>
              <w:t xml:space="preserve"> édition révisée </w:t>
            </w:r>
          </w:p>
        </w:tc>
      </w:tr>
      <w:tr w:rsidR="00434A5F" w:rsidRPr="00E0681E" w:rsidTr="00703E66">
        <w:tc>
          <w:tcPr>
            <w:tcW w:w="2835" w:type="dxa"/>
            <w:shd w:val="clear" w:color="auto" w:fill="auto"/>
          </w:tcPr>
          <w:p w:rsidR="00434A5F" w:rsidRPr="00E0681E" w:rsidRDefault="003A757D" w:rsidP="003A757D">
            <w:pPr>
              <w:spacing w:before="30" w:after="30"/>
              <w:rPr>
                <w:lang w:val="fr-FR"/>
              </w:rPr>
            </w:pPr>
            <w:r>
              <w:rPr>
                <w:lang w:val="fr-FR"/>
              </w:rPr>
              <w:t>ST/SG/AC.10/11/Rev.6</w:t>
            </w:r>
          </w:p>
        </w:tc>
        <w:tc>
          <w:tcPr>
            <w:tcW w:w="4536" w:type="dxa"/>
            <w:shd w:val="clear" w:color="auto" w:fill="auto"/>
          </w:tcPr>
          <w:p w:rsidR="00434A5F" w:rsidRPr="00703E66" w:rsidRDefault="00434A5F" w:rsidP="003A757D">
            <w:pPr>
              <w:spacing w:before="30" w:after="30"/>
              <w:rPr>
                <w:spacing w:val="-2"/>
                <w:lang w:val="fr-FR"/>
              </w:rPr>
            </w:pPr>
            <w:r w:rsidRPr="00703E66">
              <w:rPr>
                <w:spacing w:val="-2"/>
                <w:lang w:val="fr-FR"/>
              </w:rPr>
              <w:t xml:space="preserve">Recommandations relatives au transport des marchandises dangereuses, Manuel d’épreuves et de critères, </w:t>
            </w:r>
            <w:r w:rsidR="003A757D">
              <w:rPr>
                <w:spacing w:val="-2"/>
                <w:lang w:val="fr-FR"/>
              </w:rPr>
              <w:t>sixième</w:t>
            </w:r>
            <w:r w:rsidRPr="00703E66">
              <w:rPr>
                <w:spacing w:val="-2"/>
                <w:lang w:val="fr-FR"/>
              </w:rPr>
              <w:t xml:space="preserve"> édition révis</w:t>
            </w:r>
            <w:r w:rsidR="009808DA" w:rsidRPr="00703E66">
              <w:rPr>
                <w:spacing w:val="-2"/>
                <w:lang w:val="fr-FR"/>
              </w:rPr>
              <w:t xml:space="preserve">ée </w:t>
            </w:r>
          </w:p>
        </w:tc>
      </w:tr>
      <w:tr w:rsidR="00434A5F" w:rsidRPr="00FA2A45" w:rsidTr="00703E66">
        <w:tc>
          <w:tcPr>
            <w:tcW w:w="2835" w:type="dxa"/>
            <w:shd w:val="clear" w:color="auto" w:fill="auto"/>
          </w:tcPr>
          <w:p w:rsidR="00434A5F" w:rsidRPr="00E0681E" w:rsidRDefault="00D757D5" w:rsidP="00D757D5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ST/SG/AC.10/C.4/5</w:t>
            </w:r>
            <w:r>
              <w:rPr>
                <w:lang w:val="fr-FR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34A5F" w:rsidRPr="00E0681E" w:rsidRDefault="00D757D5" w:rsidP="00D757D5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 xml:space="preserve">Rapport du Sous-Comité </w:t>
            </w:r>
            <w:r>
              <w:rPr>
                <w:lang w:val="fr-FR"/>
              </w:rPr>
              <w:t>d’experts</w:t>
            </w:r>
            <w:r>
              <w:rPr>
                <w:lang w:val="fr-FR"/>
              </w:rPr>
              <w:br/>
              <w:t>sur sa vingt-neuvième </w:t>
            </w:r>
            <w:r w:rsidRPr="00E0681E">
              <w:rPr>
                <w:lang w:val="fr-FR"/>
              </w:rPr>
              <w:t>session</w:t>
            </w:r>
          </w:p>
        </w:tc>
      </w:tr>
      <w:tr w:rsidR="00434A5F" w:rsidRPr="00FA2A45" w:rsidTr="00703E66">
        <w:tc>
          <w:tcPr>
            <w:tcW w:w="2835" w:type="dxa"/>
            <w:shd w:val="clear" w:color="auto" w:fill="auto"/>
          </w:tcPr>
          <w:p w:rsidR="00434A5F" w:rsidRPr="00E0681E" w:rsidRDefault="00434A5F" w:rsidP="00D757D5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ST/SG/AC.10/C.3/</w:t>
            </w:r>
            <w:r w:rsidR="00D757D5">
              <w:rPr>
                <w:lang w:val="fr-FR"/>
              </w:rPr>
              <w:t>94</w:t>
            </w:r>
          </w:p>
        </w:tc>
        <w:tc>
          <w:tcPr>
            <w:tcW w:w="4536" w:type="dxa"/>
            <w:shd w:val="clear" w:color="auto" w:fill="auto"/>
          </w:tcPr>
          <w:p w:rsidR="00434A5F" w:rsidRPr="00E0681E" w:rsidRDefault="00434A5F" w:rsidP="00D757D5">
            <w:pPr>
              <w:spacing w:before="30" w:after="30"/>
              <w:rPr>
                <w:lang w:val="fr-FR"/>
              </w:rPr>
            </w:pPr>
            <w:r w:rsidRPr="00E0681E">
              <w:rPr>
                <w:lang w:val="fr-FR"/>
              </w:rPr>
              <w:t>Rapport du Sous-Comité d’experts du transport des</w:t>
            </w:r>
            <w:r w:rsidR="007B7256">
              <w:rPr>
                <w:lang w:val="fr-FR"/>
              </w:rPr>
              <w:t> marchandises dangereuses sur</w:t>
            </w:r>
            <w:r w:rsidR="007B7256">
              <w:rPr>
                <w:lang w:val="fr-FR"/>
              </w:rPr>
              <w:br/>
            </w:r>
            <w:r w:rsidRPr="00E0681E">
              <w:rPr>
                <w:lang w:val="fr-FR"/>
              </w:rPr>
              <w:t>sa quarante-</w:t>
            </w:r>
            <w:r w:rsidR="00D757D5">
              <w:rPr>
                <w:lang w:val="fr-FR"/>
              </w:rPr>
              <w:t>septième</w:t>
            </w:r>
            <w:r w:rsidRPr="00E0681E">
              <w:rPr>
                <w:lang w:val="fr-FR"/>
              </w:rPr>
              <w:t xml:space="preserve"> session</w:t>
            </w:r>
          </w:p>
        </w:tc>
      </w:tr>
    </w:tbl>
    <w:p w:rsidR="00092121" w:rsidRDefault="00092121" w:rsidP="00092121">
      <w:pPr>
        <w:pStyle w:val="H1G"/>
        <w:rPr>
          <w:lang w:val="fr-FR"/>
        </w:rPr>
      </w:pPr>
      <w:r w:rsidRPr="00E0681E">
        <w:rPr>
          <w:lang w:val="fr-FR"/>
        </w:rPr>
        <w:lastRenderedPageBreak/>
        <w:tab/>
      </w:r>
      <w:r>
        <w:rPr>
          <w:lang w:val="fr-FR"/>
        </w:rPr>
        <w:t>2.</w:t>
      </w:r>
      <w:r>
        <w:rPr>
          <w:lang w:val="fr-FR"/>
        </w:rPr>
        <w:tab/>
        <w:t>Travaux à mener conjointement avec le Sous-Comité d’experts du transport des marchandises dangereuses (Sous-Comité TMD)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394"/>
      </w:tblGrid>
      <w:tr w:rsidR="00092121" w:rsidTr="001321B2">
        <w:tc>
          <w:tcPr>
            <w:tcW w:w="3119" w:type="dxa"/>
            <w:shd w:val="clear" w:color="auto" w:fill="auto"/>
          </w:tcPr>
          <w:p w:rsidR="00092121" w:rsidRDefault="00092121" w:rsidP="000646A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0646AF">
              <w:t xml:space="preserve">ST/SG/AC.10/C.4/2015/10 (Président du groupe de travail </w:t>
            </w:r>
            <w:r w:rsidR="000646AF" w:rsidRPr="000646AF">
              <w:t>des</w:t>
            </w:r>
            <w:r w:rsidRPr="000646AF">
              <w:t xml:space="preserve"> explosifs)</w:t>
            </w:r>
          </w:p>
        </w:tc>
        <w:tc>
          <w:tcPr>
            <w:tcW w:w="4394" w:type="dxa"/>
            <w:shd w:val="clear" w:color="auto" w:fill="auto"/>
          </w:tcPr>
          <w:p w:rsidR="00092121" w:rsidRDefault="000646AF" w:rsidP="001321B2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FA2A45">
              <w:rPr>
                <w:lang w:val="fr-FR"/>
              </w:rPr>
              <w:t>Utilisation du Manuel d’épreuves et de critères dans le contexte du SGH</w:t>
            </w:r>
          </w:p>
        </w:tc>
      </w:tr>
      <w:tr w:rsidR="00092121" w:rsidTr="001321B2">
        <w:trPr>
          <w:trHeight w:val="70"/>
        </w:trPr>
        <w:tc>
          <w:tcPr>
            <w:tcW w:w="3119" w:type="dxa"/>
            <w:shd w:val="clear" w:color="auto" w:fill="auto"/>
          </w:tcPr>
          <w:p w:rsidR="00092121" w:rsidRDefault="000646AF" w:rsidP="001321B2">
            <w:pPr>
              <w:pStyle w:val="SingleTxtG"/>
              <w:keepNext/>
              <w:keepLines/>
              <w:spacing w:after="80" w:line="240" w:lineRule="auto"/>
              <w:ind w:left="284" w:right="0"/>
              <w:jc w:val="left"/>
            </w:pPr>
            <w:r w:rsidRPr="000646AF">
              <w:rPr>
                <w:u w:val="single"/>
              </w:rPr>
              <w:t>Documents de référence:</w:t>
            </w:r>
          </w:p>
        </w:tc>
        <w:tc>
          <w:tcPr>
            <w:tcW w:w="4394" w:type="dxa"/>
            <w:shd w:val="clear" w:color="auto" w:fill="auto"/>
          </w:tcPr>
          <w:p w:rsidR="00092121" w:rsidRDefault="00092121" w:rsidP="001321B2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</w:p>
        </w:tc>
      </w:tr>
      <w:tr w:rsidR="00092121" w:rsidTr="001321B2">
        <w:trPr>
          <w:trHeight w:val="426"/>
        </w:trPr>
        <w:tc>
          <w:tcPr>
            <w:tcW w:w="3119" w:type="dxa"/>
            <w:shd w:val="clear" w:color="auto" w:fill="auto"/>
          </w:tcPr>
          <w:p w:rsidR="00092121" w:rsidRPr="008927A0" w:rsidRDefault="00092121" w:rsidP="00092121">
            <w:pPr>
              <w:pStyle w:val="Bullet1G"/>
              <w:numPr>
                <w:ilvl w:val="0"/>
                <w:numId w:val="14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ind w:left="426" w:hanging="142"/>
              <w:rPr>
                <w:u w:val="single"/>
              </w:rPr>
            </w:pPr>
            <w:r>
              <w:t>ST/SG/AC.10/C.3/94, paras 21-22 et annexe I</w:t>
            </w:r>
          </w:p>
        </w:tc>
        <w:tc>
          <w:tcPr>
            <w:tcW w:w="4394" w:type="dxa"/>
            <w:shd w:val="clear" w:color="auto" w:fill="auto"/>
          </w:tcPr>
          <w:p w:rsidR="00092121" w:rsidRDefault="00092121" w:rsidP="00092121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E0681E">
              <w:rPr>
                <w:lang w:val="fr-FR"/>
              </w:rPr>
              <w:t xml:space="preserve">Rapport du Sous-Comité </w:t>
            </w:r>
            <w:r>
              <w:rPr>
                <w:lang w:val="fr-FR"/>
              </w:rPr>
              <w:t>TMD</w:t>
            </w:r>
            <w:r>
              <w:rPr>
                <w:lang w:val="fr-FR"/>
              </w:rPr>
              <w:br/>
              <w:t>sur sa quarante-septième </w:t>
            </w:r>
            <w:r w:rsidRPr="00E0681E">
              <w:rPr>
                <w:lang w:val="fr-FR"/>
              </w:rPr>
              <w:t>session</w:t>
            </w:r>
          </w:p>
        </w:tc>
      </w:tr>
      <w:tr w:rsidR="00092121" w:rsidTr="001321B2">
        <w:tc>
          <w:tcPr>
            <w:tcW w:w="3119" w:type="dxa"/>
            <w:shd w:val="clear" w:color="auto" w:fill="auto"/>
          </w:tcPr>
          <w:p w:rsidR="00092121" w:rsidRPr="008927A0" w:rsidRDefault="00092121" w:rsidP="00092121">
            <w:pPr>
              <w:pStyle w:val="Bullet1G"/>
              <w:numPr>
                <w:ilvl w:val="0"/>
                <w:numId w:val="14"/>
              </w:numPr>
              <w:tabs>
                <w:tab w:val="clear" w:pos="1701"/>
              </w:tabs>
              <w:kinsoku/>
              <w:overflowPunct/>
              <w:autoSpaceDE/>
              <w:autoSpaceDN/>
              <w:adjustRightInd/>
              <w:snapToGrid/>
              <w:ind w:left="426" w:hanging="142"/>
              <w:rPr>
                <w:u w:val="single"/>
              </w:rPr>
            </w:pPr>
            <w:r>
              <w:t>ST/SG/AC.10/C.4/58, paras 8-10</w:t>
            </w:r>
          </w:p>
        </w:tc>
        <w:tc>
          <w:tcPr>
            <w:tcW w:w="4394" w:type="dxa"/>
            <w:shd w:val="clear" w:color="auto" w:fill="auto"/>
          </w:tcPr>
          <w:p w:rsidR="00092121" w:rsidRDefault="000646AF" w:rsidP="000646AF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Rapport du sous-comité sur sa vingt-neuvième session</w:t>
            </w:r>
          </w:p>
        </w:tc>
      </w:tr>
      <w:tr w:rsidR="00092121" w:rsidTr="001321B2">
        <w:tc>
          <w:tcPr>
            <w:tcW w:w="3119" w:type="dxa"/>
            <w:shd w:val="clear" w:color="auto" w:fill="auto"/>
          </w:tcPr>
          <w:p w:rsidR="00092121" w:rsidRDefault="00092121" w:rsidP="001321B2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ST/SG/AC.10/C.4/2015/11 (DGAC)</w:t>
            </w:r>
          </w:p>
        </w:tc>
        <w:tc>
          <w:tcPr>
            <w:tcW w:w="4394" w:type="dxa"/>
            <w:shd w:val="clear" w:color="auto" w:fill="auto"/>
          </w:tcPr>
          <w:p w:rsidR="00085C9A" w:rsidRDefault="00085C9A" w:rsidP="00085C9A">
            <w:pPr>
              <w:pStyle w:val="SingleTxtG"/>
              <w:spacing w:line="240" w:lineRule="auto"/>
              <w:ind w:left="142" w:right="0"/>
              <w:jc w:val="left"/>
            </w:pPr>
            <w:r w:rsidRPr="00085C9A">
              <w:t xml:space="preserve">Interdiction lors du transport d’utiliser des pictogrammes SGH non </w:t>
            </w:r>
            <w:r>
              <w:t>applicables</w:t>
            </w:r>
            <w:r w:rsidRPr="00085C9A">
              <w:t xml:space="preserve"> au transport lorsque ceux-ci ne font pas partie d’une étiquette SGH complète</w:t>
            </w:r>
          </w:p>
        </w:tc>
      </w:tr>
      <w:tr w:rsidR="00092121" w:rsidTr="001321B2">
        <w:tc>
          <w:tcPr>
            <w:tcW w:w="3119" w:type="dxa"/>
            <w:shd w:val="clear" w:color="auto" w:fill="auto"/>
          </w:tcPr>
          <w:p w:rsidR="00092121" w:rsidRPr="007917BE" w:rsidRDefault="00092121" w:rsidP="001321B2">
            <w:pPr>
              <w:pStyle w:val="SingleTxtG"/>
              <w:spacing w:after="80" w:line="240" w:lineRule="auto"/>
              <w:ind w:left="0" w:right="0"/>
              <w:jc w:val="left"/>
            </w:pPr>
            <w:r w:rsidRPr="007917BE">
              <w:t>ST/SG/AC.10/C.4/2015/12 (France)</w:t>
            </w:r>
          </w:p>
        </w:tc>
        <w:tc>
          <w:tcPr>
            <w:tcW w:w="4394" w:type="dxa"/>
            <w:shd w:val="clear" w:color="auto" w:fill="auto"/>
          </w:tcPr>
          <w:p w:rsidR="00092121" w:rsidRPr="000D62D0" w:rsidRDefault="007917BE" w:rsidP="007917BE">
            <w:pPr>
              <w:pStyle w:val="SingleTxtG"/>
              <w:spacing w:line="240" w:lineRule="auto"/>
              <w:ind w:left="142" w:right="0"/>
            </w:pPr>
            <w:r>
              <w:t>P</w:t>
            </w:r>
            <w:r w:rsidR="0078272A" w:rsidRPr="007917BE">
              <w:t>rogramme d’épreuves</w:t>
            </w:r>
            <w:r w:rsidRPr="007917BE">
              <w:t xml:space="preserve"> </w:t>
            </w:r>
            <w:r w:rsidR="0078272A" w:rsidRPr="007917BE">
              <w:t>interlaboratoires</w:t>
            </w:r>
            <w:r w:rsidR="0078272A" w:rsidRPr="007917BE">
              <w:cr/>
              <w:t xml:space="preserve"> </w:t>
            </w:r>
            <w:r w:rsidR="00092121" w:rsidRPr="007917BE">
              <w:t xml:space="preserve">– </w:t>
            </w:r>
            <w:r w:rsidRPr="007917BE">
              <w:t xml:space="preserve">Épreuve </w:t>
            </w:r>
            <w:r w:rsidR="00092121" w:rsidRPr="007917BE">
              <w:t>O.2</w:t>
            </w:r>
            <w:r w:rsidRPr="007917BE">
              <w:t xml:space="preserve"> pour les liquides comburants et Épreuve </w:t>
            </w:r>
            <w:r w:rsidR="00092121" w:rsidRPr="007917BE">
              <w:t>O.3</w:t>
            </w:r>
            <w:r w:rsidRPr="007917BE">
              <w:t xml:space="preserve"> pour les matières solides comburantes</w:t>
            </w:r>
            <w:r w:rsidR="00092121" w:rsidRPr="007917BE">
              <w:t xml:space="preserve">: </w:t>
            </w:r>
          </w:p>
        </w:tc>
      </w:tr>
      <w:tr w:rsidR="00092121" w:rsidTr="001321B2">
        <w:tc>
          <w:tcPr>
            <w:tcW w:w="3119" w:type="dxa"/>
            <w:shd w:val="clear" w:color="auto" w:fill="auto"/>
          </w:tcPr>
          <w:p w:rsidR="00092121" w:rsidRPr="00085C9A" w:rsidRDefault="00092121" w:rsidP="001321B2">
            <w:pPr>
              <w:pStyle w:val="SingleTxtG"/>
              <w:spacing w:after="80" w:line="240" w:lineRule="auto"/>
              <w:ind w:left="0" w:right="0"/>
              <w:jc w:val="left"/>
            </w:pPr>
            <w:r w:rsidRPr="00085C9A">
              <w:t>ST/SG/AC.10/C.4/2015/16 (DGAC)</w:t>
            </w:r>
          </w:p>
        </w:tc>
        <w:tc>
          <w:tcPr>
            <w:tcW w:w="4394" w:type="dxa"/>
            <w:shd w:val="clear" w:color="auto" w:fill="auto"/>
          </w:tcPr>
          <w:p w:rsidR="00092121" w:rsidRPr="000D62D0" w:rsidRDefault="00FC344D" w:rsidP="00085C9A">
            <w:pPr>
              <w:pStyle w:val="SingleTxtG"/>
              <w:spacing w:line="240" w:lineRule="auto"/>
              <w:ind w:left="142" w:right="0"/>
              <w:jc w:val="left"/>
            </w:pPr>
            <w:r w:rsidRPr="00085C9A">
              <w:t xml:space="preserve">Étiquettes SGH utilisées pour le transport sur des emballages extérieurs </w:t>
            </w:r>
            <w:r w:rsidR="00085C9A" w:rsidRPr="00085C9A">
              <w:t xml:space="preserve">non soumis aux dispositions de la règlementation de transport des marchandises dangereuses </w:t>
            </w:r>
          </w:p>
        </w:tc>
      </w:tr>
    </w:tbl>
    <w:p w:rsidR="00085C9A" w:rsidRDefault="000646AF" w:rsidP="00085C9A">
      <w:pPr>
        <w:pStyle w:val="SingleTxtG"/>
        <w:rPr>
          <w:rFonts w:eastAsia="MS Mincho"/>
          <w:lang w:val="fr-FR" w:eastAsia="ja-JP"/>
        </w:rPr>
      </w:pPr>
      <w:r w:rsidRPr="00E0681E">
        <w:rPr>
          <w:rFonts w:eastAsia="MS Mincho"/>
          <w:lang w:val="fr-FR"/>
        </w:rPr>
        <w:t xml:space="preserve">Les </w:t>
      </w:r>
      <w:r w:rsidRPr="00FA2A45">
        <w:rPr>
          <w:rFonts w:eastAsia="MS Mincho"/>
          <w:lang w:val="fr-FR"/>
        </w:rPr>
        <w:t>explosifs et questions connexes</w:t>
      </w:r>
      <w:r w:rsidRPr="00E0681E">
        <w:rPr>
          <w:rFonts w:eastAsia="MS Mincho"/>
          <w:lang w:val="fr-FR"/>
        </w:rPr>
        <w:t xml:space="preserve"> seron</w:t>
      </w:r>
      <w:r>
        <w:rPr>
          <w:rFonts w:eastAsia="MS Mincho"/>
          <w:lang w:val="fr-FR"/>
        </w:rPr>
        <w:t>t examinés par le sous-comité TMD au titre du point </w:t>
      </w:r>
      <w:r w:rsidRPr="00E0681E">
        <w:rPr>
          <w:rFonts w:eastAsia="MS Mincho"/>
          <w:lang w:val="fr-FR"/>
        </w:rPr>
        <w:t>2 de</w:t>
      </w:r>
      <w:r w:rsidR="00F91B4A">
        <w:rPr>
          <w:rFonts w:eastAsia="MS Mincho"/>
          <w:lang w:val="fr-FR"/>
        </w:rPr>
        <w:t xml:space="preserve"> son </w:t>
      </w:r>
      <w:r w:rsidRPr="00E0681E">
        <w:rPr>
          <w:rFonts w:eastAsia="MS Mincho"/>
          <w:lang w:val="fr-FR"/>
        </w:rPr>
        <w:t>ordre du jour</w:t>
      </w:r>
      <w:r>
        <w:rPr>
          <w:rFonts w:eastAsia="MS Mincho"/>
          <w:lang w:val="fr-FR"/>
        </w:rPr>
        <w:t xml:space="preserve"> provisoire</w:t>
      </w:r>
      <w:r w:rsidRPr="00E0681E">
        <w:rPr>
          <w:rFonts w:eastAsia="MS Mincho"/>
          <w:lang w:val="fr-FR"/>
        </w:rPr>
        <w:t xml:space="preserve">. Le </w:t>
      </w:r>
      <w:r w:rsidRPr="00FA2A45">
        <w:rPr>
          <w:rFonts w:eastAsia="MS Mincho"/>
          <w:lang w:val="fr-FR"/>
        </w:rPr>
        <w:t>Sous-Comité TMD</w:t>
      </w:r>
      <w:r w:rsidRPr="00E0681E">
        <w:rPr>
          <w:rFonts w:eastAsia="MS Mincho"/>
          <w:lang w:val="fr-FR"/>
        </w:rPr>
        <w:t xml:space="preserve"> devrait confier l’examen des documents soumis au titre de ce point de l’ordre du jour</w:t>
      </w:r>
      <w:r>
        <w:rPr>
          <w:rFonts w:eastAsia="MS Mincho"/>
          <w:lang w:val="fr-FR"/>
        </w:rPr>
        <w:t xml:space="preserve"> </w:t>
      </w:r>
      <w:r w:rsidRPr="00E0681E">
        <w:rPr>
          <w:rFonts w:eastAsia="MS Mincho"/>
          <w:lang w:val="fr-FR"/>
        </w:rPr>
        <w:t xml:space="preserve">au </w:t>
      </w:r>
      <w:r w:rsidRPr="00FA2A45">
        <w:rPr>
          <w:rFonts w:eastAsia="MS Mincho"/>
          <w:lang w:val="fr-FR"/>
        </w:rPr>
        <w:t>Groupe de travail des explosifs</w:t>
      </w:r>
      <w:r w:rsidRPr="00E0681E">
        <w:rPr>
          <w:rFonts w:eastAsia="MS Mincho"/>
          <w:lang w:val="fr-FR"/>
        </w:rPr>
        <w:t xml:space="preserve">, qui devrait se réunir parallèlement à la session du Sous-Comité. </w:t>
      </w:r>
      <w:r w:rsidRPr="00FA2A45">
        <w:rPr>
          <w:rFonts w:eastAsia="MS Mincho"/>
          <w:lang w:val="fr-FR" w:eastAsia="ja-JP"/>
        </w:rPr>
        <w:t xml:space="preserve">Les délégués du Sous-Comité SGH intéressés à participer aux travaux du </w:t>
      </w:r>
      <w:r>
        <w:rPr>
          <w:rFonts w:eastAsia="MS Mincho"/>
          <w:lang w:val="fr-FR" w:eastAsia="ja-JP"/>
        </w:rPr>
        <w:t>S</w:t>
      </w:r>
      <w:r w:rsidRPr="00FA2A45">
        <w:rPr>
          <w:rFonts w:eastAsia="MS Mincho"/>
          <w:lang w:val="fr-FR" w:eastAsia="ja-JP"/>
        </w:rPr>
        <w:t>ous-</w:t>
      </w:r>
      <w:r>
        <w:rPr>
          <w:rFonts w:eastAsia="MS Mincho"/>
          <w:lang w:val="fr-FR" w:eastAsia="ja-JP"/>
        </w:rPr>
        <w:t>C</w:t>
      </w:r>
      <w:r w:rsidRPr="00FA2A45">
        <w:rPr>
          <w:rFonts w:eastAsia="MS Mincho"/>
          <w:lang w:val="fr-FR" w:eastAsia="ja-JP"/>
        </w:rPr>
        <w:t>omité TMD sur ces questions doivent s’inscrire pour les deux sessions</w:t>
      </w:r>
      <w:r w:rsidRPr="00E0681E">
        <w:rPr>
          <w:rFonts w:eastAsia="MS Mincho"/>
          <w:lang w:val="fr-FR" w:eastAsia="ja-JP"/>
        </w:rPr>
        <w:t xml:space="preserve"> (Sous-Comités TMD et</w:t>
      </w:r>
      <w:r>
        <w:rPr>
          <w:rFonts w:eastAsia="MS Mincho"/>
          <w:lang w:val="fr-FR" w:eastAsia="ja-JP"/>
        </w:rPr>
        <w:t> </w:t>
      </w:r>
      <w:r w:rsidRPr="00E0681E">
        <w:rPr>
          <w:rFonts w:eastAsia="MS Mincho"/>
          <w:lang w:val="fr-FR" w:eastAsia="ja-JP"/>
        </w:rPr>
        <w:t>SGH).</w:t>
      </w:r>
    </w:p>
    <w:p w:rsidR="00092121" w:rsidRDefault="00085C9A" w:rsidP="00085C9A">
      <w:pPr>
        <w:pStyle w:val="H1G"/>
        <w:rPr>
          <w:lang w:val="fr-FR"/>
        </w:rPr>
      </w:pPr>
      <w:r>
        <w:rPr>
          <w:lang w:val="fr-FR"/>
        </w:rPr>
        <w:tab/>
      </w:r>
      <w:r w:rsidR="00092121">
        <w:rPr>
          <w:lang w:val="fr-FR"/>
        </w:rPr>
        <w:t>3</w:t>
      </w:r>
      <w:r w:rsidR="00092121" w:rsidRPr="00E0681E">
        <w:rPr>
          <w:lang w:val="fr-FR"/>
        </w:rPr>
        <w:t>.</w:t>
      </w:r>
      <w:r w:rsidR="00092121" w:rsidRPr="00E0681E">
        <w:rPr>
          <w:lang w:val="fr-FR"/>
        </w:rPr>
        <w:tab/>
      </w:r>
      <w:r w:rsidR="00092121" w:rsidRPr="00FA2A45">
        <w:rPr>
          <w:lang w:val="fr-FR"/>
        </w:rPr>
        <w:t>Critères de classification et communication des dangers y relatifs</w:t>
      </w:r>
    </w:p>
    <w:p w:rsidR="00F31EFC" w:rsidRPr="00E0681E" w:rsidRDefault="00F31EFC" w:rsidP="00F31EFC">
      <w:pPr>
        <w:pStyle w:val="H23G"/>
        <w:keepNext w:val="0"/>
        <w:keepLines w:val="0"/>
        <w:spacing w:line="240" w:lineRule="atLeast"/>
        <w:rPr>
          <w:lang w:val="fr-FR"/>
        </w:rPr>
      </w:pPr>
      <w:r w:rsidRPr="00E0681E">
        <w:rPr>
          <w:lang w:val="fr-FR"/>
        </w:rPr>
        <w:tab/>
      </w:r>
      <w:r>
        <w:rPr>
          <w:lang w:val="fr-FR"/>
        </w:rPr>
        <w:t>a</w:t>
      </w:r>
      <w:r w:rsidRPr="00E0681E">
        <w:rPr>
          <w:lang w:val="fr-FR"/>
        </w:rPr>
        <w:t>)</w:t>
      </w:r>
      <w:r w:rsidRPr="00E0681E">
        <w:rPr>
          <w:lang w:val="fr-FR"/>
        </w:rPr>
        <w:tab/>
      </w:r>
      <w:r w:rsidRPr="00FA2A45">
        <w:rPr>
          <w:lang w:val="fr-FR"/>
        </w:rPr>
        <w:t>Dangers d’explosion des poussières</w:t>
      </w:r>
    </w:p>
    <w:p w:rsidR="00F31EFC" w:rsidRDefault="00F31EFC" w:rsidP="00F31EFC">
      <w:pPr>
        <w:pStyle w:val="SingleTxtG"/>
        <w:rPr>
          <w:lang w:val="fr-FR"/>
        </w:rPr>
      </w:pPr>
      <w:r w:rsidRPr="00FA2A45">
        <w:rPr>
          <w:rFonts w:eastAsia="MS Mincho"/>
          <w:lang w:val="fr-FR"/>
        </w:rPr>
        <w:t xml:space="preserve">L’expert des États-Unis d’Amérique souhaitera peut-être informer le Sous-Comité de l’état d’avancement des travaux du groupe de travail informel par correspondance </w:t>
      </w:r>
      <w:r>
        <w:rPr>
          <w:rFonts w:eastAsia="MS Mincho"/>
          <w:lang w:val="fr-FR"/>
        </w:rPr>
        <w:t>chargé des </w:t>
      </w:r>
      <w:r w:rsidRPr="00FA2A45">
        <w:rPr>
          <w:rFonts w:eastAsia="MS Mincho"/>
          <w:lang w:val="fr-FR"/>
        </w:rPr>
        <w:t xml:space="preserve">dangers d’explosion des poussières depuis la dernière session. Pour référence, se reporter au rapport du Sous-Comité sur sa </w:t>
      </w:r>
      <w:r w:rsidRPr="00E0681E">
        <w:rPr>
          <w:rFonts w:eastAsia="MS Mincho"/>
          <w:lang w:val="fr-FR"/>
        </w:rPr>
        <w:t>vingt-</w:t>
      </w:r>
      <w:r>
        <w:rPr>
          <w:rFonts w:eastAsia="MS Mincho"/>
          <w:lang w:val="fr-FR"/>
        </w:rPr>
        <w:t>neuvième</w:t>
      </w:r>
      <w:r w:rsidRPr="00E0681E">
        <w:rPr>
          <w:rFonts w:eastAsia="MS Mincho"/>
          <w:lang w:val="fr-FR"/>
        </w:rPr>
        <w:t xml:space="preserve"> session (</w:t>
      </w:r>
      <w:r w:rsidRPr="00F31EFC">
        <w:rPr>
          <w:lang w:val="fr-FR"/>
        </w:rPr>
        <w:t>ST/SG/AC.10/C.4/58</w:t>
      </w:r>
      <w:r>
        <w:rPr>
          <w:lang w:val="fr-FR"/>
        </w:rPr>
        <w:t>, paras. 21</w:t>
      </w:r>
      <w:r w:rsidRPr="00E0681E">
        <w:rPr>
          <w:lang w:val="fr-FR"/>
        </w:rPr>
        <w:t>-</w:t>
      </w:r>
      <w:r>
        <w:rPr>
          <w:lang w:val="fr-FR"/>
        </w:rPr>
        <w:t>2</w:t>
      </w:r>
      <w:r w:rsidRPr="00E0681E">
        <w:rPr>
          <w:lang w:val="fr-FR"/>
        </w:rPr>
        <w:t xml:space="preserve">4). </w:t>
      </w:r>
    </w:p>
    <w:p w:rsidR="00F31EFC" w:rsidRPr="00E0681E" w:rsidRDefault="00F31EFC" w:rsidP="00F31EFC">
      <w:pPr>
        <w:pStyle w:val="H23G"/>
        <w:spacing w:before="120" w:line="240" w:lineRule="atLeast"/>
        <w:rPr>
          <w:lang w:val="fr-FR"/>
        </w:rPr>
      </w:pPr>
      <w:r w:rsidRPr="00E0681E">
        <w:rPr>
          <w:lang w:val="fr-FR"/>
        </w:rPr>
        <w:tab/>
      </w:r>
      <w:r>
        <w:rPr>
          <w:lang w:val="fr-FR"/>
        </w:rPr>
        <w:t>b</w:t>
      </w:r>
      <w:r w:rsidRPr="00E0681E">
        <w:rPr>
          <w:lang w:val="fr-FR"/>
        </w:rPr>
        <w:t>)</w:t>
      </w:r>
      <w:r w:rsidRPr="00E0681E">
        <w:rPr>
          <w:lang w:val="fr-FR"/>
        </w:rPr>
        <w:tab/>
      </w:r>
      <w:r w:rsidRPr="00FA2A45">
        <w:rPr>
          <w:lang w:val="fr-FR"/>
        </w:rPr>
        <w:t>Questions pratiques de classification</w:t>
      </w:r>
    </w:p>
    <w:p w:rsidR="00F31EFC" w:rsidRPr="00E0681E" w:rsidRDefault="00F31EFC" w:rsidP="00F31EFC">
      <w:pPr>
        <w:pStyle w:val="SingleTxtG"/>
        <w:keepNext/>
        <w:keepLines/>
        <w:rPr>
          <w:rFonts w:eastAsia="MS Mincho"/>
          <w:lang w:val="fr-FR"/>
        </w:rPr>
      </w:pPr>
      <w:r w:rsidRPr="00FA2A45">
        <w:rPr>
          <w:rFonts w:eastAsia="MS Mincho"/>
          <w:lang w:val="fr-FR"/>
        </w:rPr>
        <w:t xml:space="preserve">L’expert des États-Unis d’Amérique souhaitera peut-être informer le Sous-Comité de l’état d’avancement des travaux du groupe de travail informel par correspondance </w:t>
      </w:r>
      <w:r>
        <w:rPr>
          <w:rFonts w:eastAsia="MS Mincho"/>
          <w:lang w:val="fr-FR"/>
        </w:rPr>
        <w:t>chargé</w:t>
      </w:r>
      <w:r w:rsidRPr="00FA2A45">
        <w:rPr>
          <w:rFonts w:eastAsia="MS Mincho"/>
          <w:lang w:val="fr-FR"/>
        </w:rPr>
        <w:t xml:space="preserve"> des questions pratiques de classification depuis la dernière session. Pour référence, se reporter au rapport du Sous-Comité sur sa </w:t>
      </w:r>
      <w:r w:rsidRPr="00E0681E">
        <w:rPr>
          <w:rFonts w:eastAsia="MS Mincho"/>
          <w:lang w:val="fr-FR"/>
        </w:rPr>
        <w:t>vingt-</w:t>
      </w:r>
      <w:r>
        <w:rPr>
          <w:rFonts w:eastAsia="MS Mincho"/>
          <w:lang w:val="fr-FR"/>
        </w:rPr>
        <w:t>neuvième</w:t>
      </w:r>
      <w:r w:rsidRPr="00E0681E">
        <w:rPr>
          <w:rFonts w:eastAsia="MS Mincho"/>
          <w:lang w:val="fr-FR"/>
        </w:rPr>
        <w:t xml:space="preserve"> session (</w:t>
      </w:r>
      <w:r w:rsidRPr="00F31EFC">
        <w:rPr>
          <w:rFonts w:eastAsia="MS Mincho"/>
          <w:lang w:val="fr-FR"/>
        </w:rPr>
        <w:t>ST/SG/AC.10/C.4/58</w:t>
      </w:r>
      <w:r>
        <w:rPr>
          <w:rFonts w:eastAsia="MS Mincho"/>
          <w:lang w:val="fr-FR"/>
        </w:rPr>
        <w:t>, para. </w:t>
      </w:r>
      <w:r w:rsidRPr="00E0681E">
        <w:rPr>
          <w:rFonts w:eastAsia="MS Mincho"/>
          <w:lang w:val="fr-FR"/>
        </w:rPr>
        <w:t>2</w:t>
      </w:r>
      <w:r>
        <w:rPr>
          <w:rFonts w:eastAsia="MS Mincho"/>
          <w:lang w:val="fr-FR"/>
        </w:rPr>
        <w:t>5</w:t>
      </w:r>
      <w:r w:rsidRPr="00E0681E">
        <w:rPr>
          <w:rFonts w:eastAsia="MS Mincho"/>
          <w:lang w:val="fr-FR"/>
        </w:rPr>
        <w:t>).</w:t>
      </w:r>
    </w:p>
    <w:p w:rsidR="00434A5F" w:rsidRPr="00E0681E" w:rsidRDefault="00F31EFC" w:rsidP="00434A5F">
      <w:pPr>
        <w:pStyle w:val="H23G"/>
        <w:keepNext w:val="0"/>
        <w:keepLines w:val="0"/>
        <w:spacing w:line="240" w:lineRule="atLeast"/>
        <w:rPr>
          <w:lang w:val="fr-FR"/>
        </w:rPr>
      </w:pPr>
      <w:r>
        <w:rPr>
          <w:lang w:val="fr-FR"/>
        </w:rPr>
        <w:tab/>
        <w:t>c</w:t>
      </w:r>
      <w:r w:rsidR="00434A5F" w:rsidRPr="00E0681E">
        <w:rPr>
          <w:lang w:val="fr-FR"/>
        </w:rPr>
        <w:t>)</w:t>
      </w:r>
      <w:r w:rsidR="00434A5F" w:rsidRPr="00E0681E">
        <w:rPr>
          <w:lang w:val="fr-FR"/>
        </w:rPr>
        <w:tab/>
      </w:r>
      <w:r w:rsidR="00434A5F" w:rsidRPr="00FA2A45">
        <w:rPr>
          <w:lang w:val="fr-FR"/>
        </w:rPr>
        <w:t xml:space="preserve">Dangers par aspiration: critère de viscosité pour la classification des mélanges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F31EFC" w:rsidRPr="00E0681E" w:rsidTr="001321B2">
        <w:tc>
          <w:tcPr>
            <w:tcW w:w="2835" w:type="dxa"/>
            <w:shd w:val="clear" w:color="auto" w:fill="auto"/>
          </w:tcPr>
          <w:p w:rsidR="00F31EFC" w:rsidRPr="00E0681E" w:rsidRDefault="00F31EFC" w:rsidP="00F31EFC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 w:rsidRPr="00F31EFC">
              <w:rPr>
                <w:lang w:val="fr-FR"/>
              </w:rPr>
              <w:t>ST/SG/AC.10/C.4/2015/8</w:t>
            </w:r>
            <w:r w:rsidRPr="00F31EFC">
              <w:t xml:space="preserve"> (OMI)</w:t>
            </w:r>
            <w:r>
              <w:rPr>
                <w:lang w:val="fr-FR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F31EFC" w:rsidRPr="00E0681E" w:rsidRDefault="00F31EFC" w:rsidP="001321B2">
            <w:pPr>
              <w:pStyle w:val="SingleTxtG"/>
              <w:ind w:left="142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Critères de classification pour les dangers par aspiration</w:t>
            </w:r>
          </w:p>
        </w:tc>
      </w:tr>
    </w:tbl>
    <w:p w:rsidR="00434A5F" w:rsidRPr="00E0681E" w:rsidRDefault="00434A5F" w:rsidP="007917BE">
      <w:pPr>
        <w:pStyle w:val="H23G"/>
        <w:spacing w:line="240" w:lineRule="atLeast"/>
        <w:rPr>
          <w:lang w:val="fr-FR"/>
        </w:rPr>
      </w:pPr>
      <w:r w:rsidRPr="00F31EFC">
        <w:rPr>
          <w:lang w:val="fr-FR"/>
        </w:rPr>
        <w:lastRenderedPageBreak/>
        <w:t xml:space="preserve"> </w:t>
      </w:r>
      <w:r w:rsidRPr="00E0681E">
        <w:rPr>
          <w:lang w:val="fr-FR"/>
        </w:rPr>
        <w:tab/>
      </w:r>
      <w:r w:rsidR="00F31EFC">
        <w:rPr>
          <w:lang w:val="fr-FR"/>
        </w:rPr>
        <w:t>d</w:t>
      </w:r>
      <w:r w:rsidRPr="00E0681E">
        <w:rPr>
          <w:lang w:val="fr-FR"/>
        </w:rPr>
        <w:t>)</w:t>
      </w:r>
      <w:r w:rsidRPr="00E0681E">
        <w:rPr>
          <w:lang w:val="fr-FR"/>
        </w:rPr>
        <w:tab/>
      </w:r>
      <w:r w:rsidRPr="00FA2A45">
        <w:rPr>
          <w:lang w:val="fr-FR"/>
        </w:rPr>
        <w:t>Nanomatériaux</w:t>
      </w:r>
    </w:p>
    <w:p w:rsidR="00434A5F" w:rsidRPr="00E0681E" w:rsidRDefault="00434A5F" w:rsidP="007917BE">
      <w:pPr>
        <w:pStyle w:val="SingleTxtG"/>
        <w:keepNext/>
        <w:keepLines/>
        <w:rPr>
          <w:lang w:val="fr-FR"/>
        </w:rPr>
      </w:pPr>
      <w:r w:rsidRPr="00E0681E">
        <w:rPr>
          <w:rFonts w:eastAsia="MS Mincho"/>
          <w:lang w:val="fr-FR"/>
        </w:rPr>
        <w:t xml:space="preserve">L’expert de la France </w:t>
      </w:r>
      <w:r w:rsidRPr="00E0681E">
        <w:rPr>
          <w:lang w:val="fr-FR"/>
        </w:rPr>
        <w:t xml:space="preserve">souhaitera peut-être informer le Sous-Comité de l’état d’avancement des travaux </w:t>
      </w:r>
      <w:r w:rsidRPr="00FA2A45">
        <w:rPr>
          <w:lang w:val="fr-FR"/>
        </w:rPr>
        <w:t xml:space="preserve">du groupe de travail informel par correspondance </w:t>
      </w:r>
      <w:r w:rsidR="002E7769">
        <w:rPr>
          <w:lang w:val="fr-FR"/>
        </w:rPr>
        <w:t>chargé des</w:t>
      </w:r>
      <w:r w:rsidRPr="00E0681E">
        <w:rPr>
          <w:lang w:val="fr-FR"/>
        </w:rPr>
        <w:t xml:space="preserve"> nanomatériaux depuis la dernière session. Pour référence, se reporter au rapport du Sous-Comité sur sa</w:t>
      </w:r>
      <w:r w:rsidR="00EF6D4F">
        <w:rPr>
          <w:lang w:val="fr-FR"/>
        </w:rPr>
        <w:t> </w:t>
      </w:r>
      <w:r w:rsidRPr="00E0681E">
        <w:rPr>
          <w:lang w:val="fr-FR"/>
        </w:rPr>
        <w:t>vingt-</w:t>
      </w:r>
      <w:r w:rsidR="00461DCB">
        <w:rPr>
          <w:lang w:val="fr-FR"/>
        </w:rPr>
        <w:t>neuvième</w:t>
      </w:r>
      <w:r w:rsidRPr="00E0681E">
        <w:rPr>
          <w:lang w:val="fr-FR"/>
        </w:rPr>
        <w:t xml:space="preserve"> session (</w:t>
      </w:r>
      <w:r w:rsidRPr="00461DCB">
        <w:rPr>
          <w:lang w:val="fr-FR"/>
        </w:rPr>
        <w:t>ST/SG/AC.10/C.4/5</w:t>
      </w:r>
      <w:r w:rsidR="00461DCB">
        <w:rPr>
          <w:lang w:val="fr-FR"/>
        </w:rPr>
        <w:t>8</w:t>
      </w:r>
      <w:r w:rsidR="00B02A43">
        <w:rPr>
          <w:lang w:val="fr-FR"/>
        </w:rPr>
        <w:t>, par</w:t>
      </w:r>
      <w:r w:rsidR="00461DCB">
        <w:rPr>
          <w:lang w:val="fr-FR"/>
        </w:rPr>
        <w:t>as</w:t>
      </w:r>
      <w:r w:rsidR="00B02A43">
        <w:rPr>
          <w:lang w:val="fr-FR"/>
        </w:rPr>
        <w:t>. </w:t>
      </w:r>
      <w:r w:rsidR="00461DCB">
        <w:rPr>
          <w:lang w:val="fr-FR"/>
        </w:rPr>
        <w:t>27</w:t>
      </w:r>
      <w:r w:rsidR="002E7769">
        <w:rPr>
          <w:lang w:val="fr-FR"/>
        </w:rPr>
        <w:t xml:space="preserve"> et </w:t>
      </w:r>
      <w:r w:rsidR="00461DCB">
        <w:rPr>
          <w:lang w:val="fr-FR"/>
        </w:rPr>
        <w:t>28</w:t>
      </w:r>
      <w:r w:rsidRPr="00E0681E">
        <w:rPr>
          <w:lang w:val="fr-FR"/>
        </w:rPr>
        <w:t xml:space="preserve">). </w:t>
      </w:r>
    </w:p>
    <w:p w:rsidR="00434A5F" w:rsidRPr="00E0681E" w:rsidRDefault="00434A5F" w:rsidP="00434A5F">
      <w:pPr>
        <w:pStyle w:val="H23G"/>
        <w:keepNext w:val="0"/>
        <w:keepLines w:val="0"/>
        <w:spacing w:line="240" w:lineRule="atLeast"/>
        <w:rPr>
          <w:lang w:val="fr-FR"/>
        </w:rPr>
      </w:pPr>
      <w:r w:rsidRPr="00E0681E">
        <w:rPr>
          <w:lang w:val="fr-FR"/>
        </w:rPr>
        <w:tab/>
      </w:r>
      <w:r w:rsidR="00461DCB">
        <w:rPr>
          <w:lang w:val="fr-FR"/>
        </w:rPr>
        <w:t>e</w:t>
      </w:r>
      <w:r w:rsidRPr="00E0681E">
        <w:rPr>
          <w:lang w:val="fr-FR"/>
        </w:rPr>
        <w:t>)</w:t>
      </w:r>
      <w:r w:rsidRPr="00E0681E">
        <w:rPr>
          <w:lang w:val="fr-FR"/>
        </w:rPr>
        <w:tab/>
      </w:r>
      <w:r w:rsidRPr="00FA2A45">
        <w:rPr>
          <w:lang w:val="fr-FR"/>
        </w:rPr>
        <w:t>Divers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61DCB" w:rsidRPr="00E0681E" w:rsidTr="00FD6255">
        <w:tc>
          <w:tcPr>
            <w:tcW w:w="3261" w:type="dxa"/>
            <w:shd w:val="clear" w:color="auto" w:fill="auto"/>
          </w:tcPr>
          <w:p w:rsidR="00461DCB" w:rsidRPr="00E0681E" w:rsidRDefault="00461DCB" w:rsidP="00461DCB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 w:rsidRPr="00F31EFC">
              <w:rPr>
                <w:lang w:val="fr-FR"/>
              </w:rPr>
              <w:t>ST/SG/AC.10/C.4/2015/</w:t>
            </w:r>
            <w:r>
              <w:rPr>
                <w:lang w:val="fr-FR"/>
              </w:rPr>
              <w:t xml:space="preserve">13 </w:t>
            </w:r>
            <w:r w:rsidRPr="00F31EFC">
              <w:t>(</w:t>
            </w:r>
            <w:r>
              <w:t>Pays-Bas et Royaume-Uni</w:t>
            </w:r>
            <w:r w:rsidRPr="00F31EFC">
              <w:t>)</w:t>
            </w:r>
          </w:p>
        </w:tc>
        <w:tc>
          <w:tcPr>
            <w:tcW w:w="4110" w:type="dxa"/>
            <w:shd w:val="clear" w:color="auto" w:fill="auto"/>
          </w:tcPr>
          <w:p w:rsidR="00461DCB" w:rsidRPr="00461DCB" w:rsidRDefault="007917BE" w:rsidP="00A1450B">
            <w:pPr>
              <w:pStyle w:val="SingleTxtG"/>
              <w:ind w:left="142" w:right="0"/>
              <w:jc w:val="left"/>
              <w:rPr>
                <w:highlight w:val="yellow"/>
                <w:lang w:val="fr-FR"/>
              </w:rPr>
            </w:pPr>
            <w:r w:rsidRPr="00A1450B">
              <w:t>U</w:t>
            </w:r>
            <w:r w:rsidRPr="007917BE">
              <w:t>tilisation de méthodes d' expérimentation non animale pour la classification des dangers pour la santé</w:t>
            </w:r>
          </w:p>
        </w:tc>
      </w:tr>
      <w:tr w:rsidR="00461DCB" w:rsidRPr="00E0681E" w:rsidTr="00FD6255">
        <w:tc>
          <w:tcPr>
            <w:tcW w:w="3261" w:type="dxa"/>
            <w:shd w:val="clear" w:color="auto" w:fill="auto"/>
          </w:tcPr>
          <w:p w:rsidR="00461DCB" w:rsidRPr="00F31EFC" w:rsidRDefault="00461DCB" w:rsidP="00461DCB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Document infomel INF.3 (OMI)</w:t>
            </w:r>
          </w:p>
        </w:tc>
        <w:tc>
          <w:tcPr>
            <w:tcW w:w="4110" w:type="dxa"/>
            <w:shd w:val="clear" w:color="auto" w:fill="auto"/>
          </w:tcPr>
          <w:p w:rsidR="00461DCB" w:rsidRPr="00461DCB" w:rsidRDefault="00A1450B" w:rsidP="001321B2">
            <w:pPr>
              <w:pStyle w:val="SingleTxtG"/>
              <w:ind w:left="142" w:right="0"/>
              <w:jc w:val="left"/>
              <w:rPr>
                <w:highlight w:val="yellow"/>
              </w:rPr>
            </w:pPr>
            <w:r w:rsidRPr="0027442F">
              <w:t>Classification des flotteurs</w:t>
            </w:r>
          </w:p>
        </w:tc>
      </w:tr>
    </w:tbl>
    <w:p w:rsidR="00434A5F" w:rsidRPr="00E0681E" w:rsidRDefault="00434A5F" w:rsidP="00434A5F">
      <w:pPr>
        <w:pStyle w:val="H1G"/>
        <w:keepNext w:val="0"/>
        <w:keepLines w:val="0"/>
        <w:spacing w:line="240" w:lineRule="atLeast"/>
        <w:rPr>
          <w:lang w:val="fr-FR"/>
        </w:rPr>
      </w:pPr>
      <w:r w:rsidRPr="00E0681E">
        <w:rPr>
          <w:lang w:val="fr-FR"/>
        </w:rPr>
        <w:tab/>
      </w:r>
      <w:r w:rsidR="00461DCB">
        <w:rPr>
          <w:lang w:val="fr-FR"/>
        </w:rPr>
        <w:t>4</w:t>
      </w:r>
      <w:r w:rsidRPr="00E0681E">
        <w:rPr>
          <w:lang w:val="fr-FR"/>
        </w:rPr>
        <w:t>.</w:t>
      </w:r>
      <w:r w:rsidRPr="00E0681E">
        <w:rPr>
          <w:lang w:val="fr-FR"/>
        </w:rPr>
        <w:tab/>
      </w:r>
      <w:r w:rsidRPr="00FA2A45">
        <w:rPr>
          <w:lang w:val="fr-FR"/>
        </w:rPr>
        <w:t>Questions relatives à la communication des dangers</w:t>
      </w:r>
    </w:p>
    <w:p w:rsidR="00434A5F" w:rsidRPr="00E0681E" w:rsidRDefault="00B02A43" w:rsidP="00434A5F">
      <w:pPr>
        <w:pStyle w:val="H23G"/>
        <w:keepNext w:val="0"/>
        <w:keepLines w:val="0"/>
        <w:spacing w:line="240" w:lineRule="atLeast"/>
        <w:rPr>
          <w:lang w:val="fr-FR"/>
        </w:rPr>
      </w:pPr>
      <w:r>
        <w:rPr>
          <w:lang w:val="fr-FR"/>
        </w:rPr>
        <w:tab/>
      </w:r>
      <w:r w:rsidR="00434A5F" w:rsidRPr="00E0681E">
        <w:rPr>
          <w:lang w:val="fr-FR"/>
        </w:rPr>
        <w:t>a)</w:t>
      </w:r>
      <w:r w:rsidR="00434A5F" w:rsidRPr="00E0681E">
        <w:rPr>
          <w:lang w:val="fr-FR"/>
        </w:rPr>
        <w:tab/>
      </w:r>
      <w:r w:rsidR="00434A5F" w:rsidRPr="00FA2A45">
        <w:rPr>
          <w:lang w:val="fr-FR"/>
        </w:rPr>
        <w:t>Étiquetage des petits emballages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34A5F" w:rsidRPr="00E0681E" w:rsidTr="00FD6255">
        <w:tc>
          <w:tcPr>
            <w:tcW w:w="3261" w:type="dxa"/>
            <w:shd w:val="clear" w:color="auto" w:fill="auto"/>
          </w:tcPr>
          <w:p w:rsidR="00434A5F" w:rsidRPr="00E0681E" w:rsidRDefault="00434A5F" w:rsidP="00FD6255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 w:rsidRPr="00FD6255">
              <w:rPr>
                <w:lang w:val="fr-FR"/>
              </w:rPr>
              <w:t>ST/SG/AC.10/C.4/2015/</w:t>
            </w:r>
            <w:r w:rsidR="00FD6255" w:rsidRPr="00FD6255">
              <w:rPr>
                <w:lang w:val="fr-FR"/>
              </w:rPr>
              <w:t>14</w:t>
            </w:r>
            <w:r w:rsidR="00FD6255">
              <w:rPr>
                <w:lang w:val="fr-FR"/>
              </w:rPr>
              <w:t xml:space="preserve"> </w:t>
            </w:r>
            <w:r w:rsidRPr="00FA2A45">
              <w:rPr>
                <w:lang w:val="fr-FR"/>
              </w:rPr>
              <w:t>(CEFIC)</w:t>
            </w:r>
          </w:p>
        </w:tc>
        <w:tc>
          <w:tcPr>
            <w:tcW w:w="4110" w:type="dxa"/>
            <w:shd w:val="clear" w:color="auto" w:fill="auto"/>
          </w:tcPr>
          <w:p w:rsidR="00434A5F" w:rsidRPr="00E0681E" w:rsidRDefault="00434A5F" w:rsidP="006A5BBF">
            <w:pPr>
              <w:pStyle w:val="SingleTxtG"/>
              <w:ind w:left="142" w:right="0"/>
              <w:jc w:val="left"/>
              <w:rPr>
                <w:lang w:val="fr-FR"/>
              </w:rPr>
            </w:pPr>
            <w:r w:rsidRPr="00E0681E">
              <w:rPr>
                <w:lang w:val="fr-FR"/>
              </w:rPr>
              <w:t>Étiquetage des petits emballages</w:t>
            </w:r>
          </w:p>
        </w:tc>
      </w:tr>
    </w:tbl>
    <w:p w:rsidR="00434A5F" w:rsidRPr="00E0681E" w:rsidRDefault="00B02A43" w:rsidP="00434A5F">
      <w:pPr>
        <w:pStyle w:val="H23G"/>
        <w:keepNext w:val="0"/>
        <w:keepLines w:val="0"/>
        <w:spacing w:line="240" w:lineRule="atLeast"/>
        <w:rPr>
          <w:lang w:val="fr-FR"/>
        </w:rPr>
      </w:pPr>
      <w:r>
        <w:rPr>
          <w:lang w:val="fr-FR"/>
        </w:rPr>
        <w:tab/>
      </w:r>
      <w:r w:rsidR="00434A5F" w:rsidRPr="00FA2A45">
        <w:rPr>
          <w:lang w:val="fr-FR"/>
        </w:rPr>
        <w:t>b)</w:t>
      </w:r>
      <w:r w:rsidR="00434A5F" w:rsidRPr="00FA2A45">
        <w:rPr>
          <w:lang w:val="fr-FR"/>
        </w:rPr>
        <w:tab/>
      </w:r>
      <w:r>
        <w:rPr>
          <w:lang w:val="fr-FR"/>
        </w:rPr>
        <w:t>Amélioration des annexes </w:t>
      </w:r>
      <w:r w:rsidR="00434A5F" w:rsidRPr="00FA2A45">
        <w:rPr>
          <w:lang w:val="fr-FR"/>
        </w:rPr>
        <w:t>1 à 3 et poursuite de la rationalisation des conseils de</w:t>
      </w:r>
      <w:r w:rsidR="00203210">
        <w:rPr>
          <w:lang w:val="fr-FR"/>
        </w:rPr>
        <w:t> </w:t>
      </w:r>
      <w:r w:rsidR="00434A5F" w:rsidRPr="00FA2A45">
        <w:rPr>
          <w:lang w:val="fr-FR"/>
        </w:rPr>
        <w:t xml:space="preserve">prudence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D6255" w:rsidRPr="00E0681E" w:rsidTr="001321B2">
        <w:tc>
          <w:tcPr>
            <w:tcW w:w="3261" w:type="dxa"/>
            <w:shd w:val="clear" w:color="auto" w:fill="auto"/>
          </w:tcPr>
          <w:p w:rsidR="00FD6255" w:rsidRPr="00E0681E" w:rsidRDefault="00FD6255" w:rsidP="00FD6255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 w:rsidRPr="00FD6255">
              <w:rPr>
                <w:lang w:val="fr-FR"/>
              </w:rPr>
              <w:t>ST/SG/AC.10/C.4/2015/</w:t>
            </w:r>
            <w:r>
              <w:rPr>
                <w:lang w:val="fr-FR"/>
              </w:rPr>
              <w:t xml:space="preserve">9 </w:t>
            </w:r>
            <w:r w:rsidRPr="00FA2A45">
              <w:rPr>
                <w:lang w:val="fr-FR"/>
              </w:rPr>
              <w:t>(</w:t>
            </w:r>
            <w:r>
              <w:rPr>
                <w:lang w:val="fr-FR"/>
              </w:rPr>
              <w:t>Suède</w:t>
            </w:r>
            <w:r w:rsidRPr="00FA2A45">
              <w:rPr>
                <w:lang w:val="fr-FR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FD6255" w:rsidRPr="00E0681E" w:rsidRDefault="00FD6255" w:rsidP="001321B2">
            <w:pPr>
              <w:pStyle w:val="SingleTxtG"/>
              <w:ind w:left="142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Amélioration du conseil de prudence P502 pour les matières et objets explosibles</w:t>
            </w:r>
          </w:p>
        </w:tc>
      </w:tr>
      <w:tr w:rsidR="00FD6255" w:rsidRPr="00E0681E" w:rsidTr="001321B2">
        <w:tc>
          <w:tcPr>
            <w:tcW w:w="3261" w:type="dxa"/>
            <w:shd w:val="clear" w:color="auto" w:fill="auto"/>
          </w:tcPr>
          <w:p w:rsidR="00FD6255" w:rsidRPr="00FD6255" w:rsidRDefault="00FD6255" w:rsidP="00FD6255">
            <w:pPr>
              <w:pStyle w:val="SingleTxtG"/>
              <w:spacing w:after="80"/>
              <w:ind w:left="0" w:right="0"/>
              <w:jc w:val="left"/>
              <w:rPr>
                <w:lang w:val="fr-FR"/>
              </w:rPr>
            </w:pPr>
            <w:r w:rsidRPr="00FD6255">
              <w:rPr>
                <w:lang w:val="fr-FR"/>
              </w:rPr>
              <w:t>ST/SG/AC.10/C.4/2015/</w:t>
            </w:r>
            <w:r>
              <w:rPr>
                <w:lang w:val="fr-FR"/>
              </w:rPr>
              <w:t xml:space="preserve">15 </w:t>
            </w:r>
            <w:r w:rsidRPr="00FA2A45">
              <w:rPr>
                <w:lang w:val="fr-FR"/>
              </w:rPr>
              <w:t>(</w:t>
            </w:r>
            <w:r>
              <w:rPr>
                <w:lang w:val="fr-FR"/>
              </w:rPr>
              <w:t>Suède</w:t>
            </w:r>
            <w:r w:rsidRPr="00FA2A45">
              <w:rPr>
                <w:lang w:val="fr-FR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FD6255" w:rsidRPr="00E0681E" w:rsidRDefault="00FD6255" w:rsidP="00B623EA">
            <w:pPr>
              <w:pStyle w:val="SingleTxtG"/>
              <w:ind w:left="142" w:right="0"/>
              <w:jc w:val="left"/>
              <w:rPr>
                <w:lang w:val="fr-FR"/>
              </w:rPr>
            </w:pPr>
            <w:r w:rsidRPr="00A40001">
              <w:rPr>
                <w:lang w:val="fr-FR"/>
              </w:rPr>
              <w:t xml:space="preserve">Amendement au conseil de prudence P280 </w:t>
            </w:r>
            <w:r w:rsidR="00B623EA" w:rsidRPr="00A40001">
              <w:rPr>
                <w:lang w:val="fr-FR"/>
              </w:rPr>
              <w:t>par rapport à la protection de l’audition et ses organes</w:t>
            </w:r>
            <w:r w:rsidR="00B623EA">
              <w:rPr>
                <w:lang w:val="fr-FR"/>
              </w:rPr>
              <w:t xml:space="preserve"> </w:t>
            </w:r>
          </w:p>
        </w:tc>
      </w:tr>
    </w:tbl>
    <w:p w:rsidR="00434A5F" w:rsidRPr="00E0681E" w:rsidRDefault="00434A5F" w:rsidP="00434A5F">
      <w:pPr>
        <w:pStyle w:val="SingleTxtG"/>
        <w:rPr>
          <w:lang w:val="fr-FR"/>
        </w:rPr>
      </w:pPr>
      <w:r w:rsidRPr="00FA2A45">
        <w:rPr>
          <w:lang w:val="fr-FR"/>
        </w:rPr>
        <w:t xml:space="preserve">L’expert du Royaume-Uni souhaitera peut-être informer le Sous-Comité de l’état d’avancement des travaux du groupe de travail informel par correspondance </w:t>
      </w:r>
      <w:r w:rsidR="0057243F">
        <w:rPr>
          <w:lang w:val="fr-FR"/>
        </w:rPr>
        <w:t xml:space="preserve">chargé de </w:t>
      </w:r>
      <w:r w:rsidRPr="00FA2A45">
        <w:rPr>
          <w:lang w:val="fr-FR"/>
        </w:rPr>
        <w:t>l’améli</w:t>
      </w:r>
      <w:r w:rsidR="0057243F">
        <w:rPr>
          <w:lang w:val="fr-FR"/>
        </w:rPr>
        <w:t>oration des annexes 1 à </w:t>
      </w:r>
      <w:r w:rsidRPr="00FA2A45">
        <w:rPr>
          <w:lang w:val="fr-FR"/>
        </w:rPr>
        <w:t>3</w:t>
      </w:r>
      <w:r w:rsidR="0057243F">
        <w:rPr>
          <w:lang w:val="fr-FR"/>
        </w:rPr>
        <w:t xml:space="preserve"> depuis l</w:t>
      </w:r>
      <w:r w:rsidRPr="00E0681E">
        <w:rPr>
          <w:lang w:val="fr-FR"/>
        </w:rPr>
        <w:t>a dernière session.</w:t>
      </w:r>
      <w:r w:rsidRPr="00E0681E">
        <w:rPr>
          <w:rFonts w:eastAsia="MS Mincho"/>
          <w:lang w:val="fr-FR"/>
        </w:rPr>
        <w:t xml:space="preserve"> </w:t>
      </w:r>
      <w:r w:rsidRPr="00DD75E5">
        <w:rPr>
          <w:rFonts w:eastAsia="MS Mincho"/>
          <w:lang w:val="fr-FR"/>
        </w:rPr>
        <w:t>Pour référence, se reporter au rapport du Sous-Comité sur sa vingt-</w:t>
      </w:r>
      <w:r w:rsidR="00FD6255">
        <w:rPr>
          <w:rFonts w:eastAsia="MS Mincho"/>
          <w:lang w:val="fr-FR"/>
        </w:rPr>
        <w:t>neuvième</w:t>
      </w:r>
      <w:r w:rsidRPr="00DD75E5">
        <w:rPr>
          <w:rFonts w:eastAsia="MS Mincho"/>
          <w:lang w:val="fr-FR"/>
        </w:rPr>
        <w:t xml:space="preserve"> session (</w:t>
      </w:r>
      <w:r w:rsidRPr="0078272A">
        <w:rPr>
          <w:rFonts w:eastAsia="MS Mincho"/>
          <w:lang w:val="fr-FR"/>
        </w:rPr>
        <w:t>ST/SG/AC.10/C.4/</w:t>
      </w:r>
      <w:r w:rsidR="00FD6255" w:rsidRPr="0078272A">
        <w:rPr>
          <w:rFonts w:eastAsia="MS Mincho"/>
          <w:lang w:val="fr-FR"/>
        </w:rPr>
        <w:t>58</w:t>
      </w:r>
      <w:r w:rsidR="00BA6989">
        <w:rPr>
          <w:rFonts w:eastAsia="MS Mincho"/>
          <w:lang w:val="fr-FR"/>
        </w:rPr>
        <w:t>, par</w:t>
      </w:r>
      <w:r w:rsidR="00FD6255">
        <w:rPr>
          <w:rFonts w:eastAsia="MS Mincho"/>
          <w:lang w:val="fr-FR"/>
        </w:rPr>
        <w:t>as</w:t>
      </w:r>
      <w:r w:rsidR="00BA6989">
        <w:rPr>
          <w:rFonts w:eastAsia="MS Mincho"/>
          <w:lang w:val="fr-FR"/>
        </w:rPr>
        <w:t>. </w:t>
      </w:r>
      <w:r w:rsidR="00FD6255">
        <w:rPr>
          <w:lang w:val="fr-FR"/>
        </w:rPr>
        <w:t>33 et 34</w:t>
      </w:r>
      <w:r w:rsidRPr="00DD75E5">
        <w:rPr>
          <w:lang w:val="fr-FR"/>
        </w:rPr>
        <w:t>).</w:t>
      </w:r>
      <w:r w:rsidRPr="00E0681E">
        <w:rPr>
          <w:lang w:val="fr-FR"/>
        </w:rPr>
        <w:t xml:space="preserve"> </w:t>
      </w:r>
    </w:p>
    <w:p w:rsidR="00434A5F" w:rsidRDefault="00434A5F" w:rsidP="00434A5F">
      <w:pPr>
        <w:pStyle w:val="H23G"/>
        <w:keepNext w:val="0"/>
        <w:keepLines w:val="0"/>
        <w:spacing w:before="120" w:line="240" w:lineRule="atLeast"/>
        <w:rPr>
          <w:lang w:val="fr-FR"/>
        </w:rPr>
      </w:pPr>
      <w:r w:rsidRPr="00E0681E">
        <w:rPr>
          <w:lang w:val="fr-FR"/>
        </w:rPr>
        <w:tab/>
        <w:t>c)</w:t>
      </w:r>
      <w:r w:rsidRPr="00E0681E">
        <w:rPr>
          <w:lang w:val="fr-FR"/>
        </w:rPr>
        <w:tab/>
        <w:t xml:space="preserve">Divers </w:t>
      </w:r>
    </w:p>
    <w:p w:rsidR="00085C9A" w:rsidRPr="00085C9A" w:rsidRDefault="00085C9A" w:rsidP="00085C9A">
      <w:pPr>
        <w:pStyle w:val="SingleTxtG"/>
        <w:rPr>
          <w:lang w:val="fr-FR"/>
        </w:rPr>
      </w:pPr>
      <w:r w:rsidRPr="00AB2548">
        <w:rPr>
          <w:lang w:val="fr-FR"/>
        </w:rPr>
        <w:t>Aucun document n’a</w:t>
      </w:r>
      <w:r>
        <w:rPr>
          <w:lang w:val="fr-FR"/>
        </w:rPr>
        <w:t>vait</w:t>
      </w:r>
      <w:r w:rsidRPr="00AB2548">
        <w:rPr>
          <w:lang w:val="fr-FR"/>
        </w:rPr>
        <w:t xml:space="preserve"> été soumis sous ce point de l’ordre du jour au moment de la</w:t>
      </w:r>
      <w:r>
        <w:rPr>
          <w:lang w:val="fr-FR"/>
        </w:rPr>
        <w:t> </w:t>
      </w:r>
      <w:r w:rsidRPr="00AB2548">
        <w:rPr>
          <w:lang w:val="fr-FR"/>
        </w:rPr>
        <w:t>rédaction du présent document.</w:t>
      </w:r>
      <w:r>
        <w:rPr>
          <w:lang w:val="fr-FR"/>
        </w:rPr>
        <w:t xml:space="preserve"> </w:t>
      </w:r>
    </w:p>
    <w:p w:rsidR="00434A5F" w:rsidRPr="00E0681E" w:rsidRDefault="00434A5F" w:rsidP="00BA6989">
      <w:pPr>
        <w:pStyle w:val="H1G"/>
        <w:rPr>
          <w:lang w:val="fr-FR"/>
        </w:rPr>
      </w:pPr>
      <w:r w:rsidRPr="00E0681E">
        <w:rPr>
          <w:lang w:val="fr-FR"/>
        </w:rPr>
        <w:tab/>
      </w:r>
      <w:r w:rsidR="0078272A">
        <w:rPr>
          <w:lang w:val="fr-FR"/>
        </w:rPr>
        <w:t>5</w:t>
      </w:r>
      <w:r w:rsidRPr="00E0681E">
        <w:rPr>
          <w:lang w:val="fr-FR"/>
        </w:rPr>
        <w:t>.</w:t>
      </w:r>
      <w:r w:rsidRPr="00E0681E">
        <w:rPr>
          <w:lang w:val="fr-FR"/>
        </w:rPr>
        <w:tab/>
      </w:r>
      <w:r w:rsidRPr="00FA2A45">
        <w:rPr>
          <w:lang w:val="fr-FR"/>
        </w:rPr>
        <w:t>Mise en œuvre du SGH</w:t>
      </w:r>
    </w:p>
    <w:p w:rsidR="00434A5F" w:rsidRPr="00E0681E" w:rsidRDefault="00BA6989" w:rsidP="00BA6989">
      <w:pPr>
        <w:pStyle w:val="H23G"/>
        <w:rPr>
          <w:lang w:val="fr-FR"/>
        </w:rPr>
      </w:pPr>
      <w:r>
        <w:rPr>
          <w:lang w:val="fr-FR"/>
        </w:rPr>
        <w:tab/>
      </w:r>
      <w:r w:rsidR="00434A5F" w:rsidRPr="00FA2A45">
        <w:rPr>
          <w:lang w:val="fr-FR"/>
        </w:rPr>
        <w:t>a)</w:t>
      </w:r>
      <w:r w:rsidR="00434A5F" w:rsidRPr="00FA2A45">
        <w:rPr>
          <w:lang w:val="fr-FR"/>
        </w:rPr>
        <w:tab/>
        <w:t>Élaboration d’une liste des produits chimiques classés conformément au SGH</w:t>
      </w:r>
    </w:p>
    <w:p w:rsidR="00434A5F" w:rsidRPr="00E0681E" w:rsidRDefault="00434A5F" w:rsidP="00434A5F">
      <w:pPr>
        <w:pStyle w:val="SingleTxtG"/>
        <w:rPr>
          <w:rFonts w:eastAsia="MS Mincho"/>
          <w:lang w:val="fr-FR"/>
        </w:rPr>
      </w:pPr>
      <w:r w:rsidRPr="00FA2A45">
        <w:rPr>
          <w:rFonts w:eastAsia="MS Mincho"/>
          <w:lang w:val="fr-FR"/>
        </w:rPr>
        <w:t xml:space="preserve">L’expert des États-Unis d’Amérique souhaitera peut-être informer le Sous-Comité de l’état d’avancement des travaux du groupe de travail informel par correspondance depuis la dernière session. </w:t>
      </w:r>
      <w:r w:rsidRPr="007011D8">
        <w:rPr>
          <w:rFonts w:eastAsia="MS Mincho"/>
          <w:lang w:val="fr-FR"/>
        </w:rPr>
        <w:t>Pour référence, se reporter au rapport du Sous-Comité sur sa vingt-</w:t>
      </w:r>
      <w:r w:rsidR="0078272A">
        <w:rPr>
          <w:rFonts w:eastAsia="MS Mincho"/>
          <w:lang w:val="fr-FR"/>
        </w:rPr>
        <w:t>neuvième</w:t>
      </w:r>
      <w:r w:rsidRPr="007011D8">
        <w:rPr>
          <w:rFonts w:eastAsia="MS Mincho"/>
          <w:lang w:val="fr-FR"/>
        </w:rPr>
        <w:t xml:space="preserve"> session (</w:t>
      </w:r>
      <w:r w:rsidRPr="0078272A">
        <w:rPr>
          <w:rFonts w:eastAsia="MS Mincho"/>
          <w:lang w:val="fr-FR"/>
        </w:rPr>
        <w:t>ST/SG/AC.10/C.4/</w:t>
      </w:r>
      <w:r w:rsidR="0078272A" w:rsidRPr="0078272A">
        <w:rPr>
          <w:rFonts w:eastAsia="MS Mincho"/>
        </w:rPr>
        <w:t>58</w:t>
      </w:r>
      <w:r w:rsidR="00406E94">
        <w:rPr>
          <w:rFonts w:eastAsia="MS Mincho"/>
          <w:lang w:val="fr-FR"/>
        </w:rPr>
        <w:t>, par</w:t>
      </w:r>
      <w:r w:rsidR="0078272A">
        <w:rPr>
          <w:rFonts w:eastAsia="MS Mincho"/>
          <w:lang w:val="fr-FR"/>
        </w:rPr>
        <w:t>a</w:t>
      </w:r>
      <w:r w:rsidR="00406E94">
        <w:rPr>
          <w:rFonts w:eastAsia="MS Mincho"/>
          <w:lang w:val="fr-FR"/>
        </w:rPr>
        <w:t>. </w:t>
      </w:r>
      <w:r w:rsidR="0078272A">
        <w:rPr>
          <w:rFonts w:eastAsia="MS Mincho"/>
          <w:lang w:val="fr-FR"/>
        </w:rPr>
        <w:t>40</w:t>
      </w:r>
      <w:r w:rsidRPr="007011D8">
        <w:rPr>
          <w:rFonts w:eastAsia="MS Mincho"/>
          <w:lang w:val="fr-FR"/>
        </w:rPr>
        <w:t>).</w:t>
      </w:r>
      <w:r w:rsidRPr="00E0681E">
        <w:rPr>
          <w:rFonts w:eastAsia="MS Mincho"/>
          <w:lang w:val="fr-FR"/>
        </w:rPr>
        <w:t xml:space="preserve"> </w:t>
      </w:r>
    </w:p>
    <w:p w:rsidR="00434A5F" w:rsidRPr="00E0681E" w:rsidRDefault="00434A5F" w:rsidP="00BA6989">
      <w:pPr>
        <w:pStyle w:val="H23G"/>
        <w:rPr>
          <w:lang w:val="fr-FR"/>
        </w:rPr>
      </w:pPr>
      <w:r w:rsidRPr="00E0681E">
        <w:rPr>
          <w:lang w:val="fr-FR"/>
        </w:rPr>
        <w:tab/>
      </w:r>
      <w:r w:rsidRPr="00FA2A45">
        <w:rPr>
          <w:lang w:val="fr-FR"/>
        </w:rPr>
        <w:t>b)</w:t>
      </w:r>
      <w:r w:rsidRPr="00FA2A45">
        <w:rPr>
          <w:lang w:val="fr-FR"/>
        </w:rPr>
        <w:tab/>
        <w:t xml:space="preserve">Rapports relatifs à l’état de la mise en œuvre </w:t>
      </w:r>
    </w:p>
    <w:p w:rsidR="00434A5F" w:rsidRPr="00E0681E" w:rsidRDefault="00434A5F" w:rsidP="00434A5F">
      <w:pPr>
        <w:pStyle w:val="SingleTxtG"/>
        <w:rPr>
          <w:lang w:val="fr-FR"/>
        </w:rPr>
      </w:pPr>
      <w:r w:rsidRPr="00FA2A45">
        <w:rPr>
          <w:lang w:val="fr-FR"/>
        </w:rPr>
        <w:t>Les experts, observateurs et organisations internationales souhaiteront peut-être informer le Sous-Comité de l’état d’avancement de la mise en œuvre du SGH dans leurs pays ou domaines d’activités respectifs</w:t>
      </w:r>
      <w:r w:rsidRPr="00E0681E">
        <w:rPr>
          <w:lang w:val="fr-FR"/>
        </w:rPr>
        <w:t>.</w:t>
      </w:r>
    </w:p>
    <w:p w:rsidR="00434A5F" w:rsidRPr="00E0681E" w:rsidRDefault="00BA6989" w:rsidP="00BA6989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 w:rsidR="00434A5F" w:rsidRPr="00FA2A45">
        <w:rPr>
          <w:lang w:val="fr-FR"/>
        </w:rPr>
        <w:t>c)</w:t>
      </w:r>
      <w:r w:rsidR="00434A5F" w:rsidRPr="00FA2A45">
        <w:rPr>
          <w:lang w:val="fr-FR"/>
        </w:rPr>
        <w:tab/>
        <w:t xml:space="preserve">Coopération avec d’autres organes ou organisations internationales </w:t>
      </w:r>
    </w:p>
    <w:p w:rsidR="00434A5F" w:rsidRPr="00AB2548" w:rsidRDefault="00434A5F" w:rsidP="00434A5F">
      <w:pPr>
        <w:pStyle w:val="SingleTxtG"/>
        <w:rPr>
          <w:lang w:val="fr-FR"/>
        </w:rPr>
      </w:pPr>
      <w:r w:rsidRPr="00AB2548">
        <w:rPr>
          <w:lang w:val="fr-FR"/>
        </w:rPr>
        <w:t>Aucun document n’a</w:t>
      </w:r>
      <w:r w:rsidR="007019BA">
        <w:rPr>
          <w:lang w:val="fr-FR"/>
        </w:rPr>
        <w:t>vait</w:t>
      </w:r>
      <w:r w:rsidRPr="00AB2548">
        <w:rPr>
          <w:lang w:val="fr-FR"/>
        </w:rPr>
        <w:t xml:space="preserve"> été soumis sous ce point de l’ordre du jour au moment de la</w:t>
      </w:r>
      <w:r w:rsidR="009D3DDC">
        <w:rPr>
          <w:lang w:val="fr-FR"/>
        </w:rPr>
        <w:t> </w:t>
      </w:r>
      <w:r w:rsidRPr="00AB2548">
        <w:rPr>
          <w:lang w:val="fr-FR"/>
        </w:rPr>
        <w:t>rédaction du présent document.</w:t>
      </w:r>
      <w:r w:rsidR="0005782C">
        <w:rPr>
          <w:lang w:val="fr-FR"/>
        </w:rPr>
        <w:t xml:space="preserve"> </w:t>
      </w:r>
    </w:p>
    <w:p w:rsidR="00434A5F" w:rsidRPr="00AB2548" w:rsidRDefault="00434A5F" w:rsidP="00BA6989">
      <w:pPr>
        <w:pStyle w:val="H23G"/>
        <w:rPr>
          <w:lang w:val="fr-FR"/>
        </w:rPr>
      </w:pPr>
      <w:r w:rsidRPr="00AB2548">
        <w:rPr>
          <w:lang w:val="fr-FR"/>
        </w:rPr>
        <w:tab/>
        <w:t>d)</w:t>
      </w:r>
      <w:r w:rsidRPr="00AB2548">
        <w:rPr>
          <w:lang w:val="fr-FR"/>
        </w:rPr>
        <w:tab/>
        <w:t>Divers</w:t>
      </w:r>
    </w:p>
    <w:p w:rsidR="00434A5F" w:rsidRPr="00E0681E" w:rsidRDefault="00434A5F" w:rsidP="009D3DDC">
      <w:pPr>
        <w:pStyle w:val="SingleTxtG"/>
        <w:rPr>
          <w:lang w:val="fr-FR"/>
        </w:rPr>
      </w:pPr>
      <w:r w:rsidRPr="00AB2548">
        <w:rPr>
          <w:lang w:val="fr-FR"/>
        </w:rPr>
        <w:t>Aucun document n’a</w:t>
      </w:r>
      <w:r w:rsidR="007019BA">
        <w:rPr>
          <w:lang w:val="fr-FR"/>
        </w:rPr>
        <w:t>vait</w:t>
      </w:r>
      <w:r w:rsidRPr="00AB2548">
        <w:rPr>
          <w:lang w:val="fr-FR"/>
        </w:rPr>
        <w:t xml:space="preserve"> été soumis sous ce point de l’ordre du jour au moment de la</w:t>
      </w:r>
      <w:r w:rsidR="009D3DDC">
        <w:rPr>
          <w:lang w:val="fr-FR"/>
        </w:rPr>
        <w:t> </w:t>
      </w:r>
      <w:r w:rsidRPr="00AB2548">
        <w:rPr>
          <w:lang w:val="fr-FR"/>
        </w:rPr>
        <w:t>rédaction du présent document.</w:t>
      </w:r>
    </w:p>
    <w:p w:rsidR="00434A5F" w:rsidRPr="00E0681E" w:rsidRDefault="00434A5F" w:rsidP="00BA6989">
      <w:pPr>
        <w:pStyle w:val="H1G"/>
        <w:rPr>
          <w:lang w:val="fr-FR"/>
        </w:rPr>
      </w:pPr>
      <w:r w:rsidRPr="00E0681E">
        <w:rPr>
          <w:lang w:val="fr-FR"/>
        </w:rPr>
        <w:tab/>
      </w:r>
      <w:r w:rsidR="0078272A">
        <w:rPr>
          <w:lang w:val="fr-FR"/>
        </w:rPr>
        <w:t>6</w:t>
      </w:r>
      <w:r w:rsidRPr="00FA2A45">
        <w:rPr>
          <w:lang w:val="fr-FR"/>
        </w:rPr>
        <w:t>.</w:t>
      </w:r>
      <w:r w:rsidRPr="00FA2A45">
        <w:rPr>
          <w:lang w:val="fr-FR"/>
        </w:rPr>
        <w:tab/>
        <w:t>Mise au point de directives pour l’application des critères du SGH</w:t>
      </w:r>
    </w:p>
    <w:p w:rsidR="00434A5F" w:rsidRPr="00E0681E" w:rsidRDefault="00434A5F" w:rsidP="00434A5F">
      <w:pPr>
        <w:pStyle w:val="SingleTxtG"/>
        <w:rPr>
          <w:lang w:val="fr-FR"/>
        </w:rPr>
      </w:pPr>
      <w:r w:rsidRPr="00AB2548">
        <w:rPr>
          <w:lang w:val="fr-FR"/>
        </w:rPr>
        <w:t>Aucun document n’a</w:t>
      </w:r>
      <w:r w:rsidR="007019BA">
        <w:rPr>
          <w:lang w:val="fr-FR"/>
        </w:rPr>
        <w:t>vait</w:t>
      </w:r>
      <w:r w:rsidRPr="00AB2548">
        <w:rPr>
          <w:lang w:val="fr-FR"/>
        </w:rPr>
        <w:t xml:space="preserve"> été soumis sous ce point de </w:t>
      </w:r>
      <w:r w:rsidR="00D252D9">
        <w:rPr>
          <w:lang w:val="fr-FR"/>
        </w:rPr>
        <w:t>l’ordre du jour au moment de la </w:t>
      </w:r>
      <w:r w:rsidRPr="00AB2548">
        <w:rPr>
          <w:lang w:val="fr-FR"/>
        </w:rPr>
        <w:t xml:space="preserve">rédaction du présent document. </w:t>
      </w:r>
    </w:p>
    <w:p w:rsidR="00434A5F" w:rsidRPr="00E0681E" w:rsidRDefault="00434A5F" w:rsidP="00BA6989">
      <w:pPr>
        <w:pStyle w:val="H1G"/>
        <w:rPr>
          <w:lang w:val="fr-FR"/>
        </w:rPr>
      </w:pPr>
      <w:r w:rsidRPr="00E0681E">
        <w:rPr>
          <w:lang w:val="fr-FR"/>
        </w:rPr>
        <w:tab/>
      </w:r>
      <w:r w:rsidR="0078272A">
        <w:rPr>
          <w:lang w:val="fr-FR"/>
        </w:rPr>
        <w:t>7</w:t>
      </w:r>
      <w:r w:rsidRPr="00FA2A45">
        <w:rPr>
          <w:lang w:val="fr-FR"/>
        </w:rPr>
        <w:t>.</w:t>
      </w:r>
      <w:r w:rsidRPr="00FA2A45">
        <w:rPr>
          <w:lang w:val="fr-FR"/>
        </w:rPr>
        <w:tab/>
        <w:t>Renforcement des capacités</w:t>
      </w:r>
    </w:p>
    <w:p w:rsidR="00434A5F" w:rsidRPr="00FA2A45" w:rsidRDefault="00434A5F" w:rsidP="00434A5F">
      <w:pPr>
        <w:pStyle w:val="SingleTxtG"/>
        <w:spacing w:after="80"/>
        <w:rPr>
          <w:lang w:val="fr-FR"/>
        </w:rPr>
      </w:pPr>
      <w:r w:rsidRPr="00FA2A45">
        <w:rPr>
          <w:lang w:val="fr-FR"/>
        </w:rPr>
        <w:t xml:space="preserve">Les experts, observateurs et organisations internationales souhaiteront peut-être informer le Sous-Comité de leurs activités </w:t>
      </w:r>
      <w:r w:rsidR="007019BA">
        <w:rPr>
          <w:lang w:val="fr-FR"/>
        </w:rPr>
        <w:t>ou projets de</w:t>
      </w:r>
      <w:r w:rsidRPr="00FA2A45">
        <w:rPr>
          <w:lang w:val="fr-FR"/>
        </w:rPr>
        <w:t xml:space="preserve"> renforcement des capacités entrepris en relation avec le SGH.</w:t>
      </w:r>
    </w:p>
    <w:p w:rsidR="00434A5F" w:rsidRPr="00AB2548" w:rsidRDefault="00434A5F" w:rsidP="00BA6989">
      <w:pPr>
        <w:pStyle w:val="H1G"/>
        <w:rPr>
          <w:lang w:val="fr-FR"/>
        </w:rPr>
      </w:pPr>
      <w:r w:rsidRPr="00E0681E">
        <w:rPr>
          <w:lang w:val="fr-FR"/>
        </w:rPr>
        <w:tab/>
      </w:r>
      <w:r w:rsidR="0078272A">
        <w:rPr>
          <w:lang w:val="fr-FR"/>
        </w:rPr>
        <w:t>8</w:t>
      </w:r>
      <w:r w:rsidRPr="00E0681E">
        <w:rPr>
          <w:lang w:val="fr-FR"/>
        </w:rPr>
        <w:t>.</w:t>
      </w:r>
      <w:r w:rsidRPr="00E0681E">
        <w:rPr>
          <w:lang w:val="fr-FR"/>
        </w:rPr>
        <w:tab/>
      </w:r>
      <w:r w:rsidRPr="00AB2548">
        <w:rPr>
          <w:lang w:val="fr-FR"/>
        </w:rPr>
        <w:t>Questions diverses</w:t>
      </w:r>
    </w:p>
    <w:p w:rsidR="00434A5F" w:rsidRPr="00AB2548" w:rsidRDefault="00434A5F" w:rsidP="00434A5F">
      <w:pPr>
        <w:pStyle w:val="SingleTxtG"/>
        <w:rPr>
          <w:lang w:val="fr-FR"/>
        </w:rPr>
      </w:pPr>
      <w:r w:rsidRPr="00AB2548">
        <w:rPr>
          <w:lang w:val="fr-FR"/>
        </w:rPr>
        <w:t>Aucun document n’a</w:t>
      </w:r>
      <w:r w:rsidR="007019BA">
        <w:rPr>
          <w:lang w:val="fr-FR"/>
        </w:rPr>
        <w:t>vait</w:t>
      </w:r>
      <w:r w:rsidRPr="00AB2548">
        <w:rPr>
          <w:lang w:val="fr-FR"/>
        </w:rPr>
        <w:t xml:space="preserve"> été soumis sous ce point de l’ordre du jour au moment de la</w:t>
      </w:r>
      <w:r w:rsidR="007019BA">
        <w:rPr>
          <w:lang w:val="fr-FR"/>
        </w:rPr>
        <w:t> </w:t>
      </w:r>
      <w:r w:rsidRPr="00AB2548">
        <w:rPr>
          <w:lang w:val="fr-FR"/>
        </w:rPr>
        <w:t>rédaction du présent document.</w:t>
      </w:r>
    </w:p>
    <w:p w:rsidR="00434A5F" w:rsidRPr="00E0681E" w:rsidRDefault="00434A5F" w:rsidP="00BA6989">
      <w:pPr>
        <w:pStyle w:val="H1G"/>
        <w:rPr>
          <w:lang w:val="fr-FR"/>
        </w:rPr>
      </w:pPr>
      <w:r w:rsidRPr="00AB2548">
        <w:rPr>
          <w:lang w:val="fr-FR"/>
        </w:rPr>
        <w:tab/>
      </w:r>
      <w:r w:rsidR="0078272A">
        <w:rPr>
          <w:lang w:val="fr-FR"/>
        </w:rPr>
        <w:t>9</w:t>
      </w:r>
      <w:r w:rsidRPr="00AB2548">
        <w:rPr>
          <w:lang w:val="fr-FR"/>
        </w:rPr>
        <w:t>.</w:t>
      </w:r>
      <w:r w:rsidRPr="00AB2548">
        <w:rPr>
          <w:lang w:val="fr-FR"/>
        </w:rPr>
        <w:tab/>
        <w:t xml:space="preserve">Adoption du rapport </w:t>
      </w:r>
    </w:p>
    <w:p w:rsidR="00434A5F" w:rsidRPr="00FA2A45" w:rsidRDefault="00434A5F" w:rsidP="00434A5F">
      <w:pPr>
        <w:pStyle w:val="SingleTxtG"/>
        <w:rPr>
          <w:lang w:val="fr-FR"/>
        </w:rPr>
      </w:pPr>
      <w:r w:rsidRPr="00FA2A45">
        <w:rPr>
          <w:lang w:val="fr-FR"/>
        </w:rPr>
        <w:t>Conformément à l’usage, le Sous-Comité souhaitera peu</w:t>
      </w:r>
      <w:r w:rsidR="00BA6989">
        <w:rPr>
          <w:lang w:val="fr-FR"/>
        </w:rPr>
        <w:t>t-être adopter le rapport de sa </w:t>
      </w:r>
      <w:r w:rsidR="0078272A">
        <w:rPr>
          <w:lang w:val="fr-FR"/>
        </w:rPr>
        <w:t>trentième</w:t>
      </w:r>
      <w:r w:rsidRPr="00E0681E">
        <w:rPr>
          <w:lang w:val="fr-FR"/>
        </w:rPr>
        <w:t xml:space="preserve"> </w:t>
      </w:r>
      <w:r w:rsidR="007019BA">
        <w:rPr>
          <w:lang w:val="fr-FR"/>
        </w:rPr>
        <w:t>session</w:t>
      </w:r>
      <w:r w:rsidRPr="00FA2A45">
        <w:rPr>
          <w:lang w:val="fr-FR"/>
        </w:rPr>
        <w:t xml:space="preserve"> sur la base d’un projet établi par le secrétariat.</w:t>
      </w:r>
    </w:p>
    <w:p w:rsidR="00446FE5" w:rsidRPr="00BA6989" w:rsidRDefault="00BA6989" w:rsidP="00BA698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BA6989" w:rsidSect="0043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B" w:rsidRDefault="00572D7B" w:rsidP="00F95C08">
      <w:pPr>
        <w:spacing w:line="240" w:lineRule="auto"/>
      </w:pPr>
    </w:p>
  </w:endnote>
  <w:endnote w:type="continuationSeparator" w:id="0">
    <w:p w:rsidR="00572D7B" w:rsidRPr="00AC3823" w:rsidRDefault="00572D7B" w:rsidP="00AC3823">
      <w:pPr>
        <w:pStyle w:val="Footer"/>
      </w:pPr>
    </w:p>
  </w:endnote>
  <w:endnote w:type="continuationNotice" w:id="1">
    <w:p w:rsidR="00572D7B" w:rsidRDefault="00572D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5F" w:rsidRPr="00434A5F" w:rsidRDefault="00434A5F" w:rsidP="00434A5F">
    <w:pPr>
      <w:pStyle w:val="Footer"/>
      <w:tabs>
        <w:tab w:val="right" w:pos="9638"/>
      </w:tabs>
    </w:pPr>
    <w:r w:rsidRPr="00434A5F">
      <w:rPr>
        <w:b/>
        <w:sz w:val="18"/>
      </w:rPr>
      <w:fldChar w:fldCharType="begin"/>
    </w:r>
    <w:r w:rsidRPr="00434A5F">
      <w:rPr>
        <w:b/>
        <w:sz w:val="18"/>
      </w:rPr>
      <w:instrText xml:space="preserve"> PAGE  \* MERGEFORMAT </w:instrText>
    </w:r>
    <w:r w:rsidRPr="00434A5F">
      <w:rPr>
        <w:b/>
        <w:sz w:val="18"/>
      </w:rPr>
      <w:fldChar w:fldCharType="separate"/>
    </w:r>
    <w:r w:rsidR="009E6965">
      <w:rPr>
        <w:b/>
        <w:noProof/>
        <w:sz w:val="18"/>
      </w:rPr>
      <w:t>4</w:t>
    </w:r>
    <w:r w:rsidRPr="00434A5F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5F" w:rsidRPr="00434A5F" w:rsidRDefault="00434A5F" w:rsidP="00434A5F">
    <w:pPr>
      <w:pStyle w:val="Footer"/>
      <w:tabs>
        <w:tab w:val="right" w:pos="9638"/>
      </w:tabs>
      <w:rPr>
        <w:b/>
        <w:sz w:val="18"/>
      </w:rPr>
    </w:pPr>
    <w:r>
      <w:tab/>
    </w:r>
    <w:r w:rsidRPr="00434A5F">
      <w:rPr>
        <w:b/>
        <w:sz w:val="18"/>
      </w:rPr>
      <w:fldChar w:fldCharType="begin"/>
    </w:r>
    <w:r w:rsidRPr="00434A5F">
      <w:rPr>
        <w:b/>
        <w:sz w:val="18"/>
      </w:rPr>
      <w:instrText xml:space="preserve"> PAGE  \* MERGEFORMAT </w:instrText>
    </w:r>
    <w:r w:rsidRPr="00434A5F">
      <w:rPr>
        <w:b/>
        <w:sz w:val="18"/>
      </w:rPr>
      <w:fldChar w:fldCharType="separate"/>
    </w:r>
    <w:r w:rsidR="009E6965">
      <w:rPr>
        <w:b/>
        <w:noProof/>
        <w:sz w:val="18"/>
      </w:rPr>
      <w:t>3</w:t>
    </w:r>
    <w:r w:rsidRPr="00434A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434A5F" w:rsidRDefault="00434A5F" w:rsidP="00434A5F">
    <w:pPr>
      <w:pStyle w:val="Footer"/>
      <w:spacing w:before="120"/>
      <w:rPr>
        <w:sz w:val="20"/>
      </w:rPr>
    </w:pPr>
    <w:r>
      <w:rPr>
        <w:sz w:val="20"/>
      </w:rPr>
      <w:t>GE.</w:t>
    </w:r>
    <w:r w:rsidR="009E69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50" type="#_x0000_t75" alt="recycle_French" style="position:absolute;margin-left:340.15pt;margin-top:651.95pt;width:87pt;height:18.45pt;z-index:251657728;visibility:visible;mso-position-horizontal-relative:margin;mso-position-vertical-relative:margin" o:allowoverlap="f">
          <v:imagedata r:id="rId1" o:title="recycle_French"/>
          <w10:wrap anchorx="margin" anchory="margin"/>
        </v:shape>
      </w:pict>
    </w:r>
    <w:r>
      <w:rPr>
        <w:sz w:val="20"/>
      </w:rPr>
      <w:t>15-</w:t>
    </w:r>
    <w:r>
      <w:rPr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B" w:rsidRPr="00AC3823" w:rsidRDefault="00572D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2D7B" w:rsidRPr="00AC3823" w:rsidRDefault="00572D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2D7B" w:rsidRPr="00AC3823" w:rsidRDefault="00572D7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5F" w:rsidRPr="00434A5F" w:rsidRDefault="00434A5F">
    <w:pPr>
      <w:pStyle w:val="Header"/>
    </w:pPr>
    <w:r>
      <w:t>ST/SG/AC.10/C.4/5</w:t>
    </w:r>
    <w:r w:rsidR="00FB7518">
      <w:t>9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5F" w:rsidRPr="00434A5F" w:rsidRDefault="009E6965" w:rsidP="00434A5F">
    <w:pPr>
      <w:pStyle w:val="Header"/>
      <w:jc w:val="right"/>
    </w:pPr>
    <w:r>
      <w:t>ST/SG/AC.10/C.4/59</w:t>
    </w:r>
    <w:bookmarkStart w:id="0" w:name="_GoBack"/>
    <w:bookmarkEnd w:id="0"/>
    <w:r w:rsidR="00434A5F"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5" w:rsidRDefault="009E6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EE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567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3FB"/>
    <w:rsid w:val="00017F94"/>
    <w:rsid w:val="00020AAD"/>
    <w:rsid w:val="00023842"/>
    <w:rsid w:val="000305D3"/>
    <w:rsid w:val="000334F9"/>
    <w:rsid w:val="00044338"/>
    <w:rsid w:val="0005782C"/>
    <w:rsid w:val="000646AF"/>
    <w:rsid w:val="0007796D"/>
    <w:rsid w:val="00085C9A"/>
    <w:rsid w:val="00092121"/>
    <w:rsid w:val="000B7790"/>
    <w:rsid w:val="00111F2F"/>
    <w:rsid w:val="001321B2"/>
    <w:rsid w:val="00132EA9"/>
    <w:rsid w:val="0014365E"/>
    <w:rsid w:val="00176178"/>
    <w:rsid w:val="00193AC7"/>
    <w:rsid w:val="001C6C0E"/>
    <w:rsid w:val="001E1FC9"/>
    <w:rsid w:val="001F525A"/>
    <w:rsid w:val="00203210"/>
    <w:rsid w:val="00223272"/>
    <w:rsid w:val="002313E0"/>
    <w:rsid w:val="0024779E"/>
    <w:rsid w:val="0027442F"/>
    <w:rsid w:val="00283190"/>
    <w:rsid w:val="002832AC"/>
    <w:rsid w:val="002D7C93"/>
    <w:rsid w:val="002E7769"/>
    <w:rsid w:val="00304392"/>
    <w:rsid w:val="0038015C"/>
    <w:rsid w:val="003A757D"/>
    <w:rsid w:val="0040457F"/>
    <w:rsid w:val="00406E94"/>
    <w:rsid w:val="00432F2E"/>
    <w:rsid w:val="00434A5F"/>
    <w:rsid w:val="00441C3B"/>
    <w:rsid w:val="00446FE5"/>
    <w:rsid w:val="00452396"/>
    <w:rsid w:val="00461DCB"/>
    <w:rsid w:val="00463FF8"/>
    <w:rsid w:val="004E468C"/>
    <w:rsid w:val="005113FB"/>
    <w:rsid w:val="00540A03"/>
    <w:rsid w:val="005505B7"/>
    <w:rsid w:val="00566D1C"/>
    <w:rsid w:val="0057243F"/>
    <w:rsid w:val="00572D7B"/>
    <w:rsid w:val="00573BE5"/>
    <w:rsid w:val="00586ED3"/>
    <w:rsid w:val="00596AA9"/>
    <w:rsid w:val="006505F2"/>
    <w:rsid w:val="0068456F"/>
    <w:rsid w:val="006A5BBF"/>
    <w:rsid w:val="007019BA"/>
    <w:rsid w:val="00703E66"/>
    <w:rsid w:val="0071601D"/>
    <w:rsid w:val="0078272A"/>
    <w:rsid w:val="007917BE"/>
    <w:rsid w:val="007A62E6"/>
    <w:rsid w:val="007B7256"/>
    <w:rsid w:val="007D0C30"/>
    <w:rsid w:val="0080684C"/>
    <w:rsid w:val="00836E0A"/>
    <w:rsid w:val="00871C75"/>
    <w:rsid w:val="008776DC"/>
    <w:rsid w:val="009705C8"/>
    <w:rsid w:val="009808DA"/>
    <w:rsid w:val="009C1CF4"/>
    <w:rsid w:val="009C7F89"/>
    <w:rsid w:val="009D3DDC"/>
    <w:rsid w:val="009E6965"/>
    <w:rsid w:val="00A1450B"/>
    <w:rsid w:val="00A30353"/>
    <w:rsid w:val="00A40001"/>
    <w:rsid w:val="00A42686"/>
    <w:rsid w:val="00A70745"/>
    <w:rsid w:val="00A86535"/>
    <w:rsid w:val="00A97D6C"/>
    <w:rsid w:val="00AC3823"/>
    <w:rsid w:val="00AE323C"/>
    <w:rsid w:val="00B00181"/>
    <w:rsid w:val="00B00B0D"/>
    <w:rsid w:val="00B02A43"/>
    <w:rsid w:val="00B17279"/>
    <w:rsid w:val="00B25587"/>
    <w:rsid w:val="00B623EA"/>
    <w:rsid w:val="00B765F7"/>
    <w:rsid w:val="00BA0CA9"/>
    <w:rsid w:val="00BA6989"/>
    <w:rsid w:val="00BC1D79"/>
    <w:rsid w:val="00C02897"/>
    <w:rsid w:val="00C9440D"/>
    <w:rsid w:val="00CC2BF4"/>
    <w:rsid w:val="00CF3A87"/>
    <w:rsid w:val="00D252D9"/>
    <w:rsid w:val="00D3439C"/>
    <w:rsid w:val="00D757D5"/>
    <w:rsid w:val="00DB1831"/>
    <w:rsid w:val="00DD3BFD"/>
    <w:rsid w:val="00DF6678"/>
    <w:rsid w:val="00E03AAA"/>
    <w:rsid w:val="00E62303"/>
    <w:rsid w:val="00E92111"/>
    <w:rsid w:val="00E94FDE"/>
    <w:rsid w:val="00EA647C"/>
    <w:rsid w:val="00EF2E22"/>
    <w:rsid w:val="00EF6D4F"/>
    <w:rsid w:val="00F31EFC"/>
    <w:rsid w:val="00F660DF"/>
    <w:rsid w:val="00F730C8"/>
    <w:rsid w:val="00F91B4A"/>
    <w:rsid w:val="00F95C08"/>
    <w:rsid w:val="00FA0533"/>
    <w:rsid w:val="00FA6DE0"/>
    <w:rsid w:val="00FB7518"/>
    <w:rsid w:val="00FC344D"/>
    <w:rsid w:val="00FD01C3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5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283190"/>
    <w:rPr>
      <w:color w:val="0000FF"/>
      <w:u w:val="none"/>
    </w:rPr>
  </w:style>
  <w:style w:type="character" w:styleId="FollowedHyperlink">
    <w:name w:val="FollowedHyperlink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Number5">
    <w:name w:val="List Number 5"/>
    <w:basedOn w:val="Normal"/>
    <w:semiHidden/>
    <w:rsid w:val="00092121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hAnsi="Courier New" w:cs="Courier New"/>
      <w:lang w:val="en-GB"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7917B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ST/SG/AC.10/C.4/57/Add.1</vt:lpstr>
      <vt:lpstr>ST/SG/AC.10/C.4/57/Add.1</vt:lpstr>
    </vt:vector>
  </TitlesOfParts>
  <Company>DCM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ST/SG/AC.10/C.4/57/Add.1</dc:title>
  <dc:creator>Bourion</dc:creator>
  <cp:lastModifiedBy>Laurence Berthet</cp:lastModifiedBy>
  <cp:revision>6</cp:revision>
  <cp:lastPrinted>2015-09-29T13:06:00Z</cp:lastPrinted>
  <dcterms:created xsi:type="dcterms:W3CDTF">2015-09-29T07:35:00Z</dcterms:created>
  <dcterms:modified xsi:type="dcterms:W3CDTF">2015-10-01T08:40:00Z</dcterms:modified>
</cp:coreProperties>
</file>