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701D27">
            <w:pPr>
              <w:jc w:val="right"/>
              <w:rPr>
                <w:b/>
                <w:sz w:val="40"/>
                <w:szCs w:val="40"/>
              </w:rPr>
            </w:pPr>
            <w:r>
              <w:rPr>
                <w:b/>
                <w:sz w:val="40"/>
              </w:rPr>
              <w:t>UN/SCETDG/48/INF.</w:t>
            </w:r>
            <w:r w:rsidR="004572A7">
              <w:rPr>
                <w:b/>
                <w:sz w:val="40"/>
              </w:rPr>
              <w:t>5</w:t>
            </w:r>
            <w:r w:rsidR="00701D27">
              <w:rPr>
                <w:b/>
                <w:sz w:val="40"/>
              </w:rPr>
              <w:t>9</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701D27">
              <w:rPr>
                <w:b/>
              </w:rPr>
              <w:t>3</w:t>
            </w:r>
            <w:r w:rsidR="004572A7" w:rsidRPr="004572A7">
              <w:rPr>
                <w:b/>
              </w:rPr>
              <w:t xml:space="preserve"> December</w:t>
            </w:r>
            <w:r w:rsidRPr="004572A7">
              <w:rPr>
                <w:b/>
              </w:rPr>
              <w:t xml:space="preserve"> 2015</w:t>
            </w:r>
          </w:p>
          <w:p w:rsidR="005260A1" w:rsidRPr="00AB16B2" w:rsidRDefault="005260A1" w:rsidP="005260A1">
            <w:pPr>
              <w:spacing w:before="120"/>
              <w:rPr>
                <w:b/>
              </w:rPr>
            </w:pPr>
            <w:r>
              <w:rPr>
                <w:b/>
              </w:rPr>
              <w:t>Forty-eight session</w:t>
            </w:r>
          </w:p>
          <w:p w:rsidR="005260A1" w:rsidRPr="00AB16B2" w:rsidRDefault="005260A1" w:rsidP="005260A1">
            <w:r>
              <w:t>Geneva, 30 November-9 December 2015</w:t>
            </w:r>
          </w:p>
          <w:p w:rsidR="005260A1" w:rsidRPr="00AB16B2" w:rsidRDefault="00E013C5" w:rsidP="005260A1">
            <w:r>
              <w:t xml:space="preserve">Item </w:t>
            </w:r>
            <w:r w:rsidR="0036790E">
              <w:t>3</w:t>
            </w:r>
            <w:r>
              <w:t xml:space="preserve"> of </w:t>
            </w:r>
            <w:r w:rsidR="005260A1">
              <w:t>the provisional agenda</w:t>
            </w:r>
          </w:p>
          <w:p w:rsidR="005260A1" w:rsidRPr="0036790E" w:rsidRDefault="0036790E" w:rsidP="00D42A94">
            <w:pPr>
              <w:rPr>
                <w:b/>
              </w:rPr>
            </w:pPr>
            <w:r w:rsidRPr="0036790E">
              <w:rPr>
                <w:b/>
              </w:rPr>
              <w:t>Listing, classification and packing</w:t>
            </w:r>
          </w:p>
        </w:tc>
      </w:tr>
    </w:tbl>
    <w:p w:rsidR="00E20232" w:rsidRDefault="00701D27" w:rsidP="00701D27">
      <w:pPr>
        <w:pStyle w:val="HChG"/>
      </w:pPr>
      <w:r>
        <w:tab/>
      </w:r>
      <w:r>
        <w:tab/>
      </w:r>
      <w:proofErr w:type="spellStart"/>
      <w:r w:rsidR="00E20232">
        <w:t>Packagings</w:t>
      </w:r>
      <w:proofErr w:type="spellEnd"/>
      <w:r w:rsidR="00E20232">
        <w:t xml:space="preserve"> for infectious substances</w:t>
      </w:r>
    </w:p>
    <w:p w:rsidR="00E20232" w:rsidRDefault="00E20232" w:rsidP="00E20232">
      <w:pPr>
        <w:pStyle w:val="HChG"/>
      </w:pPr>
      <w:r>
        <w:tab/>
      </w:r>
      <w:r>
        <w:tab/>
        <w:t>Comments on informal document INF.30</w:t>
      </w:r>
    </w:p>
    <w:p w:rsidR="00E20232" w:rsidRPr="00E20232" w:rsidRDefault="00E20232" w:rsidP="00E20232">
      <w:pPr>
        <w:pStyle w:val="H1G"/>
      </w:pPr>
      <w:r>
        <w:tab/>
      </w:r>
      <w:r>
        <w:tab/>
        <w:t>Transmitted by the expert from Norway</w:t>
      </w:r>
    </w:p>
    <w:p w:rsidR="00701D27" w:rsidRPr="00751052" w:rsidRDefault="00E20232" w:rsidP="00701D27">
      <w:pPr>
        <w:pStyle w:val="HChG"/>
      </w:pPr>
      <w:r>
        <w:tab/>
      </w:r>
      <w:r>
        <w:tab/>
      </w:r>
      <w:bookmarkStart w:id="0" w:name="_GoBack"/>
      <w:bookmarkEnd w:id="0"/>
      <w:r w:rsidR="00701D27">
        <w:t>Introduction</w:t>
      </w:r>
    </w:p>
    <w:p w:rsidR="00701D27" w:rsidRDefault="00701D27" w:rsidP="00701D27">
      <w:pPr>
        <w:pStyle w:val="SingleTxtG"/>
      </w:pPr>
      <w:r>
        <w:t>Norway welcomes Germany's document submitted 23</w:t>
      </w:r>
      <w:r w:rsidRPr="00E27D7A">
        <w:rPr>
          <w:vertAlign w:val="superscript"/>
        </w:rPr>
        <w:t>rd</w:t>
      </w:r>
      <w:r>
        <w:t xml:space="preserve"> November (INF.30) on </w:t>
      </w:r>
      <w:proofErr w:type="spellStart"/>
      <w:r>
        <w:t>packagings</w:t>
      </w:r>
      <w:proofErr w:type="spellEnd"/>
      <w:r>
        <w:t xml:space="preserve"> for infectious substances, and has the following comments to the proposals:</w:t>
      </w:r>
    </w:p>
    <w:p w:rsidR="00701D27" w:rsidRPr="00EE78F0" w:rsidRDefault="00701D27" w:rsidP="00701D27">
      <w:pPr>
        <w:pStyle w:val="Bullet1G"/>
      </w:pPr>
      <w:r w:rsidRPr="00EE78F0">
        <w:t>Having a closer specification in P620, paragraph 3, that the receptacle means the primary receptacle and the packaging refers to the secondary packaging will make the text even clearer.</w:t>
      </w:r>
    </w:p>
    <w:p w:rsidR="00701D27" w:rsidRPr="00E078E6" w:rsidRDefault="00701D27" w:rsidP="00701D27">
      <w:pPr>
        <w:pStyle w:val="Bullet1G"/>
      </w:pPr>
      <w:r>
        <w:t xml:space="preserve">It would be beneficial to describe the type of waste these </w:t>
      </w:r>
      <w:proofErr w:type="spellStart"/>
      <w:r>
        <w:t>packagings</w:t>
      </w:r>
      <w:proofErr w:type="spellEnd"/>
      <w:r>
        <w:t xml:space="preserve"> are intended for, however we do believe that introducing a definition of waste only applicable to Chapter 6.3 on testing of </w:t>
      </w:r>
      <w:proofErr w:type="spellStart"/>
      <w:r>
        <w:t>packagings</w:t>
      </w:r>
      <w:proofErr w:type="spellEnd"/>
      <w:r>
        <w:t xml:space="preserve"> is not ideal. Using the already existing definition of medical and clinical wastes in 2.6.3.5.1 may be a better solution. For </w:t>
      </w:r>
      <w:r w:rsidRPr="005F3295">
        <w:rPr>
          <w:i/>
        </w:rPr>
        <w:t>other than solid infectious substances</w:t>
      </w:r>
      <w:r>
        <w:t xml:space="preserve">, packing instruction P620 already requires </w:t>
      </w:r>
      <w:r w:rsidRPr="00A00C8F">
        <w:t>absorbent material</w:t>
      </w:r>
      <w:r>
        <w:t xml:space="preserve"> in sufficient quantity to absorb the entire contents. The amount of liquids that can be transported in a packaging containing Category </w:t>
      </w:r>
      <w:proofErr w:type="gramStart"/>
      <w:r>
        <w:t>A</w:t>
      </w:r>
      <w:proofErr w:type="gramEnd"/>
      <w:r>
        <w:t xml:space="preserve"> waste will therefore be naturally limited. However, we believe it could be a good option to add another special requirement to P620 (similar to the special requirement in P621) applicable for </w:t>
      </w:r>
      <w:proofErr w:type="spellStart"/>
      <w:r>
        <w:t>packagings</w:t>
      </w:r>
      <w:proofErr w:type="spellEnd"/>
      <w:r>
        <w:t xml:space="preserve"> intended to contain sharp objects like broken glass and needles.</w:t>
      </w:r>
    </w:p>
    <w:p w:rsidR="00701D27" w:rsidRDefault="00701D27" w:rsidP="00701D27">
      <w:pPr>
        <w:pStyle w:val="Bullet1G"/>
      </w:pPr>
      <w:r w:rsidRPr="00E078E6">
        <w:t xml:space="preserve">We agree that some additional text on the </w:t>
      </w:r>
      <w:proofErr w:type="spellStart"/>
      <w:r w:rsidRPr="00E078E6">
        <w:t>packagings</w:t>
      </w:r>
      <w:proofErr w:type="spellEnd"/>
      <w:r w:rsidRPr="00E078E6">
        <w:t xml:space="preserve"> could make routines easier for medical staff. However, we believe </w:t>
      </w:r>
      <w:r>
        <w:t xml:space="preserve">that </w:t>
      </w:r>
      <w:r w:rsidRPr="00E078E6">
        <w:t xml:space="preserve">marking </w:t>
      </w:r>
      <w:proofErr w:type="spellStart"/>
      <w:r w:rsidRPr="00E078E6">
        <w:t>packagings</w:t>
      </w:r>
      <w:proofErr w:type="spellEnd"/>
      <w:r w:rsidRPr="00E078E6">
        <w:t xml:space="preserve"> with the text "PACKAGING FOR SOLID WASTE ONLY" could </w:t>
      </w:r>
      <w:r>
        <w:t xml:space="preserve">in fact </w:t>
      </w:r>
      <w:r w:rsidRPr="00E078E6">
        <w:t xml:space="preserve">be more confusing than </w:t>
      </w:r>
      <w:r>
        <w:t>the text</w:t>
      </w:r>
      <w:r w:rsidRPr="00E078E6">
        <w:t xml:space="preserve"> "PACKAGING FOR WASTE ONLY"</w:t>
      </w:r>
      <w:r>
        <w:t xml:space="preserve"> – e</w:t>
      </w:r>
      <w:r w:rsidRPr="00E078E6">
        <w:t>specially</w:t>
      </w:r>
      <w:r>
        <w:t xml:space="preserve"> if the intention is </w:t>
      </w:r>
      <w:r w:rsidRPr="00E078E6">
        <w:t>to dispose of small receptacles containing liquids</w:t>
      </w:r>
      <w:r>
        <w:t>, together with solid wastes and mixtures of solid and liquid wastes as suggested by Germany</w:t>
      </w:r>
      <w:r w:rsidRPr="00E078E6">
        <w:t>. We are still of the opinion that the maximum gross mass should be included in the UN code</w:t>
      </w:r>
      <w:r>
        <w:t>, as this information is important to hospital safety advisors, purchasers and auditors</w:t>
      </w:r>
      <w:r w:rsidRPr="00E078E6">
        <w:t xml:space="preserve">. </w:t>
      </w:r>
      <w:r>
        <w:t xml:space="preserve">Otherwise, </w:t>
      </w:r>
      <w:proofErr w:type="spellStart"/>
      <w:r>
        <w:t>p</w:t>
      </w:r>
      <w:r w:rsidRPr="00E078E6">
        <w:t>ackagings</w:t>
      </w:r>
      <w:proofErr w:type="spellEnd"/>
      <w:r w:rsidRPr="00E078E6">
        <w:t xml:space="preserve"> tested with different masses could look identical.</w:t>
      </w:r>
      <w:r>
        <w:t xml:space="preserve"> In addition to the mass, Norway is in favour of including the capital "S" in the UN code as suggested by Germany. P620 does not allow for "free" liquids, but the "S" </w:t>
      </w:r>
      <w:r w:rsidRPr="000B23BD">
        <w:t>denot</w:t>
      </w:r>
      <w:r>
        <w:t>es</w:t>
      </w:r>
      <w:r w:rsidRPr="000B23BD">
        <w:t xml:space="preserve"> that the packaging is </w:t>
      </w:r>
      <w:r>
        <w:t>for</w:t>
      </w:r>
      <w:r w:rsidRPr="000B23BD">
        <w:t xml:space="preserve"> solids or </w:t>
      </w:r>
      <w:proofErr w:type="spellStart"/>
      <w:r w:rsidRPr="000B23BD">
        <w:t>leakproof</w:t>
      </w:r>
      <w:proofErr w:type="spellEnd"/>
      <w:r w:rsidRPr="000B23BD">
        <w:t xml:space="preserve"> inner primary receptacle</w:t>
      </w:r>
      <w:r>
        <w:t>(s) in line with the provisions in Chapter 6.1.</w:t>
      </w:r>
    </w:p>
    <w:p w:rsidR="00701D27" w:rsidRPr="00751052" w:rsidRDefault="00701D27" w:rsidP="001927CD">
      <w:pPr>
        <w:pStyle w:val="HChG"/>
        <w:spacing w:before="240" w:after="120"/>
      </w:pPr>
      <w:r>
        <w:tab/>
      </w:r>
      <w:r>
        <w:tab/>
      </w:r>
      <w:r>
        <w:t>Amended Proposal</w:t>
      </w:r>
    </w:p>
    <w:p w:rsidR="00701D27" w:rsidRDefault="00701D27" w:rsidP="00701D27">
      <w:pPr>
        <w:pStyle w:val="SingleTxtG"/>
      </w:pPr>
      <w:r>
        <w:t>1.</w:t>
      </w:r>
      <w:r>
        <w:tab/>
      </w:r>
      <w:r>
        <w:t>T</w:t>
      </w:r>
      <w:r w:rsidRPr="002B2435">
        <w:t>o clarify that the</w:t>
      </w:r>
      <w:r>
        <w:t xml:space="preserve"> requirements</w:t>
      </w:r>
      <w:r w:rsidRPr="002B2435">
        <w:t xml:space="preserve"> </w:t>
      </w:r>
      <w:r>
        <w:t>relating to pressure differentials and temperatures i</w:t>
      </w:r>
      <w:r w:rsidRPr="002B2435">
        <w:t xml:space="preserve">n P620 should be considered </w:t>
      </w:r>
      <w:r>
        <w:t>independent to</w:t>
      </w:r>
      <w:r w:rsidRPr="002B2435">
        <w:t xml:space="preserve"> each other</w:t>
      </w:r>
      <w:r>
        <w:t>,</w:t>
      </w:r>
      <w:r w:rsidRPr="00140730">
        <w:t xml:space="preserve"> </w:t>
      </w:r>
      <w:r>
        <w:t>Norway proposes to s</w:t>
      </w:r>
      <w:r w:rsidRPr="002B2435">
        <w:t xml:space="preserve">plit </w:t>
      </w:r>
      <w:r>
        <w:t xml:space="preserve">paragraph 3 into two sentences (old text </w:t>
      </w:r>
      <w:r w:rsidRPr="00D63101">
        <w:rPr>
          <w:strike/>
        </w:rPr>
        <w:t>stricken through,</w:t>
      </w:r>
      <w:r>
        <w:t xml:space="preserve"> new text </w:t>
      </w:r>
      <w:r w:rsidRPr="005528A3">
        <w:rPr>
          <w:u w:val="single"/>
        </w:rPr>
        <w:t>underlined</w:t>
      </w:r>
      <w:r>
        <w:rPr>
          <w:u w:val="single"/>
        </w:rPr>
        <w:t xml:space="preserve">, </w:t>
      </w:r>
      <w:r w:rsidRPr="001152BC">
        <w:t xml:space="preserve">added text in </w:t>
      </w:r>
      <w:r w:rsidRPr="001152BC">
        <w:rPr>
          <w:b/>
          <w:u w:val="single"/>
        </w:rPr>
        <w:t>bold</w:t>
      </w:r>
      <w:r>
        <w:t>)</w:t>
      </w:r>
      <w:r w:rsidRPr="002B2435">
        <w:t>:</w:t>
      </w:r>
    </w:p>
    <w:p w:rsidR="00701D27" w:rsidRPr="00701D27" w:rsidRDefault="00701D27" w:rsidP="00701D27">
      <w:pPr>
        <w:pStyle w:val="SingleTxtG"/>
        <w:ind w:left="1701"/>
        <w:rPr>
          <w:i/>
        </w:rPr>
      </w:pPr>
      <w:r w:rsidRPr="00701D27">
        <w:rPr>
          <w:i/>
        </w:rPr>
        <w:t xml:space="preserve">“3. Whatever the intended temperature of the consignment, the primary receptacle or the secondary packaging shall be capable of withstanding without leakage an internal pressure producing a pressure differential of not less than 95 </w:t>
      </w:r>
      <w:proofErr w:type="spellStart"/>
      <w:r w:rsidRPr="00701D27">
        <w:rPr>
          <w:i/>
        </w:rPr>
        <w:t>kPa</w:t>
      </w:r>
      <w:proofErr w:type="spellEnd"/>
      <w:r w:rsidRPr="00701D27">
        <w:rPr>
          <w:i/>
          <w:strike/>
        </w:rPr>
        <w:t xml:space="preserve"> and</w:t>
      </w:r>
      <w:r w:rsidRPr="00701D27">
        <w:rPr>
          <w:i/>
          <w:u w:val="single"/>
        </w:rPr>
        <w:t xml:space="preserve">. This </w:t>
      </w:r>
      <w:r w:rsidRPr="00701D27">
        <w:rPr>
          <w:b/>
          <w:i/>
          <w:u w:val="single"/>
        </w:rPr>
        <w:lastRenderedPageBreak/>
        <w:t>primary</w:t>
      </w:r>
      <w:r w:rsidRPr="00701D27">
        <w:rPr>
          <w:i/>
          <w:u w:val="single"/>
        </w:rPr>
        <w:t xml:space="preserve"> receptacle or </w:t>
      </w:r>
      <w:r w:rsidRPr="00701D27">
        <w:rPr>
          <w:b/>
          <w:i/>
          <w:u w:val="single"/>
        </w:rPr>
        <w:t>secondary</w:t>
      </w:r>
      <w:r w:rsidRPr="00701D27">
        <w:rPr>
          <w:i/>
          <w:u w:val="single"/>
        </w:rPr>
        <w:t xml:space="preserve"> packaging shall also be capable of withstanding</w:t>
      </w:r>
      <w:r w:rsidRPr="00701D27">
        <w:rPr>
          <w:i/>
        </w:rPr>
        <w:t xml:space="preserve"> temperatures in the range -40 °C to +55 °C.” </w:t>
      </w:r>
    </w:p>
    <w:p w:rsidR="00701D27" w:rsidRDefault="00701D27" w:rsidP="00701D27">
      <w:pPr>
        <w:pStyle w:val="SingleTxtG"/>
      </w:pPr>
      <w:r>
        <w:t>2.</w:t>
      </w:r>
      <w:r>
        <w:tab/>
      </w:r>
      <w:r>
        <w:t xml:space="preserve">Norway suggests adding a new special requirement 6. </w:t>
      </w:r>
      <w:proofErr w:type="gramStart"/>
      <w:r>
        <w:t>to</w:t>
      </w:r>
      <w:proofErr w:type="gramEnd"/>
      <w:r>
        <w:t xml:space="preserve"> packing instruction P620 concerning </w:t>
      </w:r>
      <w:proofErr w:type="spellStart"/>
      <w:r>
        <w:t>packagings</w:t>
      </w:r>
      <w:proofErr w:type="spellEnd"/>
      <w:r>
        <w:t xml:space="preserve"> intended to contain sharp objects:</w:t>
      </w:r>
    </w:p>
    <w:p w:rsidR="00701D27" w:rsidRPr="00701D27" w:rsidRDefault="00701D27" w:rsidP="00701D27">
      <w:pPr>
        <w:pStyle w:val="SingleTxtG"/>
        <w:ind w:left="1701"/>
        <w:rPr>
          <w:i/>
        </w:rPr>
      </w:pPr>
      <w:r w:rsidRPr="00701D27">
        <w:rPr>
          <w:i/>
        </w:rPr>
        <w:t xml:space="preserve">6. </w:t>
      </w:r>
      <w:proofErr w:type="spellStart"/>
      <w:r w:rsidRPr="00701D27">
        <w:rPr>
          <w:i/>
        </w:rPr>
        <w:t>Packagings</w:t>
      </w:r>
      <w:proofErr w:type="spellEnd"/>
      <w:r w:rsidRPr="00701D27">
        <w:rPr>
          <w:i/>
        </w:rPr>
        <w:t xml:space="preserve"> intended to contain sharp objects such as broken glass and needles shall be resistant to puncture and retain liquids under the performance test conditions in Chapter 6.3.</w:t>
      </w:r>
    </w:p>
    <w:p w:rsidR="00701D27" w:rsidRPr="004D11E5" w:rsidRDefault="00701D27" w:rsidP="00701D27">
      <w:pPr>
        <w:pStyle w:val="SingleTxtG"/>
      </w:pPr>
      <w:r>
        <w:t>3.</w:t>
      </w:r>
      <w:r>
        <w:tab/>
      </w:r>
      <w:r w:rsidRPr="004D11E5">
        <w:t xml:space="preserve">Norway proposes to introduce the option of separating </w:t>
      </w:r>
      <w:r w:rsidRPr="004D11E5">
        <w:rPr>
          <w:i/>
        </w:rPr>
        <w:t xml:space="preserve">waste </w:t>
      </w:r>
      <w:r w:rsidRPr="004D11E5">
        <w:t xml:space="preserve">classified as UN 2814 or UN 2900 from </w:t>
      </w:r>
      <w:r w:rsidRPr="004D11E5">
        <w:rPr>
          <w:i/>
        </w:rPr>
        <w:t xml:space="preserve">a liquid or solid infectious substance </w:t>
      </w:r>
      <w:r w:rsidRPr="004D11E5">
        <w:t xml:space="preserve">as described in subsection 6.3.5.2.1 on the preparation of </w:t>
      </w:r>
      <w:proofErr w:type="spellStart"/>
      <w:r w:rsidRPr="004D11E5">
        <w:t>packagings</w:t>
      </w:r>
      <w:proofErr w:type="spellEnd"/>
      <w:r w:rsidRPr="004D11E5">
        <w:t xml:space="preserve"> for testing. This option would entail testing the </w:t>
      </w:r>
      <w:proofErr w:type="spellStart"/>
      <w:r w:rsidRPr="004D11E5">
        <w:t>packagings</w:t>
      </w:r>
      <w:proofErr w:type="spellEnd"/>
      <w:r w:rsidRPr="004D11E5">
        <w:t xml:space="preserve"> intended for </w:t>
      </w:r>
      <w:r>
        <w:t xml:space="preserve">waste transport </w:t>
      </w:r>
      <w:r w:rsidRPr="004D11E5">
        <w:t>with a maximum gross mass. Introducing a definition for waste only applicable to</w:t>
      </w:r>
      <w:r>
        <w:t xml:space="preserve"> the aforementioned paragraph in </w:t>
      </w:r>
      <w:r w:rsidRPr="004D11E5">
        <w:t>Chapter 6.3 should be avoided</w:t>
      </w:r>
      <w:r>
        <w:t xml:space="preserve">. </w:t>
      </w:r>
      <w:r w:rsidRPr="004D11E5">
        <w:t xml:space="preserve">Norway therefore suggests that subsection 6.3.5.2.1 would read as follows (new text </w:t>
      </w:r>
      <w:r w:rsidRPr="004D11E5">
        <w:rPr>
          <w:u w:val="single"/>
        </w:rPr>
        <w:t>underlined</w:t>
      </w:r>
      <w:r>
        <w:rPr>
          <w:u w:val="single"/>
        </w:rPr>
        <w:t>,</w:t>
      </w:r>
      <w:r w:rsidRPr="001152BC">
        <w:t xml:space="preserve"> added text in </w:t>
      </w:r>
      <w:r w:rsidRPr="001152BC">
        <w:rPr>
          <w:b/>
          <w:u w:val="single"/>
        </w:rPr>
        <w:t>bold</w:t>
      </w:r>
      <w:r w:rsidRPr="004D11E5">
        <w:t>):</w:t>
      </w:r>
    </w:p>
    <w:p w:rsidR="00701D27" w:rsidRPr="00701D27" w:rsidRDefault="00701D27" w:rsidP="00701D27">
      <w:pPr>
        <w:pStyle w:val="SingleTxtG"/>
        <w:ind w:left="1701"/>
        <w:rPr>
          <w:i/>
          <w:u w:val="single"/>
        </w:rPr>
      </w:pPr>
      <w:r w:rsidRPr="00701D27">
        <w:rPr>
          <w:i/>
        </w:rPr>
        <w:t xml:space="preserve">“6.3.5.2.1 </w:t>
      </w:r>
      <w:r w:rsidRPr="00701D27">
        <w:rPr>
          <w:i/>
        </w:rPr>
        <w:tab/>
        <w:t xml:space="preserve">Samples of each packaging shall be prepared as for transport except that a liquid or solid infectious substance shall be replaced by water or, where conditioning at -18 °C is specified, by water/antifreeze. Each primary receptacle shall be filled to not less than 98 % of its capacity. </w:t>
      </w:r>
      <w:r w:rsidRPr="00701D27">
        <w:rPr>
          <w:i/>
          <w:u w:val="single"/>
        </w:rPr>
        <w:t xml:space="preserve">For </w:t>
      </w:r>
      <w:proofErr w:type="spellStart"/>
      <w:r w:rsidRPr="00701D27">
        <w:rPr>
          <w:i/>
          <w:u w:val="single"/>
        </w:rPr>
        <w:t>packagings</w:t>
      </w:r>
      <w:proofErr w:type="spellEnd"/>
      <w:r w:rsidRPr="00701D27">
        <w:rPr>
          <w:i/>
          <w:u w:val="single"/>
        </w:rPr>
        <w:t xml:space="preserve"> intended</w:t>
      </w:r>
      <w:r w:rsidRPr="00701D27">
        <w:rPr>
          <w:b/>
          <w:i/>
          <w:u w:val="single"/>
        </w:rPr>
        <w:t xml:space="preserve"> for the carriage of medical or clinical wastes containing Category </w:t>
      </w:r>
      <w:proofErr w:type="gramStart"/>
      <w:r w:rsidRPr="00701D27">
        <w:rPr>
          <w:b/>
          <w:i/>
          <w:u w:val="single"/>
        </w:rPr>
        <w:t>A</w:t>
      </w:r>
      <w:proofErr w:type="gramEnd"/>
      <w:r w:rsidRPr="00701D27">
        <w:rPr>
          <w:b/>
          <w:i/>
          <w:u w:val="single"/>
        </w:rPr>
        <w:t xml:space="preserve"> infections substances</w:t>
      </w:r>
      <w:r w:rsidRPr="00701D27">
        <w:rPr>
          <w:i/>
          <w:u w:val="single"/>
        </w:rPr>
        <w:t>, the primary receptacles may alternatively be filled to the maximum gross mass in kilograms at which they may be used."</w:t>
      </w:r>
    </w:p>
    <w:p w:rsidR="00701D27" w:rsidRPr="001152BC" w:rsidRDefault="00701D27" w:rsidP="00701D27">
      <w:pPr>
        <w:pStyle w:val="SingleTxtG"/>
      </w:pPr>
      <w:r>
        <w:t xml:space="preserve">To distinguish </w:t>
      </w:r>
      <w:proofErr w:type="spellStart"/>
      <w:r>
        <w:t>packagings</w:t>
      </w:r>
      <w:proofErr w:type="spellEnd"/>
      <w:r>
        <w:t xml:space="preserve"> intended for waste transport from </w:t>
      </w:r>
      <w:proofErr w:type="spellStart"/>
      <w:r>
        <w:t>packagings</w:t>
      </w:r>
      <w:proofErr w:type="spellEnd"/>
      <w:r>
        <w:t xml:space="preserve"> where the primary receptacles have been tested with water or water/antifreeze up to 98 % of their capacity, Norway proposes to include</w:t>
      </w:r>
      <w:r w:rsidRPr="001152BC">
        <w:t xml:space="preserve"> the maximum gross mass in kg and the capital letter </w:t>
      </w:r>
      <w:r>
        <w:t>"</w:t>
      </w:r>
      <w:r w:rsidRPr="001152BC">
        <w:t>S</w:t>
      </w:r>
      <w:r>
        <w:t>"</w:t>
      </w:r>
      <w:r w:rsidRPr="001152BC">
        <w:t xml:space="preserve"> between the entries of "CLASS 6.2" and the year of manufacture. </w:t>
      </w:r>
    </w:p>
    <w:p w:rsidR="00701D27" w:rsidRDefault="00701D27" w:rsidP="00701D27">
      <w:pPr>
        <w:pStyle w:val="SingleTxtG"/>
      </w:pPr>
      <w:r>
        <w:t>The following amendments including consequential amendments are proposed:</w:t>
      </w:r>
    </w:p>
    <w:p w:rsidR="00701D27" w:rsidRDefault="00701D27" w:rsidP="00701D27">
      <w:pPr>
        <w:pStyle w:val="SingleTxtG"/>
      </w:pPr>
      <w:r>
        <w:t>(</w:t>
      </w:r>
      <w:r>
        <w:t xml:space="preserve">a) </w:t>
      </w:r>
      <w:r>
        <w:tab/>
        <w:t>Insert two new paragraphs, so that the new 6.3.4.2 (d) and (e) would read as follows:</w:t>
      </w:r>
    </w:p>
    <w:p w:rsidR="00701D27" w:rsidRPr="00701D27" w:rsidRDefault="00701D27" w:rsidP="00701D27">
      <w:pPr>
        <w:pStyle w:val="SingleTxtG"/>
        <w:ind w:left="1701"/>
        <w:rPr>
          <w:i/>
        </w:rPr>
      </w:pPr>
      <w:r w:rsidRPr="00701D27">
        <w:rPr>
          <w:i/>
        </w:rPr>
        <w:t xml:space="preserve">(d) For </w:t>
      </w:r>
      <w:proofErr w:type="spellStart"/>
      <w:r w:rsidRPr="00701D27">
        <w:rPr>
          <w:i/>
        </w:rPr>
        <w:t>packagings</w:t>
      </w:r>
      <w:proofErr w:type="spellEnd"/>
      <w:r w:rsidRPr="00701D27">
        <w:rPr>
          <w:i/>
        </w:rPr>
        <w:t xml:space="preserve"> intended to contain waste, the maximum gross mass in kilograms; this may be omitted when each primary receptacle has been tested with water or water/antifreeze to not less than 98% of its capacity;</w:t>
      </w:r>
    </w:p>
    <w:p w:rsidR="00701D27" w:rsidRPr="00701D27" w:rsidRDefault="00701D27" w:rsidP="00701D27">
      <w:pPr>
        <w:pStyle w:val="SingleTxtG"/>
        <w:ind w:left="1701"/>
        <w:rPr>
          <w:i/>
        </w:rPr>
      </w:pPr>
      <w:r w:rsidRPr="00701D27">
        <w:rPr>
          <w:i/>
        </w:rPr>
        <w:t xml:space="preserve">(e) </w:t>
      </w:r>
      <w:r>
        <w:rPr>
          <w:i/>
        </w:rPr>
        <w:tab/>
      </w:r>
      <w:r w:rsidRPr="00701D27">
        <w:rPr>
          <w:i/>
        </w:rPr>
        <w:t xml:space="preserve">For </w:t>
      </w:r>
      <w:proofErr w:type="spellStart"/>
      <w:r w:rsidRPr="00701D27">
        <w:rPr>
          <w:i/>
        </w:rPr>
        <w:t>packagings</w:t>
      </w:r>
      <w:proofErr w:type="spellEnd"/>
      <w:r w:rsidRPr="00701D27">
        <w:rPr>
          <w:i/>
        </w:rPr>
        <w:t xml:space="preserve"> intended to contain waste, the letter "S" denoting that the packaging is intended for the transport of solids or </w:t>
      </w:r>
      <w:proofErr w:type="spellStart"/>
      <w:r w:rsidRPr="00701D27">
        <w:rPr>
          <w:i/>
        </w:rPr>
        <w:t>leakproof</w:t>
      </w:r>
      <w:proofErr w:type="spellEnd"/>
      <w:r w:rsidRPr="00701D27">
        <w:rPr>
          <w:i/>
        </w:rPr>
        <w:t xml:space="preserve"> inner primary receptacle(s); this may be omitted when each primary receptacle has been tested with water or water/antifreeze to not less than 98% of its capacity;</w:t>
      </w:r>
    </w:p>
    <w:p w:rsidR="00701D27" w:rsidRPr="00490B6A" w:rsidRDefault="00701D27" w:rsidP="00701D27">
      <w:pPr>
        <w:pStyle w:val="SingleTxtG"/>
      </w:pPr>
      <w:r>
        <w:t>(b)</w:t>
      </w:r>
      <w:r>
        <w:tab/>
      </w:r>
      <w:r w:rsidRPr="00490B6A">
        <w:t>The remaining entries of the list in 6.3.4.2 w</w:t>
      </w:r>
      <w:r>
        <w:t>ould change from (d) – (g) to (f) – (</w:t>
      </w:r>
      <w:proofErr w:type="spellStart"/>
      <w:r>
        <w:t>i</w:t>
      </w:r>
      <w:proofErr w:type="spellEnd"/>
      <w:r w:rsidRPr="00490B6A">
        <w:t>) respectively.</w:t>
      </w:r>
    </w:p>
    <w:p w:rsidR="00701D27" w:rsidRDefault="00701D27" w:rsidP="00701D27">
      <w:pPr>
        <w:pStyle w:val="SingleTxtG"/>
      </w:pPr>
      <w:r>
        <w:t>(c)</w:t>
      </w:r>
      <w:r>
        <w:tab/>
      </w:r>
      <w:r>
        <w:t xml:space="preserve">In subsection 6.3.4.3, </w:t>
      </w:r>
      <w:r>
        <w:rPr>
          <w:i/>
        </w:rPr>
        <w:t>delete</w:t>
      </w:r>
      <w:r>
        <w:t xml:space="preserve"> 6.3.4.2 (a) to (g); </w:t>
      </w:r>
      <w:r>
        <w:rPr>
          <w:i/>
        </w:rPr>
        <w:t xml:space="preserve">add </w:t>
      </w:r>
      <w:r>
        <w:t>6.3.4.2 (a) to (</w:t>
      </w:r>
      <w:proofErr w:type="spellStart"/>
      <w:r>
        <w:t>i</w:t>
      </w:r>
      <w:proofErr w:type="spellEnd"/>
      <w:r>
        <w:t>);</w:t>
      </w:r>
    </w:p>
    <w:p w:rsidR="00701D27" w:rsidRPr="00154622" w:rsidRDefault="00701D27" w:rsidP="00701D27">
      <w:pPr>
        <w:pStyle w:val="SingleTxtG"/>
      </w:pPr>
      <w:r>
        <w:t>(d)</w:t>
      </w:r>
      <w:r>
        <w:tab/>
      </w:r>
      <w:r w:rsidRPr="00154622">
        <w:t>Subsection 6.3.4.4 including a new example of marking would</w:t>
      </w:r>
      <w:r>
        <w:t xml:space="preserve"> be amended as below</w:t>
      </w:r>
      <w:r w:rsidRPr="00154622">
        <w:t>:</w:t>
      </w:r>
    </w:p>
    <w:p w:rsidR="00701D27" w:rsidRPr="00404D47" w:rsidRDefault="00701D27" w:rsidP="001927CD">
      <w:pPr>
        <w:spacing w:before="240" w:line="360" w:lineRule="auto"/>
        <w:ind w:firstLine="1134"/>
        <w:rPr>
          <w:b/>
          <w:i/>
        </w:rPr>
      </w:pPr>
      <w:r w:rsidRPr="00404D47">
        <w:rPr>
          <w:b/>
          <w:i/>
        </w:rPr>
        <w:t>6.3.4.4 Example</w:t>
      </w:r>
      <w:r>
        <w:rPr>
          <w:b/>
          <w:i/>
        </w:rPr>
        <w:t>s</w:t>
      </w:r>
      <w:r w:rsidRPr="00404D47">
        <w:rPr>
          <w:b/>
          <w:i/>
        </w:rPr>
        <w:t xml:space="preserve"> of marking</w:t>
      </w:r>
    </w:p>
    <w:p w:rsidR="00701D27" w:rsidRDefault="00701D27" w:rsidP="00701D27">
      <w:pPr>
        <w:pStyle w:val="ListParagraph"/>
      </w:pPr>
      <w:r w:rsidRPr="00D94C83">
        <w:rPr>
          <w:rFonts w:ascii="Arial" w:eastAsia="Times New Roman" w:hAnsi="Arial" w:cs="Arial"/>
          <w:noProof/>
          <w:color w:val="0000FF"/>
          <w:sz w:val="27"/>
          <w:szCs w:val="27"/>
        </w:rPr>
        <w:drawing>
          <wp:anchor distT="0" distB="0" distL="114300" distR="114300" simplePos="0" relativeHeight="251660288" behindDoc="1" locked="0" layoutInCell="1" allowOverlap="1" wp14:anchorId="47392A93" wp14:editId="77231899">
            <wp:simplePos x="0" y="0"/>
            <wp:positionH relativeFrom="column">
              <wp:posOffset>650875</wp:posOffset>
            </wp:positionH>
            <wp:positionV relativeFrom="paragraph">
              <wp:posOffset>3175</wp:posOffset>
            </wp:positionV>
            <wp:extent cx="300990" cy="300990"/>
            <wp:effectExtent l="0" t="0" r="0" b="0"/>
            <wp:wrapSquare wrapText="bothSides"/>
            <wp:docPr id="3" name="Bilde 3" descr="https://encrypted-tbn1.gstatic.com/images?q=tbn:ANd9GcQXZBBeyn7zDkNgp-3BORFMSdkjFTDBIlK5hmN2iZTQs3WAP1B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XZBBeyn7zDkNgp-3BORFMSdkjFTDBIlK5hmN2iZTQs3WAP1B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r>
        <w:t>4G/CLASS 6.2/06</w:t>
      </w:r>
      <w:r>
        <w:tab/>
      </w:r>
      <w:r>
        <w:tab/>
        <w:t xml:space="preserve">as in 6.3.4.2 (a), (b), (c) and </w:t>
      </w:r>
      <w:r>
        <w:rPr>
          <w:strike/>
        </w:rPr>
        <w:t>(d</w:t>
      </w:r>
      <w:proofErr w:type="gramStart"/>
      <w:r w:rsidRPr="008C53DB">
        <w:rPr>
          <w:strike/>
        </w:rPr>
        <w:t>)</w:t>
      </w:r>
      <w:r w:rsidRPr="00E55886">
        <w:rPr>
          <w:u w:val="single"/>
        </w:rPr>
        <w:t>(</w:t>
      </w:r>
      <w:proofErr w:type="gramEnd"/>
      <w:r w:rsidRPr="00E55886">
        <w:rPr>
          <w:u w:val="single"/>
        </w:rPr>
        <w:t>f)</w:t>
      </w:r>
    </w:p>
    <w:p w:rsidR="00701D27" w:rsidRDefault="00701D27" w:rsidP="00701D27">
      <w:pPr>
        <w:pStyle w:val="ListParagraph"/>
      </w:pPr>
      <w:r>
        <w:t>S/SP-9989-ERIKSSON</w:t>
      </w:r>
      <w:r>
        <w:tab/>
      </w:r>
      <w:r>
        <w:tab/>
        <w:t xml:space="preserve">as in 6.3.4.2 </w:t>
      </w:r>
      <w:r>
        <w:rPr>
          <w:strike/>
        </w:rPr>
        <w:t>(e</w:t>
      </w:r>
      <w:proofErr w:type="gramStart"/>
      <w:r>
        <w:rPr>
          <w:strike/>
        </w:rPr>
        <w:t>)</w:t>
      </w:r>
      <w:r w:rsidRPr="00E55886">
        <w:rPr>
          <w:u w:val="single"/>
        </w:rPr>
        <w:t>(</w:t>
      </w:r>
      <w:proofErr w:type="gramEnd"/>
      <w:r w:rsidRPr="00E55886">
        <w:rPr>
          <w:u w:val="single"/>
        </w:rPr>
        <w:t>g)</w:t>
      </w:r>
      <w:r w:rsidRPr="00E55886">
        <w:t xml:space="preserve"> </w:t>
      </w:r>
      <w:r>
        <w:t xml:space="preserve">and </w:t>
      </w:r>
      <w:r>
        <w:rPr>
          <w:strike/>
        </w:rPr>
        <w:t>(f)</w:t>
      </w:r>
      <w:r w:rsidRPr="00E55886">
        <w:rPr>
          <w:u w:val="single"/>
        </w:rPr>
        <w:t>(h)</w:t>
      </w:r>
    </w:p>
    <w:p w:rsidR="00701D27" w:rsidRDefault="00701D27" w:rsidP="001927CD">
      <w:r w:rsidRPr="00D94C83">
        <w:rPr>
          <w:noProof/>
        </w:rPr>
        <w:drawing>
          <wp:anchor distT="0" distB="0" distL="114300" distR="114300" simplePos="0" relativeHeight="251659264" behindDoc="1" locked="0" layoutInCell="1" allowOverlap="1" wp14:anchorId="6C0026C1" wp14:editId="5CDBA363">
            <wp:simplePos x="0" y="0"/>
            <wp:positionH relativeFrom="column">
              <wp:posOffset>650875</wp:posOffset>
            </wp:positionH>
            <wp:positionV relativeFrom="paragraph">
              <wp:posOffset>163830</wp:posOffset>
            </wp:positionV>
            <wp:extent cx="300990" cy="300990"/>
            <wp:effectExtent l="0" t="0" r="0" b="0"/>
            <wp:wrapSquare wrapText="bothSides"/>
            <wp:docPr id="4" name="Bilde 4" descr="https://encrypted-tbn1.gstatic.com/images?q=tbn:ANd9GcQXZBBeyn7zDkNgp-3BORFMSdkjFTDBIlK5hmN2iZTQs3WAP1B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XZBBeyn7zDkNgp-3BORFMSdkjFTDBIlK5hmN2iZTQs3WAP1B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D27" w:rsidRPr="00E55886" w:rsidRDefault="00701D27" w:rsidP="00701D27">
      <w:pPr>
        <w:pStyle w:val="ListParagraph"/>
        <w:rPr>
          <w:u w:val="single"/>
        </w:rPr>
      </w:pPr>
      <w:proofErr w:type="gramStart"/>
      <w:r w:rsidRPr="00E55886">
        <w:rPr>
          <w:u w:val="single"/>
        </w:rPr>
        <w:t>4G/CLASS 6.2/15/S/06</w:t>
      </w:r>
      <w:r w:rsidRPr="00E55886">
        <w:rPr>
          <w:u w:val="single"/>
        </w:rPr>
        <w:tab/>
      </w:r>
      <w:r w:rsidRPr="00E55886">
        <w:rPr>
          <w:u w:val="single"/>
        </w:rPr>
        <w:tab/>
        <w:t>as in 6.3.4.2 (a), (b), (c), (d) and (e)</w:t>
      </w:r>
      <w:proofErr w:type="gramEnd"/>
    </w:p>
    <w:p w:rsidR="00701D27" w:rsidRPr="00E55886" w:rsidRDefault="00701D27" w:rsidP="00701D27">
      <w:pPr>
        <w:pStyle w:val="ListParagraph"/>
        <w:spacing w:line="360" w:lineRule="auto"/>
        <w:rPr>
          <w:u w:val="single"/>
        </w:rPr>
      </w:pPr>
      <w:r w:rsidRPr="00E55886">
        <w:rPr>
          <w:u w:val="single"/>
        </w:rPr>
        <w:t>S/SP-9989-ERIKSSON</w:t>
      </w:r>
      <w:r w:rsidRPr="00E55886">
        <w:rPr>
          <w:u w:val="single"/>
        </w:rPr>
        <w:tab/>
      </w:r>
      <w:r w:rsidRPr="00E55886">
        <w:rPr>
          <w:u w:val="single"/>
        </w:rPr>
        <w:tab/>
        <w:t>as in 6.3.4.2 (g) and (h)</w:t>
      </w:r>
    </w:p>
    <w:p w:rsidR="00701D27" w:rsidRPr="00D81B1A" w:rsidRDefault="001927CD" w:rsidP="001927CD">
      <w:pPr>
        <w:pStyle w:val="SingleTxtG"/>
      </w:pPr>
      <w:r>
        <w:lastRenderedPageBreak/>
        <w:t>(e)</w:t>
      </w:r>
      <w:r>
        <w:tab/>
      </w:r>
      <w:r w:rsidR="00701D27">
        <w:t xml:space="preserve">6.3.5.1.6 g) would have the following amendment: "In addition to the marks prescribed in 6.3.4.2 (a) to </w:t>
      </w:r>
      <w:r w:rsidR="00701D27" w:rsidRPr="008C53DB">
        <w:rPr>
          <w:strike/>
        </w:rPr>
        <w:t>(f</w:t>
      </w:r>
      <w:proofErr w:type="gramStart"/>
      <w:r w:rsidR="00701D27" w:rsidRPr="008C53DB">
        <w:rPr>
          <w:strike/>
        </w:rPr>
        <w:t>)</w:t>
      </w:r>
      <w:r w:rsidR="00701D27">
        <w:rPr>
          <w:u w:val="single"/>
        </w:rPr>
        <w:t>(</w:t>
      </w:r>
      <w:proofErr w:type="gramEnd"/>
      <w:r w:rsidR="00701D27">
        <w:rPr>
          <w:u w:val="single"/>
        </w:rPr>
        <w:t>h</w:t>
      </w:r>
      <w:r w:rsidR="00701D27" w:rsidRPr="008C53DB">
        <w:rPr>
          <w:u w:val="single"/>
        </w:rPr>
        <w:t>)</w:t>
      </w:r>
      <w:r w:rsidR="00701D27" w:rsidRPr="008C53DB">
        <w:t>,</w:t>
      </w:r>
      <w:r w:rsidR="00701D27">
        <w:t xml:space="preserve"> </w:t>
      </w:r>
      <w:proofErr w:type="spellStart"/>
      <w:r w:rsidR="00701D27">
        <w:t>packagings</w:t>
      </w:r>
      <w:proofErr w:type="spellEnd"/>
      <w:r w:rsidR="00701D27">
        <w:t xml:space="preserve"> shall be marked in accordance with 6.3.4.2 </w:t>
      </w:r>
      <w:r w:rsidR="00701D27">
        <w:rPr>
          <w:strike/>
        </w:rPr>
        <w:t>(g</w:t>
      </w:r>
      <w:r w:rsidR="00701D27" w:rsidRPr="008C53DB">
        <w:rPr>
          <w:strike/>
        </w:rPr>
        <w:t>)</w:t>
      </w:r>
      <w:r w:rsidR="00701D27">
        <w:rPr>
          <w:u w:val="single"/>
        </w:rPr>
        <w:t>(</w:t>
      </w:r>
      <w:proofErr w:type="spellStart"/>
      <w:r w:rsidR="00701D27">
        <w:rPr>
          <w:u w:val="single"/>
        </w:rPr>
        <w:t>i</w:t>
      </w:r>
      <w:proofErr w:type="spellEnd"/>
      <w:r w:rsidR="00701D27" w:rsidRPr="008C53DB">
        <w:rPr>
          <w:u w:val="single"/>
        </w:rPr>
        <w:t>)</w:t>
      </w:r>
      <w:r w:rsidR="00701D27" w:rsidRPr="008C53DB">
        <w:t>."</w:t>
      </w:r>
    </w:p>
    <w:p w:rsidR="00701D27" w:rsidRPr="001927CD" w:rsidRDefault="001927CD" w:rsidP="001927CD">
      <w:pPr>
        <w:spacing w:before="240"/>
        <w:ind w:left="1134" w:right="1134"/>
        <w:jc w:val="center"/>
        <w:rPr>
          <w:u w:val="single"/>
        </w:rPr>
      </w:pPr>
      <w:r>
        <w:rPr>
          <w:u w:val="single"/>
        </w:rPr>
        <w:tab/>
      </w:r>
      <w:r>
        <w:rPr>
          <w:u w:val="single"/>
        </w:rPr>
        <w:tab/>
      </w:r>
      <w:r>
        <w:rPr>
          <w:u w:val="single"/>
        </w:rPr>
        <w:tab/>
      </w:r>
    </w:p>
    <w:sectPr w:rsidR="00701D27" w:rsidRPr="001927CD" w:rsidSect="00B564B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86" w:rsidRDefault="00D16F86"/>
  </w:endnote>
  <w:endnote w:type="continuationSeparator" w:id="0">
    <w:p w:rsidR="00D16F86" w:rsidRDefault="00D16F86"/>
  </w:endnote>
  <w:endnote w:type="continuationNotice" w:id="1">
    <w:p w:rsidR="00D16F86" w:rsidRDefault="00D16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E20232">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E20232">
      <w:rPr>
        <w:rStyle w:val="PageNumber"/>
        <w:noProof/>
      </w:rPr>
      <w:t>3</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774F86">
    <w:pPr>
      <w:pStyle w:val="Footer"/>
      <w:rPr>
        <w:sz w:val="20"/>
      </w:rPr>
    </w:pPr>
    <w:r>
      <w:rPr>
        <w:noProof/>
        <w:lang w:bidi="ar-SA"/>
      </w:rPr>
      <w:drawing>
        <wp:anchor distT="0" distB="0" distL="114300" distR="114300" simplePos="0" relativeHeight="251657728" behindDoc="0" locked="1" layoutInCell="1" allowOverlap="1" wp14:anchorId="112425EF" wp14:editId="32D00676">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86" w:rsidRPr="000B175B" w:rsidRDefault="00D16F86" w:rsidP="000B175B">
      <w:pPr>
        <w:tabs>
          <w:tab w:val="right" w:pos="2155"/>
        </w:tabs>
        <w:spacing w:after="80"/>
        <w:ind w:left="680"/>
        <w:rPr>
          <w:u w:val="single"/>
        </w:rPr>
      </w:pPr>
      <w:r>
        <w:rPr>
          <w:u w:val="single"/>
        </w:rPr>
        <w:tab/>
      </w:r>
    </w:p>
  </w:footnote>
  <w:footnote w:type="continuationSeparator" w:id="0">
    <w:p w:rsidR="00D16F86" w:rsidRPr="00FC68B7" w:rsidRDefault="00D16F86" w:rsidP="00FC68B7">
      <w:pPr>
        <w:tabs>
          <w:tab w:val="left" w:pos="2155"/>
        </w:tabs>
        <w:spacing w:after="80"/>
        <w:ind w:left="680"/>
        <w:rPr>
          <w:u w:val="single"/>
        </w:rPr>
      </w:pPr>
      <w:r>
        <w:rPr>
          <w:u w:val="single"/>
        </w:rPr>
        <w:tab/>
      </w:r>
    </w:p>
  </w:footnote>
  <w:footnote w:type="continuationNotice" w:id="1">
    <w:p w:rsidR="00D16F86" w:rsidRDefault="00D16F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3848C7">
    <w:pPr>
      <w:pStyle w:val="Header"/>
    </w:pPr>
    <w:r>
      <w:t>UN/SCETDG/48/INF.</w:t>
    </w:r>
    <w:r w:rsidR="00E20232">
      <w:t>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E20232" w:rsidP="00C935A3">
    <w:pPr>
      <w:pStyle w:val="Header"/>
      <w:jc w:val="right"/>
    </w:pPr>
    <w:r>
      <w:t>UN/SCETDG/48/INF.59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376F3E"/>
    <w:multiLevelType w:val="hybridMultilevel"/>
    <w:tmpl w:val="15DAADDE"/>
    <w:lvl w:ilvl="0" w:tplc="97B0B0FC">
      <w:start w:val="2"/>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21B6DE5"/>
    <w:multiLevelType w:val="hybridMultilevel"/>
    <w:tmpl w:val="4E626000"/>
    <w:lvl w:ilvl="0" w:tplc="B96CDBB6">
      <w:numFmt w:val="bullet"/>
      <w:lvlText w:val="-"/>
      <w:lvlJc w:val="left"/>
      <w:pPr>
        <w:ind w:left="2271" w:hanging="570"/>
      </w:pPr>
      <w:rPr>
        <w:rFonts w:ascii="Times New Roman" w:eastAsia="Malgun Gothic" w:hAnsi="Times New Roman" w:cs="Times New Roman" w:hint="default"/>
        <w:color w:val="FF000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39826AF0"/>
    <w:multiLevelType w:val="hybridMultilevel"/>
    <w:tmpl w:val="A3A46C02"/>
    <w:lvl w:ilvl="0" w:tplc="F3E4340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9">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30">
    <w:nsid w:val="583940C0"/>
    <w:multiLevelType w:val="hybridMultilevel"/>
    <w:tmpl w:val="AB00AD62"/>
    <w:lvl w:ilvl="0" w:tplc="627E0472">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7">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8">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9">
    <w:nsid w:val="70AC455C"/>
    <w:multiLevelType w:val="hybridMultilevel"/>
    <w:tmpl w:val="494C7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7"/>
  </w:num>
  <w:num w:numId="13">
    <w:abstractNumId w:val="11"/>
  </w:num>
  <w:num w:numId="14">
    <w:abstractNumId w:val="35"/>
  </w:num>
  <w:num w:numId="15">
    <w:abstractNumId w:val="40"/>
  </w:num>
  <w:num w:numId="16">
    <w:abstractNumId w:val="12"/>
  </w:num>
  <w:num w:numId="17">
    <w:abstractNumId w:val="16"/>
  </w:num>
  <w:num w:numId="18">
    <w:abstractNumId w:val="34"/>
  </w:num>
  <w:num w:numId="19">
    <w:abstractNumId w:val="20"/>
  </w:num>
  <w:num w:numId="20">
    <w:abstractNumId w:val="25"/>
  </w:num>
  <w:num w:numId="21">
    <w:abstractNumId w:val="41"/>
  </w:num>
  <w:num w:numId="22">
    <w:abstractNumId w:val="28"/>
  </w:num>
  <w:num w:numId="23">
    <w:abstractNumId w:val="29"/>
  </w:num>
  <w:num w:numId="24">
    <w:abstractNumId w:val="36"/>
  </w:num>
  <w:num w:numId="25">
    <w:abstractNumId w:val="27"/>
  </w:num>
  <w:num w:numId="26">
    <w:abstractNumId w:val="18"/>
  </w:num>
  <w:num w:numId="27">
    <w:abstractNumId w:val="21"/>
  </w:num>
  <w:num w:numId="28">
    <w:abstractNumId w:val="38"/>
  </w:num>
  <w:num w:numId="29">
    <w:abstractNumId w:val="31"/>
  </w:num>
  <w:num w:numId="30">
    <w:abstractNumId w:val="14"/>
  </w:num>
  <w:num w:numId="31">
    <w:abstractNumId w:val="37"/>
  </w:num>
  <w:num w:numId="32">
    <w:abstractNumId w:val="10"/>
  </w:num>
  <w:num w:numId="33">
    <w:abstractNumId w:val="22"/>
  </w:num>
  <w:num w:numId="34">
    <w:abstractNumId w:val="23"/>
  </w:num>
  <w:num w:numId="35">
    <w:abstractNumId w:val="15"/>
  </w:num>
  <w:num w:numId="36">
    <w:abstractNumId w:val="32"/>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24"/>
  </w:num>
  <w:num w:numId="41">
    <w:abstractNumId w:val="26"/>
  </w:num>
  <w:num w:numId="42">
    <w:abstractNumId w:val="39"/>
  </w:num>
  <w:num w:numId="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7CD"/>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7785"/>
    <w:rsid w:val="00240754"/>
    <w:rsid w:val="00241466"/>
    <w:rsid w:val="00242A98"/>
    <w:rsid w:val="00244E70"/>
    <w:rsid w:val="00245A08"/>
    <w:rsid w:val="00245B54"/>
    <w:rsid w:val="00246F4A"/>
    <w:rsid w:val="00247EE5"/>
    <w:rsid w:val="0025155F"/>
    <w:rsid w:val="0025156D"/>
    <w:rsid w:val="002518E0"/>
    <w:rsid w:val="00254272"/>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2A7"/>
    <w:rsid w:val="0045741A"/>
    <w:rsid w:val="00462CDF"/>
    <w:rsid w:val="00464231"/>
    <w:rsid w:val="00465DDC"/>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66DD"/>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301D"/>
    <w:rsid w:val="00604818"/>
    <w:rsid w:val="00605976"/>
    <w:rsid w:val="0060610F"/>
    <w:rsid w:val="00606AA1"/>
    <w:rsid w:val="00607D0D"/>
    <w:rsid w:val="00610E3B"/>
    <w:rsid w:val="006112BD"/>
    <w:rsid w:val="00611E6B"/>
    <w:rsid w:val="00611FC4"/>
    <w:rsid w:val="00614335"/>
    <w:rsid w:val="006147BE"/>
    <w:rsid w:val="0061612A"/>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D27"/>
    <w:rsid w:val="00701E16"/>
    <w:rsid w:val="0070351E"/>
    <w:rsid w:val="00703C61"/>
    <w:rsid w:val="00704A68"/>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2B6"/>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24C6"/>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6A93"/>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3FA"/>
    <w:rsid w:val="009F25D1"/>
    <w:rsid w:val="009F336F"/>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B0F"/>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A7FA5"/>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6D8"/>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1A5"/>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389"/>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3C2"/>
    <w:rsid w:val="00CF0FD3"/>
    <w:rsid w:val="00CF2EED"/>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6F86"/>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0232"/>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0FD"/>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4E5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no/url?sa=i&amp;rct=j&amp;q=&amp;esrc=s&amp;source=images&amp;cd=&amp;cad=rja&amp;uact=8&amp;ved=&amp;url=http://products.tradeindia.com/business-services/packaging-printing-service/&amp;ei=qlWuVYewKefcywPNiICADg&amp;bvm=bv.98197061,d.bGQ&amp;psig=AFQjCNGyRffHv-MP9Vw29yJFh_IAECrqoQ&amp;ust=143757495525798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C5B3E-8FC3-4AD2-AB32-EAEF6940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963</Words>
  <Characters>5495</Characters>
  <Application>Microsoft Office Word</Application>
  <DocSecurity>0</DocSecurity>
  <Lines>45</Lines>
  <Paragraphs>12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2015-12-03T07:27:00Z</cp:lastPrinted>
  <dcterms:created xsi:type="dcterms:W3CDTF">2015-12-03T07:15:00Z</dcterms:created>
  <dcterms:modified xsi:type="dcterms:W3CDTF">2015-12-03T07:56:00Z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