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D4C0B" w:rsidRPr="00B12661" w:rsidTr="00CF376E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D4C0B" w:rsidRPr="00B12661" w:rsidRDefault="00ED4C0B" w:rsidP="00F21366">
            <w:pPr>
              <w:jc w:val="right"/>
              <w:rPr>
                <w:b/>
                <w:sz w:val="40"/>
                <w:szCs w:val="40"/>
                <w:lang w:val="fr-CA"/>
              </w:rPr>
            </w:pPr>
            <w:r w:rsidRPr="00B12661">
              <w:rPr>
                <w:b/>
                <w:sz w:val="40"/>
                <w:szCs w:val="40"/>
                <w:lang w:val="fr-CA"/>
              </w:rPr>
              <w:t>UN/SCETDG/4</w:t>
            </w:r>
            <w:r w:rsidR="00BE565D" w:rsidRPr="00B12661">
              <w:rPr>
                <w:b/>
                <w:sz w:val="40"/>
                <w:szCs w:val="40"/>
                <w:lang w:val="fr-CA"/>
              </w:rPr>
              <w:t>8</w:t>
            </w:r>
            <w:r w:rsidRPr="00B12661">
              <w:rPr>
                <w:b/>
                <w:sz w:val="40"/>
                <w:szCs w:val="40"/>
                <w:lang w:val="fr-CA"/>
              </w:rPr>
              <w:t>/INF.</w:t>
            </w:r>
            <w:r w:rsidR="00DD1333">
              <w:rPr>
                <w:b/>
                <w:sz w:val="40"/>
                <w:szCs w:val="40"/>
                <w:lang w:val="fr-CA"/>
              </w:rPr>
              <w:t xml:space="preserve">49 </w:t>
            </w:r>
          </w:p>
        </w:tc>
      </w:tr>
      <w:tr w:rsidR="00ED4C0B" w:rsidRPr="00B12661" w:rsidTr="00CF376E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A334E4" w:rsidRPr="00DD1333" w:rsidRDefault="00A334E4" w:rsidP="00A334E4">
            <w:pPr>
              <w:spacing w:before="120"/>
              <w:rPr>
                <w:b/>
                <w:sz w:val="24"/>
                <w:szCs w:val="24"/>
                <w:lang w:val="fr-CA"/>
              </w:rPr>
            </w:pPr>
            <w:r w:rsidRPr="00DD1333">
              <w:rPr>
                <w:b/>
                <w:sz w:val="24"/>
                <w:szCs w:val="24"/>
                <w:lang w:val="fr-CA"/>
              </w:rPr>
              <w:t>Comité d’experts du transport des marchandises dangereuses et du système général harmonisé de classification et d'étiquetage des produits chimiques</w:t>
            </w:r>
          </w:p>
          <w:p w:rsidR="00ED4C0B" w:rsidRPr="00B12661" w:rsidRDefault="00A334E4" w:rsidP="00740FD7">
            <w:pPr>
              <w:tabs>
                <w:tab w:val="left" w:pos="7920"/>
              </w:tabs>
              <w:spacing w:before="120"/>
              <w:rPr>
                <w:b/>
                <w:lang w:val="fr-CA"/>
              </w:rPr>
            </w:pPr>
            <w:r w:rsidRPr="00B12661">
              <w:rPr>
                <w:b/>
                <w:lang w:val="fr-CA"/>
              </w:rPr>
              <w:t xml:space="preserve">Sous-comité d’experts du transport des marchandises dangereuses </w:t>
            </w:r>
            <w:r w:rsidR="00ED4C0B" w:rsidRPr="00B12661">
              <w:rPr>
                <w:b/>
                <w:lang w:val="fr-CA"/>
              </w:rPr>
              <w:tab/>
            </w:r>
            <w:r w:rsidR="00DD1333">
              <w:rPr>
                <w:b/>
                <w:lang w:val="fr-CA"/>
              </w:rPr>
              <w:t>27</w:t>
            </w:r>
            <w:r w:rsidRPr="00B12661">
              <w:rPr>
                <w:b/>
                <w:lang w:val="fr-CA"/>
              </w:rPr>
              <w:t xml:space="preserve"> n</w:t>
            </w:r>
            <w:r w:rsidR="00BE565D" w:rsidRPr="00B12661">
              <w:rPr>
                <w:b/>
                <w:lang w:val="fr-CA"/>
              </w:rPr>
              <w:t>ovemb</w:t>
            </w:r>
            <w:r w:rsidRPr="00B12661">
              <w:rPr>
                <w:b/>
                <w:lang w:val="fr-CA"/>
              </w:rPr>
              <w:t>r</w:t>
            </w:r>
            <w:r w:rsidR="00BE565D" w:rsidRPr="00B12661">
              <w:rPr>
                <w:b/>
                <w:lang w:val="fr-CA"/>
              </w:rPr>
              <w:t>e</w:t>
            </w:r>
            <w:r w:rsidR="00314BF3" w:rsidRPr="00B12661">
              <w:rPr>
                <w:b/>
                <w:lang w:val="fr-CA"/>
              </w:rPr>
              <w:t xml:space="preserve"> </w:t>
            </w:r>
            <w:r w:rsidR="00ED4C0B" w:rsidRPr="00B12661">
              <w:rPr>
                <w:b/>
                <w:lang w:val="fr-CA"/>
              </w:rPr>
              <w:t>201</w:t>
            </w:r>
            <w:r w:rsidR="00520847" w:rsidRPr="00B12661">
              <w:rPr>
                <w:b/>
                <w:lang w:val="fr-CA"/>
              </w:rPr>
              <w:t>5</w:t>
            </w:r>
          </w:p>
          <w:p w:rsidR="00C70165" w:rsidRDefault="00C70165" w:rsidP="00CF376E">
            <w:pPr>
              <w:rPr>
                <w:b/>
                <w:lang w:val="fr-CA"/>
              </w:rPr>
            </w:pPr>
          </w:p>
          <w:p w:rsidR="00A334E4" w:rsidRPr="00B12661" w:rsidRDefault="00A334E4" w:rsidP="00CF376E">
            <w:pPr>
              <w:rPr>
                <w:lang w:val="fr-CA"/>
              </w:rPr>
            </w:pPr>
            <w:r w:rsidRPr="00B12661">
              <w:rPr>
                <w:b/>
                <w:lang w:val="fr-CA"/>
              </w:rPr>
              <w:t>Quarante-huitième session</w:t>
            </w:r>
            <w:r w:rsidRPr="00B12661">
              <w:rPr>
                <w:lang w:val="fr-CA"/>
              </w:rPr>
              <w:t xml:space="preserve"> </w:t>
            </w:r>
          </w:p>
          <w:p w:rsidR="00A334E4" w:rsidRPr="00B12661" w:rsidRDefault="00A334E4" w:rsidP="00A334E4">
            <w:pPr>
              <w:ind w:right="57"/>
              <w:rPr>
                <w:lang w:val="fr-CA"/>
              </w:rPr>
            </w:pPr>
            <w:r w:rsidRPr="00B12661">
              <w:rPr>
                <w:lang w:val="fr-CA"/>
              </w:rPr>
              <w:t>Genève, du 30 novembre au 9 décembre 2015</w:t>
            </w:r>
          </w:p>
          <w:p w:rsidR="00A334E4" w:rsidRPr="00B12661" w:rsidRDefault="00A334E4" w:rsidP="00A334E4">
            <w:pPr>
              <w:ind w:right="57"/>
              <w:rPr>
                <w:lang w:val="fr-CA"/>
              </w:rPr>
            </w:pPr>
            <w:r w:rsidRPr="00B12661">
              <w:rPr>
                <w:lang w:val="fr-CA"/>
              </w:rPr>
              <w:t>Point 5 (b) de l’ordre du jour provisoire</w:t>
            </w:r>
          </w:p>
          <w:p w:rsidR="00ED4C0B" w:rsidRPr="00B12661" w:rsidRDefault="00520847" w:rsidP="00C70165">
            <w:pPr>
              <w:rPr>
                <w:b/>
                <w:lang w:val="fr-CA"/>
              </w:rPr>
            </w:pPr>
            <w:r w:rsidRPr="00B12661">
              <w:rPr>
                <w:b/>
                <w:lang w:val="fr-CA"/>
              </w:rPr>
              <w:t xml:space="preserve">Transport </w:t>
            </w:r>
            <w:r w:rsidR="00A334E4" w:rsidRPr="00B12661">
              <w:rPr>
                <w:b/>
                <w:lang w:val="fr-CA"/>
              </w:rPr>
              <w:t>de gaz </w:t>
            </w:r>
            <w:r w:rsidR="006861C4" w:rsidRPr="00B12661">
              <w:rPr>
                <w:b/>
                <w:lang w:val="fr-CA"/>
              </w:rPr>
              <w:t>:</w:t>
            </w:r>
            <w:r w:rsidR="00703F37" w:rsidRPr="00B12661">
              <w:rPr>
                <w:b/>
                <w:lang w:val="fr-CA"/>
              </w:rPr>
              <w:t xml:space="preserve"> </w:t>
            </w:r>
            <w:r w:rsidR="00A334E4" w:rsidRPr="00B12661">
              <w:rPr>
                <w:b/>
                <w:lang w:val="fr-CA"/>
              </w:rPr>
              <w:t>divers</w:t>
            </w:r>
            <w:r w:rsidR="00CB1195">
              <w:rPr>
                <w:b/>
                <w:lang w:val="fr-CA"/>
              </w:rPr>
              <w:t xml:space="preserve"> </w:t>
            </w:r>
          </w:p>
        </w:tc>
      </w:tr>
    </w:tbl>
    <w:p w:rsidR="006861C4" w:rsidRPr="00B12661" w:rsidRDefault="006861C4" w:rsidP="006861C4">
      <w:pPr>
        <w:pStyle w:val="HChG"/>
        <w:rPr>
          <w:lang w:val="fr-CA"/>
        </w:rPr>
      </w:pPr>
      <w:r w:rsidRPr="00B12661">
        <w:rPr>
          <w:lang w:val="fr-CA"/>
        </w:rPr>
        <w:tab/>
      </w:r>
      <w:r w:rsidRPr="00B12661">
        <w:rPr>
          <w:lang w:val="fr-CA"/>
        </w:rPr>
        <w:tab/>
      </w:r>
      <w:r w:rsidR="00B62775" w:rsidRPr="00B12661">
        <w:rPr>
          <w:lang w:val="fr-CA"/>
        </w:rPr>
        <w:t>Comment</w:t>
      </w:r>
      <w:r w:rsidR="00A334E4" w:rsidRPr="00B12661">
        <w:rPr>
          <w:lang w:val="fr-CA"/>
        </w:rPr>
        <w:t xml:space="preserve">aires </w:t>
      </w:r>
      <w:r w:rsidR="00A17623">
        <w:rPr>
          <w:lang w:val="fr-CA"/>
        </w:rPr>
        <w:t>pour</w:t>
      </w:r>
      <w:r w:rsidR="00A334E4" w:rsidRPr="00B12661">
        <w:rPr>
          <w:lang w:val="fr-CA"/>
        </w:rPr>
        <w:t xml:space="preserve"> le document </w:t>
      </w:r>
      <w:r w:rsidR="00111B27" w:rsidRPr="00B12661">
        <w:rPr>
          <w:lang w:val="fr-CA" w:eastAsia="ja-JP"/>
        </w:rPr>
        <w:t>ST/SG/AC.10/C.3/201</w:t>
      </w:r>
      <w:r w:rsidR="00520847" w:rsidRPr="00B12661">
        <w:rPr>
          <w:lang w:val="fr-CA" w:eastAsia="ja-JP"/>
        </w:rPr>
        <w:t>5</w:t>
      </w:r>
      <w:r w:rsidR="00111B27" w:rsidRPr="00B12661">
        <w:rPr>
          <w:lang w:val="fr-CA" w:eastAsia="ja-JP"/>
        </w:rPr>
        <w:t>/</w:t>
      </w:r>
      <w:r w:rsidR="00BE565D" w:rsidRPr="00B12661">
        <w:rPr>
          <w:lang w:val="fr-CA" w:eastAsia="ja-JP"/>
        </w:rPr>
        <w:t>3</w:t>
      </w:r>
      <w:r w:rsidR="00520847" w:rsidRPr="00B12661">
        <w:rPr>
          <w:lang w:val="fr-CA" w:eastAsia="ja-JP"/>
        </w:rPr>
        <w:t>9</w:t>
      </w:r>
      <w:r w:rsidR="00111B27" w:rsidRPr="00B12661">
        <w:rPr>
          <w:lang w:val="fr-CA" w:eastAsia="ja-JP"/>
        </w:rPr>
        <w:t xml:space="preserve"> </w:t>
      </w:r>
      <w:r w:rsidR="00B62775" w:rsidRPr="00B12661">
        <w:rPr>
          <w:lang w:val="fr-CA" w:eastAsia="ja-JP"/>
        </w:rPr>
        <w:t xml:space="preserve">– </w:t>
      </w:r>
      <w:r w:rsidR="00520847" w:rsidRPr="00B12661">
        <w:rPr>
          <w:lang w:val="fr-CA" w:eastAsia="ja-JP"/>
        </w:rPr>
        <w:t xml:space="preserve">Insertion </w:t>
      </w:r>
      <w:r w:rsidR="00A334E4" w:rsidRPr="00B12661">
        <w:rPr>
          <w:lang w:val="fr-CA" w:eastAsia="ja-JP"/>
        </w:rPr>
        <w:t>de normes ISO (nouvelles et révisées) dans</w:t>
      </w:r>
      <w:r w:rsidR="00520847" w:rsidRPr="00B12661">
        <w:rPr>
          <w:lang w:val="fr-CA" w:eastAsia="ja-JP"/>
        </w:rPr>
        <w:t xml:space="preserve"> </w:t>
      </w:r>
      <w:r w:rsidR="00A334E4" w:rsidRPr="00B12661">
        <w:rPr>
          <w:lang w:val="fr-CA" w:eastAsia="ja-JP"/>
        </w:rPr>
        <w:t xml:space="preserve">le paragraphe </w:t>
      </w:r>
      <w:r w:rsidR="00520847" w:rsidRPr="00B12661">
        <w:rPr>
          <w:lang w:val="fr-CA" w:eastAsia="ja-JP"/>
        </w:rPr>
        <w:t>6.2.2</w:t>
      </w:r>
      <w:r w:rsidRPr="00B12661">
        <w:rPr>
          <w:lang w:val="fr-CA"/>
        </w:rPr>
        <w:t xml:space="preserve"> </w:t>
      </w:r>
    </w:p>
    <w:p w:rsidR="00F6717A" w:rsidRPr="00B12661" w:rsidRDefault="006861C4" w:rsidP="00DD1333">
      <w:pPr>
        <w:pStyle w:val="H1G"/>
        <w:spacing w:before="240" w:after="120"/>
        <w:rPr>
          <w:lang w:val="fr-CA"/>
        </w:rPr>
      </w:pPr>
      <w:r w:rsidRPr="00B12661">
        <w:rPr>
          <w:lang w:val="fr-CA"/>
        </w:rPr>
        <w:tab/>
      </w:r>
      <w:r w:rsidRPr="00B12661">
        <w:rPr>
          <w:lang w:val="fr-CA"/>
        </w:rPr>
        <w:tab/>
      </w:r>
      <w:r w:rsidR="00A334E4" w:rsidRPr="00B12661">
        <w:rPr>
          <w:lang w:val="fr-CA"/>
        </w:rPr>
        <w:t>Communication de l’expert du</w:t>
      </w:r>
      <w:r w:rsidR="00BE565D" w:rsidRPr="00B12661">
        <w:rPr>
          <w:lang w:val="fr-CA"/>
        </w:rPr>
        <w:t xml:space="preserve"> Canada</w:t>
      </w:r>
    </w:p>
    <w:p w:rsidR="006861C4" w:rsidRPr="00B12661" w:rsidRDefault="006861C4" w:rsidP="00DD1333">
      <w:pPr>
        <w:pStyle w:val="HChG"/>
        <w:spacing w:before="240" w:after="120"/>
        <w:rPr>
          <w:lang w:val="fr-CA"/>
        </w:rPr>
      </w:pPr>
      <w:r w:rsidRPr="00B12661">
        <w:rPr>
          <w:lang w:val="fr-CA"/>
        </w:rPr>
        <w:tab/>
      </w:r>
      <w:r w:rsidRPr="00B12661">
        <w:rPr>
          <w:lang w:val="fr-CA"/>
        </w:rPr>
        <w:tab/>
        <w:t>Introduction</w:t>
      </w:r>
    </w:p>
    <w:p w:rsidR="00BD790F" w:rsidRPr="00B12661" w:rsidRDefault="006861C4" w:rsidP="006861C4">
      <w:pPr>
        <w:pStyle w:val="SingleTxtG"/>
        <w:rPr>
          <w:lang w:val="fr-CA"/>
        </w:rPr>
      </w:pPr>
      <w:r w:rsidRPr="00B12661">
        <w:rPr>
          <w:lang w:val="fr-CA"/>
        </w:rPr>
        <w:t>1.</w:t>
      </w:r>
      <w:r w:rsidRPr="00B12661">
        <w:rPr>
          <w:lang w:val="fr-CA"/>
        </w:rPr>
        <w:tab/>
      </w:r>
      <w:r w:rsidR="00A334E4" w:rsidRPr="00B12661">
        <w:rPr>
          <w:lang w:val="fr-CA"/>
        </w:rPr>
        <w:t>Dans le document</w:t>
      </w:r>
      <w:r w:rsidR="0058720B" w:rsidRPr="00B12661">
        <w:rPr>
          <w:lang w:val="fr-CA"/>
        </w:rPr>
        <w:t xml:space="preserve"> </w:t>
      </w:r>
      <w:r w:rsidR="0042123B" w:rsidRPr="00B12661">
        <w:rPr>
          <w:lang w:val="fr-CA"/>
        </w:rPr>
        <w:t>ST/SG/AC.10/C.3/201</w:t>
      </w:r>
      <w:r w:rsidR="00D72550" w:rsidRPr="00B12661">
        <w:rPr>
          <w:lang w:val="fr-CA"/>
        </w:rPr>
        <w:t>5</w:t>
      </w:r>
      <w:r w:rsidR="0042123B" w:rsidRPr="00B12661">
        <w:rPr>
          <w:lang w:val="fr-CA"/>
        </w:rPr>
        <w:t>/</w:t>
      </w:r>
      <w:r w:rsidR="00BE565D" w:rsidRPr="00B12661">
        <w:rPr>
          <w:lang w:val="fr-CA"/>
        </w:rPr>
        <w:t>3</w:t>
      </w:r>
      <w:r w:rsidR="00D72550" w:rsidRPr="00B12661">
        <w:rPr>
          <w:lang w:val="fr-CA"/>
        </w:rPr>
        <w:t>9</w:t>
      </w:r>
      <w:r w:rsidR="0058720B" w:rsidRPr="00B12661">
        <w:rPr>
          <w:lang w:val="fr-CA"/>
        </w:rPr>
        <w:t xml:space="preserve">, </w:t>
      </w:r>
      <w:r w:rsidR="00A334E4" w:rsidRPr="00B12661">
        <w:rPr>
          <w:lang w:val="fr-CA"/>
        </w:rPr>
        <w:t>l’Organisation i</w:t>
      </w:r>
      <w:r w:rsidR="00D56680" w:rsidRPr="00B12661">
        <w:rPr>
          <w:lang w:val="fr-CA"/>
        </w:rPr>
        <w:t>nternational</w:t>
      </w:r>
      <w:r w:rsidR="00A334E4" w:rsidRPr="00B12661">
        <w:rPr>
          <w:lang w:val="fr-CA"/>
        </w:rPr>
        <w:t>e de normalisation</w:t>
      </w:r>
      <w:r w:rsidR="00D56680" w:rsidRPr="00B12661">
        <w:rPr>
          <w:lang w:val="fr-CA"/>
        </w:rPr>
        <w:t xml:space="preserve"> (ISO)</w:t>
      </w:r>
      <w:r w:rsidR="0058720B" w:rsidRPr="00B12661">
        <w:rPr>
          <w:lang w:val="fr-CA"/>
        </w:rPr>
        <w:t xml:space="preserve"> propos</w:t>
      </w:r>
      <w:r w:rsidR="00A334E4" w:rsidRPr="00B12661">
        <w:rPr>
          <w:lang w:val="fr-CA"/>
        </w:rPr>
        <w:t xml:space="preserve">e </w:t>
      </w:r>
      <w:r w:rsidR="00C70165">
        <w:rPr>
          <w:lang w:val="fr-CA"/>
        </w:rPr>
        <w:t>d’ajouter</w:t>
      </w:r>
      <w:r w:rsidR="00A334E4" w:rsidRPr="00B12661">
        <w:rPr>
          <w:lang w:val="fr-CA"/>
        </w:rPr>
        <w:t xml:space="preserve"> deux normes ISO révisées </w:t>
      </w:r>
      <w:r w:rsidR="00C70165">
        <w:rPr>
          <w:lang w:val="fr-CA"/>
        </w:rPr>
        <w:t xml:space="preserve">et </w:t>
      </w:r>
      <w:r w:rsidR="00A334E4" w:rsidRPr="00B12661">
        <w:rPr>
          <w:lang w:val="fr-CA"/>
        </w:rPr>
        <w:t>une nouvelle norme ISO dans le paragraphe </w:t>
      </w:r>
      <w:r w:rsidR="002E0B84" w:rsidRPr="00B12661">
        <w:rPr>
          <w:lang w:val="fr-CA"/>
        </w:rPr>
        <w:t xml:space="preserve">6.2.2 </w:t>
      </w:r>
      <w:r w:rsidR="00A334E4" w:rsidRPr="00B12661">
        <w:rPr>
          <w:lang w:val="fr-CA"/>
        </w:rPr>
        <w:t xml:space="preserve">du Règlement </w:t>
      </w:r>
      <w:r w:rsidR="00891681">
        <w:rPr>
          <w:lang w:val="fr-CA"/>
        </w:rPr>
        <w:t>type</w:t>
      </w:r>
      <w:r w:rsidR="00BD790F" w:rsidRPr="00B12661">
        <w:rPr>
          <w:lang w:val="fr-CA"/>
        </w:rPr>
        <w:t>.</w:t>
      </w:r>
    </w:p>
    <w:p w:rsidR="008F16EF" w:rsidRPr="00B12661" w:rsidRDefault="008F16EF" w:rsidP="008F16EF">
      <w:pPr>
        <w:pStyle w:val="SingleTxtG"/>
        <w:rPr>
          <w:lang w:val="fr-CA"/>
        </w:rPr>
      </w:pPr>
      <w:r w:rsidRPr="00B12661">
        <w:rPr>
          <w:lang w:val="fr-CA"/>
        </w:rPr>
        <w:t>2.</w:t>
      </w:r>
      <w:r w:rsidRPr="00B12661">
        <w:rPr>
          <w:lang w:val="fr-CA"/>
        </w:rPr>
        <w:tab/>
      </w:r>
      <w:r w:rsidR="008F5E8F" w:rsidRPr="00B12661">
        <w:rPr>
          <w:lang w:val="fr-CA"/>
        </w:rPr>
        <w:t xml:space="preserve">Le </w:t>
      </w:r>
      <w:r w:rsidR="00BE565D" w:rsidRPr="00B12661">
        <w:rPr>
          <w:lang w:val="fr-CA"/>
        </w:rPr>
        <w:t>Canada</w:t>
      </w:r>
      <w:r w:rsidRPr="00B12661">
        <w:rPr>
          <w:lang w:val="fr-CA"/>
        </w:rPr>
        <w:t xml:space="preserve"> </w:t>
      </w:r>
      <w:r w:rsidR="008F5E8F" w:rsidRPr="00B12661">
        <w:rPr>
          <w:lang w:val="fr-CA"/>
        </w:rPr>
        <w:t>appuie la</w:t>
      </w:r>
      <w:r w:rsidRPr="00B12661">
        <w:rPr>
          <w:lang w:val="fr-CA"/>
        </w:rPr>
        <w:t xml:space="preserve"> propos</w:t>
      </w:r>
      <w:r w:rsidR="008F5E8F" w:rsidRPr="00B12661">
        <w:rPr>
          <w:lang w:val="fr-CA"/>
        </w:rPr>
        <w:t>ition</w:t>
      </w:r>
      <w:r w:rsidRPr="00B12661">
        <w:rPr>
          <w:lang w:val="fr-CA"/>
        </w:rPr>
        <w:t xml:space="preserve"> </w:t>
      </w:r>
      <w:r w:rsidR="00C70165">
        <w:rPr>
          <w:lang w:val="fr-CA"/>
        </w:rPr>
        <w:t xml:space="preserve">de modification </w:t>
      </w:r>
      <w:r w:rsidRPr="00B12661">
        <w:rPr>
          <w:lang w:val="fr-CA"/>
        </w:rPr>
        <w:t xml:space="preserve">1 </w:t>
      </w:r>
      <w:r w:rsidR="00B62BC0">
        <w:rPr>
          <w:lang w:val="fr-CA"/>
        </w:rPr>
        <w:t xml:space="preserve">énoncée </w:t>
      </w:r>
      <w:r w:rsidR="008F5E8F" w:rsidRPr="00B12661">
        <w:rPr>
          <w:lang w:val="fr-CA"/>
        </w:rPr>
        <w:t>dans le document</w:t>
      </w:r>
      <w:r w:rsidRPr="00B12661">
        <w:rPr>
          <w:lang w:val="fr-CA"/>
        </w:rPr>
        <w:t xml:space="preserve"> ST/SG/AC.10/C.3/201</w:t>
      </w:r>
      <w:r w:rsidR="00361486" w:rsidRPr="00B12661">
        <w:rPr>
          <w:lang w:val="fr-CA"/>
        </w:rPr>
        <w:t>5</w:t>
      </w:r>
      <w:r w:rsidRPr="00B12661">
        <w:rPr>
          <w:lang w:val="fr-CA"/>
        </w:rPr>
        <w:t>/</w:t>
      </w:r>
      <w:r w:rsidR="00BE565D" w:rsidRPr="00B12661">
        <w:rPr>
          <w:lang w:val="fr-CA"/>
        </w:rPr>
        <w:t>3</w:t>
      </w:r>
      <w:r w:rsidR="00361486" w:rsidRPr="00B12661">
        <w:rPr>
          <w:lang w:val="fr-CA"/>
        </w:rPr>
        <w:t>9</w:t>
      </w:r>
      <w:r w:rsidRPr="00B12661">
        <w:rPr>
          <w:lang w:val="fr-CA"/>
        </w:rPr>
        <w:t xml:space="preserve">, </w:t>
      </w:r>
      <w:r w:rsidR="008F5E8F" w:rsidRPr="00B12661">
        <w:rPr>
          <w:lang w:val="fr-CA"/>
        </w:rPr>
        <w:t xml:space="preserve">pour </w:t>
      </w:r>
      <w:r w:rsidR="00C70165">
        <w:rPr>
          <w:lang w:val="fr-CA"/>
        </w:rPr>
        <w:t>insérer</w:t>
      </w:r>
      <w:r w:rsidR="008F5E8F" w:rsidRPr="00B12661">
        <w:rPr>
          <w:lang w:val="fr-CA"/>
        </w:rPr>
        <w:t xml:space="preserve"> la norme</w:t>
      </w:r>
      <w:r w:rsidR="00FA6195" w:rsidRPr="00B12661">
        <w:rPr>
          <w:lang w:val="fr-CA"/>
        </w:rPr>
        <w:t xml:space="preserve"> ISO 11118:1999 </w:t>
      </w:r>
      <w:r w:rsidR="008F5E8F" w:rsidRPr="00B12661">
        <w:rPr>
          <w:lang w:val="fr-CA"/>
        </w:rPr>
        <w:t>et pour ajouter une nouvelle rangée pour la norme</w:t>
      </w:r>
      <w:r w:rsidR="00FA6195" w:rsidRPr="00B12661">
        <w:rPr>
          <w:lang w:val="fr-CA"/>
        </w:rPr>
        <w:t xml:space="preserve"> </w:t>
      </w:r>
      <w:r w:rsidRPr="00B12661">
        <w:rPr>
          <w:lang w:val="fr-CA"/>
        </w:rPr>
        <w:t xml:space="preserve">ISO </w:t>
      </w:r>
      <w:r w:rsidR="00BE565D" w:rsidRPr="00B12661">
        <w:rPr>
          <w:lang w:val="fr-CA"/>
        </w:rPr>
        <w:t>11118</w:t>
      </w:r>
      <w:r w:rsidRPr="00B12661">
        <w:rPr>
          <w:lang w:val="fr-CA"/>
        </w:rPr>
        <w:t>:</w:t>
      </w:r>
      <w:r w:rsidR="00361486" w:rsidRPr="00B12661">
        <w:rPr>
          <w:lang w:val="fr-CA"/>
        </w:rPr>
        <w:t>201</w:t>
      </w:r>
      <w:r w:rsidR="00BE565D" w:rsidRPr="00B12661">
        <w:rPr>
          <w:lang w:val="fr-CA"/>
        </w:rPr>
        <w:t>5</w:t>
      </w:r>
      <w:r w:rsidR="00361486" w:rsidRPr="00B12661">
        <w:rPr>
          <w:lang w:val="fr-CA"/>
        </w:rPr>
        <w:t xml:space="preserve"> </w:t>
      </w:r>
      <w:r w:rsidR="008F5E8F" w:rsidRPr="00B12661">
        <w:rPr>
          <w:lang w:val="fr-CA"/>
        </w:rPr>
        <w:t>dans le tableau du point</w:t>
      </w:r>
      <w:r w:rsidR="00992928" w:rsidRPr="00B12661">
        <w:rPr>
          <w:lang w:val="fr-CA"/>
        </w:rPr>
        <w:t xml:space="preserve"> </w:t>
      </w:r>
      <w:r w:rsidR="00361486" w:rsidRPr="00B12661">
        <w:rPr>
          <w:lang w:val="fr-CA"/>
        </w:rPr>
        <w:t>6.2.2.</w:t>
      </w:r>
      <w:r w:rsidR="00FA6195" w:rsidRPr="00B12661">
        <w:rPr>
          <w:lang w:val="fr-CA"/>
        </w:rPr>
        <w:t>1.1</w:t>
      </w:r>
      <w:r w:rsidRPr="00B12661">
        <w:rPr>
          <w:lang w:val="fr-CA"/>
        </w:rPr>
        <w:t>.</w:t>
      </w:r>
    </w:p>
    <w:p w:rsidR="008F16EF" w:rsidRPr="00B12661" w:rsidRDefault="008F16EF" w:rsidP="008F16EF">
      <w:pPr>
        <w:pStyle w:val="SingleTxtG"/>
        <w:rPr>
          <w:lang w:val="fr-CA"/>
        </w:rPr>
      </w:pPr>
      <w:r w:rsidRPr="00B12661">
        <w:rPr>
          <w:lang w:val="fr-CA"/>
        </w:rPr>
        <w:t>3.</w:t>
      </w:r>
      <w:r w:rsidRPr="00B12661">
        <w:rPr>
          <w:lang w:val="fr-CA"/>
        </w:rPr>
        <w:tab/>
      </w:r>
      <w:r w:rsidR="008F5E8F" w:rsidRPr="00B12661">
        <w:rPr>
          <w:lang w:val="fr-CA"/>
        </w:rPr>
        <w:t xml:space="preserve">Le Canada appuie la proposition </w:t>
      </w:r>
      <w:r w:rsidR="00C70165">
        <w:rPr>
          <w:lang w:val="fr-CA"/>
        </w:rPr>
        <w:t xml:space="preserve">de modification </w:t>
      </w:r>
      <w:r w:rsidR="00BE565D" w:rsidRPr="00B12661">
        <w:rPr>
          <w:lang w:val="fr-CA"/>
        </w:rPr>
        <w:t>2</w:t>
      </w:r>
      <w:r w:rsidRPr="00B12661">
        <w:rPr>
          <w:lang w:val="fr-CA"/>
        </w:rPr>
        <w:t xml:space="preserve"> </w:t>
      </w:r>
      <w:r w:rsidR="00B62BC0">
        <w:rPr>
          <w:lang w:val="fr-CA"/>
        </w:rPr>
        <w:t xml:space="preserve">énoncée </w:t>
      </w:r>
      <w:r w:rsidR="008F5E8F" w:rsidRPr="00B12661">
        <w:rPr>
          <w:lang w:val="fr-CA"/>
        </w:rPr>
        <w:t xml:space="preserve">dans le document </w:t>
      </w:r>
      <w:r w:rsidRPr="00B12661">
        <w:rPr>
          <w:lang w:val="fr-CA"/>
        </w:rPr>
        <w:t>ST/SG/AC.10/C.3/201</w:t>
      </w:r>
      <w:r w:rsidR="00CF060E" w:rsidRPr="00B12661">
        <w:rPr>
          <w:lang w:val="fr-CA"/>
        </w:rPr>
        <w:t>5</w:t>
      </w:r>
      <w:r w:rsidRPr="00B12661">
        <w:rPr>
          <w:lang w:val="fr-CA"/>
        </w:rPr>
        <w:t>/</w:t>
      </w:r>
      <w:r w:rsidR="00BE565D" w:rsidRPr="00B12661">
        <w:rPr>
          <w:lang w:val="fr-CA"/>
        </w:rPr>
        <w:t>3</w:t>
      </w:r>
      <w:r w:rsidR="00CF060E" w:rsidRPr="00B12661">
        <w:rPr>
          <w:lang w:val="fr-CA"/>
        </w:rPr>
        <w:t>9</w:t>
      </w:r>
      <w:r w:rsidRPr="00B12661">
        <w:rPr>
          <w:lang w:val="fr-CA"/>
        </w:rPr>
        <w:t xml:space="preserve">, </w:t>
      </w:r>
      <w:r w:rsidR="008F5E8F" w:rsidRPr="00B12661">
        <w:rPr>
          <w:lang w:val="fr-CA"/>
        </w:rPr>
        <w:t xml:space="preserve">pour </w:t>
      </w:r>
      <w:r w:rsidR="00C70165">
        <w:rPr>
          <w:lang w:val="fr-CA"/>
        </w:rPr>
        <w:t>insérer</w:t>
      </w:r>
      <w:r w:rsidR="008F5E8F" w:rsidRPr="00B12661">
        <w:rPr>
          <w:lang w:val="fr-CA"/>
        </w:rPr>
        <w:t xml:space="preserve"> la norme </w:t>
      </w:r>
      <w:r w:rsidR="00FA6195" w:rsidRPr="00B12661">
        <w:rPr>
          <w:lang w:val="fr-CA"/>
        </w:rPr>
        <w:t xml:space="preserve">ISO 11120:1999 </w:t>
      </w:r>
      <w:r w:rsidR="008F5E8F" w:rsidRPr="00B12661">
        <w:rPr>
          <w:lang w:val="fr-CA"/>
        </w:rPr>
        <w:t xml:space="preserve">et pour ajouter une nouvelle rangée pour la norme </w:t>
      </w:r>
      <w:r w:rsidR="00FA6195" w:rsidRPr="00B12661">
        <w:rPr>
          <w:lang w:val="fr-CA"/>
        </w:rPr>
        <w:t xml:space="preserve">ISO 11120:2015 </w:t>
      </w:r>
      <w:r w:rsidR="008F5E8F" w:rsidRPr="00B12661">
        <w:rPr>
          <w:lang w:val="fr-CA"/>
        </w:rPr>
        <w:t xml:space="preserve">dans le tableau du point </w:t>
      </w:r>
      <w:r w:rsidR="00FA6195" w:rsidRPr="00B12661">
        <w:rPr>
          <w:lang w:val="fr-CA"/>
        </w:rPr>
        <w:t>6.2.2.1.1.</w:t>
      </w:r>
    </w:p>
    <w:p w:rsidR="008F16EF" w:rsidRPr="00B12661" w:rsidRDefault="008F16EF" w:rsidP="008F16EF">
      <w:pPr>
        <w:pStyle w:val="SingleTxtG"/>
        <w:rPr>
          <w:lang w:val="fr-CA"/>
        </w:rPr>
      </w:pPr>
      <w:r w:rsidRPr="00B12661">
        <w:rPr>
          <w:lang w:val="fr-CA"/>
        </w:rPr>
        <w:t>4.</w:t>
      </w:r>
      <w:r w:rsidRPr="00B12661">
        <w:rPr>
          <w:lang w:val="fr-CA"/>
        </w:rPr>
        <w:tab/>
      </w:r>
      <w:r w:rsidR="008F5E8F" w:rsidRPr="00B12661">
        <w:rPr>
          <w:lang w:val="fr-CA"/>
        </w:rPr>
        <w:t xml:space="preserve">Le Canada appuie en principe la proposition </w:t>
      </w:r>
      <w:r w:rsidR="00C70165">
        <w:rPr>
          <w:lang w:val="fr-CA"/>
        </w:rPr>
        <w:t xml:space="preserve">de modification </w:t>
      </w:r>
      <w:r w:rsidR="008F5E8F" w:rsidRPr="00B12661">
        <w:rPr>
          <w:lang w:val="fr-CA"/>
        </w:rPr>
        <w:t xml:space="preserve">3 </w:t>
      </w:r>
      <w:r w:rsidR="00B62BC0">
        <w:rPr>
          <w:lang w:val="fr-CA"/>
        </w:rPr>
        <w:t xml:space="preserve">énoncée </w:t>
      </w:r>
      <w:r w:rsidR="008F5E8F" w:rsidRPr="00B12661">
        <w:rPr>
          <w:lang w:val="fr-CA"/>
        </w:rPr>
        <w:t xml:space="preserve">dans le document </w:t>
      </w:r>
      <w:r w:rsidRPr="00B12661">
        <w:rPr>
          <w:lang w:val="fr-CA"/>
        </w:rPr>
        <w:t>ST/SG/AC.10/C.3/201</w:t>
      </w:r>
      <w:r w:rsidR="008309A5" w:rsidRPr="00B12661">
        <w:rPr>
          <w:lang w:val="fr-CA"/>
        </w:rPr>
        <w:t>5</w:t>
      </w:r>
      <w:r w:rsidRPr="00B12661">
        <w:rPr>
          <w:lang w:val="fr-CA"/>
        </w:rPr>
        <w:t>/</w:t>
      </w:r>
      <w:r w:rsidR="00FA6195" w:rsidRPr="00B12661">
        <w:rPr>
          <w:lang w:val="fr-CA"/>
        </w:rPr>
        <w:t>3</w:t>
      </w:r>
      <w:r w:rsidR="008309A5" w:rsidRPr="00B12661">
        <w:rPr>
          <w:lang w:val="fr-CA"/>
        </w:rPr>
        <w:t xml:space="preserve">9 </w:t>
      </w:r>
      <w:r w:rsidR="008F5E8F" w:rsidRPr="00B12661">
        <w:rPr>
          <w:lang w:val="fr-CA"/>
        </w:rPr>
        <w:t xml:space="preserve">et souhaiterait proposer </w:t>
      </w:r>
      <w:r w:rsidR="00C70165">
        <w:rPr>
          <w:lang w:val="fr-CA"/>
        </w:rPr>
        <w:t>la</w:t>
      </w:r>
      <w:r w:rsidR="008309A5" w:rsidRPr="00B12661">
        <w:rPr>
          <w:lang w:val="fr-CA"/>
        </w:rPr>
        <w:t xml:space="preserve"> modification</w:t>
      </w:r>
      <w:r w:rsidR="008F5E8F" w:rsidRPr="00B12661">
        <w:rPr>
          <w:lang w:val="fr-CA"/>
        </w:rPr>
        <w:t xml:space="preserve"> </w:t>
      </w:r>
      <w:r w:rsidR="00C70165">
        <w:rPr>
          <w:lang w:val="fr-CA"/>
        </w:rPr>
        <w:t>discutée ci-après</w:t>
      </w:r>
      <w:r w:rsidRPr="00B12661">
        <w:rPr>
          <w:lang w:val="fr-CA"/>
        </w:rPr>
        <w:t>.</w:t>
      </w:r>
    </w:p>
    <w:p w:rsidR="000C7A13" w:rsidRPr="00B12661" w:rsidRDefault="004C52AC" w:rsidP="004C52AC">
      <w:pPr>
        <w:pStyle w:val="HChG"/>
        <w:rPr>
          <w:lang w:val="fr-CA"/>
        </w:rPr>
      </w:pPr>
      <w:r w:rsidRPr="00B12661">
        <w:rPr>
          <w:lang w:val="fr-CA"/>
        </w:rPr>
        <w:tab/>
      </w:r>
      <w:r w:rsidRPr="00B12661">
        <w:rPr>
          <w:lang w:val="fr-CA"/>
        </w:rPr>
        <w:tab/>
      </w:r>
      <w:r w:rsidR="00766574" w:rsidRPr="00B12661">
        <w:rPr>
          <w:lang w:val="fr-CA"/>
        </w:rPr>
        <w:t>Discussion</w:t>
      </w:r>
      <w:r w:rsidR="000159EF" w:rsidRPr="00B12661">
        <w:rPr>
          <w:lang w:val="fr-CA"/>
        </w:rPr>
        <w:t xml:space="preserve"> </w:t>
      </w:r>
      <w:r w:rsidR="008F5E8F" w:rsidRPr="00B12661">
        <w:rPr>
          <w:lang w:val="fr-CA"/>
        </w:rPr>
        <w:t>sur la proposition</w:t>
      </w:r>
      <w:r w:rsidR="000159EF" w:rsidRPr="00B12661">
        <w:rPr>
          <w:lang w:val="fr-CA"/>
        </w:rPr>
        <w:t xml:space="preserve"> </w:t>
      </w:r>
      <w:r w:rsidR="00FA6195" w:rsidRPr="00B12661">
        <w:rPr>
          <w:lang w:val="fr-CA"/>
        </w:rPr>
        <w:t>3</w:t>
      </w:r>
    </w:p>
    <w:p w:rsidR="001748B3" w:rsidRPr="00B12661" w:rsidRDefault="00694BDB" w:rsidP="0058720B">
      <w:pPr>
        <w:pStyle w:val="SingleTxtG"/>
        <w:rPr>
          <w:lang w:val="fr-CA"/>
        </w:rPr>
      </w:pPr>
      <w:r w:rsidRPr="00B12661">
        <w:rPr>
          <w:lang w:val="fr-CA"/>
        </w:rPr>
        <w:t>5</w:t>
      </w:r>
      <w:r w:rsidR="004C52AC" w:rsidRPr="00B12661">
        <w:rPr>
          <w:lang w:val="fr-CA"/>
        </w:rPr>
        <w:t>.</w:t>
      </w:r>
      <w:r w:rsidR="004C52AC" w:rsidRPr="00B12661">
        <w:rPr>
          <w:lang w:val="fr-CA"/>
        </w:rPr>
        <w:tab/>
      </w:r>
      <w:r w:rsidR="00C70165">
        <w:rPr>
          <w:lang w:val="fr-CA"/>
        </w:rPr>
        <w:t>L</w:t>
      </w:r>
      <w:r w:rsidR="00C70165" w:rsidRPr="00B12661">
        <w:rPr>
          <w:lang w:val="fr-CA"/>
        </w:rPr>
        <w:t xml:space="preserve">’ISO propose d’ajouter </w:t>
      </w:r>
      <w:r w:rsidR="00C70165">
        <w:rPr>
          <w:lang w:val="fr-CA"/>
        </w:rPr>
        <w:t>d</w:t>
      </w:r>
      <w:r w:rsidR="008F5E8F" w:rsidRPr="00B12661">
        <w:rPr>
          <w:lang w:val="fr-CA"/>
        </w:rPr>
        <w:t>ans le</w:t>
      </w:r>
      <w:r w:rsidR="001748B3" w:rsidRPr="00B12661">
        <w:rPr>
          <w:lang w:val="fr-CA"/>
        </w:rPr>
        <w:t xml:space="preserve"> paragraph</w:t>
      </w:r>
      <w:r w:rsidR="008F5E8F" w:rsidRPr="00B12661">
        <w:rPr>
          <w:lang w:val="fr-CA"/>
        </w:rPr>
        <w:t>e</w:t>
      </w:r>
      <w:r w:rsidR="001748B3" w:rsidRPr="00B12661">
        <w:rPr>
          <w:lang w:val="fr-CA"/>
        </w:rPr>
        <w:t xml:space="preserve"> </w:t>
      </w:r>
      <w:r w:rsidR="00FA6195" w:rsidRPr="00B12661">
        <w:rPr>
          <w:lang w:val="fr-CA"/>
        </w:rPr>
        <w:t>6</w:t>
      </w:r>
      <w:r w:rsidR="001748B3" w:rsidRPr="00B12661">
        <w:rPr>
          <w:lang w:val="fr-CA"/>
        </w:rPr>
        <w:t xml:space="preserve"> </w:t>
      </w:r>
      <w:r w:rsidR="008F5E8F" w:rsidRPr="00B12661">
        <w:rPr>
          <w:lang w:val="fr-CA"/>
        </w:rPr>
        <w:t>du document</w:t>
      </w:r>
      <w:r w:rsidR="001748B3" w:rsidRPr="00B12661">
        <w:rPr>
          <w:lang w:val="fr-CA"/>
        </w:rPr>
        <w:t xml:space="preserve"> </w:t>
      </w:r>
      <w:r w:rsidR="009A2A17" w:rsidRPr="00B12661">
        <w:rPr>
          <w:lang w:val="fr-CA"/>
        </w:rPr>
        <w:t>ST/SG/AC.10/C.3/201</w:t>
      </w:r>
      <w:r w:rsidR="008309A5" w:rsidRPr="00B12661">
        <w:rPr>
          <w:lang w:val="fr-CA"/>
        </w:rPr>
        <w:t>5</w:t>
      </w:r>
      <w:r w:rsidR="009A2A17" w:rsidRPr="00B12661">
        <w:rPr>
          <w:lang w:val="fr-CA"/>
        </w:rPr>
        <w:t>/</w:t>
      </w:r>
      <w:r w:rsidR="00FA6195" w:rsidRPr="00B12661">
        <w:rPr>
          <w:lang w:val="fr-CA"/>
        </w:rPr>
        <w:t>3</w:t>
      </w:r>
      <w:r w:rsidR="008309A5" w:rsidRPr="00B12661">
        <w:rPr>
          <w:lang w:val="fr-CA"/>
        </w:rPr>
        <w:t>9</w:t>
      </w:r>
      <w:r w:rsidR="001748B3" w:rsidRPr="00B12661">
        <w:rPr>
          <w:lang w:val="fr-CA"/>
        </w:rPr>
        <w:t xml:space="preserve">, </w:t>
      </w:r>
      <w:r w:rsidR="00A55B63">
        <w:rPr>
          <w:lang w:val="fr-CA"/>
        </w:rPr>
        <w:t>une nouvelle référence</w:t>
      </w:r>
      <w:r w:rsidR="008309A5" w:rsidRPr="00B12661">
        <w:rPr>
          <w:lang w:val="fr-CA"/>
        </w:rPr>
        <w:t xml:space="preserve"> </w:t>
      </w:r>
      <w:r w:rsidR="008F5E8F" w:rsidRPr="00B12661">
        <w:rPr>
          <w:lang w:val="fr-CA"/>
        </w:rPr>
        <w:t>à la norme</w:t>
      </w:r>
      <w:r w:rsidR="008309A5" w:rsidRPr="00B12661">
        <w:rPr>
          <w:lang w:val="fr-CA"/>
        </w:rPr>
        <w:t xml:space="preserve"> ISO </w:t>
      </w:r>
      <w:r w:rsidR="00723646" w:rsidRPr="00B12661">
        <w:rPr>
          <w:lang w:val="fr-CA"/>
        </w:rPr>
        <w:t>21172-1:2015</w:t>
      </w:r>
      <w:r w:rsidR="003F5B51" w:rsidRPr="00B12661">
        <w:rPr>
          <w:lang w:val="fr-CA"/>
        </w:rPr>
        <w:t xml:space="preserve"> </w:t>
      </w:r>
      <w:r w:rsidR="008F5E8F" w:rsidRPr="00B12661">
        <w:rPr>
          <w:lang w:val="fr-CA"/>
        </w:rPr>
        <w:t xml:space="preserve">en insérant le nouveau paragraphe </w:t>
      </w:r>
      <w:r w:rsidR="00126B5A" w:rsidRPr="00B12661">
        <w:rPr>
          <w:lang w:val="fr-CA"/>
        </w:rPr>
        <w:t xml:space="preserve">6.2.2.1.8 </w:t>
      </w:r>
      <w:r w:rsidR="008F5E8F" w:rsidRPr="00B12661">
        <w:rPr>
          <w:lang w:val="fr-CA"/>
        </w:rPr>
        <w:t>et le nouveau</w:t>
      </w:r>
      <w:r w:rsidR="00126B5A" w:rsidRPr="00B12661">
        <w:rPr>
          <w:lang w:val="fr-CA"/>
        </w:rPr>
        <w:t xml:space="preserve"> table</w:t>
      </w:r>
      <w:r w:rsidR="008F5E8F" w:rsidRPr="00B12661">
        <w:rPr>
          <w:lang w:val="fr-CA"/>
        </w:rPr>
        <w:t>au qui suit </w:t>
      </w:r>
      <w:r w:rsidR="00126B5A" w:rsidRPr="00B12661">
        <w:rPr>
          <w:lang w:val="fr-CA"/>
        </w:rPr>
        <w:t>:</w:t>
      </w:r>
    </w:p>
    <w:p w:rsidR="00FB51BA" w:rsidRDefault="00FB51BA" w:rsidP="00FB51BA">
      <w:pPr>
        <w:widowControl w:val="0"/>
        <w:suppressAutoHyphens w:val="0"/>
        <w:autoSpaceDE w:val="0"/>
        <w:autoSpaceDN w:val="0"/>
        <w:adjustRightInd w:val="0"/>
        <w:spacing w:after="240" w:line="240" w:lineRule="auto"/>
        <w:ind w:left="1701" w:right="1134"/>
        <w:jc w:val="both"/>
        <w:rPr>
          <w:lang w:val="fr-CA"/>
        </w:rPr>
      </w:pPr>
      <w:r w:rsidRPr="00B12661">
        <w:rPr>
          <w:lang w:val="fr-CA"/>
        </w:rPr>
        <w:t>6.2.2.1.8</w:t>
      </w:r>
      <w:r w:rsidRPr="00B12661">
        <w:rPr>
          <w:lang w:val="fr-CA"/>
        </w:rPr>
        <w:tab/>
      </w:r>
      <w:r w:rsidR="008F5E8F" w:rsidRPr="00B12661">
        <w:rPr>
          <w:lang w:val="fr-CA"/>
        </w:rPr>
        <w:t xml:space="preserve">La norme qui suit s’applique </w:t>
      </w:r>
      <w:r w:rsidR="00A55B63">
        <w:rPr>
          <w:lang w:val="fr-CA"/>
        </w:rPr>
        <w:t>à</w:t>
      </w:r>
      <w:r w:rsidR="008F5E8F" w:rsidRPr="00B12661">
        <w:rPr>
          <w:lang w:val="fr-CA"/>
        </w:rPr>
        <w:t xml:space="preserve"> la conception,</w:t>
      </w:r>
      <w:r w:rsidR="00A55B63">
        <w:rPr>
          <w:lang w:val="fr-CA"/>
        </w:rPr>
        <w:t xml:space="preserve"> à</w:t>
      </w:r>
      <w:r w:rsidR="008F5E8F" w:rsidRPr="00B12661">
        <w:rPr>
          <w:lang w:val="fr-CA"/>
        </w:rPr>
        <w:t xml:space="preserve"> la</w:t>
      </w:r>
      <w:r w:rsidRPr="00B12661">
        <w:rPr>
          <w:lang w:val="fr-CA"/>
        </w:rPr>
        <w:t xml:space="preserve"> construction</w:t>
      </w:r>
      <w:r w:rsidR="00524416" w:rsidRPr="00B12661">
        <w:rPr>
          <w:lang w:val="fr-CA"/>
        </w:rPr>
        <w:t>, ainsi qu</w:t>
      </w:r>
      <w:r w:rsidR="00A55B63">
        <w:rPr>
          <w:lang w:val="fr-CA"/>
        </w:rPr>
        <w:t>’à</w:t>
      </w:r>
      <w:r w:rsidR="008F5E8F" w:rsidRPr="00B12661">
        <w:rPr>
          <w:lang w:val="fr-CA"/>
        </w:rPr>
        <w:t xml:space="preserve"> l’</w:t>
      </w:r>
      <w:r w:rsidRPr="00B12661">
        <w:rPr>
          <w:lang w:val="fr-CA"/>
        </w:rPr>
        <w:t xml:space="preserve">inspection </w:t>
      </w:r>
      <w:r w:rsidR="00524416" w:rsidRPr="00B12661">
        <w:rPr>
          <w:lang w:val="fr-CA"/>
        </w:rPr>
        <w:t>et</w:t>
      </w:r>
      <w:r w:rsidR="00A55B63">
        <w:rPr>
          <w:lang w:val="fr-CA"/>
        </w:rPr>
        <w:t xml:space="preserve"> à</w:t>
      </w:r>
      <w:r w:rsidR="00524416" w:rsidRPr="00B12661">
        <w:rPr>
          <w:lang w:val="fr-CA"/>
        </w:rPr>
        <w:t xml:space="preserve"> la mise à l’essai initiales des barils sous pression</w:t>
      </w:r>
      <w:r w:rsidRPr="00B12661">
        <w:rPr>
          <w:lang w:val="fr-CA"/>
        </w:rPr>
        <w:t xml:space="preserve"> UN</w:t>
      </w:r>
      <w:r w:rsidR="00524416" w:rsidRPr="00B12661">
        <w:rPr>
          <w:lang w:val="fr-CA"/>
        </w:rPr>
        <w:t>, sauf pour les exigences en matière d’</w:t>
      </w:r>
      <w:r w:rsidRPr="00B12661">
        <w:rPr>
          <w:lang w:val="fr-CA"/>
        </w:rPr>
        <w:t xml:space="preserve">inspection </w:t>
      </w:r>
      <w:r w:rsidR="00524416" w:rsidRPr="00B12661">
        <w:rPr>
          <w:lang w:val="fr-CA"/>
        </w:rPr>
        <w:t xml:space="preserve">qui concernent le système d’évaluation de la conformité et l’approbation qui devront </w:t>
      </w:r>
      <w:r w:rsidR="00B62BC0">
        <w:rPr>
          <w:lang w:val="fr-CA"/>
        </w:rPr>
        <w:t>respecter</w:t>
      </w:r>
      <w:r w:rsidR="00524416" w:rsidRPr="00B12661">
        <w:rPr>
          <w:lang w:val="fr-CA"/>
        </w:rPr>
        <w:t xml:space="preserve"> les dispositions énoncées au point </w:t>
      </w:r>
      <w:r w:rsidRPr="00B12661">
        <w:rPr>
          <w:lang w:val="fr-CA"/>
        </w:rPr>
        <w:t>6.2.2.5</w:t>
      </w:r>
      <w:r w:rsidR="00A55B63">
        <w:rPr>
          <w:lang w:val="fr-CA"/>
        </w:rPr>
        <w:t> </w:t>
      </w:r>
      <w:r w:rsidRPr="00B12661">
        <w:rPr>
          <w:lang w:val="fr-CA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1842"/>
      </w:tblGrid>
      <w:tr w:rsidR="00FB51BA" w:rsidRPr="00B12661" w:rsidTr="00FB51BA">
        <w:tc>
          <w:tcPr>
            <w:tcW w:w="1560" w:type="dxa"/>
            <w:shd w:val="clear" w:color="auto" w:fill="auto"/>
            <w:vAlign w:val="center"/>
          </w:tcPr>
          <w:p w:rsidR="00FB51BA" w:rsidRPr="00B12661" w:rsidRDefault="00FB51BA" w:rsidP="00524416">
            <w:pPr>
              <w:jc w:val="center"/>
              <w:rPr>
                <w:b/>
                <w:lang w:val="fr-CA"/>
              </w:rPr>
            </w:pPr>
            <w:r w:rsidRPr="00B12661">
              <w:rPr>
                <w:b/>
                <w:lang w:val="fr-CA"/>
              </w:rPr>
              <w:t>R</w:t>
            </w:r>
            <w:r w:rsidR="00524416" w:rsidRPr="00B12661">
              <w:rPr>
                <w:b/>
                <w:lang w:val="fr-CA"/>
              </w:rPr>
              <w:t>éfé</w:t>
            </w:r>
            <w:r w:rsidRPr="00B12661">
              <w:rPr>
                <w:b/>
                <w:lang w:val="fr-CA"/>
              </w:rPr>
              <w:t>rence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51BA" w:rsidRPr="00B12661" w:rsidRDefault="00524416" w:rsidP="00FB51BA">
            <w:pPr>
              <w:jc w:val="center"/>
              <w:rPr>
                <w:b/>
                <w:lang w:val="fr-CA"/>
              </w:rPr>
            </w:pPr>
            <w:r w:rsidRPr="00B12661">
              <w:rPr>
                <w:b/>
                <w:lang w:val="fr-CA"/>
              </w:rPr>
              <w:t>Titr</w:t>
            </w:r>
            <w:r w:rsidR="00FB51BA" w:rsidRPr="00B12661">
              <w:rPr>
                <w:b/>
                <w:lang w:val="fr-CA"/>
              </w:rPr>
              <w:t>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51BA" w:rsidRPr="00B12661" w:rsidRDefault="00FB51BA" w:rsidP="00524416">
            <w:pPr>
              <w:jc w:val="center"/>
              <w:rPr>
                <w:b/>
                <w:lang w:val="fr-CA"/>
              </w:rPr>
            </w:pPr>
            <w:r w:rsidRPr="00B12661">
              <w:rPr>
                <w:b/>
                <w:lang w:val="fr-CA"/>
              </w:rPr>
              <w:t xml:space="preserve">Applicable </w:t>
            </w:r>
            <w:r w:rsidR="00524416" w:rsidRPr="00B12661">
              <w:rPr>
                <w:b/>
                <w:lang w:val="fr-CA"/>
              </w:rPr>
              <w:t>pour la fabrication</w:t>
            </w:r>
          </w:p>
        </w:tc>
      </w:tr>
      <w:tr w:rsidR="00FB51BA" w:rsidRPr="00B12661" w:rsidTr="00FB51BA">
        <w:tc>
          <w:tcPr>
            <w:tcW w:w="1560" w:type="dxa"/>
            <w:shd w:val="clear" w:color="auto" w:fill="auto"/>
          </w:tcPr>
          <w:p w:rsidR="00FB51BA" w:rsidRPr="00B12661" w:rsidRDefault="00FB51BA" w:rsidP="00524416">
            <w:pPr>
              <w:rPr>
                <w:lang w:val="fr-CA"/>
              </w:rPr>
            </w:pPr>
            <w:r w:rsidRPr="00B12661">
              <w:rPr>
                <w:lang w:val="fr-CA"/>
              </w:rPr>
              <w:t>ISO 21172-1: 2015</w:t>
            </w:r>
          </w:p>
        </w:tc>
        <w:tc>
          <w:tcPr>
            <w:tcW w:w="3969" w:type="dxa"/>
            <w:shd w:val="clear" w:color="auto" w:fill="auto"/>
          </w:tcPr>
          <w:p w:rsidR="00FB51BA" w:rsidRPr="00B12661" w:rsidRDefault="00524416" w:rsidP="00A55B63">
            <w:pPr>
              <w:rPr>
                <w:lang w:val="fr-CA"/>
              </w:rPr>
            </w:pPr>
            <w:r w:rsidRPr="00B12661">
              <w:rPr>
                <w:lang w:val="fr-CA"/>
              </w:rPr>
              <w:t>Bouteilles à gaz</w:t>
            </w:r>
            <w:r w:rsidR="00FB51BA" w:rsidRPr="00B12661">
              <w:rPr>
                <w:lang w:val="fr-CA"/>
              </w:rPr>
              <w:t xml:space="preserve"> – </w:t>
            </w:r>
            <w:r w:rsidRPr="00B12661">
              <w:rPr>
                <w:lang w:val="fr-CA"/>
              </w:rPr>
              <w:t>Barils sous pression en acier soudés d’une capacité maximale de 3 000 litres pour le transport de gaz</w:t>
            </w:r>
            <w:r w:rsidR="00FB51BA" w:rsidRPr="00B12661">
              <w:rPr>
                <w:lang w:val="fr-CA"/>
              </w:rPr>
              <w:t xml:space="preserve"> – </w:t>
            </w:r>
            <w:r w:rsidRPr="00B12661">
              <w:rPr>
                <w:lang w:val="fr-CA"/>
              </w:rPr>
              <w:t>Conception et</w:t>
            </w:r>
            <w:r w:rsidR="00FB51BA" w:rsidRPr="00B12661">
              <w:rPr>
                <w:lang w:val="fr-CA"/>
              </w:rPr>
              <w:t xml:space="preserve"> construction – Part</w:t>
            </w:r>
            <w:r w:rsidRPr="00B12661">
              <w:rPr>
                <w:lang w:val="fr-CA"/>
              </w:rPr>
              <w:t>ie</w:t>
            </w:r>
            <w:r w:rsidR="00FB51BA" w:rsidRPr="00B12661">
              <w:rPr>
                <w:lang w:val="fr-CA"/>
              </w:rPr>
              <w:t xml:space="preserve"> 1</w:t>
            </w:r>
            <w:r w:rsidRPr="00B12661">
              <w:rPr>
                <w:lang w:val="fr-CA"/>
              </w:rPr>
              <w:t> </w:t>
            </w:r>
            <w:r w:rsidR="00FB51BA" w:rsidRPr="00B12661">
              <w:rPr>
                <w:lang w:val="fr-CA"/>
              </w:rPr>
              <w:t>: Capacit</w:t>
            </w:r>
            <w:r w:rsidRPr="00B12661">
              <w:rPr>
                <w:lang w:val="fr-CA"/>
              </w:rPr>
              <w:t>és maximales de 1</w:t>
            </w:r>
            <w:r w:rsidR="00A55B63">
              <w:rPr>
                <w:lang w:val="fr-CA"/>
              </w:rPr>
              <w:t> </w:t>
            </w:r>
            <w:r w:rsidRPr="00B12661">
              <w:rPr>
                <w:lang w:val="fr-CA"/>
              </w:rPr>
              <w:t>000 </w:t>
            </w:r>
            <w:r w:rsidR="00FB51BA" w:rsidRPr="00B12661">
              <w:rPr>
                <w:lang w:val="fr-CA"/>
              </w:rPr>
              <w:t xml:space="preserve">litres </w:t>
            </w:r>
          </w:p>
        </w:tc>
        <w:tc>
          <w:tcPr>
            <w:tcW w:w="1842" w:type="dxa"/>
            <w:shd w:val="clear" w:color="auto" w:fill="auto"/>
          </w:tcPr>
          <w:p w:rsidR="00FB51BA" w:rsidRPr="00B12661" w:rsidRDefault="00524416" w:rsidP="00524416">
            <w:pPr>
              <w:rPr>
                <w:lang w:val="fr-CA"/>
              </w:rPr>
            </w:pPr>
            <w:r w:rsidRPr="00B12661">
              <w:rPr>
                <w:lang w:val="fr-CA"/>
              </w:rPr>
              <w:t>Jusqu’à nouvel ordre</w:t>
            </w:r>
          </w:p>
        </w:tc>
      </w:tr>
    </w:tbl>
    <w:p w:rsidR="00E62E59" w:rsidRPr="00B12661" w:rsidRDefault="0019627D" w:rsidP="00E62E59">
      <w:pPr>
        <w:pStyle w:val="SingleTxtG"/>
        <w:rPr>
          <w:lang w:val="fr-CA"/>
        </w:rPr>
      </w:pPr>
      <w:r w:rsidRPr="00B12661">
        <w:rPr>
          <w:lang w:val="fr-CA"/>
        </w:rPr>
        <w:lastRenderedPageBreak/>
        <w:t>6.</w:t>
      </w:r>
      <w:r w:rsidRPr="00B12661">
        <w:rPr>
          <w:lang w:val="fr-CA"/>
        </w:rPr>
        <w:tab/>
      </w:r>
      <w:r w:rsidR="00B12661" w:rsidRPr="00B12661">
        <w:rPr>
          <w:lang w:val="fr-CA"/>
        </w:rPr>
        <w:t xml:space="preserve">Le </w:t>
      </w:r>
      <w:r w:rsidR="00FB51BA" w:rsidRPr="00B12661">
        <w:rPr>
          <w:lang w:val="fr-CA"/>
        </w:rPr>
        <w:t>Canada</w:t>
      </w:r>
      <w:r w:rsidR="00F2784E" w:rsidRPr="00B12661">
        <w:rPr>
          <w:lang w:val="fr-CA"/>
        </w:rPr>
        <w:t xml:space="preserve"> </w:t>
      </w:r>
      <w:r w:rsidR="00B12661" w:rsidRPr="00B12661">
        <w:rPr>
          <w:lang w:val="fr-CA"/>
        </w:rPr>
        <w:t xml:space="preserve">appuie en </w:t>
      </w:r>
      <w:r w:rsidR="00FB51BA" w:rsidRPr="00B12661">
        <w:rPr>
          <w:lang w:val="fr-CA"/>
        </w:rPr>
        <w:t xml:space="preserve">principe </w:t>
      </w:r>
      <w:r w:rsidR="00B12661" w:rsidRPr="00B12661">
        <w:rPr>
          <w:lang w:val="fr-CA"/>
        </w:rPr>
        <w:t>l’adoption de la norme</w:t>
      </w:r>
      <w:r w:rsidR="00F2784E" w:rsidRPr="00B12661">
        <w:rPr>
          <w:lang w:val="fr-CA"/>
        </w:rPr>
        <w:t xml:space="preserve"> </w:t>
      </w:r>
      <w:r w:rsidR="00FB51BA" w:rsidRPr="00B12661">
        <w:rPr>
          <w:lang w:val="fr-CA"/>
        </w:rPr>
        <w:t xml:space="preserve">ISO 21172-1:2015 </w:t>
      </w:r>
      <w:r w:rsidR="00B12661" w:rsidRPr="00B12661">
        <w:rPr>
          <w:lang w:val="fr-CA"/>
        </w:rPr>
        <w:t xml:space="preserve">dans le Règlement </w:t>
      </w:r>
      <w:r w:rsidR="00891681">
        <w:rPr>
          <w:lang w:val="fr-CA"/>
        </w:rPr>
        <w:t>t</w:t>
      </w:r>
      <w:r w:rsidR="00B62BC0">
        <w:rPr>
          <w:lang w:val="fr-CA"/>
        </w:rPr>
        <w:t>ype</w:t>
      </w:r>
      <w:r w:rsidR="00B12661" w:rsidRPr="00B12661">
        <w:rPr>
          <w:lang w:val="fr-CA"/>
        </w:rPr>
        <w:t>, car cette mesure</w:t>
      </w:r>
      <w:r w:rsidR="00B12661">
        <w:rPr>
          <w:lang w:val="fr-CA"/>
        </w:rPr>
        <w:t xml:space="preserve"> répondra </w:t>
      </w:r>
      <w:r w:rsidR="00B62BC0">
        <w:rPr>
          <w:lang w:val="fr-CA"/>
        </w:rPr>
        <w:t>à un</w:t>
      </w:r>
      <w:r w:rsidR="00B12661">
        <w:rPr>
          <w:lang w:val="fr-CA"/>
        </w:rPr>
        <w:t xml:space="preserve"> besoin de longue date </w:t>
      </w:r>
      <w:r w:rsidR="00295C30">
        <w:rPr>
          <w:lang w:val="fr-CA"/>
        </w:rPr>
        <w:t>concernant</w:t>
      </w:r>
      <w:r w:rsidR="00B12661">
        <w:rPr>
          <w:lang w:val="fr-CA"/>
        </w:rPr>
        <w:t xml:space="preserve"> l’établissement d’exigences pour les barils sous pression</w:t>
      </w:r>
      <w:r w:rsidR="00FB51BA" w:rsidRPr="00B12661">
        <w:rPr>
          <w:lang w:val="fr-CA"/>
        </w:rPr>
        <w:t>.</w:t>
      </w:r>
      <w:r w:rsidR="00AA3259" w:rsidRPr="00B12661">
        <w:rPr>
          <w:lang w:val="fr-CA"/>
        </w:rPr>
        <w:t xml:space="preserve"> </w:t>
      </w:r>
      <w:r w:rsidR="00B12661">
        <w:rPr>
          <w:lang w:val="fr-CA"/>
        </w:rPr>
        <w:t>Cependant, la norme</w:t>
      </w:r>
      <w:r w:rsidR="009F2D77" w:rsidRPr="00B12661">
        <w:rPr>
          <w:lang w:val="fr-CA"/>
        </w:rPr>
        <w:t xml:space="preserve"> ISO 21</w:t>
      </w:r>
      <w:r w:rsidR="00464BB7" w:rsidRPr="00B12661">
        <w:rPr>
          <w:lang w:val="fr-CA"/>
        </w:rPr>
        <w:t xml:space="preserve">172-1:2015 </w:t>
      </w:r>
      <w:r w:rsidR="00B12661">
        <w:rPr>
          <w:lang w:val="fr-CA"/>
        </w:rPr>
        <w:t>comporte une</w:t>
      </w:r>
      <w:r w:rsidR="00464BB7" w:rsidRPr="00B12661">
        <w:rPr>
          <w:lang w:val="fr-CA"/>
        </w:rPr>
        <w:t xml:space="preserve"> restriction </w:t>
      </w:r>
      <w:r w:rsidR="00295C30">
        <w:rPr>
          <w:lang w:val="fr-CA"/>
        </w:rPr>
        <w:t>pour</w:t>
      </w:r>
      <w:r w:rsidR="00B12661">
        <w:rPr>
          <w:lang w:val="fr-CA"/>
        </w:rPr>
        <w:t xml:space="preserve"> les barils sous pression</w:t>
      </w:r>
      <w:r w:rsidR="00B12661" w:rsidRPr="00B12661">
        <w:rPr>
          <w:lang w:val="fr-CA"/>
        </w:rPr>
        <w:t xml:space="preserve"> à fonds bombés convexes à la pression</w:t>
      </w:r>
      <w:r w:rsidR="0088349B">
        <w:rPr>
          <w:lang w:val="fr-CA"/>
        </w:rPr>
        <w:t xml:space="preserve"> </w:t>
      </w:r>
      <w:r w:rsidR="00505F32" w:rsidRPr="00B12661">
        <w:rPr>
          <w:lang w:val="fr-CA"/>
        </w:rPr>
        <w:t>(</w:t>
      </w:r>
      <w:r w:rsidR="00B12661">
        <w:rPr>
          <w:lang w:val="fr-CA"/>
        </w:rPr>
        <w:t>têtes inversées</w:t>
      </w:r>
      <w:r w:rsidR="00505F32" w:rsidRPr="00B12661">
        <w:rPr>
          <w:lang w:val="fr-CA"/>
        </w:rPr>
        <w:t>)</w:t>
      </w:r>
      <w:r w:rsidR="00B347AE" w:rsidRPr="00B12661">
        <w:rPr>
          <w:lang w:val="fr-CA"/>
        </w:rPr>
        <w:t xml:space="preserve">. </w:t>
      </w:r>
      <w:r w:rsidR="00B12661">
        <w:rPr>
          <w:lang w:val="fr-CA"/>
        </w:rPr>
        <w:t>Plus particulièrement</w:t>
      </w:r>
      <w:r w:rsidR="00464BB7" w:rsidRPr="00B12661">
        <w:rPr>
          <w:lang w:val="fr-CA"/>
        </w:rPr>
        <w:t xml:space="preserve">, </w:t>
      </w:r>
      <w:r w:rsidR="00B12661">
        <w:rPr>
          <w:lang w:val="fr-CA"/>
        </w:rPr>
        <w:t xml:space="preserve">la </w:t>
      </w:r>
      <w:r w:rsidR="00464BB7" w:rsidRPr="00B12661">
        <w:rPr>
          <w:lang w:val="fr-CA"/>
        </w:rPr>
        <w:t xml:space="preserve">section 6.3.3.4 </w:t>
      </w:r>
      <w:r w:rsidR="00B12661">
        <w:rPr>
          <w:lang w:val="fr-CA"/>
        </w:rPr>
        <w:t>de la norme</w:t>
      </w:r>
      <w:r w:rsidR="00464BB7" w:rsidRPr="00B12661">
        <w:rPr>
          <w:lang w:val="fr-CA"/>
        </w:rPr>
        <w:t xml:space="preserve"> </w:t>
      </w:r>
      <w:r w:rsidR="00F1629C" w:rsidRPr="00B12661">
        <w:rPr>
          <w:lang w:val="fr-CA"/>
        </w:rPr>
        <w:t>ISO 2</w:t>
      </w:r>
      <w:r w:rsidR="00464BB7" w:rsidRPr="00B12661">
        <w:rPr>
          <w:lang w:val="fr-CA"/>
        </w:rPr>
        <w:t xml:space="preserve">1172-1:2015 </w:t>
      </w:r>
      <w:proofErr w:type="gramStart"/>
      <w:r w:rsidR="00B12661">
        <w:rPr>
          <w:lang w:val="fr-CA"/>
        </w:rPr>
        <w:t>interdit</w:t>
      </w:r>
      <w:proofErr w:type="gramEnd"/>
      <w:r w:rsidR="00B12661">
        <w:rPr>
          <w:lang w:val="fr-CA"/>
        </w:rPr>
        <w:t xml:space="preserve"> l’utilisation des barils sous pression</w:t>
      </w:r>
      <w:r w:rsidR="00B12661" w:rsidRPr="00B12661">
        <w:rPr>
          <w:lang w:val="fr-CA"/>
        </w:rPr>
        <w:t xml:space="preserve"> à fonds bombés convexes à la pression</w:t>
      </w:r>
      <w:r w:rsidR="00B12661">
        <w:rPr>
          <w:lang w:val="fr-CA"/>
        </w:rPr>
        <w:t xml:space="preserve"> pour les substances corrosives</w:t>
      </w:r>
      <w:r w:rsidR="00464BB7" w:rsidRPr="00B12661">
        <w:rPr>
          <w:lang w:val="fr-CA"/>
        </w:rPr>
        <w:t>.</w:t>
      </w:r>
      <w:r w:rsidR="005E4B75" w:rsidRPr="00B12661">
        <w:rPr>
          <w:lang w:val="fr-CA"/>
        </w:rPr>
        <w:t xml:space="preserve"> </w:t>
      </w:r>
      <w:r w:rsidR="00B12661">
        <w:rPr>
          <w:lang w:val="fr-CA"/>
        </w:rPr>
        <w:t>Cette interdiction n’est pas compatible avec la pratique nord-américaine</w:t>
      </w:r>
      <w:r w:rsidR="00B62BC0">
        <w:rPr>
          <w:lang w:val="fr-CA"/>
        </w:rPr>
        <w:t>, en plus de</w:t>
      </w:r>
      <w:r w:rsidR="00B12661">
        <w:rPr>
          <w:lang w:val="fr-CA"/>
        </w:rPr>
        <w:t xml:space="preserve"> contredi</w:t>
      </w:r>
      <w:r w:rsidR="00B62BC0">
        <w:rPr>
          <w:lang w:val="fr-CA"/>
        </w:rPr>
        <w:t>re</w:t>
      </w:r>
      <w:r w:rsidR="00C701D3">
        <w:rPr>
          <w:lang w:val="fr-CA"/>
        </w:rPr>
        <w:t xml:space="preserve"> clairement un</w:t>
      </w:r>
      <w:r w:rsidR="00B12661">
        <w:rPr>
          <w:lang w:val="fr-CA"/>
        </w:rPr>
        <w:t xml:space="preserve"> des principes clés de la politique de l’</w:t>
      </w:r>
      <w:r w:rsidR="009F2D77" w:rsidRPr="00B12661">
        <w:rPr>
          <w:lang w:val="fr-CA"/>
        </w:rPr>
        <w:t xml:space="preserve">ISO </w:t>
      </w:r>
      <w:r w:rsidR="00B12661">
        <w:rPr>
          <w:lang w:val="fr-CA"/>
        </w:rPr>
        <w:t>sur la pertinence mondiale</w:t>
      </w:r>
      <w:r w:rsidR="000546D4" w:rsidRPr="00B12661">
        <w:rPr>
          <w:lang w:val="fr-CA"/>
        </w:rPr>
        <w:t xml:space="preserve"> (</w:t>
      </w:r>
      <w:r w:rsidR="00B12661">
        <w:rPr>
          <w:lang w:val="fr-CA"/>
        </w:rPr>
        <w:t>c.-à-d.</w:t>
      </w:r>
      <w:r w:rsidR="00C701D3">
        <w:rPr>
          <w:lang w:val="fr-CA"/>
        </w:rPr>
        <w:t xml:space="preserve"> de</w:t>
      </w:r>
      <w:r w:rsidR="00B12661">
        <w:rPr>
          <w:lang w:val="fr-CA"/>
        </w:rPr>
        <w:t xml:space="preserve"> </w:t>
      </w:r>
      <w:r w:rsidR="00891681">
        <w:rPr>
          <w:lang w:val="fr-CA"/>
        </w:rPr>
        <w:t xml:space="preserve">ne pas accorder de préférence aux exigences de pays ou </w:t>
      </w:r>
      <w:r w:rsidR="00C701D3">
        <w:rPr>
          <w:lang w:val="fr-CA"/>
        </w:rPr>
        <w:t xml:space="preserve">de </w:t>
      </w:r>
      <w:r w:rsidR="00891681">
        <w:rPr>
          <w:lang w:val="fr-CA"/>
        </w:rPr>
        <w:t xml:space="preserve">régions particuliers </w:t>
      </w:r>
      <w:proofErr w:type="spellStart"/>
      <w:r w:rsidR="00891681">
        <w:t>s'il</w:t>
      </w:r>
      <w:proofErr w:type="spellEnd"/>
      <w:r w:rsidR="00891681">
        <w:t xml:space="preserve"> </w:t>
      </w:r>
      <w:proofErr w:type="spellStart"/>
      <w:r w:rsidR="00891681">
        <w:t>existe</w:t>
      </w:r>
      <w:proofErr w:type="spellEnd"/>
      <w:r w:rsidR="00891681">
        <w:t xml:space="preserve"> </w:t>
      </w:r>
      <w:proofErr w:type="spellStart"/>
      <w:r w:rsidR="00891681">
        <w:t>dans</w:t>
      </w:r>
      <w:proofErr w:type="spellEnd"/>
      <w:r w:rsidR="00891681">
        <w:t xml:space="preserve"> les </w:t>
      </w:r>
      <w:proofErr w:type="spellStart"/>
      <w:r w:rsidR="00891681">
        <w:t>autres</w:t>
      </w:r>
      <w:proofErr w:type="spellEnd"/>
      <w:r w:rsidR="00891681">
        <w:t xml:space="preserve"> pays </w:t>
      </w:r>
      <w:proofErr w:type="spellStart"/>
      <w:r w:rsidR="00891681">
        <w:t>ou</w:t>
      </w:r>
      <w:proofErr w:type="spellEnd"/>
      <w:r w:rsidR="00891681">
        <w:t xml:space="preserve"> </w:t>
      </w:r>
      <w:proofErr w:type="spellStart"/>
      <w:r w:rsidR="00891681">
        <w:t>régions</w:t>
      </w:r>
      <w:proofErr w:type="spellEnd"/>
      <w:r w:rsidR="00891681">
        <w:t xml:space="preserve"> des </w:t>
      </w:r>
      <w:proofErr w:type="spellStart"/>
      <w:r w:rsidR="00891681">
        <w:t>besoins</w:t>
      </w:r>
      <w:proofErr w:type="spellEnd"/>
      <w:r w:rsidR="00891681">
        <w:t xml:space="preserve"> et </w:t>
      </w:r>
      <w:proofErr w:type="spellStart"/>
      <w:r w:rsidR="00891681">
        <w:t>intérêts</w:t>
      </w:r>
      <w:proofErr w:type="spellEnd"/>
      <w:r w:rsidR="00891681">
        <w:t xml:space="preserve"> </w:t>
      </w:r>
      <w:proofErr w:type="spellStart"/>
      <w:r w:rsidR="00891681">
        <w:t>différents</w:t>
      </w:r>
      <w:proofErr w:type="spellEnd"/>
      <w:r w:rsidR="009F2D77" w:rsidRPr="00B12661">
        <w:rPr>
          <w:lang w:val="fr-CA"/>
        </w:rPr>
        <w:t>)</w:t>
      </w:r>
      <w:r w:rsidR="00B62BC0">
        <w:rPr>
          <w:lang w:val="fr-CA"/>
        </w:rPr>
        <w:t xml:space="preserve">; </w:t>
      </w:r>
      <w:r w:rsidR="00295C30">
        <w:rPr>
          <w:lang w:val="fr-CA"/>
        </w:rPr>
        <w:t>cette interdiction</w:t>
      </w:r>
      <w:r w:rsidR="00891681">
        <w:rPr>
          <w:lang w:val="fr-CA"/>
        </w:rPr>
        <w:t xml:space="preserve"> n’est donc pas </w:t>
      </w:r>
      <w:r w:rsidR="005E4B75" w:rsidRPr="00B12661">
        <w:rPr>
          <w:lang w:val="fr-CA"/>
        </w:rPr>
        <w:t xml:space="preserve">acceptable </w:t>
      </w:r>
      <w:r w:rsidR="00891681">
        <w:rPr>
          <w:lang w:val="fr-CA"/>
        </w:rPr>
        <w:t>pour le</w:t>
      </w:r>
      <w:r w:rsidR="005E4B75" w:rsidRPr="00B12661">
        <w:rPr>
          <w:lang w:val="fr-CA"/>
        </w:rPr>
        <w:t xml:space="preserve"> Canada.</w:t>
      </w:r>
      <w:r w:rsidR="009F2D77" w:rsidRPr="00B12661">
        <w:rPr>
          <w:lang w:val="fr-CA"/>
        </w:rPr>
        <w:t xml:space="preserve"> </w:t>
      </w:r>
    </w:p>
    <w:p w:rsidR="00E62E59" w:rsidRPr="00B12661" w:rsidRDefault="006C48B4" w:rsidP="0047146E">
      <w:pPr>
        <w:pStyle w:val="SingleTxtG"/>
        <w:ind w:left="1140"/>
        <w:rPr>
          <w:lang w:val="fr-CA"/>
        </w:rPr>
      </w:pPr>
      <w:r w:rsidRPr="00B12661">
        <w:rPr>
          <w:lang w:val="fr-CA"/>
        </w:rPr>
        <w:t>7.</w:t>
      </w:r>
      <w:r w:rsidR="00703F37" w:rsidRPr="00B12661">
        <w:rPr>
          <w:lang w:val="fr-CA"/>
        </w:rPr>
        <w:t xml:space="preserve"> </w:t>
      </w:r>
      <w:r w:rsidR="00891681">
        <w:rPr>
          <w:lang w:val="fr-CA"/>
        </w:rPr>
        <w:t xml:space="preserve">La norme </w:t>
      </w:r>
      <w:r w:rsidRPr="00B12661">
        <w:rPr>
          <w:lang w:val="fr-CA"/>
        </w:rPr>
        <w:t>ISO 21172-1:2015</w:t>
      </w:r>
      <w:r w:rsidR="00891681">
        <w:rPr>
          <w:lang w:val="fr-CA"/>
        </w:rPr>
        <w:t>, une norme de conception et</w:t>
      </w:r>
      <w:r w:rsidRPr="00B12661">
        <w:rPr>
          <w:lang w:val="fr-CA"/>
        </w:rPr>
        <w:t xml:space="preserve"> </w:t>
      </w:r>
      <w:r w:rsidR="00C701D3">
        <w:rPr>
          <w:lang w:val="fr-CA"/>
        </w:rPr>
        <w:t xml:space="preserve">de </w:t>
      </w:r>
      <w:r w:rsidRPr="00B12661">
        <w:rPr>
          <w:lang w:val="fr-CA"/>
        </w:rPr>
        <w:t>construction</w:t>
      </w:r>
      <w:r w:rsidR="00891681">
        <w:rPr>
          <w:lang w:val="fr-CA"/>
        </w:rPr>
        <w:t xml:space="preserve">, ne devrait contenir aucune disposition d’utilisation pour un gaz </w:t>
      </w:r>
      <w:r w:rsidR="00C701D3">
        <w:rPr>
          <w:lang w:val="fr-CA"/>
        </w:rPr>
        <w:t>particulier</w:t>
      </w:r>
      <w:r w:rsidRPr="00B12661">
        <w:rPr>
          <w:lang w:val="fr-CA"/>
        </w:rPr>
        <w:t>.</w:t>
      </w:r>
      <w:r w:rsidR="00703F37" w:rsidRPr="00B12661">
        <w:rPr>
          <w:lang w:val="fr-CA"/>
        </w:rPr>
        <w:t xml:space="preserve"> </w:t>
      </w:r>
      <w:r w:rsidR="00891681">
        <w:rPr>
          <w:lang w:val="fr-CA"/>
        </w:rPr>
        <w:t>La restriction d’utilisation énoncée dans la</w:t>
      </w:r>
      <w:r w:rsidR="00E62E59" w:rsidRPr="00B12661">
        <w:rPr>
          <w:lang w:val="fr-CA"/>
        </w:rPr>
        <w:t xml:space="preserve"> section</w:t>
      </w:r>
      <w:r w:rsidR="0047146E" w:rsidRPr="00B12661">
        <w:rPr>
          <w:lang w:val="fr-CA"/>
        </w:rPr>
        <w:t xml:space="preserve"> 6.3.3.4 </w:t>
      </w:r>
      <w:r w:rsidR="00891681">
        <w:rPr>
          <w:lang w:val="fr-CA"/>
        </w:rPr>
        <w:t>de la norme</w:t>
      </w:r>
      <w:r w:rsidR="0047146E" w:rsidRPr="00B12661">
        <w:rPr>
          <w:lang w:val="fr-CA"/>
        </w:rPr>
        <w:t xml:space="preserve"> ISO 21172-1</w:t>
      </w:r>
      <w:r w:rsidR="00E62E59" w:rsidRPr="00B12661">
        <w:rPr>
          <w:lang w:val="fr-CA"/>
        </w:rPr>
        <w:t xml:space="preserve"> </w:t>
      </w:r>
      <w:r w:rsidR="00C701D3">
        <w:rPr>
          <w:lang w:val="fr-CA"/>
        </w:rPr>
        <w:t>n’entre</w:t>
      </w:r>
      <w:r w:rsidR="00B62BC0">
        <w:rPr>
          <w:lang w:val="fr-CA"/>
        </w:rPr>
        <w:t xml:space="preserve"> effectivement pas dans</w:t>
      </w:r>
      <w:r w:rsidR="00891681">
        <w:rPr>
          <w:lang w:val="fr-CA"/>
        </w:rPr>
        <w:t xml:space="preserve"> la portée précisée de la norme</w:t>
      </w:r>
      <w:r w:rsidR="000C54C1" w:rsidRPr="00B12661">
        <w:rPr>
          <w:lang w:val="fr-CA"/>
        </w:rPr>
        <w:t>.</w:t>
      </w:r>
      <w:r w:rsidR="00703F37" w:rsidRPr="00B12661">
        <w:rPr>
          <w:lang w:val="fr-CA"/>
        </w:rPr>
        <w:t xml:space="preserve"> </w:t>
      </w:r>
      <w:r w:rsidR="00891681">
        <w:rPr>
          <w:lang w:val="fr-CA"/>
        </w:rPr>
        <w:t>Si justifiée, cette restriction devrait être précisée dans l’</w:t>
      </w:r>
      <w:r w:rsidRPr="00B12661">
        <w:rPr>
          <w:lang w:val="fr-CA"/>
        </w:rPr>
        <w:t xml:space="preserve">instruction </w:t>
      </w:r>
      <w:r w:rsidR="00891681">
        <w:rPr>
          <w:lang w:val="fr-CA"/>
        </w:rPr>
        <w:t xml:space="preserve">d’emballage </w:t>
      </w:r>
      <w:r w:rsidRPr="00B12661">
        <w:rPr>
          <w:lang w:val="fr-CA"/>
        </w:rPr>
        <w:t xml:space="preserve">P200 </w:t>
      </w:r>
      <w:r w:rsidR="00891681">
        <w:rPr>
          <w:lang w:val="fr-CA"/>
        </w:rPr>
        <w:t>du Règlement type de l’ONU</w:t>
      </w:r>
      <w:r w:rsidR="00703F37" w:rsidRPr="00B12661">
        <w:rPr>
          <w:lang w:val="fr-CA"/>
        </w:rPr>
        <w:t>.</w:t>
      </w:r>
      <w:r w:rsidRPr="00B12661">
        <w:rPr>
          <w:lang w:val="fr-CA"/>
        </w:rPr>
        <w:t xml:space="preserve"> </w:t>
      </w:r>
    </w:p>
    <w:p w:rsidR="00B808E4" w:rsidRPr="00B12661" w:rsidRDefault="0047146E" w:rsidP="00B808E4">
      <w:pPr>
        <w:pStyle w:val="SingleTxtG"/>
        <w:rPr>
          <w:lang w:val="fr-CA"/>
        </w:rPr>
      </w:pPr>
      <w:r w:rsidRPr="00B12661">
        <w:rPr>
          <w:lang w:val="fr-CA"/>
        </w:rPr>
        <w:t>8</w:t>
      </w:r>
      <w:r w:rsidR="0019356C" w:rsidRPr="00B12661">
        <w:rPr>
          <w:lang w:val="fr-CA"/>
        </w:rPr>
        <w:t>.</w:t>
      </w:r>
      <w:r w:rsidR="0019356C" w:rsidRPr="00B12661">
        <w:rPr>
          <w:lang w:val="fr-CA"/>
        </w:rPr>
        <w:tab/>
      </w:r>
      <w:r w:rsidR="001B0550">
        <w:rPr>
          <w:lang w:val="fr-CA"/>
        </w:rPr>
        <w:t>Les barils sous pression</w:t>
      </w:r>
      <w:r w:rsidR="00125A9D" w:rsidRPr="00B12661">
        <w:rPr>
          <w:lang w:val="fr-CA"/>
        </w:rPr>
        <w:t xml:space="preserve">, </w:t>
      </w:r>
      <w:r w:rsidR="001B0550">
        <w:rPr>
          <w:lang w:val="fr-CA"/>
        </w:rPr>
        <w:t>aussi communément appelés</w:t>
      </w:r>
      <w:r w:rsidR="00125A9D" w:rsidRPr="00B12661">
        <w:rPr>
          <w:lang w:val="fr-CA"/>
        </w:rPr>
        <w:t xml:space="preserve"> </w:t>
      </w:r>
      <w:r w:rsidR="00524416" w:rsidRPr="00B12661">
        <w:rPr>
          <w:lang w:val="fr-CA"/>
        </w:rPr>
        <w:t>réservoirs à grande capacité</w:t>
      </w:r>
      <w:r w:rsidR="008D33EE" w:rsidRPr="00B12661">
        <w:rPr>
          <w:lang w:val="fr-CA"/>
        </w:rPr>
        <w:t xml:space="preserve">, </w:t>
      </w:r>
      <w:r w:rsidR="003A5CD9">
        <w:rPr>
          <w:lang w:val="fr-CA"/>
        </w:rPr>
        <w:t>contenants d’une tonne ou réservoirs pour</w:t>
      </w:r>
      <w:r w:rsidR="00445D73" w:rsidRPr="00B12661">
        <w:rPr>
          <w:lang w:val="fr-CA"/>
        </w:rPr>
        <w:t xml:space="preserve"> </w:t>
      </w:r>
      <w:r w:rsidR="003A5CD9">
        <w:rPr>
          <w:lang w:val="fr-CA"/>
        </w:rPr>
        <w:t>citernes routières à éléments multiples</w:t>
      </w:r>
      <w:r w:rsidR="00125A9D" w:rsidRPr="00B12661">
        <w:rPr>
          <w:lang w:val="fr-CA"/>
        </w:rPr>
        <w:t xml:space="preserve">, </w:t>
      </w:r>
      <w:r w:rsidR="003A5CD9" w:rsidRPr="00B12661">
        <w:rPr>
          <w:lang w:val="fr-CA"/>
        </w:rPr>
        <w:t>à fonds bombés convexes à la pression</w:t>
      </w:r>
      <w:r w:rsidR="00125A9D" w:rsidRPr="00B12661">
        <w:rPr>
          <w:lang w:val="fr-CA"/>
        </w:rPr>
        <w:t xml:space="preserve">, </w:t>
      </w:r>
      <w:r w:rsidR="003A5CD9">
        <w:rPr>
          <w:lang w:val="fr-CA"/>
        </w:rPr>
        <w:t xml:space="preserve">sont utilisés pour le </w:t>
      </w:r>
      <w:r w:rsidR="0088349B">
        <w:rPr>
          <w:lang w:val="fr-CA"/>
        </w:rPr>
        <w:t>transport</w:t>
      </w:r>
      <w:r w:rsidR="003A5CD9">
        <w:rPr>
          <w:lang w:val="fr-CA"/>
        </w:rPr>
        <w:t xml:space="preserve"> de gaz corrosif</w:t>
      </w:r>
      <w:r w:rsidR="00295C30">
        <w:rPr>
          <w:lang w:val="fr-CA"/>
        </w:rPr>
        <w:t>s</w:t>
      </w:r>
      <w:r w:rsidR="003A5CD9">
        <w:rPr>
          <w:lang w:val="fr-CA"/>
        </w:rPr>
        <w:t xml:space="preserve"> en Amérique du Nord depuis</w:t>
      </w:r>
      <w:r w:rsidR="00E62E59" w:rsidRPr="00B12661">
        <w:rPr>
          <w:lang w:val="fr-CA"/>
        </w:rPr>
        <w:t xml:space="preserve"> 1936</w:t>
      </w:r>
      <w:r w:rsidR="00A33C0C" w:rsidRPr="00B12661">
        <w:rPr>
          <w:lang w:val="fr-CA"/>
        </w:rPr>
        <w:t xml:space="preserve">. </w:t>
      </w:r>
      <w:r w:rsidR="003A5CD9">
        <w:rPr>
          <w:lang w:val="fr-CA"/>
        </w:rPr>
        <w:t xml:space="preserve">Ce type de contenant </w:t>
      </w:r>
      <w:r w:rsidR="00C701D3">
        <w:rPr>
          <w:lang w:val="fr-CA"/>
        </w:rPr>
        <w:t>présente</w:t>
      </w:r>
      <w:r w:rsidR="003A5CD9">
        <w:rPr>
          <w:lang w:val="fr-CA"/>
        </w:rPr>
        <w:t xml:space="preserve"> un bilan de sécurité exemplaire lorsque les inspections et les mises à l’essai sont effectuées </w:t>
      </w:r>
      <w:r w:rsidR="0088349B">
        <w:rPr>
          <w:lang w:val="fr-CA"/>
        </w:rPr>
        <w:t>selon</w:t>
      </w:r>
      <w:r w:rsidR="003A5CD9">
        <w:rPr>
          <w:lang w:val="fr-CA"/>
        </w:rPr>
        <w:t xml:space="preserve"> la fréquence prescrite</w:t>
      </w:r>
      <w:r w:rsidR="002B6CCD" w:rsidRPr="00B12661">
        <w:rPr>
          <w:lang w:val="fr-CA"/>
        </w:rPr>
        <w:t>.</w:t>
      </w:r>
      <w:r w:rsidR="00125A9D" w:rsidRPr="00B12661">
        <w:rPr>
          <w:lang w:val="fr-CA"/>
        </w:rPr>
        <w:t xml:space="preserve"> </w:t>
      </w:r>
      <w:r w:rsidR="00E52284">
        <w:rPr>
          <w:lang w:val="fr-CA"/>
        </w:rPr>
        <w:t>Ces contenants</w:t>
      </w:r>
      <w:r w:rsidR="0088349B">
        <w:rPr>
          <w:lang w:val="fr-CA"/>
        </w:rPr>
        <w:t xml:space="preserve"> </w:t>
      </w:r>
      <w:r w:rsidR="00E52284">
        <w:rPr>
          <w:lang w:val="fr-CA"/>
        </w:rPr>
        <w:t xml:space="preserve">sont habituellement utilisés pour le </w:t>
      </w:r>
      <w:r w:rsidR="0088349B">
        <w:rPr>
          <w:lang w:val="fr-CA"/>
        </w:rPr>
        <w:t>transport</w:t>
      </w:r>
      <w:r w:rsidR="00125A9D" w:rsidRPr="00B12661">
        <w:rPr>
          <w:lang w:val="fr-CA"/>
        </w:rPr>
        <w:t xml:space="preserve"> </w:t>
      </w:r>
      <w:r w:rsidR="00E52284">
        <w:rPr>
          <w:lang w:val="fr-CA"/>
        </w:rPr>
        <w:t>d</w:t>
      </w:r>
      <w:r w:rsidR="00C701D3">
        <w:rPr>
          <w:lang w:val="fr-CA"/>
        </w:rPr>
        <w:t>e</w:t>
      </w:r>
      <w:r w:rsidR="00E52284">
        <w:rPr>
          <w:lang w:val="fr-CA"/>
        </w:rPr>
        <w:t xml:space="preserve"> chlore gazeux et d</w:t>
      </w:r>
      <w:r w:rsidR="00C701D3">
        <w:rPr>
          <w:lang w:val="fr-CA"/>
        </w:rPr>
        <w:t>e</w:t>
      </w:r>
      <w:r w:rsidR="00E52284">
        <w:rPr>
          <w:lang w:val="fr-CA"/>
        </w:rPr>
        <w:t xml:space="preserve"> dioxyde de soufre</w:t>
      </w:r>
      <w:r w:rsidR="00125A9D" w:rsidRPr="00B12661">
        <w:rPr>
          <w:lang w:val="fr-CA"/>
        </w:rPr>
        <w:t>.</w:t>
      </w:r>
      <w:r w:rsidR="00B808E4" w:rsidRPr="00B12661">
        <w:rPr>
          <w:lang w:val="fr-CA"/>
        </w:rPr>
        <w:t xml:space="preserve"> </w:t>
      </w:r>
      <w:r w:rsidR="00295C30">
        <w:rPr>
          <w:lang w:val="fr-CA"/>
        </w:rPr>
        <w:t>U</w:t>
      </w:r>
      <w:r w:rsidR="00E52284">
        <w:rPr>
          <w:lang w:val="fr-CA"/>
        </w:rPr>
        <w:t>n contenant d’une tonne de chlore gazeux</w:t>
      </w:r>
      <w:r w:rsidR="00445D73" w:rsidRPr="00B12661">
        <w:rPr>
          <w:lang w:val="fr-CA"/>
        </w:rPr>
        <w:t xml:space="preserve"> </w:t>
      </w:r>
      <w:r w:rsidR="00B808E4" w:rsidRPr="00B12661">
        <w:rPr>
          <w:lang w:val="fr-CA"/>
        </w:rPr>
        <w:t>(</w:t>
      </w:r>
      <w:r w:rsidR="00C701D3">
        <w:rPr>
          <w:lang w:val="fr-CA"/>
        </w:rPr>
        <w:t>s</w:t>
      </w:r>
      <w:r w:rsidR="00931595" w:rsidRPr="00B12661">
        <w:rPr>
          <w:lang w:val="fr-CA"/>
        </w:rPr>
        <w:t>p</w:t>
      </w:r>
      <w:r w:rsidR="00C701D3">
        <w:rPr>
          <w:lang w:val="fr-CA"/>
        </w:rPr>
        <w:t>é</w:t>
      </w:r>
      <w:r w:rsidR="00931595" w:rsidRPr="00B12661">
        <w:rPr>
          <w:lang w:val="fr-CA"/>
        </w:rPr>
        <w:t>cification</w:t>
      </w:r>
      <w:r w:rsidR="00E52284">
        <w:rPr>
          <w:lang w:val="fr-CA"/>
        </w:rPr>
        <w:t xml:space="preserve"> de TC</w:t>
      </w:r>
      <w:r w:rsidR="00931595" w:rsidRPr="00B12661">
        <w:rPr>
          <w:lang w:val="fr-CA"/>
        </w:rPr>
        <w:t xml:space="preserve"> 106A</w:t>
      </w:r>
      <w:r w:rsidR="002632FE" w:rsidRPr="00B12661">
        <w:rPr>
          <w:lang w:val="fr-CA"/>
        </w:rPr>
        <w:t>500X</w:t>
      </w:r>
      <w:r w:rsidR="00B808E4" w:rsidRPr="00B12661">
        <w:rPr>
          <w:lang w:val="fr-CA"/>
        </w:rPr>
        <w:t xml:space="preserve">) </w:t>
      </w:r>
      <w:r w:rsidR="00E52284">
        <w:rPr>
          <w:lang w:val="fr-CA"/>
        </w:rPr>
        <w:t xml:space="preserve">est </w:t>
      </w:r>
      <w:r w:rsidR="005C2935">
        <w:rPr>
          <w:lang w:val="fr-CA"/>
        </w:rPr>
        <w:t>montré</w:t>
      </w:r>
      <w:r w:rsidR="00E52284">
        <w:rPr>
          <w:lang w:val="fr-CA"/>
        </w:rPr>
        <w:t xml:space="preserve"> ci-après à titre illustratif </w:t>
      </w:r>
      <w:r w:rsidR="00B808E4" w:rsidRPr="00B12661">
        <w:rPr>
          <w:lang w:val="fr-CA"/>
        </w:rPr>
        <w:t>:</w:t>
      </w:r>
    </w:p>
    <w:p w:rsidR="00B808E4" w:rsidRPr="00B12661" w:rsidRDefault="00ED100C" w:rsidP="00B808E4">
      <w:pPr>
        <w:pStyle w:val="SingleTxtG"/>
        <w:jc w:val="center"/>
        <w:rPr>
          <w:lang w:val="fr-CA"/>
        </w:rPr>
      </w:pPr>
      <w:r>
        <w:rPr>
          <w:noProof/>
          <w:lang w:val="en-GB" w:eastAsia="en-GB"/>
        </w:rPr>
        <w:drawing>
          <wp:inline distT="0" distB="0" distL="0" distR="0">
            <wp:extent cx="1828800" cy="1828800"/>
            <wp:effectExtent l="0" t="0" r="0" b="0"/>
            <wp:docPr id="1" name="Picture 1" descr="4602_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02_D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64" w:rsidRPr="00B12661" w:rsidRDefault="00B12661" w:rsidP="00F43364">
      <w:pPr>
        <w:pStyle w:val="SingleTxtG"/>
        <w:jc w:val="left"/>
        <w:rPr>
          <w:lang w:val="fr-CA"/>
        </w:rPr>
      </w:pPr>
      <w:r w:rsidRPr="00B12661">
        <w:rPr>
          <w:lang w:val="fr-CA"/>
        </w:rPr>
        <w:t>Les têtes inversées constituent une caractéristique de sécurité</w:t>
      </w:r>
      <w:r w:rsidR="00F43364" w:rsidRPr="00B12661">
        <w:rPr>
          <w:lang w:val="fr-CA"/>
        </w:rPr>
        <w:t xml:space="preserve"> – </w:t>
      </w:r>
      <w:r w:rsidRPr="00B12661">
        <w:rPr>
          <w:lang w:val="fr-CA"/>
        </w:rPr>
        <w:t xml:space="preserve">si un réservoir est accidentellement </w:t>
      </w:r>
      <w:proofErr w:type="gramStart"/>
      <w:r w:rsidRPr="00B12661">
        <w:rPr>
          <w:lang w:val="fr-CA"/>
        </w:rPr>
        <w:t>sur</w:t>
      </w:r>
      <w:r w:rsidR="00C701D3">
        <w:rPr>
          <w:lang w:val="fr-CA"/>
        </w:rPr>
        <w:t>-</w:t>
      </w:r>
      <w:r w:rsidRPr="00B12661">
        <w:rPr>
          <w:lang w:val="fr-CA"/>
        </w:rPr>
        <w:t>pressurisé</w:t>
      </w:r>
      <w:proofErr w:type="gramEnd"/>
      <w:r w:rsidR="00F43364" w:rsidRPr="00B12661">
        <w:rPr>
          <w:lang w:val="fr-CA"/>
        </w:rPr>
        <w:t xml:space="preserve">, </w:t>
      </w:r>
      <w:r w:rsidRPr="00B12661">
        <w:rPr>
          <w:lang w:val="fr-CA"/>
        </w:rPr>
        <w:t>la tête s’inversera ou poussera vers l’extérieur, p</w:t>
      </w:r>
      <w:r w:rsidR="00295C30">
        <w:rPr>
          <w:lang w:val="fr-CA"/>
        </w:rPr>
        <w:t>our p</w:t>
      </w:r>
      <w:r w:rsidRPr="00B12661">
        <w:rPr>
          <w:lang w:val="fr-CA"/>
        </w:rPr>
        <w:t>rodui</w:t>
      </w:r>
      <w:r w:rsidR="00295C30">
        <w:rPr>
          <w:lang w:val="fr-CA"/>
        </w:rPr>
        <w:t>re</w:t>
      </w:r>
      <w:r w:rsidRPr="00B12661">
        <w:rPr>
          <w:lang w:val="fr-CA"/>
        </w:rPr>
        <w:t xml:space="preserve"> une indication visuelle immédiate de </w:t>
      </w:r>
      <w:proofErr w:type="spellStart"/>
      <w:r w:rsidRPr="00B12661">
        <w:rPr>
          <w:lang w:val="fr-CA"/>
        </w:rPr>
        <w:t>surpressurisation</w:t>
      </w:r>
      <w:proofErr w:type="spellEnd"/>
      <w:r w:rsidR="00F43364" w:rsidRPr="00B12661">
        <w:rPr>
          <w:lang w:val="fr-CA"/>
        </w:rPr>
        <w:t>.</w:t>
      </w:r>
      <w:r w:rsidR="00703F37" w:rsidRPr="00B12661">
        <w:rPr>
          <w:lang w:val="fr-CA"/>
        </w:rPr>
        <w:t xml:space="preserve"> </w:t>
      </w:r>
    </w:p>
    <w:p w:rsidR="002E4C77" w:rsidRPr="00B12661" w:rsidRDefault="0088349B" w:rsidP="002E4C77">
      <w:pPr>
        <w:pStyle w:val="SingleTxtG"/>
        <w:rPr>
          <w:lang w:val="fr-CA"/>
        </w:rPr>
      </w:pPr>
      <w:r>
        <w:rPr>
          <w:lang w:val="fr-CA"/>
        </w:rPr>
        <w:br w:type="page"/>
      </w:r>
      <w:r w:rsidR="0047146E" w:rsidRPr="00B12661">
        <w:rPr>
          <w:lang w:val="fr-CA"/>
        </w:rPr>
        <w:lastRenderedPageBreak/>
        <w:t>9</w:t>
      </w:r>
      <w:r w:rsidR="009667C3" w:rsidRPr="00B12661">
        <w:rPr>
          <w:lang w:val="fr-CA"/>
        </w:rPr>
        <w:t>.</w:t>
      </w:r>
      <w:r w:rsidR="009667C3" w:rsidRPr="00B12661">
        <w:rPr>
          <w:lang w:val="fr-CA"/>
        </w:rPr>
        <w:tab/>
      </w:r>
      <w:r w:rsidR="0025708F" w:rsidRPr="00B12661">
        <w:rPr>
          <w:lang w:val="fr-CA"/>
        </w:rPr>
        <w:t>L’énoncé suivant figur</w:t>
      </w:r>
      <w:r w:rsidR="005C2935">
        <w:rPr>
          <w:lang w:val="fr-CA"/>
        </w:rPr>
        <w:t>e</w:t>
      </w:r>
      <w:r w:rsidR="0025708F" w:rsidRPr="00B12661">
        <w:rPr>
          <w:lang w:val="fr-CA"/>
        </w:rPr>
        <w:t xml:space="preserve"> à la section 7.3.3.4 de la norme provisoire</w:t>
      </w:r>
      <w:r w:rsidR="005C2935">
        <w:rPr>
          <w:lang w:val="fr-CA"/>
        </w:rPr>
        <w:t xml:space="preserve"> ISO/DIS </w:t>
      </w:r>
      <w:r w:rsidR="008D33EE" w:rsidRPr="00B12661">
        <w:rPr>
          <w:lang w:val="fr-CA"/>
        </w:rPr>
        <w:t>21172</w:t>
      </w:r>
      <w:r w:rsidR="005C2935">
        <w:rPr>
          <w:lang w:val="fr-CA"/>
        </w:rPr>
        <w:noBreakHyphen/>
      </w:r>
      <w:r w:rsidR="008D33EE" w:rsidRPr="00B12661">
        <w:rPr>
          <w:lang w:val="fr-CA"/>
        </w:rPr>
        <w:t>1</w:t>
      </w:r>
      <w:r w:rsidR="0025708F" w:rsidRPr="00B12661">
        <w:rPr>
          <w:lang w:val="fr-CA"/>
        </w:rPr>
        <w:t> </w:t>
      </w:r>
      <w:r w:rsidR="00F1629C" w:rsidRPr="00B12661">
        <w:rPr>
          <w:lang w:val="fr-CA"/>
        </w:rPr>
        <w:t xml:space="preserve">: </w:t>
      </w:r>
    </w:p>
    <w:p w:rsidR="00F1629C" w:rsidRPr="00B12661" w:rsidRDefault="0025708F" w:rsidP="00BE409E">
      <w:pPr>
        <w:pStyle w:val="SingleTxtG"/>
        <w:rPr>
          <w:lang w:val="fr-CA"/>
        </w:rPr>
      </w:pPr>
      <w:r w:rsidRPr="00B12661">
        <w:rPr>
          <w:lang w:val="fr-CA"/>
        </w:rPr>
        <w:t xml:space="preserve">« AVERTISSEMENT : Les </w:t>
      </w:r>
      <w:r w:rsidR="005C2935">
        <w:rPr>
          <w:lang w:val="fr-CA"/>
        </w:rPr>
        <w:t xml:space="preserve">mesures de </w:t>
      </w:r>
      <w:r w:rsidRPr="00B12661">
        <w:rPr>
          <w:lang w:val="fr-CA"/>
        </w:rPr>
        <w:t>préc</w:t>
      </w:r>
      <w:r w:rsidR="00B12661">
        <w:rPr>
          <w:lang w:val="fr-CA"/>
        </w:rPr>
        <w:t>a</w:t>
      </w:r>
      <w:r w:rsidRPr="00B12661">
        <w:rPr>
          <w:lang w:val="fr-CA"/>
        </w:rPr>
        <w:t>ution appropriées doivent être prises lorsque les</w:t>
      </w:r>
      <w:r w:rsidRPr="00B12661">
        <w:rPr>
          <w:i/>
          <w:lang w:val="fr-CA"/>
        </w:rPr>
        <w:t xml:space="preserve"> </w:t>
      </w:r>
      <w:r w:rsidRPr="00B12661">
        <w:rPr>
          <w:lang w:val="fr-CA"/>
        </w:rPr>
        <w:t>barils sous pression UN à fonds bombés convexes à la pression sont utilisés pour un service potentiellement corrosif » [</w:t>
      </w:r>
      <w:r w:rsidRPr="00C701D3">
        <w:rPr>
          <w:lang w:val="fr-CA"/>
        </w:rPr>
        <w:t>Traduction]</w:t>
      </w:r>
      <w:r w:rsidR="00C701D3">
        <w:rPr>
          <w:lang w:val="fr-CA"/>
        </w:rPr>
        <w:t>.</w:t>
      </w:r>
    </w:p>
    <w:p w:rsidR="00552424" w:rsidRPr="00B12661" w:rsidRDefault="0025708F" w:rsidP="005C57D2">
      <w:pPr>
        <w:pStyle w:val="SingleTxtG"/>
        <w:rPr>
          <w:lang w:val="fr-CA"/>
        </w:rPr>
      </w:pPr>
      <w:r w:rsidRPr="00B12661">
        <w:rPr>
          <w:lang w:val="fr-CA"/>
        </w:rPr>
        <w:t xml:space="preserve">L’avertissement a été </w:t>
      </w:r>
      <w:r w:rsidR="00C701D3">
        <w:rPr>
          <w:lang w:val="fr-CA"/>
        </w:rPr>
        <w:t>modifié</w:t>
      </w:r>
      <w:r w:rsidRPr="00B12661">
        <w:rPr>
          <w:lang w:val="fr-CA"/>
        </w:rPr>
        <w:t xml:space="preserve"> </w:t>
      </w:r>
      <w:r w:rsidR="0088349B">
        <w:rPr>
          <w:lang w:val="fr-CA"/>
        </w:rPr>
        <w:t>pour devenir</w:t>
      </w:r>
      <w:r w:rsidRPr="00B12661">
        <w:rPr>
          <w:lang w:val="fr-CA"/>
        </w:rPr>
        <w:t xml:space="preserve"> une restriction réelle dans la</w:t>
      </w:r>
      <w:r w:rsidR="008D33EE" w:rsidRPr="00B12661">
        <w:rPr>
          <w:lang w:val="fr-CA"/>
        </w:rPr>
        <w:t xml:space="preserve"> secti</w:t>
      </w:r>
      <w:r w:rsidR="009B1FCB" w:rsidRPr="00B12661">
        <w:rPr>
          <w:lang w:val="fr-CA"/>
        </w:rPr>
        <w:t xml:space="preserve">on 6.3.3.4 </w:t>
      </w:r>
      <w:r w:rsidRPr="00B12661">
        <w:rPr>
          <w:lang w:val="fr-CA"/>
        </w:rPr>
        <w:t>de la norme</w:t>
      </w:r>
      <w:r w:rsidR="009B1FCB" w:rsidRPr="00B12661">
        <w:rPr>
          <w:lang w:val="fr-CA"/>
        </w:rPr>
        <w:t xml:space="preserve"> ISO/FDIS 21172-1</w:t>
      </w:r>
      <w:r w:rsidRPr="00B12661">
        <w:rPr>
          <w:lang w:val="fr-CA"/>
        </w:rPr>
        <w:t xml:space="preserve">, </w:t>
      </w:r>
      <w:r w:rsidR="00F8322D">
        <w:rPr>
          <w:lang w:val="fr-CA"/>
        </w:rPr>
        <w:t>à la suite d’</w:t>
      </w:r>
      <w:r w:rsidRPr="00B12661">
        <w:rPr>
          <w:lang w:val="fr-CA"/>
        </w:rPr>
        <w:t>une modification de proposition présentée par un membre de l’</w:t>
      </w:r>
      <w:r w:rsidR="009B1FCB" w:rsidRPr="00B12661">
        <w:rPr>
          <w:lang w:val="fr-CA"/>
        </w:rPr>
        <w:t xml:space="preserve">ISO </w:t>
      </w:r>
      <w:r w:rsidR="00B12661" w:rsidRPr="00B12661">
        <w:rPr>
          <w:lang w:val="fr-CA"/>
        </w:rPr>
        <w:t>dans le cadre du vote sur la norme</w:t>
      </w:r>
      <w:r w:rsidR="009B1FCB" w:rsidRPr="00B12661">
        <w:rPr>
          <w:lang w:val="fr-CA"/>
        </w:rPr>
        <w:t xml:space="preserve"> </w:t>
      </w:r>
      <w:r w:rsidR="002B6CCD" w:rsidRPr="00B12661">
        <w:rPr>
          <w:lang w:val="fr-CA"/>
        </w:rPr>
        <w:t>ISO/DIS 21172-1.</w:t>
      </w:r>
      <w:r w:rsidR="00703F37" w:rsidRPr="00B12661">
        <w:rPr>
          <w:lang w:val="fr-CA"/>
        </w:rPr>
        <w:t xml:space="preserve"> </w:t>
      </w:r>
      <w:r w:rsidR="00B12661" w:rsidRPr="00B12661">
        <w:rPr>
          <w:lang w:val="fr-CA"/>
        </w:rPr>
        <w:t>Même si le</w:t>
      </w:r>
      <w:r w:rsidR="00DB30DC" w:rsidRPr="00B12661">
        <w:rPr>
          <w:lang w:val="fr-CA"/>
        </w:rPr>
        <w:t xml:space="preserve"> Canada </w:t>
      </w:r>
      <w:r w:rsidR="00B12661" w:rsidRPr="00B12661">
        <w:rPr>
          <w:lang w:val="fr-CA"/>
        </w:rPr>
        <w:t>s’</w:t>
      </w:r>
      <w:r w:rsidR="005C2935">
        <w:rPr>
          <w:lang w:val="fr-CA"/>
        </w:rPr>
        <w:t xml:space="preserve">est fortement </w:t>
      </w:r>
      <w:r w:rsidR="00B12661" w:rsidRPr="00B12661">
        <w:rPr>
          <w:lang w:val="fr-CA"/>
        </w:rPr>
        <w:t>oppos</w:t>
      </w:r>
      <w:r w:rsidR="005C2935">
        <w:rPr>
          <w:lang w:val="fr-CA"/>
        </w:rPr>
        <w:t>é</w:t>
      </w:r>
      <w:r w:rsidR="00B12661" w:rsidRPr="00B12661">
        <w:rPr>
          <w:lang w:val="fr-CA"/>
        </w:rPr>
        <w:t xml:space="preserve"> à la proposition </w:t>
      </w:r>
      <w:r w:rsidR="00F8322D">
        <w:rPr>
          <w:lang w:val="fr-CA"/>
        </w:rPr>
        <w:t>de modification</w:t>
      </w:r>
      <w:r w:rsidR="00B12661" w:rsidRPr="00B12661">
        <w:rPr>
          <w:lang w:val="fr-CA"/>
        </w:rPr>
        <w:t xml:space="preserve"> pour que la note d’avertissement devienne une restriction</w:t>
      </w:r>
      <w:r w:rsidR="009B1FCB" w:rsidRPr="00B12661">
        <w:rPr>
          <w:lang w:val="fr-CA"/>
        </w:rPr>
        <w:t xml:space="preserve">, </w:t>
      </w:r>
      <w:r w:rsidR="00B12661" w:rsidRPr="00B12661">
        <w:rPr>
          <w:lang w:val="fr-CA"/>
        </w:rPr>
        <w:t>le</w:t>
      </w:r>
      <w:r w:rsidR="0088349B">
        <w:rPr>
          <w:lang w:val="fr-CA"/>
        </w:rPr>
        <w:t>s membres du</w:t>
      </w:r>
      <w:r w:rsidR="00B12661" w:rsidRPr="00B12661">
        <w:rPr>
          <w:lang w:val="fr-CA"/>
        </w:rPr>
        <w:t xml:space="preserve"> groupe de travail</w:t>
      </w:r>
      <w:r w:rsidR="00DB30DC" w:rsidRPr="00B12661">
        <w:rPr>
          <w:lang w:val="fr-CA"/>
        </w:rPr>
        <w:t xml:space="preserve"> (</w:t>
      </w:r>
      <w:r w:rsidR="00B12661" w:rsidRPr="00B12661">
        <w:rPr>
          <w:lang w:val="fr-CA"/>
        </w:rPr>
        <w:t>GT</w:t>
      </w:r>
      <w:r w:rsidR="00DB30DC" w:rsidRPr="00B12661">
        <w:rPr>
          <w:lang w:val="fr-CA"/>
        </w:rPr>
        <w:t>23</w:t>
      </w:r>
      <w:r w:rsidR="00A17A84" w:rsidRPr="00B12661">
        <w:rPr>
          <w:lang w:val="fr-CA"/>
        </w:rPr>
        <w:t xml:space="preserve"> </w:t>
      </w:r>
      <w:r w:rsidR="00B12661" w:rsidRPr="00B12661">
        <w:rPr>
          <w:lang w:val="fr-CA"/>
        </w:rPr>
        <w:t>de l’</w:t>
      </w:r>
      <w:r w:rsidR="00A17A84" w:rsidRPr="00B12661">
        <w:rPr>
          <w:lang w:val="fr-CA"/>
        </w:rPr>
        <w:t>ISO/TC 58/SC 3</w:t>
      </w:r>
      <w:r w:rsidR="00DB30DC" w:rsidRPr="00B12661">
        <w:rPr>
          <w:lang w:val="fr-CA"/>
        </w:rPr>
        <w:t xml:space="preserve">) </w:t>
      </w:r>
      <w:r w:rsidR="0088349B">
        <w:rPr>
          <w:lang w:val="fr-CA"/>
        </w:rPr>
        <w:t>ont convenu</w:t>
      </w:r>
      <w:r w:rsidR="00B12661" w:rsidRPr="00B12661">
        <w:rPr>
          <w:lang w:val="fr-CA"/>
        </w:rPr>
        <w:t xml:space="preserve"> de l’accepter</w:t>
      </w:r>
      <w:r w:rsidR="00DB30DC" w:rsidRPr="00B12661">
        <w:rPr>
          <w:lang w:val="fr-CA"/>
        </w:rPr>
        <w:t>.</w:t>
      </w:r>
      <w:r w:rsidR="000B1C33" w:rsidRPr="00B12661">
        <w:rPr>
          <w:lang w:val="fr-CA"/>
        </w:rPr>
        <w:tab/>
      </w:r>
    </w:p>
    <w:p w:rsidR="00734718" w:rsidRPr="00B12661" w:rsidRDefault="00524416" w:rsidP="00552424">
      <w:pPr>
        <w:pStyle w:val="HChG"/>
        <w:ind w:left="283" w:firstLine="851"/>
        <w:rPr>
          <w:lang w:val="fr-CA"/>
        </w:rPr>
      </w:pPr>
      <w:r w:rsidRPr="00B12661">
        <w:rPr>
          <w:lang w:val="fr-CA"/>
        </w:rPr>
        <w:t>M</w:t>
      </w:r>
      <w:r w:rsidR="000B1C33" w:rsidRPr="00B12661">
        <w:rPr>
          <w:lang w:val="fr-CA"/>
        </w:rPr>
        <w:t xml:space="preserve">odification </w:t>
      </w:r>
      <w:r w:rsidR="005C2935">
        <w:rPr>
          <w:lang w:val="fr-CA"/>
        </w:rPr>
        <w:t>recommandée</w:t>
      </w:r>
      <w:r w:rsidRPr="00B12661">
        <w:rPr>
          <w:lang w:val="fr-CA"/>
        </w:rPr>
        <w:t xml:space="preserve"> pour la proposition</w:t>
      </w:r>
      <w:r w:rsidR="000B1C33" w:rsidRPr="00B12661">
        <w:rPr>
          <w:lang w:val="fr-CA"/>
        </w:rPr>
        <w:t xml:space="preserve"> </w:t>
      </w:r>
      <w:r w:rsidR="00FB51BA" w:rsidRPr="00B12661">
        <w:rPr>
          <w:lang w:val="fr-CA"/>
        </w:rPr>
        <w:t>3</w:t>
      </w:r>
    </w:p>
    <w:p w:rsidR="00C70453" w:rsidRPr="00B12661" w:rsidRDefault="00C70453" w:rsidP="00734718">
      <w:pPr>
        <w:pStyle w:val="SingleTxtG"/>
        <w:rPr>
          <w:lang w:val="fr-CA"/>
        </w:rPr>
      </w:pPr>
      <w:r w:rsidRPr="00B12661">
        <w:rPr>
          <w:lang w:val="fr-CA"/>
        </w:rPr>
        <w:t>1</w:t>
      </w:r>
      <w:r w:rsidR="005C57D2">
        <w:rPr>
          <w:lang w:val="fr-CA"/>
        </w:rPr>
        <w:t>0</w:t>
      </w:r>
      <w:r w:rsidRPr="00B12661">
        <w:rPr>
          <w:lang w:val="fr-CA"/>
        </w:rPr>
        <w:t>.</w:t>
      </w:r>
      <w:r w:rsidRPr="00B12661">
        <w:rPr>
          <w:lang w:val="fr-CA"/>
        </w:rPr>
        <w:tab/>
      </w:r>
      <w:r w:rsidR="00524416" w:rsidRPr="00B12661">
        <w:rPr>
          <w:lang w:val="fr-CA"/>
        </w:rPr>
        <w:t xml:space="preserve">Le </w:t>
      </w:r>
      <w:r w:rsidR="00FB51BA" w:rsidRPr="00B12661">
        <w:rPr>
          <w:lang w:val="fr-CA"/>
        </w:rPr>
        <w:t>Canada</w:t>
      </w:r>
      <w:r w:rsidR="00452D7D" w:rsidRPr="00B12661">
        <w:rPr>
          <w:lang w:val="fr-CA"/>
        </w:rPr>
        <w:t xml:space="preserve"> </w:t>
      </w:r>
      <w:r w:rsidR="005C2935">
        <w:rPr>
          <w:lang w:val="fr-CA"/>
        </w:rPr>
        <w:t>recommande</w:t>
      </w:r>
      <w:r w:rsidR="00524416" w:rsidRPr="00B12661">
        <w:rPr>
          <w:lang w:val="fr-CA"/>
        </w:rPr>
        <w:t xml:space="preserve"> d’ajouter le libellé suivant après le titre de la nouvelle norme dans le nouveau tableau proposé </w:t>
      </w:r>
      <w:r w:rsidR="006623FD" w:rsidRPr="00B12661">
        <w:rPr>
          <w:lang w:val="fr-CA"/>
        </w:rPr>
        <w:t>:</w:t>
      </w:r>
    </w:p>
    <w:p w:rsidR="00B12661" w:rsidRDefault="00524416" w:rsidP="005C2935">
      <w:pPr>
        <w:pStyle w:val="SingleTxtG"/>
        <w:ind w:left="1701"/>
        <w:rPr>
          <w:i/>
          <w:lang w:val="fr-CA"/>
        </w:rPr>
      </w:pPr>
      <w:r w:rsidRPr="00B12661">
        <w:rPr>
          <w:b/>
          <w:i/>
          <w:lang w:val="fr-CA"/>
        </w:rPr>
        <w:t>REMARQUE </w:t>
      </w:r>
      <w:r w:rsidR="00FB51BA" w:rsidRPr="00B12661">
        <w:rPr>
          <w:b/>
          <w:i/>
          <w:lang w:val="fr-CA"/>
        </w:rPr>
        <w:t xml:space="preserve">: </w:t>
      </w:r>
      <w:r w:rsidRPr="00B12661">
        <w:rPr>
          <w:i/>
          <w:lang w:val="fr-CA"/>
        </w:rPr>
        <w:t xml:space="preserve">En dépit de la </w:t>
      </w:r>
      <w:r w:rsidR="00464BB7" w:rsidRPr="00B12661">
        <w:rPr>
          <w:i/>
          <w:lang w:val="fr-CA"/>
        </w:rPr>
        <w:t xml:space="preserve">section 6.3.3.4 </w:t>
      </w:r>
      <w:r w:rsidRPr="00B12661">
        <w:rPr>
          <w:i/>
          <w:lang w:val="fr-CA"/>
        </w:rPr>
        <w:t>de cette norme</w:t>
      </w:r>
      <w:r w:rsidR="00464BB7" w:rsidRPr="00B12661">
        <w:rPr>
          <w:i/>
          <w:lang w:val="fr-CA"/>
        </w:rPr>
        <w:t xml:space="preserve">, </w:t>
      </w:r>
      <w:r w:rsidRPr="00B12661">
        <w:rPr>
          <w:i/>
          <w:lang w:val="fr-CA"/>
        </w:rPr>
        <w:t xml:space="preserve">les barils sous pression </w:t>
      </w:r>
      <w:r w:rsidR="00EF1AF5" w:rsidRPr="00B12661">
        <w:rPr>
          <w:i/>
          <w:lang w:val="fr-CA"/>
        </w:rPr>
        <w:t xml:space="preserve">UN </w:t>
      </w:r>
      <w:r w:rsidRPr="00B12661">
        <w:rPr>
          <w:i/>
          <w:lang w:val="fr-CA"/>
        </w:rPr>
        <w:t>à fonds bombés</w:t>
      </w:r>
      <w:r w:rsidR="0025708F" w:rsidRPr="00B12661">
        <w:rPr>
          <w:i/>
          <w:lang w:val="fr-CA"/>
        </w:rPr>
        <w:t xml:space="preserve"> convexes à la pression</w:t>
      </w:r>
      <w:r w:rsidR="005726B7" w:rsidRPr="00B12661">
        <w:rPr>
          <w:i/>
          <w:lang w:val="fr-CA"/>
        </w:rPr>
        <w:t xml:space="preserve"> </w:t>
      </w:r>
      <w:r w:rsidRPr="00B12661">
        <w:rPr>
          <w:i/>
          <w:lang w:val="fr-CA"/>
        </w:rPr>
        <w:t>peuvent être utilisés</w:t>
      </w:r>
      <w:r w:rsidR="005726B7" w:rsidRPr="00B12661">
        <w:rPr>
          <w:i/>
          <w:lang w:val="fr-CA"/>
        </w:rPr>
        <w:t xml:space="preserve"> </w:t>
      </w:r>
      <w:r w:rsidR="0025708F" w:rsidRPr="00B12661">
        <w:rPr>
          <w:i/>
          <w:lang w:val="fr-CA"/>
        </w:rPr>
        <w:t xml:space="preserve">pour le </w:t>
      </w:r>
      <w:r w:rsidR="0088349B">
        <w:rPr>
          <w:i/>
          <w:lang w:val="fr-CA"/>
        </w:rPr>
        <w:t>transport</w:t>
      </w:r>
      <w:r w:rsidR="0025708F" w:rsidRPr="00B12661">
        <w:rPr>
          <w:i/>
          <w:lang w:val="fr-CA"/>
        </w:rPr>
        <w:t xml:space="preserve"> de</w:t>
      </w:r>
      <w:r w:rsidR="005C2935">
        <w:rPr>
          <w:i/>
          <w:lang w:val="fr-CA"/>
        </w:rPr>
        <w:t>s</w:t>
      </w:r>
      <w:r w:rsidR="0025708F" w:rsidRPr="00B12661">
        <w:rPr>
          <w:i/>
          <w:lang w:val="fr-CA"/>
        </w:rPr>
        <w:t xml:space="preserve"> </w:t>
      </w:r>
      <w:r w:rsidR="006A1090">
        <w:rPr>
          <w:i/>
          <w:lang w:val="fr-CA"/>
        </w:rPr>
        <w:t>matières corrosive</w:t>
      </w:r>
      <w:r w:rsidR="005C2935">
        <w:rPr>
          <w:i/>
          <w:lang w:val="fr-CA"/>
        </w:rPr>
        <w:t>s</w:t>
      </w:r>
      <w:r w:rsidR="006A1090">
        <w:rPr>
          <w:i/>
          <w:lang w:val="fr-CA"/>
        </w:rPr>
        <w:t xml:space="preserve"> à condition que toutes les exigences applicables du présent règlement sont remplies</w:t>
      </w:r>
      <w:r w:rsidR="005C2935">
        <w:rPr>
          <w:i/>
          <w:lang w:val="fr-CA"/>
        </w:rPr>
        <w:t>.</w:t>
      </w:r>
    </w:p>
    <w:p w:rsidR="00DD1333" w:rsidRPr="00DD1333" w:rsidRDefault="00DD1333" w:rsidP="00DD1333">
      <w:pPr>
        <w:pStyle w:val="SingleTxtG"/>
        <w:spacing w:before="240" w:after="0"/>
        <w:jc w:val="center"/>
        <w:rPr>
          <w:u w:val="single"/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sectPr w:rsidR="00DD1333" w:rsidRPr="00DD1333" w:rsidSect="00F31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17" w:rsidRDefault="00D02617"/>
  </w:endnote>
  <w:endnote w:type="continuationSeparator" w:id="0">
    <w:p w:rsidR="00D02617" w:rsidRDefault="00D02617"/>
  </w:endnote>
  <w:endnote w:type="continuationNotice" w:id="1">
    <w:p w:rsidR="00D02617" w:rsidRDefault="00D02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64" w:rsidRPr="00587799" w:rsidRDefault="00F43364" w:rsidP="000F10A3">
    <w:pPr>
      <w:pStyle w:val="Footer"/>
      <w:jc w:val="right"/>
      <w:rPr>
        <w:b/>
      </w:rPr>
    </w:pPr>
    <w:r w:rsidRPr="00587799">
      <w:rPr>
        <w:b/>
      </w:rPr>
      <w:fldChar w:fldCharType="begin"/>
    </w:r>
    <w:r w:rsidRPr="00587799">
      <w:rPr>
        <w:b/>
      </w:rPr>
      <w:instrText xml:space="preserve"> PAGE   \* MERGEFORMAT </w:instrText>
    </w:r>
    <w:r w:rsidRPr="00587799">
      <w:rPr>
        <w:b/>
      </w:rPr>
      <w:fldChar w:fldCharType="separate"/>
    </w:r>
    <w:r w:rsidR="00F21366">
      <w:rPr>
        <w:b/>
        <w:noProof/>
      </w:rPr>
      <w:t>2</w:t>
    </w:r>
    <w:r w:rsidRPr="00587799">
      <w:rPr>
        <w:b/>
        <w:noProof/>
      </w:rPr>
      <w:fldChar w:fldCharType="end"/>
    </w:r>
  </w:p>
  <w:p w:rsidR="00F43364" w:rsidRDefault="00F43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64" w:rsidRPr="00D352FD" w:rsidRDefault="00F43364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F21366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  <w:p w:rsidR="00F43364" w:rsidRDefault="00F433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07" w:rsidRDefault="00B917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366">
      <w:rPr>
        <w:noProof/>
      </w:rPr>
      <w:t>1</w:t>
    </w:r>
    <w:r>
      <w:rPr>
        <w:noProof/>
      </w:rPr>
      <w:fldChar w:fldCharType="end"/>
    </w:r>
  </w:p>
  <w:p w:rsidR="00D66F13" w:rsidRPr="00B91707" w:rsidRDefault="00D66F13" w:rsidP="00B91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17" w:rsidRPr="000B175B" w:rsidRDefault="00D026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2617" w:rsidRPr="00FC68B7" w:rsidRDefault="00D026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02617" w:rsidRDefault="00D026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64" w:rsidRDefault="00F21366">
    <w:pPr>
      <w:pStyle w:val="Header"/>
    </w:pPr>
    <w:r>
      <w:rPr>
        <w:lang w:val="es-ES"/>
      </w:rPr>
      <w:t>UN/SCETDG/48/INF.49</w:t>
    </w:r>
  </w:p>
  <w:p w:rsidR="00F43364" w:rsidRPr="00D214CA" w:rsidRDefault="00F43364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64" w:rsidRDefault="00F21366" w:rsidP="0062449B">
    <w:pPr>
      <w:pStyle w:val="Header"/>
      <w:jc w:val="right"/>
    </w:pPr>
    <w:r>
      <w:rPr>
        <w:lang w:val="es-ES"/>
      </w:rPr>
      <w:t>UN/SCETDG/47/INF.49</w:t>
    </w:r>
    <w:bookmarkStart w:id="0" w:name="_GoBack"/>
    <w:bookmarkEnd w:id="0"/>
  </w:p>
  <w:p w:rsidR="00F43364" w:rsidRPr="00D214CA" w:rsidRDefault="00F43364" w:rsidP="0062449B">
    <w:pPr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66" w:rsidRDefault="00F21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832239"/>
    <w:multiLevelType w:val="hybridMultilevel"/>
    <w:tmpl w:val="7672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0FD4"/>
    <w:multiLevelType w:val="hybridMultilevel"/>
    <w:tmpl w:val="88FEEBB6"/>
    <w:lvl w:ilvl="0" w:tplc="AFFCF89E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45BB4A7A"/>
    <w:multiLevelType w:val="hybridMultilevel"/>
    <w:tmpl w:val="58FADF94"/>
    <w:lvl w:ilvl="0" w:tplc="D3702FFC">
      <w:start w:val="4"/>
      <w:numFmt w:val="lowerLetter"/>
      <w:lvlText w:val="(%1)"/>
      <w:lvlJc w:val="left"/>
      <w:pPr>
        <w:tabs>
          <w:tab w:val="num" w:pos="1128"/>
        </w:tabs>
        <w:ind w:left="1128" w:hanging="5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6">
    <w:nsid w:val="496F7C16"/>
    <w:multiLevelType w:val="hybridMultilevel"/>
    <w:tmpl w:val="4386FEC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432293F"/>
    <w:multiLevelType w:val="hybridMultilevel"/>
    <w:tmpl w:val="3966549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>
    <w:nsid w:val="734A2538"/>
    <w:multiLevelType w:val="hybridMultilevel"/>
    <w:tmpl w:val="2BFCB0A2"/>
    <w:lvl w:ilvl="0" w:tplc="B100CC52">
      <w:start w:val="1"/>
      <w:numFmt w:val="lowerLetter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1C2030"/>
    <w:multiLevelType w:val="hybridMultilevel"/>
    <w:tmpl w:val="60E21C4C"/>
    <w:lvl w:ilvl="0" w:tplc="337EF4B4">
      <w:start w:val="2"/>
      <w:numFmt w:val="lowerLetter"/>
      <w:lvlText w:val="(%1)"/>
      <w:lvlJc w:val="left"/>
      <w:pPr>
        <w:tabs>
          <w:tab w:val="num" w:pos="1128"/>
        </w:tabs>
        <w:ind w:left="1128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6">
    <w:nsid w:val="786746DA"/>
    <w:multiLevelType w:val="hybridMultilevel"/>
    <w:tmpl w:val="569C1BC8"/>
    <w:lvl w:ilvl="0" w:tplc="2392ED9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B780609"/>
    <w:multiLevelType w:val="hybridMultilevel"/>
    <w:tmpl w:val="52EEEA04"/>
    <w:lvl w:ilvl="0" w:tplc="CCB48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9">
    <w:nsid w:val="7E0C5B38"/>
    <w:multiLevelType w:val="hybridMultilevel"/>
    <w:tmpl w:val="9B022478"/>
    <w:lvl w:ilvl="0" w:tplc="A7DE6048">
      <w:start w:val="1"/>
      <w:numFmt w:val="decimal"/>
      <w:lvlText w:val="%1."/>
      <w:lvlJc w:val="left"/>
      <w:pPr>
        <w:ind w:left="1080" w:hanging="360"/>
      </w:pPr>
    </w:lvl>
    <w:lvl w:ilvl="1" w:tplc="6C56B68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21"/>
  </w:num>
  <w:num w:numId="15">
    <w:abstractNumId w:val="24"/>
  </w:num>
  <w:num w:numId="16">
    <w:abstractNumId w:val="14"/>
  </w:num>
  <w:num w:numId="17">
    <w:abstractNumId w:val="22"/>
  </w:num>
  <w:num w:numId="18">
    <w:abstractNumId w:val="30"/>
  </w:num>
  <w:num w:numId="19">
    <w:abstractNumId w:val="17"/>
  </w:num>
  <w:num w:numId="20">
    <w:abstractNumId w:val="18"/>
  </w:num>
  <w:num w:numId="21">
    <w:abstractNumId w:val="28"/>
  </w:num>
  <w:num w:numId="22">
    <w:abstractNumId w:val="15"/>
  </w:num>
  <w:num w:numId="23">
    <w:abstractNumId w:val="25"/>
  </w:num>
  <w:num w:numId="24">
    <w:abstractNumId w:val="12"/>
  </w:num>
  <w:num w:numId="25">
    <w:abstractNumId w:val="27"/>
  </w:num>
  <w:num w:numId="26">
    <w:abstractNumId w:val="26"/>
  </w:num>
  <w:num w:numId="27">
    <w:abstractNumId w:val="29"/>
  </w:num>
  <w:num w:numId="28">
    <w:abstractNumId w:val="23"/>
  </w:num>
  <w:num w:numId="29">
    <w:abstractNumId w:val="16"/>
  </w:num>
  <w:num w:numId="30">
    <w:abstractNumId w:val="13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2CE7"/>
    <w:rsid w:val="000032AD"/>
    <w:rsid w:val="000033C6"/>
    <w:rsid w:val="00007A75"/>
    <w:rsid w:val="000112AD"/>
    <w:rsid w:val="0001180D"/>
    <w:rsid w:val="0001599D"/>
    <w:rsid w:val="000159EF"/>
    <w:rsid w:val="00020203"/>
    <w:rsid w:val="00025256"/>
    <w:rsid w:val="00027110"/>
    <w:rsid w:val="00027F96"/>
    <w:rsid w:val="00030E15"/>
    <w:rsid w:val="00041488"/>
    <w:rsid w:val="00050F6B"/>
    <w:rsid w:val="000525D6"/>
    <w:rsid w:val="000546D4"/>
    <w:rsid w:val="00064E6C"/>
    <w:rsid w:val="00070795"/>
    <w:rsid w:val="00072C8C"/>
    <w:rsid w:val="000763CA"/>
    <w:rsid w:val="00077F85"/>
    <w:rsid w:val="00091419"/>
    <w:rsid w:val="000931C0"/>
    <w:rsid w:val="000940DC"/>
    <w:rsid w:val="000A363F"/>
    <w:rsid w:val="000B175B"/>
    <w:rsid w:val="000B1C33"/>
    <w:rsid w:val="000B3A0F"/>
    <w:rsid w:val="000B5C94"/>
    <w:rsid w:val="000C35D4"/>
    <w:rsid w:val="000C54C1"/>
    <w:rsid w:val="000C7A13"/>
    <w:rsid w:val="000D698F"/>
    <w:rsid w:val="000E0415"/>
    <w:rsid w:val="000E3E09"/>
    <w:rsid w:val="000E6FC9"/>
    <w:rsid w:val="000F10A3"/>
    <w:rsid w:val="000F5DD8"/>
    <w:rsid w:val="000F641A"/>
    <w:rsid w:val="000F7D68"/>
    <w:rsid w:val="0010483E"/>
    <w:rsid w:val="001053BC"/>
    <w:rsid w:val="00111B27"/>
    <w:rsid w:val="00112884"/>
    <w:rsid w:val="00112F02"/>
    <w:rsid w:val="00116226"/>
    <w:rsid w:val="00117787"/>
    <w:rsid w:val="0012195D"/>
    <w:rsid w:val="001248E7"/>
    <w:rsid w:val="00125A9D"/>
    <w:rsid w:val="00126B5A"/>
    <w:rsid w:val="0012717F"/>
    <w:rsid w:val="00131D42"/>
    <w:rsid w:val="001350DA"/>
    <w:rsid w:val="00136EE5"/>
    <w:rsid w:val="001450B5"/>
    <w:rsid w:val="0015326E"/>
    <w:rsid w:val="001543A5"/>
    <w:rsid w:val="001633FB"/>
    <w:rsid w:val="0016659E"/>
    <w:rsid w:val="001748B3"/>
    <w:rsid w:val="00174DC2"/>
    <w:rsid w:val="001755C2"/>
    <w:rsid w:val="0018325A"/>
    <w:rsid w:val="001907FB"/>
    <w:rsid w:val="00190DE0"/>
    <w:rsid w:val="0019356C"/>
    <w:rsid w:val="0019389A"/>
    <w:rsid w:val="00195CD1"/>
    <w:rsid w:val="0019627D"/>
    <w:rsid w:val="001A2809"/>
    <w:rsid w:val="001A4BC7"/>
    <w:rsid w:val="001A6EC1"/>
    <w:rsid w:val="001B0550"/>
    <w:rsid w:val="001B1039"/>
    <w:rsid w:val="001B4B04"/>
    <w:rsid w:val="001C0A92"/>
    <w:rsid w:val="001C6663"/>
    <w:rsid w:val="001C7895"/>
    <w:rsid w:val="001D26DF"/>
    <w:rsid w:val="001D2FDC"/>
    <w:rsid w:val="001D324A"/>
    <w:rsid w:val="001D3887"/>
    <w:rsid w:val="001D4B7D"/>
    <w:rsid w:val="001E1608"/>
    <w:rsid w:val="001E3689"/>
    <w:rsid w:val="00211E0B"/>
    <w:rsid w:val="0021549E"/>
    <w:rsid w:val="00221BEE"/>
    <w:rsid w:val="00222A65"/>
    <w:rsid w:val="002309A7"/>
    <w:rsid w:val="00233C96"/>
    <w:rsid w:val="002344CD"/>
    <w:rsid w:val="00235678"/>
    <w:rsid w:val="00237785"/>
    <w:rsid w:val="00240E56"/>
    <w:rsid w:val="00241466"/>
    <w:rsid w:val="002454FD"/>
    <w:rsid w:val="00245DA0"/>
    <w:rsid w:val="00246C32"/>
    <w:rsid w:val="0025708F"/>
    <w:rsid w:val="002632FE"/>
    <w:rsid w:val="0026552D"/>
    <w:rsid w:val="00266C3D"/>
    <w:rsid w:val="00267389"/>
    <w:rsid w:val="002725CA"/>
    <w:rsid w:val="00273219"/>
    <w:rsid w:val="00280105"/>
    <w:rsid w:val="00280EB7"/>
    <w:rsid w:val="00295C30"/>
    <w:rsid w:val="002A11A8"/>
    <w:rsid w:val="002A2E98"/>
    <w:rsid w:val="002A43E5"/>
    <w:rsid w:val="002A5848"/>
    <w:rsid w:val="002B1CDA"/>
    <w:rsid w:val="002B5B24"/>
    <w:rsid w:val="002B6CCD"/>
    <w:rsid w:val="002C1C7E"/>
    <w:rsid w:val="002C31EE"/>
    <w:rsid w:val="002C39FF"/>
    <w:rsid w:val="002C50B6"/>
    <w:rsid w:val="002D31F0"/>
    <w:rsid w:val="002D4D3D"/>
    <w:rsid w:val="002D7E83"/>
    <w:rsid w:val="002E01D0"/>
    <w:rsid w:val="002E0B1B"/>
    <w:rsid w:val="002E0B84"/>
    <w:rsid w:val="002E49A3"/>
    <w:rsid w:val="002E4C77"/>
    <w:rsid w:val="002F544D"/>
    <w:rsid w:val="002F749B"/>
    <w:rsid w:val="003007E3"/>
    <w:rsid w:val="0030282E"/>
    <w:rsid w:val="00302D74"/>
    <w:rsid w:val="00304E20"/>
    <w:rsid w:val="003065AA"/>
    <w:rsid w:val="00307115"/>
    <w:rsid w:val="003107FA"/>
    <w:rsid w:val="003113A4"/>
    <w:rsid w:val="0031210B"/>
    <w:rsid w:val="0031261E"/>
    <w:rsid w:val="00313AEE"/>
    <w:rsid w:val="00314BF3"/>
    <w:rsid w:val="003207D1"/>
    <w:rsid w:val="003229D8"/>
    <w:rsid w:val="00324F41"/>
    <w:rsid w:val="00325D96"/>
    <w:rsid w:val="003310A6"/>
    <w:rsid w:val="003327D8"/>
    <w:rsid w:val="00336D59"/>
    <w:rsid w:val="0034100F"/>
    <w:rsid w:val="00343C5F"/>
    <w:rsid w:val="0035093F"/>
    <w:rsid w:val="0035378F"/>
    <w:rsid w:val="0036086B"/>
    <w:rsid w:val="00361486"/>
    <w:rsid w:val="00362A80"/>
    <w:rsid w:val="0036414B"/>
    <w:rsid w:val="00366F3D"/>
    <w:rsid w:val="0036710F"/>
    <w:rsid w:val="0039277A"/>
    <w:rsid w:val="00392B57"/>
    <w:rsid w:val="003972E0"/>
    <w:rsid w:val="003977C2"/>
    <w:rsid w:val="003A5CD9"/>
    <w:rsid w:val="003B02FF"/>
    <w:rsid w:val="003B109A"/>
    <w:rsid w:val="003B53FF"/>
    <w:rsid w:val="003C21DB"/>
    <w:rsid w:val="003C2CC4"/>
    <w:rsid w:val="003C5566"/>
    <w:rsid w:val="003C6103"/>
    <w:rsid w:val="003D4B23"/>
    <w:rsid w:val="003E004F"/>
    <w:rsid w:val="003E16F3"/>
    <w:rsid w:val="003E7707"/>
    <w:rsid w:val="003F43B1"/>
    <w:rsid w:val="003F4773"/>
    <w:rsid w:val="003F561D"/>
    <w:rsid w:val="003F5B51"/>
    <w:rsid w:val="003F7598"/>
    <w:rsid w:val="00405E3C"/>
    <w:rsid w:val="00406185"/>
    <w:rsid w:val="00411BC4"/>
    <w:rsid w:val="00412F27"/>
    <w:rsid w:val="004137A5"/>
    <w:rsid w:val="00414546"/>
    <w:rsid w:val="0042004A"/>
    <w:rsid w:val="0042123B"/>
    <w:rsid w:val="00423F72"/>
    <w:rsid w:val="00426D4A"/>
    <w:rsid w:val="00432011"/>
    <w:rsid w:val="004325CB"/>
    <w:rsid w:val="004345E0"/>
    <w:rsid w:val="00437F3F"/>
    <w:rsid w:val="004420E4"/>
    <w:rsid w:val="00445D73"/>
    <w:rsid w:val="00446DE4"/>
    <w:rsid w:val="00447967"/>
    <w:rsid w:val="00447B86"/>
    <w:rsid w:val="00452D7D"/>
    <w:rsid w:val="00454036"/>
    <w:rsid w:val="004544A2"/>
    <w:rsid w:val="00455263"/>
    <w:rsid w:val="00460958"/>
    <w:rsid w:val="00461C3B"/>
    <w:rsid w:val="00462B5A"/>
    <w:rsid w:val="004645EA"/>
    <w:rsid w:val="00464BB7"/>
    <w:rsid w:val="0047146E"/>
    <w:rsid w:val="00477677"/>
    <w:rsid w:val="004800E7"/>
    <w:rsid w:val="00480B9E"/>
    <w:rsid w:val="00480F56"/>
    <w:rsid w:val="00492426"/>
    <w:rsid w:val="00492832"/>
    <w:rsid w:val="004962B4"/>
    <w:rsid w:val="00496FCF"/>
    <w:rsid w:val="0049730E"/>
    <w:rsid w:val="004A143F"/>
    <w:rsid w:val="004B01B8"/>
    <w:rsid w:val="004B2C9D"/>
    <w:rsid w:val="004C04BC"/>
    <w:rsid w:val="004C52AC"/>
    <w:rsid w:val="004C74AE"/>
    <w:rsid w:val="004C7C9C"/>
    <w:rsid w:val="004D4897"/>
    <w:rsid w:val="004D574F"/>
    <w:rsid w:val="004D60B4"/>
    <w:rsid w:val="004D631D"/>
    <w:rsid w:val="004E286E"/>
    <w:rsid w:val="004E7252"/>
    <w:rsid w:val="004F44EC"/>
    <w:rsid w:val="004F45B6"/>
    <w:rsid w:val="00504E59"/>
    <w:rsid w:val="005054EE"/>
    <w:rsid w:val="00505F32"/>
    <w:rsid w:val="00511255"/>
    <w:rsid w:val="0051438F"/>
    <w:rsid w:val="00517A3F"/>
    <w:rsid w:val="00520033"/>
    <w:rsid w:val="005201AE"/>
    <w:rsid w:val="00520847"/>
    <w:rsid w:val="00523059"/>
    <w:rsid w:val="00523965"/>
    <w:rsid w:val="0052436D"/>
    <w:rsid w:val="00524416"/>
    <w:rsid w:val="00527910"/>
    <w:rsid w:val="005355FB"/>
    <w:rsid w:val="00537105"/>
    <w:rsid w:val="005420F2"/>
    <w:rsid w:val="0054543E"/>
    <w:rsid w:val="00545561"/>
    <w:rsid w:val="00552424"/>
    <w:rsid w:val="00557CAC"/>
    <w:rsid w:val="005726B7"/>
    <w:rsid w:val="00575156"/>
    <w:rsid w:val="005761C0"/>
    <w:rsid w:val="00577FFB"/>
    <w:rsid w:val="0058567E"/>
    <w:rsid w:val="00586D1A"/>
    <w:rsid w:val="0058720B"/>
    <w:rsid w:val="00587799"/>
    <w:rsid w:val="00590144"/>
    <w:rsid w:val="00590B7D"/>
    <w:rsid w:val="00597262"/>
    <w:rsid w:val="005A42B7"/>
    <w:rsid w:val="005A4308"/>
    <w:rsid w:val="005B3DB3"/>
    <w:rsid w:val="005B463C"/>
    <w:rsid w:val="005B4DC6"/>
    <w:rsid w:val="005C16E0"/>
    <w:rsid w:val="005C2935"/>
    <w:rsid w:val="005C3789"/>
    <w:rsid w:val="005C57D2"/>
    <w:rsid w:val="005D00D9"/>
    <w:rsid w:val="005D16B7"/>
    <w:rsid w:val="005E4B75"/>
    <w:rsid w:val="005E6081"/>
    <w:rsid w:val="005E64C2"/>
    <w:rsid w:val="005E7E0D"/>
    <w:rsid w:val="005E7EFC"/>
    <w:rsid w:val="005F2A5D"/>
    <w:rsid w:val="00602CE8"/>
    <w:rsid w:val="006069EF"/>
    <w:rsid w:val="00610992"/>
    <w:rsid w:val="00610F39"/>
    <w:rsid w:val="00611FC4"/>
    <w:rsid w:val="006120D7"/>
    <w:rsid w:val="00614CC6"/>
    <w:rsid w:val="006176FB"/>
    <w:rsid w:val="00623495"/>
    <w:rsid w:val="006234DD"/>
    <w:rsid w:val="0062449B"/>
    <w:rsid w:val="00624DC2"/>
    <w:rsid w:val="006250E3"/>
    <w:rsid w:val="0063419C"/>
    <w:rsid w:val="00640B26"/>
    <w:rsid w:val="00644147"/>
    <w:rsid w:val="00644A62"/>
    <w:rsid w:val="006500BA"/>
    <w:rsid w:val="0065287C"/>
    <w:rsid w:val="00654210"/>
    <w:rsid w:val="006623FD"/>
    <w:rsid w:val="0066601C"/>
    <w:rsid w:val="006700B3"/>
    <w:rsid w:val="00676D1B"/>
    <w:rsid w:val="006847C1"/>
    <w:rsid w:val="00684E5B"/>
    <w:rsid w:val="006861C4"/>
    <w:rsid w:val="006868CE"/>
    <w:rsid w:val="00687A4F"/>
    <w:rsid w:val="00692A7A"/>
    <w:rsid w:val="00692BBF"/>
    <w:rsid w:val="00693528"/>
    <w:rsid w:val="0069488E"/>
    <w:rsid w:val="00694BDB"/>
    <w:rsid w:val="00694DB9"/>
    <w:rsid w:val="006964E2"/>
    <w:rsid w:val="006A1090"/>
    <w:rsid w:val="006A31E7"/>
    <w:rsid w:val="006A4FF4"/>
    <w:rsid w:val="006A7392"/>
    <w:rsid w:val="006B2614"/>
    <w:rsid w:val="006B52E3"/>
    <w:rsid w:val="006B54B0"/>
    <w:rsid w:val="006B62B2"/>
    <w:rsid w:val="006C0D34"/>
    <w:rsid w:val="006C19F2"/>
    <w:rsid w:val="006C48B4"/>
    <w:rsid w:val="006C7E11"/>
    <w:rsid w:val="006D4BF7"/>
    <w:rsid w:val="006E4568"/>
    <w:rsid w:val="006E564B"/>
    <w:rsid w:val="006F1AFD"/>
    <w:rsid w:val="006F3E5A"/>
    <w:rsid w:val="00703434"/>
    <w:rsid w:val="00703F37"/>
    <w:rsid w:val="00704B27"/>
    <w:rsid w:val="00706CF0"/>
    <w:rsid w:val="00714353"/>
    <w:rsid w:val="0071612E"/>
    <w:rsid w:val="007215CA"/>
    <w:rsid w:val="00723646"/>
    <w:rsid w:val="0072632A"/>
    <w:rsid w:val="00734718"/>
    <w:rsid w:val="00740FD7"/>
    <w:rsid w:val="007523B9"/>
    <w:rsid w:val="007528A8"/>
    <w:rsid w:val="00753E56"/>
    <w:rsid w:val="00754F8F"/>
    <w:rsid w:val="00756568"/>
    <w:rsid w:val="00757D9F"/>
    <w:rsid w:val="00760C7F"/>
    <w:rsid w:val="00762429"/>
    <w:rsid w:val="00766574"/>
    <w:rsid w:val="00766662"/>
    <w:rsid w:val="00767E04"/>
    <w:rsid w:val="007735C6"/>
    <w:rsid w:val="00774A3D"/>
    <w:rsid w:val="007760C6"/>
    <w:rsid w:val="007771E7"/>
    <w:rsid w:val="00781C48"/>
    <w:rsid w:val="00781DBA"/>
    <w:rsid w:val="00787151"/>
    <w:rsid w:val="00790791"/>
    <w:rsid w:val="007907C5"/>
    <w:rsid w:val="00790B4D"/>
    <w:rsid w:val="0079308F"/>
    <w:rsid w:val="00796199"/>
    <w:rsid w:val="007979F3"/>
    <w:rsid w:val="007A300C"/>
    <w:rsid w:val="007A6660"/>
    <w:rsid w:val="007B2AE6"/>
    <w:rsid w:val="007B2B56"/>
    <w:rsid w:val="007B6BA5"/>
    <w:rsid w:val="007C3390"/>
    <w:rsid w:val="007C4F4B"/>
    <w:rsid w:val="007C7159"/>
    <w:rsid w:val="007D0EB9"/>
    <w:rsid w:val="007D3710"/>
    <w:rsid w:val="007E2266"/>
    <w:rsid w:val="007E25DE"/>
    <w:rsid w:val="007E650F"/>
    <w:rsid w:val="007E7DDA"/>
    <w:rsid w:val="007E7E3F"/>
    <w:rsid w:val="007F2402"/>
    <w:rsid w:val="007F55FD"/>
    <w:rsid w:val="007F6611"/>
    <w:rsid w:val="00801547"/>
    <w:rsid w:val="00801882"/>
    <w:rsid w:val="008028C7"/>
    <w:rsid w:val="008078B8"/>
    <w:rsid w:val="008175E9"/>
    <w:rsid w:val="00820C9B"/>
    <w:rsid w:val="008229C9"/>
    <w:rsid w:val="00823A99"/>
    <w:rsid w:val="008242D7"/>
    <w:rsid w:val="00827667"/>
    <w:rsid w:val="008309A5"/>
    <w:rsid w:val="00832A9A"/>
    <w:rsid w:val="0085128E"/>
    <w:rsid w:val="00854284"/>
    <w:rsid w:val="008555F2"/>
    <w:rsid w:val="008644B5"/>
    <w:rsid w:val="00871FD5"/>
    <w:rsid w:val="00873CC0"/>
    <w:rsid w:val="0088349B"/>
    <w:rsid w:val="00886778"/>
    <w:rsid w:val="00891681"/>
    <w:rsid w:val="0089622B"/>
    <w:rsid w:val="008979B1"/>
    <w:rsid w:val="008A110C"/>
    <w:rsid w:val="008A6B25"/>
    <w:rsid w:val="008A6C4F"/>
    <w:rsid w:val="008B42EC"/>
    <w:rsid w:val="008B57C5"/>
    <w:rsid w:val="008B5AD2"/>
    <w:rsid w:val="008B7671"/>
    <w:rsid w:val="008C4BA9"/>
    <w:rsid w:val="008D33EE"/>
    <w:rsid w:val="008D4349"/>
    <w:rsid w:val="008D7089"/>
    <w:rsid w:val="008D7684"/>
    <w:rsid w:val="008E0E46"/>
    <w:rsid w:val="008F16EF"/>
    <w:rsid w:val="008F3A21"/>
    <w:rsid w:val="008F5E8F"/>
    <w:rsid w:val="008F7198"/>
    <w:rsid w:val="009027C8"/>
    <w:rsid w:val="00915907"/>
    <w:rsid w:val="009203DB"/>
    <w:rsid w:val="00931595"/>
    <w:rsid w:val="009359B7"/>
    <w:rsid w:val="00936083"/>
    <w:rsid w:val="0094224B"/>
    <w:rsid w:val="00943370"/>
    <w:rsid w:val="00944344"/>
    <w:rsid w:val="00945A5D"/>
    <w:rsid w:val="0095044B"/>
    <w:rsid w:val="009504E5"/>
    <w:rsid w:val="00955D36"/>
    <w:rsid w:val="00960293"/>
    <w:rsid w:val="00963CBA"/>
    <w:rsid w:val="009660D3"/>
    <w:rsid w:val="009667C3"/>
    <w:rsid w:val="00972515"/>
    <w:rsid w:val="00976B43"/>
    <w:rsid w:val="00980555"/>
    <w:rsid w:val="00980BA4"/>
    <w:rsid w:val="0099124E"/>
    <w:rsid w:val="00991261"/>
    <w:rsid w:val="00992928"/>
    <w:rsid w:val="0099739B"/>
    <w:rsid w:val="009A0CCA"/>
    <w:rsid w:val="009A2A17"/>
    <w:rsid w:val="009B1FCB"/>
    <w:rsid w:val="009B36B1"/>
    <w:rsid w:val="009C3671"/>
    <w:rsid w:val="009C5E41"/>
    <w:rsid w:val="009C6AA8"/>
    <w:rsid w:val="009D47CE"/>
    <w:rsid w:val="009D6AAE"/>
    <w:rsid w:val="009D7C04"/>
    <w:rsid w:val="009E07F3"/>
    <w:rsid w:val="009E1FFD"/>
    <w:rsid w:val="009E3D2F"/>
    <w:rsid w:val="009F0508"/>
    <w:rsid w:val="009F0F06"/>
    <w:rsid w:val="009F2D77"/>
    <w:rsid w:val="00A1306F"/>
    <w:rsid w:val="00A1424E"/>
    <w:rsid w:val="00A1427D"/>
    <w:rsid w:val="00A17623"/>
    <w:rsid w:val="00A17A84"/>
    <w:rsid w:val="00A209EB"/>
    <w:rsid w:val="00A23AD3"/>
    <w:rsid w:val="00A243A4"/>
    <w:rsid w:val="00A334E4"/>
    <w:rsid w:val="00A33C0C"/>
    <w:rsid w:val="00A4133A"/>
    <w:rsid w:val="00A4528A"/>
    <w:rsid w:val="00A46900"/>
    <w:rsid w:val="00A47C68"/>
    <w:rsid w:val="00A523CD"/>
    <w:rsid w:val="00A55B63"/>
    <w:rsid w:val="00A575B7"/>
    <w:rsid w:val="00A650BC"/>
    <w:rsid w:val="00A70FBE"/>
    <w:rsid w:val="00A719BB"/>
    <w:rsid w:val="00A71E9E"/>
    <w:rsid w:val="00A72F22"/>
    <w:rsid w:val="00A746D0"/>
    <w:rsid w:val="00A748A6"/>
    <w:rsid w:val="00A75EC9"/>
    <w:rsid w:val="00A81A51"/>
    <w:rsid w:val="00A83E8F"/>
    <w:rsid w:val="00A85CE2"/>
    <w:rsid w:val="00A86A59"/>
    <w:rsid w:val="00A879A4"/>
    <w:rsid w:val="00A95B60"/>
    <w:rsid w:val="00AA086A"/>
    <w:rsid w:val="00AA255E"/>
    <w:rsid w:val="00AA3259"/>
    <w:rsid w:val="00AB33F7"/>
    <w:rsid w:val="00AB5F1C"/>
    <w:rsid w:val="00AC0B01"/>
    <w:rsid w:val="00AC0F0F"/>
    <w:rsid w:val="00AC1437"/>
    <w:rsid w:val="00AC7BAB"/>
    <w:rsid w:val="00AE14FD"/>
    <w:rsid w:val="00AE15DC"/>
    <w:rsid w:val="00AE1EFD"/>
    <w:rsid w:val="00AE2E7A"/>
    <w:rsid w:val="00AE3276"/>
    <w:rsid w:val="00AE48EB"/>
    <w:rsid w:val="00AE737D"/>
    <w:rsid w:val="00AF36F5"/>
    <w:rsid w:val="00B10932"/>
    <w:rsid w:val="00B12661"/>
    <w:rsid w:val="00B15BBF"/>
    <w:rsid w:val="00B1765A"/>
    <w:rsid w:val="00B30179"/>
    <w:rsid w:val="00B326C3"/>
    <w:rsid w:val="00B3317B"/>
    <w:rsid w:val="00B347AE"/>
    <w:rsid w:val="00B45F8C"/>
    <w:rsid w:val="00B509EA"/>
    <w:rsid w:val="00B62775"/>
    <w:rsid w:val="00B62BC0"/>
    <w:rsid w:val="00B808E4"/>
    <w:rsid w:val="00B81E12"/>
    <w:rsid w:val="00B86229"/>
    <w:rsid w:val="00B87CDF"/>
    <w:rsid w:val="00B91707"/>
    <w:rsid w:val="00B92AE4"/>
    <w:rsid w:val="00B93068"/>
    <w:rsid w:val="00B93A09"/>
    <w:rsid w:val="00BA0B17"/>
    <w:rsid w:val="00BA1C8B"/>
    <w:rsid w:val="00BA270E"/>
    <w:rsid w:val="00BB08BA"/>
    <w:rsid w:val="00BB1138"/>
    <w:rsid w:val="00BB7BBB"/>
    <w:rsid w:val="00BB7EA7"/>
    <w:rsid w:val="00BC03A3"/>
    <w:rsid w:val="00BC1A2E"/>
    <w:rsid w:val="00BC74E9"/>
    <w:rsid w:val="00BD3815"/>
    <w:rsid w:val="00BD50CF"/>
    <w:rsid w:val="00BD6746"/>
    <w:rsid w:val="00BD790F"/>
    <w:rsid w:val="00BE0E4C"/>
    <w:rsid w:val="00BE18CC"/>
    <w:rsid w:val="00BE409E"/>
    <w:rsid w:val="00BE565D"/>
    <w:rsid w:val="00BE618E"/>
    <w:rsid w:val="00BF0A10"/>
    <w:rsid w:val="00BF252E"/>
    <w:rsid w:val="00BF4D09"/>
    <w:rsid w:val="00BF4E49"/>
    <w:rsid w:val="00C024CA"/>
    <w:rsid w:val="00C11334"/>
    <w:rsid w:val="00C140EE"/>
    <w:rsid w:val="00C201A3"/>
    <w:rsid w:val="00C26DFA"/>
    <w:rsid w:val="00C27477"/>
    <w:rsid w:val="00C27632"/>
    <w:rsid w:val="00C306AC"/>
    <w:rsid w:val="00C3356A"/>
    <w:rsid w:val="00C429BE"/>
    <w:rsid w:val="00C463DD"/>
    <w:rsid w:val="00C502A4"/>
    <w:rsid w:val="00C52F16"/>
    <w:rsid w:val="00C53972"/>
    <w:rsid w:val="00C62F76"/>
    <w:rsid w:val="00C67A5F"/>
    <w:rsid w:val="00C70165"/>
    <w:rsid w:val="00C701D3"/>
    <w:rsid w:val="00C70453"/>
    <w:rsid w:val="00C70FF3"/>
    <w:rsid w:val="00C73CF5"/>
    <w:rsid w:val="00C740E4"/>
    <w:rsid w:val="00C745C3"/>
    <w:rsid w:val="00C74F57"/>
    <w:rsid w:val="00C82C97"/>
    <w:rsid w:val="00C83FAC"/>
    <w:rsid w:val="00C8442A"/>
    <w:rsid w:val="00C8475A"/>
    <w:rsid w:val="00C93440"/>
    <w:rsid w:val="00C95089"/>
    <w:rsid w:val="00C97FC3"/>
    <w:rsid w:val="00CA698B"/>
    <w:rsid w:val="00CB1195"/>
    <w:rsid w:val="00CB42D6"/>
    <w:rsid w:val="00CB7A6C"/>
    <w:rsid w:val="00CC503F"/>
    <w:rsid w:val="00CD3225"/>
    <w:rsid w:val="00CD42C6"/>
    <w:rsid w:val="00CD570D"/>
    <w:rsid w:val="00CD59C7"/>
    <w:rsid w:val="00CD6D47"/>
    <w:rsid w:val="00CD6DB5"/>
    <w:rsid w:val="00CE40D9"/>
    <w:rsid w:val="00CE4A8F"/>
    <w:rsid w:val="00CE4BDC"/>
    <w:rsid w:val="00CE52F5"/>
    <w:rsid w:val="00CF060E"/>
    <w:rsid w:val="00CF2FAE"/>
    <w:rsid w:val="00CF376E"/>
    <w:rsid w:val="00CF3FDA"/>
    <w:rsid w:val="00CF5670"/>
    <w:rsid w:val="00D00C19"/>
    <w:rsid w:val="00D02617"/>
    <w:rsid w:val="00D2031B"/>
    <w:rsid w:val="00D214CA"/>
    <w:rsid w:val="00D230A1"/>
    <w:rsid w:val="00D245B8"/>
    <w:rsid w:val="00D25FE2"/>
    <w:rsid w:val="00D263AF"/>
    <w:rsid w:val="00D30763"/>
    <w:rsid w:val="00D325E1"/>
    <w:rsid w:val="00D32E45"/>
    <w:rsid w:val="00D3416A"/>
    <w:rsid w:val="00D352FD"/>
    <w:rsid w:val="00D37A2E"/>
    <w:rsid w:val="00D43252"/>
    <w:rsid w:val="00D4587D"/>
    <w:rsid w:val="00D46643"/>
    <w:rsid w:val="00D4696D"/>
    <w:rsid w:val="00D53132"/>
    <w:rsid w:val="00D56680"/>
    <w:rsid w:val="00D603A9"/>
    <w:rsid w:val="00D6056C"/>
    <w:rsid w:val="00D610B6"/>
    <w:rsid w:val="00D620B9"/>
    <w:rsid w:val="00D66F13"/>
    <w:rsid w:val="00D71F9A"/>
    <w:rsid w:val="00D72550"/>
    <w:rsid w:val="00D753D8"/>
    <w:rsid w:val="00D81B39"/>
    <w:rsid w:val="00D87F6D"/>
    <w:rsid w:val="00D9252E"/>
    <w:rsid w:val="00D92AA9"/>
    <w:rsid w:val="00D942C2"/>
    <w:rsid w:val="00D96CC5"/>
    <w:rsid w:val="00D978C6"/>
    <w:rsid w:val="00DA67AD"/>
    <w:rsid w:val="00DB215C"/>
    <w:rsid w:val="00DB2AEF"/>
    <w:rsid w:val="00DB30DC"/>
    <w:rsid w:val="00DB7C45"/>
    <w:rsid w:val="00DC0378"/>
    <w:rsid w:val="00DC3E5A"/>
    <w:rsid w:val="00DC6BF2"/>
    <w:rsid w:val="00DD1333"/>
    <w:rsid w:val="00DD217B"/>
    <w:rsid w:val="00DD7BE3"/>
    <w:rsid w:val="00DE0FD9"/>
    <w:rsid w:val="00DE38EC"/>
    <w:rsid w:val="00DE5FB9"/>
    <w:rsid w:val="00DE7C71"/>
    <w:rsid w:val="00DE7E86"/>
    <w:rsid w:val="00DF22D5"/>
    <w:rsid w:val="00DF4C3C"/>
    <w:rsid w:val="00DF5494"/>
    <w:rsid w:val="00DF6095"/>
    <w:rsid w:val="00DF70FB"/>
    <w:rsid w:val="00E0259F"/>
    <w:rsid w:val="00E04B26"/>
    <w:rsid w:val="00E07CE1"/>
    <w:rsid w:val="00E07FDF"/>
    <w:rsid w:val="00E10DB6"/>
    <w:rsid w:val="00E130AB"/>
    <w:rsid w:val="00E17189"/>
    <w:rsid w:val="00E22448"/>
    <w:rsid w:val="00E25509"/>
    <w:rsid w:val="00E41514"/>
    <w:rsid w:val="00E42111"/>
    <w:rsid w:val="00E45FAF"/>
    <w:rsid w:val="00E464E9"/>
    <w:rsid w:val="00E46B58"/>
    <w:rsid w:val="00E50122"/>
    <w:rsid w:val="00E51A80"/>
    <w:rsid w:val="00E52284"/>
    <w:rsid w:val="00E53D59"/>
    <w:rsid w:val="00E5644E"/>
    <w:rsid w:val="00E60BC4"/>
    <w:rsid w:val="00E611F5"/>
    <w:rsid w:val="00E61BF1"/>
    <w:rsid w:val="00E62E59"/>
    <w:rsid w:val="00E70EBC"/>
    <w:rsid w:val="00E7260F"/>
    <w:rsid w:val="00E746F3"/>
    <w:rsid w:val="00E8449A"/>
    <w:rsid w:val="00E8535A"/>
    <w:rsid w:val="00E8631A"/>
    <w:rsid w:val="00E92C7F"/>
    <w:rsid w:val="00E9395E"/>
    <w:rsid w:val="00E96630"/>
    <w:rsid w:val="00EA6DDC"/>
    <w:rsid w:val="00EA772F"/>
    <w:rsid w:val="00EB2AE2"/>
    <w:rsid w:val="00EB6832"/>
    <w:rsid w:val="00EC04D8"/>
    <w:rsid w:val="00ED100C"/>
    <w:rsid w:val="00ED30E9"/>
    <w:rsid w:val="00ED4C0B"/>
    <w:rsid w:val="00ED6653"/>
    <w:rsid w:val="00ED7A2A"/>
    <w:rsid w:val="00EE257F"/>
    <w:rsid w:val="00EE4966"/>
    <w:rsid w:val="00EF1AF5"/>
    <w:rsid w:val="00EF1D7F"/>
    <w:rsid w:val="00EF22F4"/>
    <w:rsid w:val="00EF582C"/>
    <w:rsid w:val="00EF5A8D"/>
    <w:rsid w:val="00F0002D"/>
    <w:rsid w:val="00F1272B"/>
    <w:rsid w:val="00F1629C"/>
    <w:rsid w:val="00F173DD"/>
    <w:rsid w:val="00F21366"/>
    <w:rsid w:val="00F21597"/>
    <w:rsid w:val="00F2784E"/>
    <w:rsid w:val="00F3006C"/>
    <w:rsid w:val="00F3171A"/>
    <w:rsid w:val="00F350A9"/>
    <w:rsid w:val="00F40E75"/>
    <w:rsid w:val="00F42B81"/>
    <w:rsid w:val="00F43364"/>
    <w:rsid w:val="00F438AA"/>
    <w:rsid w:val="00F441D1"/>
    <w:rsid w:val="00F50AA7"/>
    <w:rsid w:val="00F5110C"/>
    <w:rsid w:val="00F51169"/>
    <w:rsid w:val="00F5307C"/>
    <w:rsid w:val="00F54674"/>
    <w:rsid w:val="00F547C2"/>
    <w:rsid w:val="00F63B80"/>
    <w:rsid w:val="00F65530"/>
    <w:rsid w:val="00F6717A"/>
    <w:rsid w:val="00F70F80"/>
    <w:rsid w:val="00F7751B"/>
    <w:rsid w:val="00F80AB9"/>
    <w:rsid w:val="00F8322D"/>
    <w:rsid w:val="00F83AF1"/>
    <w:rsid w:val="00F92F8C"/>
    <w:rsid w:val="00F9483C"/>
    <w:rsid w:val="00FA5D55"/>
    <w:rsid w:val="00FA6195"/>
    <w:rsid w:val="00FA7DFD"/>
    <w:rsid w:val="00FB51BA"/>
    <w:rsid w:val="00FB5F72"/>
    <w:rsid w:val="00FB61D6"/>
    <w:rsid w:val="00FC318E"/>
    <w:rsid w:val="00FC4EFC"/>
    <w:rsid w:val="00FC5F5D"/>
    <w:rsid w:val="00FC68B7"/>
    <w:rsid w:val="00FD104C"/>
    <w:rsid w:val="00FD3402"/>
    <w:rsid w:val="00FD4900"/>
    <w:rsid w:val="00FD50F3"/>
    <w:rsid w:val="00FD5B15"/>
    <w:rsid w:val="00FD6B2B"/>
    <w:rsid w:val="00FD6B94"/>
    <w:rsid w:val="00FD72EC"/>
    <w:rsid w:val="00FE2C16"/>
    <w:rsid w:val="00FF01E5"/>
    <w:rsid w:val="00FF03BB"/>
    <w:rsid w:val="00FF4A4D"/>
    <w:rsid w:val="00FF6A12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x-none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  <w:lang w:val="x-none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GChar">
    <w:name w:val="_ H_1_G Char"/>
    <w:link w:val="H1G"/>
    <w:rsid w:val="008309A5"/>
    <w:rPr>
      <w:b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70F80"/>
    <w:rPr>
      <w:b/>
      <w:bCs/>
    </w:rPr>
  </w:style>
  <w:style w:type="character" w:customStyle="1" w:styleId="CommentTextChar">
    <w:name w:val="Comment Text Char"/>
    <w:link w:val="CommentText"/>
    <w:semiHidden/>
    <w:rsid w:val="00F70F80"/>
    <w:rPr>
      <w:lang w:val="en-GB" w:eastAsia="en-US"/>
    </w:rPr>
  </w:style>
  <w:style w:type="character" w:customStyle="1" w:styleId="CommentSubjectChar">
    <w:name w:val="Comment Subject Char"/>
    <w:link w:val="CommentSubject"/>
    <w:rsid w:val="00F70F80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DB5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x-none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  <w:lang w:val="x-none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erChar">
    <w:name w:val="Footer Char"/>
    <w:aliases w:val="3_G Char"/>
    <w:link w:val="Footer"/>
    <w:uiPriority w:val="99"/>
    <w:rsid w:val="00F3171A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362A80"/>
    <w:rPr>
      <w:sz w:val="18"/>
      <w:lang w:eastAsia="en-US"/>
    </w:rPr>
  </w:style>
  <w:style w:type="character" w:customStyle="1" w:styleId="HChGChar">
    <w:name w:val="_ H _Ch_G Char"/>
    <w:link w:val="HChG"/>
    <w:locked/>
    <w:rsid w:val="00362A80"/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CB7A6C"/>
    <w:rPr>
      <w:lang w:eastAsia="en-US"/>
    </w:rPr>
  </w:style>
  <w:style w:type="paragraph" w:styleId="BalloonText">
    <w:name w:val="Balloon Text"/>
    <w:basedOn w:val="Normal"/>
    <w:link w:val="BalloonTextChar"/>
    <w:rsid w:val="0047767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7677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rsid w:val="00C201A3"/>
    <w:rPr>
      <w:b/>
      <w:sz w:val="18"/>
      <w:lang w:val="en-GB" w:eastAsia="en-US"/>
    </w:rPr>
  </w:style>
  <w:style w:type="paragraph" w:customStyle="1" w:styleId="Default">
    <w:name w:val="Default"/>
    <w:rsid w:val="006861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GChar">
    <w:name w:val="_ H_1_G Char"/>
    <w:link w:val="H1G"/>
    <w:rsid w:val="008309A5"/>
    <w:rPr>
      <w:b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70F80"/>
    <w:rPr>
      <w:b/>
      <w:bCs/>
    </w:rPr>
  </w:style>
  <w:style w:type="character" w:customStyle="1" w:styleId="CommentTextChar">
    <w:name w:val="Comment Text Char"/>
    <w:link w:val="CommentText"/>
    <w:semiHidden/>
    <w:rsid w:val="00F70F80"/>
    <w:rPr>
      <w:lang w:val="en-GB" w:eastAsia="en-US"/>
    </w:rPr>
  </w:style>
  <w:style w:type="character" w:customStyle="1" w:styleId="CommentSubjectChar">
    <w:name w:val="Comment Subject Char"/>
    <w:link w:val="CommentSubject"/>
    <w:rsid w:val="00F70F8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4</cp:revision>
  <cp:lastPrinted>2015-11-27T16:37:00Z</cp:lastPrinted>
  <dcterms:created xsi:type="dcterms:W3CDTF">2015-11-27T16:35:00Z</dcterms:created>
  <dcterms:modified xsi:type="dcterms:W3CDTF">2015-11-27T18:17:00Z</dcterms:modified>
</cp:coreProperties>
</file>