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rsidTr="008B2E94">
        <w:trPr>
          <w:cantSplit/>
          <w:trHeight w:hRule="exact" w:val="993"/>
        </w:trPr>
        <w:tc>
          <w:tcPr>
            <w:tcW w:w="9639" w:type="dxa"/>
            <w:tcBorders>
              <w:bottom w:val="single" w:sz="4" w:space="0" w:color="auto"/>
            </w:tcBorders>
            <w:shd w:val="clear" w:color="auto" w:fill="FFFFFF"/>
            <w:vAlign w:val="bottom"/>
          </w:tcPr>
          <w:p w:rsidR="00280D2B" w:rsidRPr="008B2E94" w:rsidRDefault="00280D2B" w:rsidP="0042450A">
            <w:pPr>
              <w:spacing w:after="240"/>
              <w:jc w:val="right"/>
              <w:rPr>
                <w:b/>
                <w:sz w:val="40"/>
                <w:szCs w:val="40"/>
                <w:lang w:val="fr-FR"/>
              </w:rPr>
            </w:pPr>
            <w:r w:rsidRPr="008B2E94">
              <w:rPr>
                <w:b/>
                <w:sz w:val="40"/>
                <w:szCs w:val="40"/>
                <w:lang w:val="fr-FR"/>
              </w:rPr>
              <w:t>UN/SCETDG/4</w:t>
            </w:r>
            <w:r w:rsidR="00450B3A" w:rsidRPr="008B2E94">
              <w:rPr>
                <w:b/>
                <w:sz w:val="40"/>
                <w:szCs w:val="40"/>
                <w:lang w:val="fr-FR"/>
              </w:rPr>
              <w:t>8</w:t>
            </w:r>
            <w:r w:rsidRPr="008B2E94">
              <w:rPr>
                <w:b/>
                <w:sz w:val="40"/>
                <w:szCs w:val="40"/>
                <w:lang w:val="fr-FR"/>
              </w:rPr>
              <w:t>/INF.</w:t>
            </w:r>
            <w:r w:rsidR="00B87A6B">
              <w:rPr>
                <w:b/>
                <w:sz w:val="40"/>
                <w:szCs w:val="40"/>
                <w:lang w:val="fr-FR"/>
              </w:rPr>
              <w:t>4</w:t>
            </w:r>
            <w:r w:rsidR="00275E9A">
              <w:rPr>
                <w:b/>
                <w:sz w:val="40"/>
                <w:szCs w:val="40"/>
                <w:lang w:val="fr-FR"/>
              </w:rPr>
              <w:t>7</w:t>
            </w:r>
            <w:r w:rsidR="00E23CEE" w:rsidRPr="008B2E94">
              <w:rPr>
                <w:b/>
                <w:sz w:val="40"/>
                <w:szCs w:val="40"/>
                <w:lang w:val="fr-FR"/>
              </w:rPr>
              <w:br/>
              <w:t>UN/SCEGHS/30/INF.</w:t>
            </w:r>
            <w:r w:rsidR="00B87A6B">
              <w:rPr>
                <w:b/>
                <w:sz w:val="40"/>
                <w:szCs w:val="40"/>
                <w:lang w:val="fr-FR"/>
              </w:rPr>
              <w:t>1</w:t>
            </w:r>
            <w:r w:rsidR="0042450A">
              <w:rPr>
                <w:b/>
                <w:sz w:val="40"/>
                <w:szCs w:val="40"/>
                <w:lang w:val="fr-FR"/>
              </w:rPr>
              <w:t>4</w:t>
            </w:r>
          </w:p>
        </w:tc>
      </w:tr>
    </w:tbl>
    <w:tbl>
      <w:tblPr>
        <w:tblW w:w="9645" w:type="dxa"/>
        <w:tblInd w:w="108" w:type="dxa"/>
        <w:tblLayout w:type="fixed"/>
        <w:tblLook w:val="04A0" w:firstRow="1" w:lastRow="0" w:firstColumn="1" w:lastColumn="0" w:noHBand="0" w:noVBand="1"/>
      </w:tblPr>
      <w:tblGrid>
        <w:gridCol w:w="4536"/>
        <w:gridCol w:w="5109"/>
      </w:tblGrid>
      <w:tr w:rsidR="00280D2B" w:rsidRPr="0045083B" w:rsidTr="008B2E94">
        <w:tc>
          <w:tcPr>
            <w:tcW w:w="9645" w:type="dxa"/>
            <w:gridSpan w:val="2"/>
            <w:tcMar>
              <w:top w:w="142" w:type="dxa"/>
              <w:left w:w="108" w:type="dxa"/>
              <w:bottom w:w="142" w:type="dxa"/>
              <w:right w:w="108" w:type="dxa"/>
            </w:tcMar>
          </w:tcPr>
          <w:p w:rsidR="00280D2B" w:rsidRPr="0045083B" w:rsidRDefault="00280D2B">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2C42D3">
              <w:rPr>
                <w:b/>
                <w:sz w:val="18"/>
                <w:szCs w:val="24"/>
              </w:rPr>
              <w:t>27</w:t>
            </w:r>
            <w:r w:rsidR="0087202A">
              <w:rPr>
                <w:b/>
                <w:sz w:val="18"/>
                <w:szCs w:val="24"/>
              </w:rPr>
              <w:t xml:space="preserve"> November</w:t>
            </w:r>
            <w:r w:rsidR="00EF3923">
              <w:rPr>
                <w:b/>
                <w:sz w:val="18"/>
                <w:szCs w:val="24"/>
              </w:rPr>
              <w:t xml:space="preserve"> </w:t>
            </w:r>
            <w:r w:rsidR="00450B3A">
              <w:rPr>
                <w:b/>
                <w:sz w:val="18"/>
                <w:szCs w:val="24"/>
              </w:rPr>
              <w:t>2015</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rsidR="00280D2B" w:rsidRPr="0045083B" w:rsidRDefault="003262BE">
            <w:pPr>
              <w:spacing w:before="120"/>
              <w:rPr>
                <w:b/>
              </w:rPr>
            </w:pPr>
            <w:r w:rsidRPr="003262BE">
              <w:rPr>
                <w:b/>
              </w:rPr>
              <w:t>Sub-Committee of Experts on the Globally Harmonized System of Classification and Labelling of Chemicals</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ind w:left="34" w:hanging="34"/>
              <w:rPr>
                <w:b/>
              </w:rPr>
            </w:pPr>
            <w:r w:rsidRPr="0045083B">
              <w:rPr>
                <w:b/>
              </w:rPr>
              <w:t>Forty-</w:t>
            </w:r>
            <w:r w:rsidR="00450B3A">
              <w:rPr>
                <w:b/>
              </w:rPr>
              <w:t>eight</w:t>
            </w:r>
            <w:r w:rsidR="00A4449F">
              <w:rPr>
                <w:b/>
              </w:rPr>
              <w:t>h</w:t>
            </w:r>
            <w:r w:rsidRPr="0045083B">
              <w:rPr>
                <w:b/>
              </w:rPr>
              <w:t xml:space="preserve"> session</w:t>
            </w:r>
          </w:p>
        </w:tc>
        <w:tc>
          <w:tcPr>
            <w:tcW w:w="5109" w:type="dxa"/>
            <w:tcMar>
              <w:top w:w="57" w:type="dxa"/>
              <w:left w:w="108" w:type="dxa"/>
              <w:bottom w:w="0" w:type="dxa"/>
              <w:right w:w="108" w:type="dxa"/>
            </w:tcMar>
          </w:tcPr>
          <w:p w:rsidR="00280D2B" w:rsidRPr="0045083B" w:rsidRDefault="003262BE">
            <w:pPr>
              <w:spacing w:before="120"/>
              <w:rPr>
                <w:b/>
              </w:rPr>
            </w:pPr>
            <w:r w:rsidRPr="003262BE">
              <w:rPr>
                <w:b/>
              </w:rPr>
              <w:t>Thirtieth session</w:t>
            </w:r>
          </w:p>
        </w:tc>
      </w:tr>
      <w:tr w:rsidR="00280D2B" w:rsidRPr="0045083B" w:rsidTr="008B2E94">
        <w:tc>
          <w:tcPr>
            <w:tcW w:w="4536" w:type="dxa"/>
            <w:tcMar>
              <w:top w:w="57" w:type="dxa"/>
              <w:left w:w="108" w:type="dxa"/>
              <w:bottom w:w="0" w:type="dxa"/>
              <w:right w:w="108" w:type="dxa"/>
            </w:tcMar>
          </w:tcPr>
          <w:p w:rsidR="00280D2B" w:rsidRPr="00F54DDA" w:rsidRDefault="00280D2B">
            <w:pPr>
              <w:spacing w:before="120"/>
              <w:ind w:left="34" w:hanging="34"/>
            </w:pPr>
            <w:r w:rsidRPr="00F54DDA">
              <w:t xml:space="preserve">Geneva, </w:t>
            </w:r>
            <w:r w:rsidR="00450B3A">
              <w:t>30 November</w:t>
            </w:r>
            <w:r w:rsidRPr="00F54DDA">
              <w:t xml:space="preserve"> – </w:t>
            </w:r>
            <w:r w:rsidR="00450B3A">
              <w:t>9 December</w:t>
            </w:r>
            <w:r w:rsidRPr="00F54DDA">
              <w:t xml:space="preserve"> 2015</w:t>
            </w:r>
          </w:p>
          <w:p w:rsidR="00280D2B" w:rsidRPr="00F54DDA" w:rsidRDefault="00280D2B">
            <w:pPr>
              <w:ind w:left="34" w:hanging="34"/>
            </w:pPr>
            <w:r w:rsidRPr="00F54DDA">
              <w:t xml:space="preserve">Item </w:t>
            </w:r>
            <w:r w:rsidR="00EB0D77">
              <w:t xml:space="preserve">10 (h) </w:t>
            </w:r>
            <w:r w:rsidRPr="00F54DDA">
              <w:t>of the provisional agenda</w:t>
            </w:r>
          </w:p>
          <w:p w:rsidR="005149A9" w:rsidRPr="002C42D3" w:rsidRDefault="00EB0D77">
            <w:pPr>
              <w:spacing w:after="120"/>
              <w:ind w:left="-11" w:firstLine="11"/>
              <w:rPr>
                <w:b/>
              </w:rPr>
            </w:pPr>
            <w:r>
              <w:rPr>
                <w:b/>
              </w:rPr>
              <w:t>Issues relating to the Globally Harmonized System of Classification and Labelling of Chemicals: miscellaneous</w:t>
            </w:r>
          </w:p>
        </w:tc>
        <w:tc>
          <w:tcPr>
            <w:tcW w:w="5109" w:type="dxa"/>
            <w:tcMar>
              <w:top w:w="57" w:type="dxa"/>
              <w:left w:w="108" w:type="dxa"/>
              <w:bottom w:w="0" w:type="dxa"/>
              <w:right w:w="108" w:type="dxa"/>
            </w:tcMar>
          </w:tcPr>
          <w:p w:rsidR="00EB0D77" w:rsidRPr="00563498" w:rsidRDefault="003262BE" w:rsidP="00EB0D77">
            <w:pPr>
              <w:suppressAutoHyphens w:val="0"/>
              <w:spacing w:line="240" w:lineRule="auto"/>
              <w:rPr>
                <w:b/>
              </w:rPr>
            </w:pPr>
            <w:r w:rsidRPr="008B2E94">
              <w:t>G</w:t>
            </w:r>
            <w:r w:rsidR="00EB0D77">
              <w:t>eneva, 9-11 December 2015</w:t>
            </w:r>
            <w:r w:rsidR="00EB0D77">
              <w:br/>
              <w:t xml:space="preserve">Item </w:t>
            </w:r>
            <w:r w:rsidR="0042450A">
              <w:t>2</w:t>
            </w:r>
            <w:r w:rsidRPr="008B2E94">
              <w:t xml:space="preserve"> of the provisional agenda</w:t>
            </w:r>
            <w:r>
              <w:rPr>
                <w:b/>
              </w:rPr>
              <w:br/>
            </w:r>
            <w:r w:rsidR="0042450A" w:rsidRPr="0042450A">
              <w:rPr>
                <w:b/>
              </w:rPr>
              <w:t>Joint work with the Sub-Committee of Experts on the Transport of Dangerous Goods (TDG Sub-Committee)</w:t>
            </w:r>
          </w:p>
          <w:p w:rsidR="00280D2B" w:rsidRPr="00280D2B" w:rsidRDefault="00280D2B" w:rsidP="00EB0D77">
            <w:pPr>
              <w:rPr>
                <w:b/>
              </w:rPr>
            </w:pPr>
          </w:p>
        </w:tc>
      </w:tr>
    </w:tbl>
    <w:p w:rsidR="00275E9A" w:rsidRPr="00A52D3D" w:rsidRDefault="00275E9A" w:rsidP="00275E9A">
      <w:pPr>
        <w:pStyle w:val="HChG"/>
      </w:pPr>
      <w:r w:rsidRPr="00A52D3D">
        <w:tab/>
      </w:r>
      <w:r>
        <w:tab/>
      </w:r>
      <w:bookmarkStart w:id="0" w:name="_GoBack"/>
      <w:r w:rsidRPr="00A52D3D">
        <w:t xml:space="preserve">Use of the Manual of Tests and Criteria in the context of the GHS: </w:t>
      </w:r>
      <w:r>
        <w:t>Proposed amendments to Chapter 32 of Part III of the Manual</w:t>
      </w:r>
      <w:bookmarkEnd w:id="0"/>
    </w:p>
    <w:p w:rsidR="00275E9A" w:rsidRPr="00A52D3D" w:rsidRDefault="00275E9A" w:rsidP="00275E9A">
      <w:pPr>
        <w:pStyle w:val="H1G"/>
      </w:pPr>
      <w:r>
        <w:tab/>
      </w:r>
      <w:r>
        <w:tab/>
        <w:t xml:space="preserve">Transmitted </w:t>
      </w:r>
      <w:r w:rsidRPr="00A52D3D">
        <w:t xml:space="preserve">by the </w:t>
      </w:r>
      <w:r>
        <w:t>expert from Canada</w:t>
      </w:r>
    </w:p>
    <w:p w:rsidR="00275E9A" w:rsidRPr="00275E9A" w:rsidRDefault="00275E9A" w:rsidP="00275E9A">
      <w:pPr>
        <w:pStyle w:val="SingleTxtG"/>
      </w:pPr>
      <w:r>
        <w:t>1.</w:t>
      </w:r>
      <w:r>
        <w:tab/>
      </w:r>
      <w:r w:rsidRPr="00275E9A">
        <w:t>Reference is made to document UN/SCETDG/45/INF.8/Add.4-UN/SCEGHS/27/INF.5/Add.4 from the 45th and to documents UN/SCETDG/47/INF.6-UN/SCEGHS/29/INF.4 and UN/SCETDG/47/INF.31-UN/SCEGHS/29/INF.9 from the 47th sessions of the Sub-Committee.</w:t>
      </w:r>
    </w:p>
    <w:p w:rsidR="00275E9A" w:rsidRPr="00275E9A" w:rsidRDefault="00275E9A" w:rsidP="00275E9A">
      <w:pPr>
        <w:pStyle w:val="SingleTxtG"/>
      </w:pPr>
      <w:r>
        <w:t>2.</w:t>
      </w:r>
      <w:r>
        <w:tab/>
      </w:r>
      <w:r w:rsidRPr="00275E9A">
        <w:t xml:space="preserve">This document contains specific comments on the suggested amendments to Section 32 of Part III of the Manual of Tests and Criteria. </w:t>
      </w:r>
    </w:p>
    <w:p w:rsidR="00275E9A" w:rsidRPr="00275E9A" w:rsidRDefault="00275E9A" w:rsidP="00275E9A">
      <w:pPr>
        <w:pStyle w:val="SingleTxtG"/>
      </w:pPr>
      <w:r>
        <w:t>3.</w:t>
      </w:r>
      <w:r>
        <w:tab/>
      </w:r>
      <w:r w:rsidRPr="00275E9A">
        <w:t>As highlighted in paragraph 4 of INF.31 (47th session), any reference to both the Model Regulations and GHS should always place the Model Regulations before the GHS for consistency purposes. In the introduction to the Manual, the Model Regulations are presented first and this should be maintained throughout.  Constant references to “transport” classes and “GHS” categories are unnecessary and should be deleted.</w:t>
      </w:r>
    </w:p>
    <w:p w:rsidR="00275E9A" w:rsidRPr="00275E9A" w:rsidRDefault="00275E9A" w:rsidP="00275E9A">
      <w:pPr>
        <w:pStyle w:val="SingleTxtG"/>
      </w:pPr>
      <w:r>
        <w:t>4.</w:t>
      </w:r>
      <w:r>
        <w:tab/>
      </w:r>
      <w:r w:rsidRPr="00275E9A">
        <w:t>The goal of Chapter 32 is to determine whether liquid desensitized explosives and other liquids meet the criteria for flammability. It is suggested not to amend the title of this chapter, except to remove the reference to “transport class 3”.  It is proposed to incorporate the references to the UN Model Regulations and the GHS into 32.1.1 as follows:</w:t>
      </w:r>
    </w:p>
    <w:p w:rsidR="00275E9A" w:rsidRPr="00DD74A4" w:rsidRDefault="00275E9A" w:rsidP="00275E9A">
      <w:pPr>
        <w:pStyle w:val="H23G"/>
      </w:pPr>
      <w:r>
        <w:tab/>
      </w:r>
      <w:r>
        <w:tab/>
      </w:r>
      <w:r w:rsidRPr="00DD74A4">
        <w:t>3</w:t>
      </w:r>
      <w:r>
        <w:t>2</w:t>
      </w:r>
      <w:r w:rsidRPr="00DD74A4">
        <w:t>.1</w:t>
      </w:r>
      <w:r w:rsidRPr="00DD74A4">
        <w:tab/>
        <w:t>Purpose</w:t>
      </w:r>
    </w:p>
    <w:p w:rsidR="00275E9A" w:rsidRPr="001B1E58" w:rsidRDefault="00275E9A" w:rsidP="00275E9A">
      <w:pPr>
        <w:pStyle w:val="SingleTxtG"/>
        <w:ind w:left="1701"/>
      </w:pPr>
      <w:r w:rsidRPr="001B1E58">
        <w:t>3</w:t>
      </w:r>
      <w:r>
        <w:t>2</w:t>
      </w:r>
      <w:r w:rsidRPr="001B1E58">
        <w:t>.1.1</w:t>
      </w:r>
      <w:r w:rsidRPr="001B1E58">
        <w:tab/>
        <w:t xml:space="preserve">This </w:t>
      </w:r>
      <w:r w:rsidRPr="00237A04">
        <w:rPr>
          <w:u w:val="single"/>
        </w:rPr>
        <w:t>chapter</w:t>
      </w:r>
      <w:r>
        <w:t xml:space="preserve"> </w:t>
      </w:r>
      <w:r w:rsidRPr="00237A04">
        <w:rPr>
          <w:strike/>
        </w:rPr>
        <w:t>section</w:t>
      </w:r>
      <w:r w:rsidRPr="001B1E58">
        <w:t xml:space="preserve"> presents the United Nations scheme for the classification of </w:t>
      </w:r>
      <w:r>
        <w:rPr>
          <w:iCs/>
        </w:rPr>
        <w:t xml:space="preserve">liquid </w:t>
      </w:r>
      <w:r w:rsidRPr="00275E9A">
        <w:t>desensitized</w:t>
      </w:r>
      <w:r>
        <w:rPr>
          <w:iCs/>
        </w:rPr>
        <w:t xml:space="preserve"> explosives and flammable liquids </w:t>
      </w:r>
      <w:r w:rsidRPr="001B1E58">
        <w:rPr>
          <w:u w:val="single"/>
        </w:rPr>
        <w:t>(</w:t>
      </w:r>
      <w:r>
        <w:rPr>
          <w:u w:val="single"/>
        </w:rPr>
        <w:t>Class 3 / Categories 1 to 4</w:t>
      </w:r>
      <w:r w:rsidRPr="001B1E58">
        <w:rPr>
          <w:u w:val="single"/>
        </w:rPr>
        <w:t>)</w:t>
      </w:r>
      <w:r w:rsidRPr="001B1E58">
        <w:t xml:space="preserve">. The text should be used in conjunction with the classification principles given in </w:t>
      </w:r>
      <w:r w:rsidRPr="00B3434F">
        <w:rPr>
          <w:u w:val="single"/>
        </w:rPr>
        <w:t>Chapter 2.3 of the Model Regulations, Chapter 2.3 of the GHS</w:t>
      </w:r>
      <w:r>
        <w:t xml:space="preserve">, </w:t>
      </w:r>
      <w:r w:rsidRPr="001B1E58">
        <w:t xml:space="preserve">and the tests </w:t>
      </w:r>
      <w:r>
        <w:t xml:space="preserve">methods </w:t>
      </w:r>
      <w:r w:rsidRPr="001B1E58">
        <w:t>given in sections 3</w:t>
      </w:r>
      <w:r>
        <w:t>2</w:t>
      </w:r>
      <w:r w:rsidRPr="001B1E58">
        <w:t>.4 and 3</w:t>
      </w:r>
      <w:r>
        <w:t>2</w:t>
      </w:r>
      <w:r w:rsidRPr="001B1E58">
        <w:t>.5 of this Manual</w:t>
      </w:r>
      <w:r>
        <w:t xml:space="preserve">.  </w:t>
      </w:r>
      <w:r w:rsidRPr="00B3434F">
        <w:rPr>
          <w:u w:val="single"/>
        </w:rPr>
        <w:t>Note 2 to paragraph 2.1.2.2 of the GHS</w:t>
      </w:r>
      <w:r>
        <w:rPr>
          <w:u w:val="single"/>
        </w:rPr>
        <w:t xml:space="preserve"> should also be taken into consideration</w:t>
      </w:r>
      <w:r>
        <w:t xml:space="preserve">. </w:t>
      </w:r>
    </w:p>
    <w:p w:rsidR="00275E9A" w:rsidRDefault="00275E9A" w:rsidP="00275E9A">
      <w:pPr>
        <w:pStyle w:val="SingleTxtG"/>
      </w:pPr>
    </w:p>
    <w:p w:rsidR="00275E9A" w:rsidRDefault="00275E9A" w:rsidP="00275E9A">
      <w:pPr>
        <w:pStyle w:val="SingleTxtG"/>
      </w:pPr>
    </w:p>
    <w:p w:rsidR="00275E9A" w:rsidRDefault="00275E9A" w:rsidP="00275E9A">
      <w:pPr>
        <w:pStyle w:val="SingleTxtG"/>
      </w:pPr>
      <w:r>
        <w:lastRenderedPageBreak/>
        <w:t>5.</w:t>
      </w:r>
      <w:r>
        <w:tab/>
        <w:t xml:space="preserve">For consistency, </w:t>
      </w:r>
      <w:r w:rsidRPr="0080659C">
        <w:t>it is proposed to ad</w:t>
      </w:r>
      <w:r>
        <w:t>d the words “and mixtures” a second time in the first sentence to 32.2.2 as follows and to adopt all other changes proposed in INF.8/Add.4 (45</w:t>
      </w:r>
      <w:r w:rsidRPr="00A16165">
        <w:rPr>
          <w:vertAlign w:val="superscript"/>
        </w:rPr>
        <w:t>th</w:t>
      </w:r>
      <w:r>
        <w:t xml:space="preserve"> session):</w:t>
      </w:r>
    </w:p>
    <w:p w:rsidR="00275E9A" w:rsidRPr="00117465" w:rsidRDefault="00275E9A" w:rsidP="00275E9A">
      <w:pPr>
        <w:pStyle w:val="SingleTxtG"/>
        <w:ind w:left="1701"/>
      </w:pPr>
      <w:r w:rsidRPr="00117465">
        <w:t>32.2.2</w:t>
      </w:r>
      <w:r w:rsidRPr="00117465">
        <w:tab/>
        <w:t>Substances and mixtures are classified as flammable liquids only when their flash point is not more than 60 °C in a closed-cup test, or not more than 65.6 °C in an open-cup test or, in the case of substances</w:t>
      </w:r>
      <w:r>
        <w:t xml:space="preserve"> </w:t>
      </w:r>
      <w:r w:rsidRPr="000F4A93">
        <w:rPr>
          <w:u w:val="single"/>
        </w:rPr>
        <w:t>and mixtures</w:t>
      </w:r>
      <w:r w:rsidRPr="00117465">
        <w:t xml:space="preserve"> transported or offered for transport at elevated temperatures, when they give off a flammable vapour at a temperature at or below the maximum transport temperature. </w:t>
      </w:r>
      <w:r>
        <w:t>(...)</w:t>
      </w:r>
      <w:r w:rsidRPr="00117465">
        <w:t xml:space="preserve"> </w:t>
      </w:r>
    </w:p>
    <w:p w:rsidR="00275E9A" w:rsidRPr="003B2A34" w:rsidRDefault="00275E9A" w:rsidP="00275E9A">
      <w:pPr>
        <w:pStyle w:val="SingleTxtG"/>
      </w:pPr>
      <w:r>
        <w:rPr>
          <w:lang w:val="en-CA"/>
        </w:rPr>
        <w:t>6.</w:t>
      </w:r>
      <w:r>
        <w:rPr>
          <w:lang w:val="en-CA"/>
        </w:rPr>
        <w:tab/>
        <w:t xml:space="preserve">It is proposed to remove the parenthesis for the reference to the Model Regulations in 32.2.3 as well as the reference to class 3 and to amend the rest of the paragraph as follows.  The expert from Canada does not believe it </w:t>
      </w:r>
      <w:r w:rsidRPr="00275E9A">
        <w:t>necessary</w:t>
      </w:r>
      <w:r>
        <w:rPr>
          <w:lang w:val="en-CA"/>
        </w:rPr>
        <w:t xml:space="preserve"> to add the GHS categories in this instance as it is only an example.</w:t>
      </w:r>
    </w:p>
    <w:p w:rsidR="00275E9A" w:rsidRPr="005579ED" w:rsidRDefault="00275E9A" w:rsidP="00275E9A">
      <w:pPr>
        <w:pStyle w:val="SingleTxtG"/>
        <w:ind w:left="1701"/>
      </w:pPr>
      <w:r w:rsidRPr="00117465">
        <w:t>32.2.3</w:t>
      </w:r>
      <w:r w:rsidRPr="00117465">
        <w:tab/>
        <w:t xml:space="preserve">Flammable liquids listed </w:t>
      </w:r>
      <w:r w:rsidRPr="003B2A34">
        <w:rPr>
          <w:u w:val="dotted"/>
        </w:rPr>
        <w:t>by name in the dangerous goods list</w:t>
      </w:r>
      <w:r w:rsidRPr="00117465">
        <w:t xml:space="preserve"> </w:t>
      </w:r>
      <w:r w:rsidRPr="00A75047">
        <w:rPr>
          <w:strike/>
        </w:rPr>
        <w:t>(</w:t>
      </w:r>
      <w:r w:rsidRPr="003B2A34">
        <w:rPr>
          <w:u w:val="single"/>
        </w:rPr>
        <w:t>of</w:t>
      </w:r>
      <w:r>
        <w:t xml:space="preserve"> </w:t>
      </w:r>
      <w:r w:rsidRPr="00117465">
        <w:t>Chapter 3.2 of the Model Regulations</w:t>
      </w:r>
      <w:r w:rsidRPr="00A75047">
        <w:rPr>
          <w:strike/>
        </w:rPr>
        <w:t>) in transport Class 3</w:t>
      </w:r>
      <w:r w:rsidRPr="00117465">
        <w:t xml:space="preserve"> should be regarded as chemically pure. In practice, goods shipped under the name of such substances are often commercial products which contain other added substances or impurities. Therefore, it may occur that liquids which are not included in the list because their flash point in their pure state is more than 60</w:t>
      </w:r>
      <w:r>
        <w:t> </w:t>
      </w:r>
      <w:r w:rsidRPr="00117465">
        <w:t>°C in a closed</w:t>
      </w:r>
      <w:r w:rsidRPr="00117465">
        <w:softHyphen/>
        <w:t xml:space="preserve">-cup test, or more than 65.6 °C in an open-cup test, may be </w:t>
      </w:r>
      <w:r w:rsidRPr="000B68E0">
        <w:rPr>
          <w:u w:val="single"/>
        </w:rPr>
        <w:t>classified</w:t>
      </w:r>
      <w:r w:rsidRPr="000B68E0">
        <w:rPr>
          <w:strike/>
        </w:rPr>
        <w:t xml:space="preserve"> </w:t>
      </w:r>
      <w:r w:rsidRPr="00A75047">
        <w:rPr>
          <w:strike/>
        </w:rPr>
        <w:t>offered for transport</w:t>
      </w:r>
      <w:r w:rsidRPr="00117465">
        <w:t xml:space="preserve"> as </w:t>
      </w:r>
      <w:r w:rsidRPr="000B68E0">
        <w:rPr>
          <w:u w:val="single"/>
        </w:rPr>
        <w:t>“generic” or “not otherwise specified” dangerous goods</w:t>
      </w:r>
      <w:r w:rsidRPr="000B68E0">
        <w:t xml:space="preserve"> </w:t>
      </w:r>
      <w:r w:rsidRPr="00A75047">
        <w:rPr>
          <w:strike/>
        </w:rPr>
        <w:t>commercial products</w:t>
      </w:r>
      <w:r>
        <w:t xml:space="preserve"> </w:t>
      </w:r>
      <w:r w:rsidRPr="00117465">
        <w:t xml:space="preserve">with a flash point at or below that limit. Moreover, liquids which would be listed, in their pure state, in packing group III </w:t>
      </w:r>
      <w:r w:rsidRPr="00A75047">
        <w:rPr>
          <w:strike/>
        </w:rPr>
        <w:t>(GHS Category 3)</w:t>
      </w:r>
      <w:r w:rsidRPr="000B68E0">
        <w:t xml:space="preserve"> </w:t>
      </w:r>
      <w:r w:rsidRPr="00117465">
        <w:t xml:space="preserve">could in fact be included in packing group II </w:t>
      </w:r>
      <w:r w:rsidRPr="00A75047">
        <w:rPr>
          <w:strike/>
        </w:rPr>
        <w:t>(GHS Category 2)</w:t>
      </w:r>
      <w:r w:rsidRPr="00117465">
        <w:t xml:space="preserve"> </w:t>
      </w:r>
      <w:r w:rsidRPr="000B68E0">
        <w:rPr>
          <w:u w:val="single"/>
        </w:rPr>
        <w:t>when offered</w:t>
      </w:r>
      <w:r>
        <w:t xml:space="preserve"> </w:t>
      </w:r>
      <w:r w:rsidRPr="00117465">
        <w:t xml:space="preserve">as </w:t>
      </w:r>
      <w:r w:rsidRPr="000B68E0">
        <w:t>commercial products</w:t>
      </w:r>
      <w:r w:rsidRPr="00117465">
        <w:t xml:space="preserve"> because of the presence of added substances or impurities</w:t>
      </w:r>
      <w:r>
        <w:t>.</w:t>
      </w:r>
      <w:r w:rsidRPr="00A42017">
        <w:rPr>
          <w:bCs/>
          <w:iCs/>
        </w:rPr>
        <w:t xml:space="preserve"> </w:t>
      </w:r>
    </w:p>
    <w:p w:rsidR="00B6485A" w:rsidRPr="00A42017" w:rsidRDefault="00B6485A" w:rsidP="00B6485A">
      <w:pPr>
        <w:pStyle w:val="SingleTxtG"/>
      </w:pPr>
      <w:r>
        <w:t>7.</w:t>
      </w:r>
      <w:r>
        <w:tab/>
        <w:t xml:space="preserve">It is proposed to amend 32.2.5 so that the results of the combustibility test are hinted at. </w:t>
      </w:r>
    </w:p>
    <w:p w:rsidR="00B6485A" w:rsidRPr="00117465" w:rsidRDefault="00B6485A" w:rsidP="00B6485A">
      <w:pPr>
        <w:pStyle w:val="SingleTxtG"/>
        <w:ind w:left="1701"/>
      </w:pPr>
      <w:r w:rsidRPr="00AC6064">
        <w:t>32.2.5</w:t>
      </w:r>
      <w:r w:rsidRPr="00AC6064">
        <w:tab/>
        <w:t xml:space="preserve">Liquids are considered to be unable to sustain combustion (i.e. they do not sustain combustion under defined test conditions) if they </w:t>
      </w:r>
      <w:r w:rsidRPr="00AC6064">
        <w:rPr>
          <w:strike/>
        </w:rPr>
        <w:t>have passed</w:t>
      </w:r>
      <w:r w:rsidRPr="00AC6064">
        <w:t xml:space="preserve"> </w:t>
      </w:r>
      <w:r w:rsidRPr="00AC6064">
        <w:rPr>
          <w:u w:val="single"/>
        </w:rPr>
        <w:t>yield negative results when submitted to</w:t>
      </w:r>
      <w:r w:rsidRPr="00AC6064">
        <w:t xml:space="preserve"> a suitable combustibility test (see section 32.5.2) or if their fire point, according to ISO 2592</w:t>
      </w:r>
      <w:r w:rsidRPr="00117465">
        <w:t>, is greater than 100 °C or if they are miscible solutions with a water content of more than 90% by mass.</w:t>
      </w:r>
    </w:p>
    <w:p w:rsidR="00B6485A" w:rsidRPr="00077CF4" w:rsidRDefault="00B6485A" w:rsidP="00B6485A">
      <w:pPr>
        <w:pStyle w:val="SingleTxtG"/>
      </w:pPr>
      <w:r>
        <w:t>8.</w:t>
      </w:r>
      <w:r>
        <w:tab/>
        <w:t>The Secretariat and the expert from the Netherlands mentioned that the GHS does not use the boiling point (BP) as criteria for classification of Category 3 flammable liquids.  Since the 6</w:t>
      </w:r>
      <w:r w:rsidRPr="002C3A22">
        <w:rPr>
          <w:vertAlign w:val="superscript"/>
        </w:rPr>
        <w:t>th</w:t>
      </w:r>
      <w:r>
        <w:t xml:space="preserve"> edition of the GHS does not address boiling point, it is proposed that the GHS be amended accordingly so that the criteria for packing groups I, II and III match the ones for Categories 1, 2 and 3 better.  Until GHS is amended, a note could be added after this table (proposed in INF.8/Add.4) to mention the difference. Also, as mentioned before, it is suggested to “switch” the last two columns as follows.</w:t>
      </w:r>
    </w:p>
    <w:p w:rsidR="00B6485A" w:rsidRPr="00117465" w:rsidRDefault="00B6485A" w:rsidP="00B6485A">
      <w:pPr>
        <w:pStyle w:val="ListParagraph"/>
        <w:keepNext/>
        <w:keepLines/>
        <w:tabs>
          <w:tab w:val="left" w:pos="1418"/>
        </w:tabs>
        <w:spacing w:before="240" w:after="120"/>
        <w:ind w:left="0"/>
        <w:jc w:val="center"/>
      </w:pPr>
      <w:r w:rsidRPr="00077CF4">
        <w:rPr>
          <w:b/>
          <w:bCs/>
        </w:rPr>
        <w:t>Table 32.1: Hazard grouping based on flammability</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040"/>
        <w:gridCol w:w="2016"/>
        <w:gridCol w:w="864"/>
      </w:tblGrid>
      <w:tr w:rsidR="00B6485A" w:rsidRPr="00077CF4" w:rsidTr="00826BD4">
        <w:trPr>
          <w:jc w:val="center"/>
        </w:trPr>
        <w:tc>
          <w:tcPr>
            <w:tcW w:w="5040" w:type="dxa"/>
          </w:tcPr>
          <w:p w:rsidR="00B6485A" w:rsidRPr="00077CF4" w:rsidRDefault="00B6485A" w:rsidP="00826BD4">
            <w:pPr>
              <w:pStyle w:val="BodyText"/>
              <w:keepNext/>
              <w:keepLines/>
              <w:tabs>
                <w:tab w:val="left" w:pos="2268"/>
                <w:tab w:val="left" w:pos="2835"/>
                <w:tab w:val="left" w:pos="3402"/>
                <w:tab w:val="left" w:pos="3969"/>
                <w:tab w:val="left" w:pos="4536"/>
              </w:tabs>
              <w:spacing w:before="40" w:after="40"/>
              <w:rPr>
                <w:b/>
                <w:bCs/>
                <w:sz w:val="18"/>
              </w:rPr>
            </w:pPr>
            <w:r w:rsidRPr="00077CF4">
              <w:rPr>
                <w:b/>
                <w:bCs/>
                <w:sz w:val="18"/>
              </w:rPr>
              <w:t>Criteria</w:t>
            </w:r>
          </w:p>
        </w:tc>
        <w:tc>
          <w:tcPr>
            <w:tcW w:w="2016" w:type="dxa"/>
          </w:tcPr>
          <w:p w:rsidR="00B6485A" w:rsidRPr="00077CF4" w:rsidRDefault="00B6485A" w:rsidP="00826BD4">
            <w:pPr>
              <w:pStyle w:val="BodyText"/>
              <w:keepNext/>
              <w:keepLines/>
              <w:tabs>
                <w:tab w:val="left" w:pos="2268"/>
                <w:tab w:val="left" w:pos="2835"/>
                <w:tab w:val="left" w:pos="3402"/>
                <w:tab w:val="left" w:pos="3969"/>
                <w:tab w:val="left" w:pos="4536"/>
              </w:tabs>
              <w:spacing w:before="40" w:after="40"/>
              <w:jc w:val="center"/>
              <w:rPr>
                <w:b/>
                <w:bCs/>
                <w:sz w:val="18"/>
              </w:rPr>
            </w:pPr>
            <w:r w:rsidRPr="00077CF4">
              <w:rPr>
                <w:b/>
                <w:bCs/>
                <w:sz w:val="18"/>
              </w:rPr>
              <w:t>UN Model Regulations</w:t>
            </w:r>
            <w:r w:rsidRPr="00077CF4">
              <w:rPr>
                <w:b/>
                <w:bCs/>
                <w:sz w:val="18"/>
              </w:rPr>
              <w:br/>
              <w:t>Packing group</w:t>
            </w:r>
          </w:p>
        </w:tc>
        <w:tc>
          <w:tcPr>
            <w:tcW w:w="864" w:type="dxa"/>
          </w:tcPr>
          <w:p w:rsidR="00B6485A" w:rsidRPr="00077CF4" w:rsidRDefault="00B6485A" w:rsidP="00826BD4">
            <w:pPr>
              <w:pStyle w:val="BodyText"/>
              <w:keepNext/>
              <w:keepLines/>
              <w:tabs>
                <w:tab w:val="left" w:pos="2268"/>
                <w:tab w:val="left" w:pos="2835"/>
                <w:tab w:val="left" w:pos="3402"/>
                <w:tab w:val="left" w:pos="3969"/>
                <w:tab w:val="left" w:pos="4536"/>
              </w:tabs>
              <w:spacing w:before="40" w:after="40"/>
              <w:jc w:val="center"/>
              <w:rPr>
                <w:b/>
                <w:bCs/>
                <w:sz w:val="18"/>
              </w:rPr>
            </w:pPr>
            <w:r w:rsidRPr="00077CF4">
              <w:rPr>
                <w:b/>
                <w:bCs/>
                <w:sz w:val="18"/>
              </w:rPr>
              <w:t xml:space="preserve">GHS </w:t>
            </w:r>
            <w:r w:rsidRPr="00077CF4">
              <w:rPr>
                <w:b/>
                <w:bCs/>
                <w:sz w:val="18"/>
              </w:rPr>
              <w:br/>
              <w:t>Category</w:t>
            </w:r>
          </w:p>
        </w:tc>
      </w:tr>
      <w:tr w:rsidR="00B6485A" w:rsidRPr="00077CF4" w:rsidTr="00826BD4">
        <w:trPr>
          <w:jc w:val="center"/>
        </w:trPr>
        <w:tc>
          <w:tcPr>
            <w:tcW w:w="5040"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rPr>
                <w:bCs/>
                <w:sz w:val="18"/>
              </w:rPr>
            </w:pPr>
            <w:r w:rsidRPr="00077CF4">
              <w:rPr>
                <w:bCs/>
                <w:sz w:val="18"/>
              </w:rPr>
              <w:t xml:space="preserve">Flash point &lt; 23 °C and initial boiling point </w:t>
            </w:r>
            <w:r w:rsidRPr="00077CF4">
              <w:rPr>
                <w:bCs/>
                <w:sz w:val="18"/>
              </w:rPr>
              <w:sym w:font="Symbol" w:char="F0A3"/>
            </w:r>
            <w:r w:rsidRPr="00077CF4">
              <w:rPr>
                <w:bCs/>
                <w:sz w:val="18"/>
              </w:rPr>
              <w:t xml:space="preserve"> 35 °C</w:t>
            </w:r>
          </w:p>
        </w:tc>
        <w:tc>
          <w:tcPr>
            <w:tcW w:w="2016"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jc w:val="center"/>
              <w:rPr>
                <w:bCs/>
                <w:sz w:val="18"/>
              </w:rPr>
            </w:pPr>
            <w:r w:rsidRPr="00077CF4">
              <w:rPr>
                <w:bCs/>
                <w:sz w:val="18"/>
              </w:rPr>
              <w:t>I</w:t>
            </w:r>
          </w:p>
        </w:tc>
        <w:tc>
          <w:tcPr>
            <w:tcW w:w="864"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jc w:val="center"/>
              <w:rPr>
                <w:bCs/>
                <w:sz w:val="18"/>
              </w:rPr>
            </w:pPr>
            <w:r w:rsidRPr="00077CF4">
              <w:rPr>
                <w:bCs/>
                <w:sz w:val="18"/>
              </w:rPr>
              <w:t>1</w:t>
            </w:r>
          </w:p>
        </w:tc>
      </w:tr>
      <w:tr w:rsidR="00B6485A" w:rsidRPr="00077CF4" w:rsidTr="00826BD4">
        <w:trPr>
          <w:jc w:val="center"/>
        </w:trPr>
        <w:tc>
          <w:tcPr>
            <w:tcW w:w="5040"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rPr>
                <w:bCs/>
                <w:sz w:val="18"/>
              </w:rPr>
            </w:pPr>
            <w:r w:rsidRPr="00077CF4">
              <w:rPr>
                <w:bCs/>
                <w:sz w:val="18"/>
              </w:rPr>
              <w:t>Flash point &lt; 23 °C and initial boiling point &gt; 35 °C</w:t>
            </w:r>
          </w:p>
        </w:tc>
        <w:tc>
          <w:tcPr>
            <w:tcW w:w="2016"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jc w:val="center"/>
              <w:rPr>
                <w:bCs/>
                <w:sz w:val="18"/>
              </w:rPr>
            </w:pPr>
            <w:r w:rsidRPr="00077CF4">
              <w:rPr>
                <w:bCs/>
                <w:sz w:val="18"/>
              </w:rPr>
              <w:t>II</w:t>
            </w:r>
          </w:p>
        </w:tc>
        <w:tc>
          <w:tcPr>
            <w:tcW w:w="864"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jc w:val="center"/>
              <w:rPr>
                <w:bCs/>
                <w:sz w:val="18"/>
              </w:rPr>
            </w:pPr>
            <w:r w:rsidRPr="00077CF4">
              <w:rPr>
                <w:bCs/>
                <w:sz w:val="18"/>
              </w:rPr>
              <w:t>2</w:t>
            </w:r>
          </w:p>
        </w:tc>
      </w:tr>
      <w:tr w:rsidR="00B6485A" w:rsidRPr="00077CF4" w:rsidTr="00826BD4">
        <w:trPr>
          <w:jc w:val="center"/>
        </w:trPr>
        <w:tc>
          <w:tcPr>
            <w:tcW w:w="5040"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rPr>
                <w:bCs/>
                <w:sz w:val="18"/>
              </w:rPr>
            </w:pPr>
            <w:r w:rsidRPr="00077CF4">
              <w:rPr>
                <w:bCs/>
                <w:sz w:val="18"/>
              </w:rPr>
              <w:t xml:space="preserve">Flash point </w:t>
            </w:r>
            <w:r w:rsidRPr="00077CF4">
              <w:rPr>
                <w:bCs/>
                <w:sz w:val="18"/>
              </w:rPr>
              <w:sym w:font="Symbol" w:char="F0B3"/>
            </w:r>
            <w:r w:rsidRPr="00077CF4">
              <w:rPr>
                <w:bCs/>
                <w:sz w:val="18"/>
              </w:rPr>
              <w:t xml:space="preserve"> 23 °C and </w:t>
            </w:r>
            <w:r w:rsidRPr="00077CF4">
              <w:rPr>
                <w:bCs/>
                <w:sz w:val="18"/>
              </w:rPr>
              <w:sym w:font="Symbol" w:char="F0A3"/>
            </w:r>
            <w:r w:rsidRPr="00077CF4">
              <w:rPr>
                <w:bCs/>
                <w:sz w:val="18"/>
              </w:rPr>
              <w:t xml:space="preserve"> 60 °C and initial boiling point &gt; 35 °C</w:t>
            </w:r>
          </w:p>
        </w:tc>
        <w:tc>
          <w:tcPr>
            <w:tcW w:w="2016"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jc w:val="center"/>
              <w:rPr>
                <w:bCs/>
                <w:sz w:val="18"/>
              </w:rPr>
            </w:pPr>
            <w:r w:rsidRPr="00077CF4">
              <w:rPr>
                <w:bCs/>
                <w:sz w:val="18"/>
              </w:rPr>
              <w:t>III</w:t>
            </w:r>
          </w:p>
        </w:tc>
        <w:tc>
          <w:tcPr>
            <w:tcW w:w="864"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jc w:val="center"/>
              <w:rPr>
                <w:bCs/>
                <w:sz w:val="18"/>
              </w:rPr>
            </w:pPr>
            <w:r w:rsidRPr="00077CF4">
              <w:rPr>
                <w:bCs/>
                <w:sz w:val="18"/>
              </w:rPr>
              <w:t>3</w:t>
            </w:r>
          </w:p>
        </w:tc>
      </w:tr>
      <w:tr w:rsidR="00B6485A" w:rsidRPr="00077CF4" w:rsidTr="00826BD4">
        <w:trPr>
          <w:trHeight w:val="338"/>
          <w:jc w:val="center"/>
        </w:trPr>
        <w:tc>
          <w:tcPr>
            <w:tcW w:w="5040"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rPr>
                <w:bCs/>
                <w:sz w:val="18"/>
              </w:rPr>
            </w:pPr>
            <w:r w:rsidRPr="00077CF4">
              <w:rPr>
                <w:bCs/>
                <w:sz w:val="18"/>
              </w:rPr>
              <w:t xml:space="preserve">Flash point &gt; 60 °C and </w:t>
            </w:r>
            <w:r w:rsidRPr="00077CF4">
              <w:rPr>
                <w:bCs/>
                <w:sz w:val="18"/>
              </w:rPr>
              <w:sym w:font="Symbol" w:char="F0A3"/>
            </w:r>
            <w:r w:rsidRPr="00077CF4">
              <w:rPr>
                <w:bCs/>
                <w:sz w:val="18"/>
              </w:rPr>
              <w:t xml:space="preserve"> 93 °C</w:t>
            </w:r>
          </w:p>
        </w:tc>
        <w:tc>
          <w:tcPr>
            <w:tcW w:w="2016" w:type="dxa"/>
          </w:tcPr>
          <w:p w:rsidR="00B6485A" w:rsidRPr="00077CF4" w:rsidRDefault="00B6485A" w:rsidP="00826BD4">
            <w:pPr>
              <w:tabs>
                <w:tab w:val="left" w:pos="1134"/>
                <w:tab w:val="left" w:pos="1701"/>
                <w:tab w:val="left" w:pos="2268"/>
                <w:tab w:val="left" w:pos="2835"/>
                <w:tab w:val="left" w:pos="3402"/>
                <w:tab w:val="left" w:pos="3969"/>
                <w:tab w:val="left" w:pos="4536"/>
              </w:tabs>
              <w:spacing w:before="40" w:after="40"/>
              <w:jc w:val="center"/>
              <w:rPr>
                <w:bCs/>
                <w:i/>
                <w:sz w:val="18"/>
              </w:rPr>
            </w:pPr>
            <w:r w:rsidRPr="00077CF4">
              <w:rPr>
                <w:bCs/>
                <w:i/>
                <w:sz w:val="18"/>
              </w:rPr>
              <w:t>Not applicable</w:t>
            </w:r>
          </w:p>
        </w:tc>
        <w:tc>
          <w:tcPr>
            <w:tcW w:w="864" w:type="dxa"/>
          </w:tcPr>
          <w:p w:rsidR="00B6485A" w:rsidRPr="00077CF4" w:rsidRDefault="00B6485A" w:rsidP="00826BD4">
            <w:pPr>
              <w:tabs>
                <w:tab w:val="left" w:pos="1134"/>
                <w:tab w:val="left" w:pos="1701"/>
                <w:tab w:val="left" w:pos="2268"/>
                <w:tab w:val="left" w:pos="2835"/>
                <w:tab w:val="left" w:pos="3402"/>
                <w:tab w:val="left" w:pos="3969"/>
                <w:tab w:val="left" w:pos="4536"/>
              </w:tabs>
              <w:spacing w:before="40" w:after="40"/>
              <w:jc w:val="center"/>
              <w:rPr>
                <w:sz w:val="18"/>
              </w:rPr>
            </w:pPr>
            <w:r w:rsidRPr="00077CF4">
              <w:rPr>
                <w:bCs/>
                <w:sz w:val="18"/>
              </w:rPr>
              <w:t>4</w:t>
            </w:r>
          </w:p>
        </w:tc>
      </w:tr>
    </w:tbl>
    <w:p w:rsidR="00B6485A" w:rsidRDefault="00B6485A" w:rsidP="00275E9A">
      <w:pPr>
        <w:pStyle w:val="SingleTxtG"/>
      </w:pPr>
    </w:p>
    <w:p w:rsidR="00B6485A" w:rsidRPr="00727AD1" w:rsidRDefault="00B6485A" w:rsidP="00B6485A">
      <w:pPr>
        <w:pStyle w:val="SingleTxtG"/>
      </w:pPr>
      <w:r>
        <w:lastRenderedPageBreak/>
        <w:t>9.</w:t>
      </w:r>
      <w:r>
        <w:tab/>
        <w:t xml:space="preserve">Regarding </w:t>
      </w:r>
      <w:r w:rsidRPr="00727AD1">
        <w:rPr>
          <w:i/>
        </w:rPr>
        <w:t>liquid desensitized explosives</w:t>
      </w:r>
      <w:r>
        <w:t xml:space="preserve">, </w:t>
      </w:r>
      <w:r w:rsidRPr="00727AD1">
        <w:t xml:space="preserve">32.3.2 is pertinent </w:t>
      </w:r>
      <w:r>
        <w:t xml:space="preserve">only for </w:t>
      </w:r>
      <w:r w:rsidRPr="00727AD1">
        <w:t>the Model Regulations and should be stated as such. It is recommended to make the following change to 32.3.2.1</w:t>
      </w:r>
      <w:r>
        <w:t>, 32.3.2.2 and 32.3.2.3; thus the note proposed in “comment RG11” of INF.8/Add.4 would not be required. It is suggested that 32.3.2.3 be discussed by the Sub-Committee for further “simplification” as well.</w:t>
      </w:r>
    </w:p>
    <w:p w:rsidR="00B6485A" w:rsidRDefault="00B6485A" w:rsidP="00B6485A">
      <w:pPr>
        <w:ind w:left="1701" w:right="1107"/>
        <w:jc w:val="both"/>
      </w:pPr>
      <w:r w:rsidRPr="00117465">
        <w:t>32.3.2.1</w:t>
      </w:r>
      <w:r w:rsidRPr="00117465">
        <w:tab/>
        <w:t xml:space="preserve">This sub-section presents the </w:t>
      </w:r>
      <w:r w:rsidRPr="006A3A16">
        <w:rPr>
          <w:u w:val="single"/>
        </w:rPr>
        <w:t>Model Regulations</w:t>
      </w:r>
      <w:r w:rsidRPr="006A3A16">
        <w:t xml:space="preserve"> </w:t>
      </w:r>
      <w:r w:rsidRPr="00514348">
        <w:rPr>
          <w:strike/>
        </w:rPr>
        <w:t>United Nations</w:t>
      </w:r>
      <w:r w:rsidRPr="006A3A16">
        <w:t xml:space="preserve"> scheme for the classification of liquid desensitized explosives </w:t>
      </w:r>
      <w:r w:rsidRPr="006A3A16">
        <w:rPr>
          <w:u w:val="single"/>
        </w:rPr>
        <w:t>as flammable liquids</w:t>
      </w:r>
      <w:r>
        <w:rPr>
          <w:u w:val="single"/>
        </w:rPr>
        <w:t xml:space="preserve"> of</w:t>
      </w:r>
      <w:r w:rsidRPr="00117465">
        <w:t xml:space="preserve"> </w:t>
      </w:r>
      <w:r w:rsidRPr="00514348">
        <w:rPr>
          <w:strike/>
        </w:rPr>
        <w:t xml:space="preserve">(transport </w:t>
      </w:r>
      <w:r w:rsidRPr="006A2D4D">
        <w:t>Class 3</w:t>
      </w:r>
      <w:r w:rsidRPr="00514348">
        <w:rPr>
          <w:strike/>
        </w:rPr>
        <w:t>)</w:t>
      </w:r>
      <w:r w:rsidRPr="00117465">
        <w:t xml:space="preserve"> (see </w:t>
      </w:r>
      <w:r w:rsidRPr="006A2D4D">
        <w:rPr>
          <w:strike/>
          <w:u w:val="dotted"/>
        </w:rPr>
        <w:t>Chapter 2.1, note 2 to paragraph 2.1.1.1 and</w:t>
      </w:r>
      <w:r w:rsidRPr="00117465">
        <w:t xml:space="preserve"> Chapter 2.3, paragraph 2.3.1.4 of the Model Regulations</w:t>
      </w:r>
      <w:r w:rsidRPr="006A2D4D">
        <w:t xml:space="preserve"> </w:t>
      </w:r>
      <w:r w:rsidRPr="006A2D4D">
        <w:rPr>
          <w:u w:val="single"/>
        </w:rPr>
        <w:t>and Chapter 2.1, note 2 to paragraph 2.1.1.1</w:t>
      </w:r>
      <w:r>
        <w:rPr>
          <w:u w:val="single"/>
        </w:rPr>
        <w:t xml:space="preserve"> of the GHS</w:t>
      </w:r>
      <w:r w:rsidRPr="00117465">
        <w:t xml:space="preserve">). Liquid desensitized explosives are substances or mixtures which are dissolved or suspended in water or other liquid substances to form a homogeneous liquid mixture </w:t>
      </w:r>
      <w:r w:rsidRPr="0013221F">
        <w:rPr>
          <w:u w:val="single"/>
        </w:rPr>
        <w:t>in order</w:t>
      </w:r>
      <w:r>
        <w:t xml:space="preserve"> </w:t>
      </w:r>
      <w:r w:rsidRPr="00117465">
        <w:t>to suppress their explosives properties.</w:t>
      </w:r>
    </w:p>
    <w:p w:rsidR="00B6485A" w:rsidRPr="00117465" w:rsidRDefault="00B6485A" w:rsidP="00B6485A">
      <w:pPr>
        <w:spacing w:before="240" w:after="120"/>
        <w:ind w:left="1701" w:right="1107"/>
        <w:jc w:val="both"/>
      </w:pPr>
      <w:r w:rsidRPr="00117465">
        <w:t>32.3.2.2</w:t>
      </w:r>
      <w:r>
        <w:tab/>
      </w:r>
      <w:r w:rsidRPr="00117465">
        <w:t>New products which are thermally stable and have, or are suspected of having, explosive properties should first be considered for</w:t>
      </w:r>
      <w:r>
        <w:t xml:space="preserve"> </w:t>
      </w:r>
      <w:r w:rsidRPr="00C54877">
        <w:rPr>
          <w:u w:val="single"/>
        </w:rPr>
        <w:t>classification</w:t>
      </w:r>
      <w:r>
        <w:rPr>
          <w:u w:val="single"/>
        </w:rPr>
        <w:t xml:space="preserve"> as</w:t>
      </w:r>
      <w:r w:rsidRPr="00117465">
        <w:t xml:space="preserve"> </w:t>
      </w:r>
      <w:r w:rsidRPr="00C54877">
        <w:rPr>
          <w:strike/>
        </w:rPr>
        <w:t xml:space="preserve">inclusion in the class of </w:t>
      </w:r>
      <w:r w:rsidRPr="00C54877">
        <w:t>explosives</w:t>
      </w:r>
      <w:r>
        <w:t xml:space="preserve"> </w:t>
      </w:r>
      <w:r w:rsidRPr="00C54877">
        <w:rPr>
          <w:u w:val="dotted"/>
        </w:rPr>
        <w:t>of</w:t>
      </w:r>
      <w:r w:rsidRPr="00117465">
        <w:t xml:space="preserve"> </w:t>
      </w:r>
      <w:r w:rsidRPr="00C54877">
        <w:rPr>
          <w:strike/>
          <w:u w:val="dotted"/>
        </w:rPr>
        <w:t>(transport</w:t>
      </w:r>
      <w:r>
        <w:t xml:space="preserve"> </w:t>
      </w:r>
      <w:r w:rsidRPr="00117465">
        <w:t>Class 1</w:t>
      </w:r>
      <w:r w:rsidRPr="00C54877">
        <w:rPr>
          <w:strike/>
        </w:rPr>
        <w:t>)</w:t>
      </w:r>
      <w:r w:rsidRPr="00117465">
        <w:t xml:space="preserve"> and the </w:t>
      </w:r>
      <w:r w:rsidRPr="00C54877">
        <w:rPr>
          <w:strike/>
        </w:rPr>
        <w:t>Class 1</w:t>
      </w:r>
      <w:r w:rsidRPr="00117465">
        <w:t xml:space="preserve"> acceptance procedure </w:t>
      </w:r>
      <w:r w:rsidRPr="00C54877">
        <w:rPr>
          <w:u w:val="dotted"/>
        </w:rPr>
        <w:t>in this class</w:t>
      </w:r>
      <w:r>
        <w:rPr>
          <w:u w:val="single"/>
        </w:rPr>
        <w:t>.</w:t>
      </w:r>
      <w:r>
        <w:t xml:space="preserve"> </w:t>
      </w:r>
      <w:r w:rsidRPr="00C54877">
        <w:rPr>
          <w:strike/>
        </w:rPr>
        <w:t>, and,</w:t>
      </w:r>
      <w:r w:rsidRPr="00117465">
        <w:t xml:space="preserve"> </w:t>
      </w:r>
      <w:proofErr w:type="spellStart"/>
      <w:r>
        <w:t>I</w:t>
      </w:r>
      <w:r w:rsidRPr="00C54877">
        <w:rPr>
          <w:strike/>
        </w:rPr>
        <w:t>i</w:t>
      </w:r>
      <w:r w:rsidRPr="00117465">
        <w:t>f</w:t>
      </w:r>
      <w:proofErr w:type="spellEnd"/>
      <w:r w:rsidRPr="00117465">
        <w:t xml:space="preserve"> necessary, the assignment procedure </w:t>
      </w:r>
      <w:r w:rsidRPr="00C54877">
        <w:rPr>
          <w:u w:val="single"/>
        </w:rPr>
        <w:t>should be</w:t>
      </w:r>
      <w:r>
        <w:t xml:space="preserve"> </w:t>
      </w:r>
      <w:r w:rsidRPr="00117465">
        <w:t>applied.</w:t>
      </w:r>
    </w:p>
    <w:p w:rsidR="00B6485A" w:rsidRPr="00117465" w:rsidRDefault="00B6485A" w:rsidP="00B6485A">
      <w:pPr>
        <w:pStyle w:val="BodyText"/>
        <w:ind w:left="1701" w:right="1107"/>
      </w:pPr>
      <w:r w:rsidRPr="00117465">
        <w:t>32.3.2.3</w:t>
      </w:r>
      <w:r w:rsidRPr="00117465">
        <w:tab/>
        <w:t xml:space="preserve">Where a substance </w:t>
      </w:r>
      <w:r w:rsidRPr="00C54877">
        <w:rPr>
          <w:u w:val="dotted"/>
        </w:rPr>
        <w:t>or mixture</w:t>
      </w:r>
      <w:r w:rsidRPr="00117465">
        <w:t xml:space="preserve"> </w:t>
      </w:r>
      <w:r w:rsidRPr="00C54877">
        <w:rPr>
          <w:strike/>
        </w:rPr>
        <w:t>is</w:t>
      </w:r>
      <w:r w:rsidRPr="00117465">
        <w:t xml:space="preserve"> </w:t>
      </w:r>
      <w:r w:rsidRPr="00C54877">
        <w:rPr>
          <w:u w:val="single"/>
        </w:rPr>
        <w:t>meets the criteria for classifi</w:t>
      </w:r>
      <w:r>
        <w:rPr>
          <w:u w:val="single"/>
        </w:rPr>
        <w:t xml:space="preserve">cation </w:t>
      </w:r>
      <w:r w:rsidRPr="00C54877">
        <w:rPr>
          <w:u w:val="single"/>
        </w:rPr>
        <w:t>as an</w:t>
      </w:r>
      <w:r>
        <w:t xml:space="preserve"> </w:t>
      </w:r>
      <w:r w:rsidRPr="00C54877">
        <w:rPr>
          <w:strike/>
        </w:rPr>
        <w:t xml:space="preserve">assigned to </w:t>
      </w:r>
      <w:r w:rsidRPr="00C54877">
        <w:rPr>
          <w:strike/>
          <w:u w:val="dotted"/>
        </w:rPr>
        <w:t xml:space="preserve">the class of </w:t>
      </w:r>
      <w:r w:rsidRPr="00C54877">
        <w:rPr>
          <w:u w:val="dotted"/>
        </w:rPr>
        <w:t>explosive</w:t>
      </w:r>
      <w:r w:rsidRPr="00C54877">
        <w:rPr>
          <w:strike/>
          <w:u w:val="dotted"/>
        </w:rPr>
        <w:t>s</w:t>
      </w:r>
      <w:r w:rsidRPr="00117465">
        <w:t xml:space="preserve"> </w:t>
      </w:r>
      <w:r w:rsidRPr="00C54877">
        <w:rPr>
          <w:u w:val="single"/>
        </w:rPr>
        <w:t>of</w:t>
      </w:r>
      <w:r>
        <w:t xml:space="preserve"> </w:t>
      </w:r>
      <w:r w:rsidRPr="00F95241">
        <w:rPr>
          <w:strike/>
          <w:u w:val="dotted"/>
        </w:rPr>
        <w:t>(transport</w:t>
      </w:r>
      <w:r>
        <w:t xml:space="preserve"> </w:t>
      </w:r>
      <w:r w:rsidRPr="00117465">
        <w:t>Class 1</w:t>
      </w:r>
      <w:r w:rsidRPr="00F95241">
        <w:rPr>
          <w:strike/>
          <w:u w:val="dotted"/>
        </w:rPr>
        <w:t>)</w:t>
      </w:r>
      <w:r w:rsidRPr="00117465">
        <w:t xml:space="preserve"> but is diluted to be exempted from </w:t>
      </w:r>
      <w:r w:rsidRPr="00F95241">
        <w:rPr>
          <w:u w:val="dotted"/>
        </w:rPr>
        <w:t>this class</w:t>
      </w:r>
      <w:r w:rsidRPr="00117465">
        <w:t xml:space="preserve"> </w:t>
      </w:r>
      <w:proofErr w:type="spellStart"/>
      <w:r w:rsidRPr="00F95241">
        <w:rPr>
          <w:strike/>
        </w:rPr>
        <w:t>Class</w:t>
      </w:r>
      <w:proofErr w:type="spellEnd"/>
      <w:r w:rsidRPr="00F95241">
        <w:rPr>
          <w:strike/>
        </w:rPr>
        <w:t xml:space="preserve"> 1</w:t>
      </w:r>
      <w:r>
        <w:t xml:space="preserve"> </w:t>
      </w:r>
      <w:r w:rsidRPr="00117465">
        <w:t xml:space="preserve">by test series 6 (see section 16), this diluted substance </w:t>
      </w:r>
      <w:r w:rsidRPr="00F95241">
        <w:rPr>
          <w:u w:val="dotted"/>
        </w:rPr>
        <w:t>or mixture (i.e. the desensitized explosive)</w:t>
      </w:r>
      <w:r w:rsidRPr="00117465">
        <w:t xml:space="preserve">, when meeting the classification criteria or definition for another class </w:t>
      </w:r>
      <w:r w:rsidRPr="00F95241">
        <w:rPr>
          <w:strike/>
          <w:u w:val="dotted"/>
        </w:rPr>
        <w:t>(</w:t>
      </w:r>
      <w:r w:rsidRPr="00117465">
        <w:t xml:space="preserve">or </w:t>
      </w:r>
      <w:r w:rsidRPr="00F95241">
        <w:rPr>
          <w:strike/>
          <w:u w:val="dotted"/>
        </w:rPr>
        <w:t>transport</w:t>
      </w:r>
      <w:r>
        <w:t xml:space="preserve"> </w:t>
      </w:r>
      <w:r w:rsidRPr="00117465">
        <w:t>division</w:t>
      </w:r>
      <w:r w:rsidRPr="00F95241">
        <w:rPr>
          <w:strike/>
          <w:u w:val="dotted"/>
        </w:rPr>
        <w:t>)</w:t>
      </w:r>
      <w:r w:rsidRPr="00117465">
        <w:t xml:space="preserve">, should be classified in that class </w:t>
      </w:r>
      <w:r w:rsidRPr="00F95241">
        <w:rPr>
          <w:strike/>
          <w:u w:val="dotted"/>
        </w:rPr>
        <w:t>(</w:t>
      </w:r>
      <w:r w:rsidRPr="00117465">
        <w:t xml:space="preserve">or </w:t>
      </w:r>
      <w:r w:rsidRPr="00F95241">
        <w:rPr>
          <w:strike/>
          <w:u w:val="dotted"/>
        </w:rPr>
        <w:t>transport</w:t>
      </w:r>
      <w:r>
        <w:t xml:space="preserve"> </w:t>
      </w:r>
      <w:r w:rsidRPr="00117465">
        <w:t>division</w:t>
      </w:r>
      <w:r w:rsidRPr="00F95241">
        <w:rPr>
          <w:strike/>
          <w:u w:val="dotted"/>
        </w:rPr>
        <w:t>)</w:t>
      </w:r>
      <w:r w:rsidRPr="00117465">
        <w:t xml:space="preserve"> at the highest concentration which exempts it from </w:t>
      </w:r>
      <w:r w:rsidRPr="00F95241">
        <w:rPr>
          <w:strike/>
          <w:u w:val="dotted"/>
        </w:rPr>
        <w:t>the class of explosives (transport</w:t>
      </w:r>
      <w:r>
        <w:t xml:space="preserve"> </w:t>
      </w:r>
      <w:r w:rsidRPr="00117465">
        <w:t>Class 1</w:t>
      </w:r>
      <w:r w:rsidRPr="00F95241">
        <w:rPr>
          <w:strike/>
          <w:u w:val="dotted"/>
        </w:rPr>
        <w:t>)</w:t>
      </w:r>
      <w:r w:rsidRPr="00117465">
        <w:t xml:space="preserve">. When sufficiently diluted, such substances </w:t>
      </w:r>
      <w:r w:rsidRPr="00F95241">
        <w:rPr>
          <w:u w:val="dotted"/>
        </w:rPr>
        <w:t>or mixtures</w:t>
      </w:r>
      <w:r w:rsidRPr="00117465">
        <w:t xml:space="preserve"> may be deemed to be non-dangerous (see also paragraph </w:t>
      </w:r>
      <w:r w:rsidRPr="00F95241">
        <w:rPr>
          <w:u w:val="dotted"/>
        </w:rPr>
        <w:t>2.1.3.6.3</w:t>
      </w:r>
      <w:r w:rsidRPr="00117465">
        <w:t xml:space="preserve"> of the Model Regulations).</w:t>
      </w:r>
    </w:p>
    <w:p w:rsidR="00B6485A" w:rsidRPr="00117465" w:rsidRDefault="00B6485A" w:rsidP="00B6485A">
      <w:pPr>
        <w:spacing w:before="240" w:after="120"/>
        <w:ind w:left="1701" w:right="1107"/>
        <w:jc w:val="both"/>
      </w:pPr>
      <w:r>
        <w:t>32.3.2.4 (...)</w:t>
      </w:r>
    </w:p>
    <w:p w:rsidR="00B6485A" w:rsidRPr="00F2540C" w:rsidRDefault="00B6485A" w:rsidP="00B6485A">
      <w:pPr>
        <w:pStyle w:val="SingleTxtG"/>
      </w:pPr>
      <w:r>
        <w:t>10.</w:t>
      </w:r>
      <w:r>
        <w:tab/>
      </w:r>
      <w:r w:rsidRPr="00F2540C">
        <w:t xml:space="preserve">It is proposed to modify the titles of </w:t>
      </w:r>
      <w:r>
        <w:t xml:space="preserve">34.4.1 and </w:t>
      </w:r>
      <w:r w:rsidRPr="00F2540C">
        <w:t xml:space="preserve">32.4.2 </w:t>
      </w:r>
      <w:r>
        <w:t>and to add a reference to the assignment of packing groups in the Model Regulations to 32.4.2.2:</w:t>
      </w:r>
    </w:p>
    <w:p w:rsidR="00B6485A" w:rsidRPr="002C3A22" w:rsidRDefault="00B6485A" w:rsidP="00B6485A">
      <w:pPr>
        <w:spacing w:before="240" w:after="120"/>
        <w:ind w:left="1701" w:right="1107"/>
        <w:jc w:val="both"/>
        <w:rPr>
          <w:b/>
          <w:i/>
          <w:lang w:val="fr-CA"/>
        </w:rPr>
      </w:pPr>
      <w:r w:rsidRPr="002C3A22">
        <w:rPr>
          <w:b/>
          <w:lang w:val="fr-CA"/>
        </w:rPr>
        <w:t>32.4.1</w:t>
      </w:r>
      <w:r w:rsidRPr="002C3A22">
        <w:rPr>
          <w:b/>
          <w:i/>
          <w:lang w:val="fr-CA"/>
        </w:rPr>
        <w:tab/>
      </w:r>
      <w:r w:rsidRPr="002C3A22">
        <w:rPr>
          <w:b/>
          <w:i/>
          <w:u w:val="single"/>
          <w:lang w:val="fr-CA"/>
        </w:rPr>
        <w:t>Tests for non-</w:t>
      </w:r>
      <w:proofErr w:type="spellStart"/>
      <w:r w:rsidRPr="002C3A22">
        <w:rPr>
          <w:b/>
          <w:i/>
          <w:u w:val="single"/>
          <w:lang w:val="fr-CA"/>
        </w:rPr>
        <w:t>viscous</w:t>
      </w:r>
      <w:proofErr w:type="spellEnd"/>
      <w:r w:rsidRPr="002C3A22">
        <w:rPr>
          <w:b/>
          <w:i/>
          <w:lang w:val="fr-CA"/>
        </w:rPr>
        <w:t xml:space="preserve"> </w:t>
      </w:r>
      <w:proofErr w:type="spellStart"/>
      <w:r w:rsidRPr="002C3A22">
        <w:rPr>
          <w:b/>
          <w:i/>
          <w:lang w:val="fr-CA"/>
        </w:rPr>
        <w:t>flammable</w:t>
      </w:r>
      <w:proofErr w:type="spellEnd"/>
      <w:r w:rsidRPr="002C3A22">
        <w:rPr>
          <w:b/>
          <w:i/>
          <w:lang w:val="fr-CA"/>
        </w:rPr>
        <w:t xml:space="preserve"> </w:t>
      </w:r>
      <w:proofErr w:type="spellStart"/>
      <w:r w:rsidRPr="002C3A22">
        <w:rPr>
          <w:b/>
          <w:i/>
          <w:lang w:val="fr-CA"/>
        </w:rPr>
        <w:t>liquids</w:t>
      </w:r>
      <w:proofErr w:type="spellEnd"/>
      <w:r w:rsidRPr="002C3A22">
        <w:rPr>
          <w:b/>
          <w:i/>
          <w:lang w:val="fr-CA"/>
        </w:rPr>
        <w:t xml:space="preserve"> </w:t>
      </w:r>
    </w:p>
    <w:p w:rsidR="00B6485A" w:rsidRDefault="00B6485A" w:rsidP="00B6485A">
      <w:pPr>
        <w:ind w:left="1701" w:right="1107"/>
        <w:jc w:val="both"/>
        <w:rPr>
          <w:i/>
        </w:rPr>
      </w:pPr>
      <w:r>
        <w:rPr>
          <w:i/>
        </w:rPr>
        <w:t>(...)</w:t>
      </w:r>
    </w:p>
    <w:p w:rsidR="00B6485A" w:rsidRPr="008E5CFE" w:rsidRDefault="00B6485A" w:rsidP="00B6485A">
      <w:pPr>
        <w:spacing w:before="120" w:after="120"/>
        <w:ind w:left="1701" w:right="1107"/>
        <w:jc w:val="both"/>
        <w:rPr>
          <w:b/>
          <w:i/>
        </w:rPr>
      </w:pPr>
      <w:r w:rsidRPr="008E5CFE">
        <w:rPr>
          <w:b/>
        </w:rPr>
        <w:t>32.4.2</w:t>
      </w:r>
      <w:r w:rsidRPr="008E5CFE">
        <w:rPr>
          <w:b/>
          <w:i/>
        </w:rPr>
        <w:tab/>
      </w:r>
      <w:r w:rsidRPr="008E5CFE">
        <w:rPr>
          <w:b/>
          <w:i/>
          <w:u w:val="single"/>
        </w:rPr>
        <w:t>Tests for v</w:t>
      </w:r>
      <w:r w:rsidRPr="008E5CFE">
        <w:rPr>
          <w:b/>
          <w:i/>
        </w:rPr>
        <w:t>iscous flammable liquids with a flash point of less than 23 °C</w:t>
      </w:r>
    </w:p>
    <w:p w:rsidR="00B6485A" w:rsidRDefault="00B6485A" w:rsidP="00B6485A">
      <w:pPr>
        <w:ind w:left="1701" w:right="1107"/>
        <w:jc w:val="both"/>
      </w:pPr>
      <w:r>
        <w:t>(...)</w:t>
      </w:r>
    </w:p>
    <w:p w:rsidR="00B6485A" w:rsidRPr="00117465" w:rsidRDefault="00B6485A" w:rsidP="00B6485A">
      <w:pPr>
        <w:spacing w:before="120" w:after="120"/>
        <w:ind w:left="1701" w:right="1107"/>
        <w:jc w:val="both"/>
      </w:pPr>
      <w:r w:rsidRPr="00117465">
        <w:t>32.4.2.1</w:t>
      </w:r>
      <w:r w:rsidRPr="00117465">
        <w:tab/>
        <w:t>The hazard group of paints, enamels, lacquers, varnishes, adhesives, polishes and other viscous flammable</w:t>
      </w:r>
      <w:r>
        <w:t xml:space="preserve"> </w:t>
      </w:r>
      <w:r w:rsidRPr="000D21D0">
        <w:rPr>
          <w:u w:val="single"/>
        </w:rPr>
        <w:t>liquids</w:t>
      </w:r>
      <w:r w:rsidRPr="00117465">
        <w:t xml:space="preserve"> </w:t>
      </w:r>
      <w:r w:rsidRPr="000D21D0">
        <w:rPr>
          <w:strike/>
        </w:rPr>
        <w:t xml:space="preserve">substances </w:t>
      </w:r>
      <w:r w:rsidRPr="000D21D0">
        <w:rPr>
          <w:strike/>
          <w:u w:val="dotted"/>
        </w:rPr>
        <w:t>or mixtures</w:t>
      </w:r>
      <w:r w:rsidRPr="00117465">
        <w:t xml:space="preserve"> </w:t>
      </w:r>
      <w:r w:rsidRPr="00960EE5">
        <w:rPr>
          <w:strike/>
          <w:u w:val="dotted"/>
        </w:rPr>
        <w:t>(</w:t>
      </w:r>
      <w:r w:rsidRPr="00960EE5">
        <w:rPr>
          <w:strike/>
        </w:rPr>
        <w:t xml:space="preserve">of </w:t>
      </w:r>
      <w:r w:rsidRPr="00960EE5">
        <w:rPr>
          <w:strike/>
          <w:u w:val="dotted"/>
        </w:rPr>
        <w:t>transport</w:t>
      </w:r>
      <w:r w:rsidRPr="00960EE5">
        <w:rPr>
          <w:strike/>
        </w:rPr>
        <w:t xml:space="preserve"> Class 3</w:t>
      </w:r>
      <w:r w:rsidRPr="00960EE5">
        <w:rPr>
          <w:strike/>
          <w:u w:val="dotted"/>
        </w:rPr>
        <w:t>)</w:t>
      </w:r>
      <w:r w:rsidRPr="00117465">
        <w:t xml:space="preserve"> with a flash point of less than 23 °C is determined </w:t>
      </w:r>
      <w:r>
        <w:rPr>
          <w:u w:val="single"/>
        </w:rPr>
        <w:t xml:space="preserve">as per sub-section 2.3.2.2 of the Model </w:t>
      </w:r>
      <w:r w:rsidRPr="00960EE5">
        <w:rPr>
          <w:u w:val="single"/>
        </w:rPr>
        <w:t>Regulations</w:t>
      </w:r>
      <w:r>
        <w:t xml:space="preserve"> </w:t>
      </w:r>
      <w:r w:rsidRPr="00960EE5">
        <w:t>by</w:t>
      </w:r>
      <w:r w:rsidRPr="00117465">
        <w:t xml:space="preserve"> reference to:</w:t>
      </w:r>
    </w:p>
    <w:p w:rsidR="00AD7DFB" w:rsidRPr="00DF0B35" w:rsidRDefault="00AD7DFB" w:rsidP="00AD7DFB">
      <w:pPr>
        <w:pStyle w:val="SingleTxtG"/>
      </w:pPr>
      <w:r>
        <w:t>11.</w:t>
      </w:r>
      <w:r>
        <w:tab/>
      </w:r>
      <w:r w:rsidRPr="00DF0B35">
        <w:t>References</w:t>
      </w:r>
      <w:r>
        <w:t xml:space="preserve"> </w:t>
      </w:r>
      <w:r w:rsidRPr="00DF0B35">
        <w:t xml:space="preserve">to 32.3.1.6 and 32.3.1.7 in 32.5.1.4 should be removed since these sections </w:t>
      </w:r>
      <w:r>
        <w:t>have been</w:t>
      </w:r>
      <w:r w:rsidRPr="00DF0B35">
        <w:t xml:space="preserve"> deleted</w:t>
      </w:r>
      <w:r>
        <w:t xml:space="preserve"> (see Amendment 2 to 5</w:t>
      </w:r>
      <w:r w:rsidRPr="00DF0B35">
        <w:rPr>
          <w:vertAlign w:val="superscript"/>
        </w:rPr>
        <w:t>th</w:t>
      </w:r>
      <w:r>
        <w:t xml:space="preserve"> edition of the Manual)</w:t>
      </w:r>
      <w:r w:rsidRPr="00DF0B35">
        <w:t xml:space="preserve">. </w:t>
      </w:r>
      <w:r>
        <w:t xml:space="preserve">Use reference for </w:t>
      </w:r>
      <w:r w:rsidRPr="00DF0B35">
        <w:t>sections 2.3.2.2 and 2.3.2.5</w:t>
      </w:r>
      <w:r w:rsidRPr="008E5CFE">
        <w:t xml:space="preserve"> </w:t>
      </w:r>
      <w:r>
        <w:t>i</w:t>
      </w:r>
      <w:r w:rsidRPr="00DF0B35">
        <w:t xml:space="preserve">nstead. </w:t>
      </w:r>
      <w:r>
        <w:t xml:space="preserve">Reference to the GHS unnecessary as viscosity is not mentioned as a criteria in the GHS. </w:t>
      </w:r>
      <w:r w:rsidRPr="00DF0B35">
        <w:t xml:space="preserve">Also, the text </w:t>
      </w:r>
      <w:r>
        <w:t xml:space="preserve">should be changed </w:t>
      </w:r>
      <w:r w:rsidRPr="00DF0B35">
        <w:t>to the following:</w:t>
      </w:r>
    </w:p>
    <w:p w:rsidR="00AD7DFB" w:rsidRPr="008E5CFE" w:rsidRDefault="00AD7DFB" w:rsidP="00AD7DFB">
      <w:pPr>
        <w:numPr>
          <w:ilvl w:val="3"/>
          <w:numId w:val="38"/>
        </w:numPr>
        <w:spacing w:before="240" w:after="120"/>
        <w:ind w:left="1701" w:firstLine="0"/>
      </w:pPr>
      <w:r w:rsidRPr="008E5CFE">
        <w:rPr>
          <w:i/>
        </w:rPr>
        <w:t>Test criteria and method of assessing</w:t>
      </w:r>
      <w:r w:rsidRPr="008E5CFE">
        <w:t xml:space="preserve"> </w:t>
      </w:r>
      <w:r w:rsidRPr="008E5CFE">
        <w:rPr>
          <w:i/>
        </w:rPr>
        <w:t>results</w:t>
      </w:r>
    </w:p>
    <w:p w:rsidR="00AD7DFB" w:rsidRPr="0008076A" w:rsidRDefault="00AD7DFB" w:rsidP="00AD7DFB">
      <w:pPr>
        <w:pStyle w:val="SingleTxtG"/>
        <w:ind w:left="1701" w:hanging="567"/>
        <w:rPr>
          <w:b/>
          <w:bCs/>
          <w:iCs/>
        </w:rPr>
      </w:pPr>
      <w:r>
        <w:tab/>
      </w:r>
      <w:r w:rsidRPr="00A71FB4">
        <w:t xml:space="preserve">The height of the upper separated layer should be expressed as a percentage of the total height of the sample. If less than 3% of clear solvent separates out then the substance may be considered for </w:t>
      </w:r>
      <w:r w:rsidRPr="0008076A">
        <w:t xml:space="preserve">inclusion in packing group III </w:t>
      </w:r>
      <w:r w:rsidRPr="0008076A">
        <w:rPr>
          <w:u w:val="single"/>
        </w:rPr>
        <w:t xml:space="preserve">(see 2.3.2.2 of the </w:t>
      </w:r>
      <w:r w:rsidRPr="0008076A">
        <w:rPr>
          <w:u w:val="single"/>
        </w:rPr>
        <w:lastRenderedPageBreak/>
        <w:t>Model Regulations) or may not be subject to the Model Regulations (see 2.3.2.5 of the Model Regulations).</w:t>
      </w:r>
      <w:r w:rsidRPr="0008076A">
        <w:t xml:space="preserve"> </w:t>
      </w:r>
      <w:r w:rsidRPr="0008076A">
        <w:rPr>
          <w:strike/>
        </w:rPr>
        <w:t>(GHS Category 3) (</w:t>
      </w:r>
      <w:proofErr w:type="gramStart"/>
      <w:r w:rsidRPr="0008076A">
        <w:rPr>
          <w:strike/>
        </w:rPr>
        <w:t>see</w:t>
      </w:r>
      <w:proofErr w:type="gramEnd"/>
      <w:r w:rsidRPr="0008076A">
        <w:rPr>
          <w:strike/>
        </w:rPr>
        <w:t xml:space="preserve"> 32.3.1.6 and 32.3.1.7)</w:t>
      </w:r>
      <w:r w:rsidRPr="0008076A">
        <w:t>.</w:t>
      </w:r>
    </w:p>
    <w:p w:rsidR="00AD7DFB" w:rsidRPr="0008076A" w:rsidRDefault="00AD7DFB" w:rsidP="00AD7DFB">
      <w:pPr>
        <w:pStyle w:val="SingleTxtG"/>
      </w:pPr>
      <w:r>
        <w:t>12.</w:t>
      </w:r>
      <w:r>
        <w:tab/>
      </w:r>
      <w:r w:rsidRPr="0008076A">
        <w:t xml:space="preserve">Lastly, it is suggested </w:t>
      </w:r>
      <w:r>
        <w:t xml:space="preserve">to simplify </w:t>
      </w:r>
      <w:r w:rsidRPr="0008076A">
        <w:t xml:space="preserve">32.5.2.2.1, </w:t>
      </w:r>
      <w:r>
        <w:t xml:space="preserve">so that </w:t>
      </w:r>
      <w:r w:rsidRPr="0008076A">
        <w:t xml:space="preserve">figure </w:t>
      </w:r>
      <w:r>
        <w:t>32.5.2.1 is only mentioned once.</w:t>
      </w:r>
    </w:p>
    <w:p w:rsidR="00AD7DFB" w:rsidRPr="00BA5AF0" w:rsidRDefault="00AD7DFB" w:rsidP="00AD7DFB">
      <w:pPr>
        <w:ind w:left="1701" w:right="1107"/>
        <w:jc w:val="both"/>
      </w:pPr>
      <w:r w:rsidRPr="00BA5AF0">
        <w:t>32.5.2.2.1</w:t>
      </w:r>
      <w:r w:rsidRPr="00BA5AF0">
        <w:tab/>
        <w:t xml:space="preserve">A combustibility tester is used consisting of a block of aluminium alloy or other corrosion resistant metal of high thermal conductivity. The block has a concave well and a pocket drilled to take a thermometer. A small gas jet assembly on a swivel is attached to the block. The handle and gas inlet for the gas jet may be fitted at any convenient angle to the gas jet. </w:t>
      </w:r>
      <w:r w:rsidRPr="00BA5AF0">
        <w:rPr>
          <w:strike/>
        </w:rPr>
        <w:t>A suitable apparatus is shown in Figure 32.5.2.1 and the e</w:t>
      </w:r>
      <w:r w:rsidRPr="00BA5AF0">
        <w:t xml:space="preserve"> </w:t>
      </w:r>
      <w:r w:rsidRPr="00BA5AF0">
        <w:rPr>
          <w:u w:val="single"/>
        </w:rPr>
        <w:t>Essential</w:t>
      </w:r>
      <w:r w:rsidRPr="00BA5AF0">
        <w:t xml:space="preserve"> diagrams </w:t>
      </w:r>
      <w:r w:rsidRPr="00BA5AF0">
        <w:rPr>
          <w:u w:val="single"/>
        </w:rPr>
        <w:t>for a suitable apparatus</w:t>
      </w:r>
      <w:r w:rsidRPr="00BA5AF0">
        <w:t xml:space="preserve"> are given in figures 32.5.2.1 and 32.5.2.2. The following apparatus is also required:</w:t>
      </w:r>
    </w:p>
    <w:p w:rsidR="00B6485A" w:rsidRPr="00AD7DFB" w:rsidRDefault="00AD7DFB" w:rsidP="00AD7DFB">
      <w:pPr>
        <w:pStyle w:val="SingleTxtG"/>
        <w:spacing w:before="240" w:after="0"/>
        <w:jc w:val="center"/>
        <w:rPr>
          <w:u w:val="single"/>
        </w:rPr>
      </w:pPr>
      <w:r>
        <w:rPr>
          <w:u w:val="single"/>
        </w:rPr>
        <w:tab/>
      </w:r>
      <w:r>
        <w:rPr>
          <w:u w:val="single"/>
        </w:rPr>
        <w:tab/>
      </w:r>
      <w:r>
        <w:rPr>
          <w:u w:val="single"/>
        </w:rPr>
        <w:tab/>
      </w:r>
    </w:p>
    <w:sectPr w:rsidR="00B6485A" w:rsidRPr="00AD7DFB" w:rsidSect="0005570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82" w:rsidRDefault="00D13382"/>
  </w:endnote>
  <w:endnote w:type="continuationSeparator" w:id="0">
    <w:p w:rsidR="00D13382" w:rsidRDefault="00D13382"/>
  </w:endnote>
  <w:endnote w:type="continuationNotice" w:id="1">
    <w:p w:rsidR="00D13382" w:rsidRDefault="00D13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42450A">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sidR="0042450A">
      <w:rPr>
        <w:b/>
        <w:noProof/>
        <w:sz w:val="18"/>
      </w:rPr>
      <w:t>3</w:t>
    </w:r>
    <w:r w:rsidR="0049223B"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Default="004C6E3D">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82" w:rsidRPr="000B175B" w:rsidRDefault="00D13382" w:rsidP="000B175B">
      <w:pPr>
        <w:tabs>
          <w:tab w:val="right" w:pos="2155"/>
        </w:tabs>
        <w:spacing w:after="80"/>
        <w:ind w:left="680"/>
        <w:rPr>
          <w:u w:val="single"/>
        </w:rPr>
      </w:pPr>
      <w:r>
        <w:rPr>
          <w:u w:val="single"/>
        </w:rPr>
        <w:tab/>
      </w:r>
    </w:p>
  </w:footnote>
  <w:footnote w:type="continuationSeparator" w:id="0">
    <w:p w:rsidR="00D13382" w:rsidRPr="00FC68B7" w:rsidRDefault="00D13382" w:rsidP="00FC68B7">
      <w:pPr>
        <w:tabs>
          <w:tab w:val="left" w:pos="2155"/>
        </w:tabs>
        <w:spacing w:after="80"/>
        <w:ind w:left="680"/>
        <w:rPr>
          <w:u w:val="single"/>
        </w:rPr>
      </w:pPr>
      <w:r>
        <w:rPr>
          <w:u w:val="single"/>
        </w:rPr>
        <w:tab/>
      </w:r>
    </w:p>
  </w:footnote>
  <w:footnote w:type="continuationNotice" w:id="1">
    <w:p w:rsidR="00D13382" w:rsidRDefault="00D133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54DDA" w:rsidRDefault="004C6E3D" w:rsidP="00F54DDA">
    <w:pPr>
      <w:pStyle w:val="Header"/>
    </w:pPr>
    <w:r w:rsidRPr="00F54DDA">
      <w:rPr>
        <w:noProof/>
      </w:rPr>
      <w:t>UN/SCETDG/4</w:t>
    </w:r>
    <w:r w:rsidR="0042450A">
      <w:rPr>
        <w:noProof/>
      </w:rPr>
      <w:t>8/INF.47</w:t>
    </w:r>
    <w:r w:rsidR="0042450A">
      <w:rPr>
        <w:noProof/>
      </w:rPr>
      <w:br/>
      <w:t>UN/SCEGHS/30/INF.14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Header"/>
      <w:jc w:val="right"/>
    </w:pPr>
    <w:r w:rsidRPr="00F54DDA">
      <w:t>UN/SCETDG/4</w:t>
    </w:r>
    <w:r>
      <w:t>8</w:t>
    </w:r>
    <w:r w:rsidRPr="00F54DDA">
      <w:t>/INF.</w:t>
    </w:r>
    <w:r w:rsidR="0042450A">
      <w:t>47</w:t>
    </w:r>
    <w:r w:rsidR="0042450A">
      <w:br/>
      <w:t>UN/SCEGHS/30/INF.14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396F7B"/>
    <w:multiLevelType w:val="hybridMultilevel"/>
    <w:tmpl w:val="DB04E66E"/>
    <w:lvl w:ilvl="0" w:tplc="7DAEE432">
      <w:start w:val="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1D4C1EEC"/>
    <w:multiLevelType w:val="hybridMultilevel"/>
    <w:tmpl w:val="08341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201D3E"/>
    <w:multiLevelType w:val="hybridMultilevel"/>
    <w:tmpl w:val="F0C41842"/>
    <w:lvl w:ilvl="0" w:tplc="80D4C3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D43212"/>
    <w:multiLevelType w:val="multilevel"/>
    <w:tmpl w:val="EB886A88"/>
    <w:lvl w:ilvl="0">
      <w:start w:val="32"/>
      <w:numFmt w:val="decimal"/>
      <w:lvlText w:val="%1"/>
      <w:lvlJc w:val="left"/>
      <w:pPr>
        <w:ind w:left="660" w:hanging="660"/>
      </w:pPr>
      <w:rPr>
        <w:rFonts w:hint="default"/>
      </w:rPr>
    </w:lvl>
    <w:lvl w:ilvl="1">
      <w:start w:val="5"/>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4">
    <w:nsid w:val="2E9B2FA0"/>
    <w:multiLevelType w:val="multilevel"/>
    <w:tmpl w:val="16E81AA0"/>
    <w:lvl w:ilvl="0">
      <w:start w:val="1"/>
      <w:numFmt w:val="decimal"/>
      <w:lvlText w:val="%1."/>
      <w:lvlJc w:val="left"/>
      <w:pPr>
        <w:ind w:left="720" w:hanging="360"/>
      </w:pPr>
      <w:rPr>
        <w:b w:val="0"/>
        <w:color w:val="auto"/>
      </w:rPr>
    </w:lvl>
    <w:lvl w:ilvl="1">
      <w:start w:val="1"/>
      <w:numFmt w:val="decimal"/>
      <w:isLgl/>
      <w:lvlText w:val="%1.%2"/>
      <w:lvlJc w:val="left"/>
      <w:pPr>
        <w:ind w:left="1961" w:hanging="360"/>
      </w:pPr>
      <w:rPr>
        <w:rFonts w:hint="default"/>
      </w:rPr>
    </w:lvl>
    <w:lvl w:ilvl="2">
      <w:start w:val="4"/>
      <w:numFmt w:val="decimal"/>
      <w:isLgl/>
      <w:lvlText w:val="%1.%2.%3"/>
      <w:lvlJc w:val="left"/>
      <w:pPr>
        <w:ind w:left="3562" w:hanging="720"/>
      </w:pPr>
      <w:rPr>
        <w:rFonts w:hint="default"/>
      </w:rPr>
    </w:lvl>
    <w:lvl w:ilvl="3">
      <w:start w:val="1"/>
      <w:numFmt w:val="decimal"/>
      <w:isLgl/>
      <w:lvlText w:val="%1.%2.%3.%4"/>
      <w:lvlJc w:val="left"/>
      <w:pPr>
        <w:ind w:left="4803" w:hanging="720"/>
      </w:pPr>
      <w:rPr>
        <w:rFonts w:hint="default"/>
      </w:rPr>
    </w:lvl>
    <w:lvl w:ilvl="4">
      <w:start w:val="1"/>
      <w:numFmt w:val="decimal"/>
      <w:isLgl/>
      <w:lvlText w:val="%1.%2.%3.%4.%5"/>
      <w:lvlJc w:val="left"/>
      <w:pPr>
        <w:ind w:left="6044" w:hanging="720"/>
      </w:pPr>
      <w:rPr>
        <w:rFonts w:hint="default"/>
      </w:rPr>
    </w:lvl>
    <w:lvl w:ilvl="5">
      <w:start w:val="1"/>
      <w:numFmt w:val="decimal"/>
      <w:isLgl/>
      <w:lvlText w:val="%1.%2.%3.%4.%5.%6"/>
      <w:lvlJc w:val="left"/>
      <w:pPr>
        <w:ind w:left="7645" w:hanging="1080"/>
      </w:pPr>
      <w:rPr>
        <w:rFonts w:hint="default"/>
      </w:rPr>
    </w:lvl>
    <w:lvl w:ilvl="6">
      <w:start w:val="1"/>
      <w:numFmt w:val="decimal"/>
      <w:isLgl/>
      <w:lvlText w:val="%1.%2.%3.%4.%5.%6.%7"/>
      <w:lvlJc w:val="left"/>
      <w:pPr>
        <w:ind w:left="8886" w:hanging="1080"/>
      </w:pPr>
      <w:rPr>
        <w:rFonts w:hint="default"/>
      </w:rPr>
    </w:lvl>
    <w:lvl w:ilvl="7">
      <w:start w:val="1"/>
      <w:numFmt w:val="decimal"/>
      <w:isLgl/>
      <w:lvlText w:val="%1.%2.%3.%4.%5.%6.%7.%8"/>
      <w:lvlJc w:val="left"/>
      <w:pPr>
        <w:ind w:left="10487" w:hanging="1440"/>
      </w:pPr>
      <w:rPr>
        <w:rFonts w:hint="default"/>
      </w:rPr>
    </w:lvl>
    <w:lvl w:ilvl="8">
      <w:start w:val="1"/>
      <w:numFmt w:val="decimal"/>
      <w:isLgl/>
      <w:lvlText w:val="%1.%2.%3.%4.%5.%6.%7.%8.%9"/>
      <w:lvlJc w:val="left"/>
      <w:pPr>
        <w:ind w:left="11728" w:hanging="1440"/>
      </w:pPr>
      <w:rPr>
        <w:rFonts w:hint="default"/>
      </w:rPr>
    </w:lvl>
  </w:abstractNum>
  <w:abstractNum w:abstractNumId="2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C9324C6"/>
    <w:multiLevelType w:val="multilevel"/>
    <w:tmpl w:val="5244741E"/>
    <w:lvl w:ilvl="0">
      <w:start w:val="31"/>
      <w:numFmt w:val="decimal"/>
      <w:lvlText w:val="%1"/>
      <w:lvlJc w:val="left"/>
      <w:pPr>
        <w:ind w:left="660" w:hanging="660"/>
      </w:pPr>
      <w:rPr>
        <w:rFonts w:hint="default"/>
      </w:rPr>
    </w:lvl>
    <w:lvl w:ilvl="1">
      <w:start w:val="5"/>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4"/>
      <w:numFmt w:val="decimal"/>
      <w:lvlText w:val="%1.%2.%3.%4"/>
      <w:lvlJc w:val="left"/>
      <w:pPr>
        <w:ind w:left="1440" w:hanging="720"/>
      </w:pPr>
      <w:rPr>
        <w:rFonts w:hint="default"/>
        <w:strike w:val="0"/>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4">
    <w:nsid w:val="7078082B"/>
    <w:multiLevelType w:val="hybridMultilevel"/>
    <w:tmpl w:val="1188F5CE"/>
    <w:lvl w:ilvl="0" w:tplc="9F38B34C">
      <w:start w:val="1"/>
      <w:numFmt w:val="decimal"/>
      <w:lvlText w:val="%1."/>
      <w:lvlJc w:val="left"/>
      <w:pPr>
        <w:ind w:left="1260" w:hanging="54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7">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0"/>
  </w:num>
  <w:num w:numId="13">
    <w:abstractNumId w:val="10"/>
  </w:num>
  <w:num w:numId="14">
    <w:abstractNumId w:val="32"/>
  </w:num>
  <w:num w:numId="15">
    <w:abstractNumId w:val="15"/>
  </w:num>
  <w:num w:numId="16">
    <w:abstractNumId w:val="12"/>
  </w:num>
  <w:num w:numId="17">
    <w:abstractNumId w:val="35"/>
  </w:num>
  <w:num w:numId="18">
    <w:abstractNumId w:val="26"/>
  </w:num>
  <w:num w:numId="19">
    <w:abstractNumId w:val="13"/>
  </w:num>
  <w:num w:numId="20">
    <w:abstractNumId w:val="29"/>
  </w:num>
  <w:num w:numId="21">
    <w:abstractNumId w:val="17"/>
  </w:num>
  <w:num w:numId="22">
    <w:abstractNumId w:val="14"/>
  </w:num>
  <w:num w:numId="23">
    <w:abstractNumId w:val="16"/>
  </w:num>
  <w:num w:numId="24">
    <w:abstractNumId w:val="28"/>
  </w:num>
  <w:num w:numId="25">
    <w:abstractNumId w:val="30"/>
  </w:num>
  <w:num w:numId="26">
    <w:abstractNumId w:val="31"/>
  </w:num>
  <w:num w:numId="27">
    <w:abstractNumId w:val="37"/>
  </w:num>
  <w:num w:numId="28">
    <w:abstractNumId w:val="27"/>
  </w:num>
  <w:num w:numId="29">
    <w:abstractNumId w:val="21"/>
  </w:num>
  <w:num w:numId="30">
    <w:abstractNumId w:val="36"/>
  </w:num>
  <w:num w:numId="31">
    <w:abstractNumId w:val="18"/>
  </w:num>
  <w:num w:numId="32">
    <w:abstractNumId w:val="22"/>
  </w:num>
  <w:num w:numId="33">
    <w:abstractNumId w:val="11"/>
  </w:num>
  <w:num w:numId="34">
    <w:abstractNumId w:val="19"/>
  </w:num>
  <w:num w:numId="35">
    <w:abstractNumId w:val="34"/>
  </w:num>
  <w:num w:numId="36">
    <w:abstractNumId w:val="24"/>
  </w:num>
  <w:num w:numId="37">
    <w:abstractNumId w:val="33"/>
  </w:num>
  <w:num w:numId="3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4B0B"/>
    <w:rsid w:val="00006600"/>
    <w:rsid w:val="000105B7"/>
    <w:rsid w:val="00010DB3"/>
    <w:rsid w:val="00015A1E"/>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C5D1C"/>
    <w:rsid w:val="000D43C8"/>
    <w:rsid w:val="000E0415"/>
    <w:rsid w:val="000E572A"/>
    <w:rsid w:val="000F0909"/>
    <w:rsid w:val="000F143A"/>
    <w:rsid w:val="000F5FF7"/>
    <w:rsid w:val="00103C0E"/>
    <w:rsid w:val="00114E72"/>
    <w:rsid w:val="00117787"/>
    <w:rsid w:val="00120F5D"/>
    <w:rsid w:val="00125758"/>
    <w:rsid w:val="00125775"/>
    <w:rsid w:val="001266BA"/>
    <w:rsid w:val="00131D42"/>
    <w:rsid w:val="0014496C"/>
    <w:rsid w:val="00144FC4"/>
    <w:rsid w:val="0015653A"/>
    <w:rsid w:val="0016063F"/>
    <w:rsid w:val="00160BC1"/>
    <w:rsid w:val="001633FB"/>
    <w:rsid w:val="00166B07"/>
    <w:rsid w:val="00177434"/>
    <w:rsid w:val="00187869"/>
    <w:rsid w:val="00190361"/>
    <w:rsid w:val="00191BE2"/>
    <w:rsid w:val="001967AB"/>
    <w:rsid w:val="001A6691"/>
    <w:rsid w:val="001B0DDE"/>
    <w:rsid w:val="001B10FC"/>
    <w:rsid w:val="001B4B04"/>
    <w:rsid w:val="001B574E"/>
    <w:rsid w:val="001B596E"/>
    <w:rsid w:val="001C4441"/>
    <w:rsid w:val="001C6663"/>
    <w:rsid w:val="001C7895"/>
    <w:rsid w:val="001D0C12"/>
    <w:rsid w:val="001D26DF"/>
    <w:rsid w:val="001D2FDC"/>
    <w:rsid w:val="001D2FE8"/>
    <w:rsid w:val="001E3023"/>
    <w:rsid w:val="001F1227"/>
    <w:rsid w:val="001F37ED"/>
    <w:rsid w:val="001F57B4"/>
    <w:rsid w:val="00211CD6"/>
    <w:rsid w:val="00211E0B"/>
    <w:rsid w:val="002264E0"/>
    <w:rsid w:val="002309A7"/>
    <w:rsid w:val="00233CFA"/>
    <w:rsid w:val="002350D2"/>
    <w:rsid w:val="002370D0"/>
    <w:rsid w:val="00237785"/>
    <w:rsid w:val="00241466"/>
    <w:rsid w:val="00247A0C"/>
    <w:rsid w:val="00266C11"/>
    <w:rsid w:val="002722E5"/>
    <w:rsid w:val="002725CA"/>
    <w:rsid w:val="00274700"/>
    <w:rsid w:val="00275E9A"/>
    <w:rsid w:val="00280D2B"/>
    <w:rsid w:val="00280EB7"/>
    <w:rsid w:val="002817F4"/>
    <w:rsid w:val="00281BE2"/>
    <w:rsid w:val="002A2560"/>
    <w:rsid w:val="002A7532"/>
    <w:rsid w:val="002B082F"/>
    <w:rsid w:val="002B1CDA"/>
    <w:rsid w:val="002B2EA7"/>
    <w:rsid w:val="002B521D"/>
    <w:rsid w:val="002B5778"/>
    <w:rsid w:val="002B79CF"/>
    <w:rsid w:val="002B7D6F"/>
    <w:rsid w:val="002C42D3"/>
    <w:rsid w:val="002C54A4"/>
    <w:rsid w:val="002C7649"/>
    <w:rsid w:val="002D7530"/>
    <w:rsid w:val="002E040D"/>
    <w:rsid w:val="002E4E12"/>
    <w:rsid w:val="002E7C35"/>
    <w:rsid w:val="002F0918"/>
    <w:rsid w:val="002F1234"/>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7184"/>
    <w:rsid w:val="003611C0"/>
    <w:rsid w:val="00372BDC"/>
    <w:rsid w:val="00373815"/>
    <w:rsid w:val="00374763"/>
    <w:rsid w:val="00381262"/>
    <w:rsid w:val="00390C04"/>
    <w:rsid w:val="0039277A"/>
    <w:rsid w:val="00396C00"/>
    <w:rsid w:val="003972E0"/>
    <w:rsid w:val="003A358E"/>
    <w:rsid w:val="003B4359"/>
    <w:rsid w:val="003B47CC"/>
    <w:rsid w:val="003C2CC4"/>
    <w:rsid w:val="003C6BA6"/>
    <w:rsid w:val="003D4B23"/>
    <w:rsid w:val="003E1C5A"/>
    <w:rsid w:val="003E5413"/>
    <w:rsid w:val="003F0697"/>
    <w:rsid w:val="003F3F40"/>
    <w:rsid w:val="003F40C8"/>
    <w:rsid w:val="0040291E"/>
    <w:rsid w:val="0040320D"/>
    <w:rsid w:val="00404FD4"/>
    <w:rsid w:val="0041741B"/>
    <w:rsid w:val="004179D7"/>
    <w:rsid w:val="0042450A"/>
    <w:rsid w:val="004325CB"/>
    <w:rsid w:val="00437F3F"/>
    <w:rsid w:val="0044017E"/>
    <w:rsid w:val="00442686"/>
    <w:rsid w:val="0044679E"/>
    <w:rsid w:val="00446C28"/>
    <w:rsid w:val="00446DE4"/>
    <w:rsid w:val="004479B5"/>
    <w:rsid w:val="00450B3A"/>
    <w:rsid w:val="00451CCB"/>
    <w:rsid w:val="004522E0"/>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6E3D"/>
    <w:rsid w:val="004E1150"/>
    <w:rsid w:val="004E4DCE"/>
    <w:rsid w:val="00500DCD"/>
    <w:rsid w:val="00512574"/>
    <w:rsid w:val="005149A9"/>
    <w:rsid w:val="00515763"/>
    <w:rsid w:val="0051609A"/>
    <w:rsid w:val="005206A2"/>
    <w:rsid w:val="005248FF"/>
    <w:rsid w:val="00527910"/>
    <w:rsid w:val="00530B4A"/>
    <w:rsid w:val="00532A62"/>
    <w:rsid w:val="005335B1"/>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90144"/>
    <w:rsid w:val="005A1FEB"/>
    <w:rsid w:val="005A37A2"/>
    <w:rsid w:val="005A77C6"/>
    <w:rsid w:val="005B2C26"/>
    <w:rsid w:val="005B3614"/>
    <w:rsid w:val="005B3DB3"/>
    <w:rsid w:val="005B6EC0"/>
    <w:rsid w:val="005B6FA9"/>
    <w:rsid w:val="005D1C0C"/>
    <w:rsid w:val="005D407C"/>
    <w:rsid w:val="005E29AE"/>
    <w:rsid w:val="005E6C20"/>
    <w:rsid w:val="00611FC4"/>
    <w:rsid w:val="0061401C"/>
    <w:rsid w:val="006176FB"/>
    <w:rsid w:val="0063330C"/>
    <w:rsid w:val="00633C10"/>
    <w:rsid w:val="0063419C"/>
    <w:rsid w:val="00634398"/>
    <w:rsid w:val="00640B26"/>
    <w:rsid w:val="00641876"/>
    <w:rsid w:val="00647621"/>
    <w:rsid w:val="00650267"/>
    <w:rsid w:val="00657AC6"/>
    <w:rsid w:val="00664F8E"/>
    <w:rsid w:val="00677B40"/>
    <w:rsid w:val="00682466"/>
    <w:rsid w:val="0068393D"/>
    <w:rsid w:val="006A0AE9"/>
    <w:rsid w:val="006A7392"/>
    <w:rsid w:val="006B3590"/>
    <w:rsid w:val="006B7406"/>
    <w:rsid w:val="006B79A2"/>
    <w:rsid w:val="006C0D34"/>
    <w:rsid w:val="006C1C4A"/>
    <w:rsid w:val="006C51B3"/>
    <w:rsid w:val="006D1BA6"/>
    <w:rsid w:val="006D7899"/>
    <w:rsid w:val="006D7D5F"/>
    <w:rsid w:val="006E564B"/>
    <w:rsid w:val="006E7B3F"/>
    <w:rsid w:val="00707A67"/>
    <w:rsid w:val="0071233A"/>
    <w:rsid w:val="00716D0F"/>
    <w:rsid w:val="00723B8F"/>
    <w:rsid w:val="00725764"/>
    <w:rsid w:val="0072632A"/>
    <w:rsid w:val="007428A0"/>
    <w:rsid w:val="0075177E"/>
    <w:rsid w:val="00757A17"/>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803636"/>
    <w:rsid w:val="008138E4"/>
    <w:rsid w:val="008175E9"/>
    <w:rsid w:val="00820DBE"/>
    <w:rsid w:val="008242D7"/>
    <w:rsid w:val="00832905"/>
    <w:rsid w:val="00842FAF"/>
    <w:rsid w:val="00844A23"/>
    <w:rsid w:val="008553AE"/>
    <w:rsid w:val="008566E6"/>
    <w:rsid w:val="008616E6"/>
    <w:rsid w:val="00871FD5"/>
    <w:rsid w:val="0087202A"/>
    <w:rsid w:val="008749E1"/>
    <w:rsid w:val="008900F3"/>
    <w:rsid w:val="0089467C"/>
    <w:rsid w:val="008979B1"/>
    <w:rsid w:val="008A2299"/>
    <w:rsid w:val="008A6B25"/>
    <w:rsid w:val="008A6C4F"/>
    <w:rsid w:val="008A7362"/>
    <w:rsid w:val="008B0C07"/>
    <w:rsid w:val="008B2E94"/>
    <w:rsid w:val="008C1535"/>
    <w:rsid w:val="008D44E2"/>
    <w:rsid w:val="008E0E46"/>
    <w:rsid w:val="008E1D4C"/>
    <w:rsid w:val="008F36A7"/>
    <w:rsid w:val="008F42F2"/>
    <w:rsid w:val="00905AEA"/>
    <w:rsid w:val="00910229"/>
    <w:rsid w:val="00910E37"/>
    <w:rsid w:val="009145E5"/>
    <w:rsid w:val="00915E24"/>
    <w:rsid w:val="009174F9"/>
    <w:rsid w:val="009178F6"/>
    <w:rsid w:val="00920726"/>
    <w:rsid w:val="00924330"/>
    <w:rsid w:val="0092549E"/>
    <w:rsid w:val="0093457E"/>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B1829"/>
    <w:rsid w:val="009B2FB7"/>
    <w:rsid w:val="009B3CC1"/>
    <w:rsid w:val="009B6F46"/>
    <w:rsid w:val="009D7741"/>
    <w:rsid w:val="009E2874"/>
    <w:rsid w:val="009E35FF"/>
    <w:rsid w:val="009E587B"/>
    <w:rsid w:val="00A12267"/>
    <w:rsid w:val="00A1427D"/>
    <w:rsid w:val="00A22441"/>
    <w:rsid w:val="00A24E0D"/>
    <w:rsid w:val="00A25434"/>
    <w:rsid w:val="00A27584"/>
    <w:rsid w:val="00A3317D"/>
    <w:rsid w:val="00A3734E"/>
    <w:rsid w:val="00A40281"/>
    <w:rsid w:val="00A4449F"/>
    <w:rsid w:val="00A475B8"/>
    <w:rsid w:val="00A52017"/>
    <w:rsid w:val="00A549AB"/>
    <w:rsid w:val="00A6043B"/>
    <w:rsid w:val="00A64ED3"/>
    <w:rsid w:val="00A66610"/>
    <w:rsid w:val="00A679F9"/>
    <w:rsid w:val="00A67DC2"/>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4C3F"/>
    <w:rsid w:val="00AD7DFB"/>
    <w:rsid w:val="00AE2BC1"/>
    <w:rsid w:val="00AE313E"/>
    <w:rsid w:val="00AE3791"/>
    <w:rsid w:val="00AF1489"/>
    <w:rsid w:val="00AF248C"/>
    <w:rsid w:val="00B0125E"/>
    <w:rsid w:val="00B02079"/>
    <w:rsid w:val="00B05614"/>
    <w:rsid w:val="00B10153"/>
    <w:rsid w:val="00B2292E"/>
    <w:rsid w:val="00B30179"/>
    <w:rsid w:val="00B32399"/>
    <w:rsid w:val="00B3317B"/>
    <w:rsid w:val="00B34A94"/>
    <w:rsid w:val="00B35770"/>
    <w:rsid w:val="00B45379"/>
    <w:rsid w:val="00B62799"/>
    <w:rsid w:val="00B6485A"/>
    <w:rsid w:val="00B65BD4"/>
    <w:rsid w:val="00B742AE"/>
    <w:rsid w:val="00B7575E"/>
    <w:rsid w:val="00B76D98"/>
    <w:rsid w:val="00B80DD3"/>
    <w:rsid w:val="00B81E12"/>
    <w:rsid w:val="00B8308C"/>
    <w:rsid w:val="00B84410"/>
    <w:rsid w:val="00B87A6B"/>
    <w:rsid w:val="00B90984"/>
    <w:rsid w:val="00B910C6"/>
    <w:rsid w:val="00B93068"/>
    <w:rsid w:val="00B96106"/>
    <w:rsid w:val="00BA4AAC"/>
    <w:rsid w:val="00BA611E"/>
    <w:rsid w:val="00BB6685"/>
    <w:rsid w:val="00BC4804"/>
    <w:rsid w:val="00BC553A"/>
    <w:rsid w:val="00BC5CF4"/>
    <w:rsid w:val="00BC74E9"/>
    <w:rsid w:val="00BD4242"/>
    <w:rsid w:val="00BD42B2"/>
    <w:rsid w:val="00BE618E"/>
    <w:rsid w:val="00C01730"/>
    <w:rsid w:val="00C12FE8"/>
    <w:rsid w:val="00C17582"/>
    <w:rsid w:val="00C20E3D"/>
    <w:rsid w:val="00C23226"/>
    <w:rsid w:val="00C3461F"/>
    <w:rsid w:val="00C4186E"/>
    <w:rsid w:val="00C463DD"/>
    <w:rsid w:val="00C46E2A"/>
    <w:rsid w:val="00C60D9F"/>
    <w:rsid w:val="00C60DCD"/>
    <w:rsid w:val="00C626EA"/>
    <w:rsid w:val="00C62F76"/>
    <w:rsid w:val="00C64CF9"/>
    <w:rsid w:val="00C67F22"/>
    <w:rsid w:val="00C72209"/>
    <w:rsid w:val="00C745C3"/>
    <w:rsid w:val="00C835F0"/>
    <w:rsid w:val="00CA1406"/>
    <w:rsid w:val="00CA1CBE"/>
    <w:rsid w:val="00CA5C02"/>
    <w:rsid w:val="00CB4C9D"/>
    <w:rsid w:val="00CC18B3"/>
    <w:rsid w:val="00CC23F0"/>
    <w:rsid w:val="00CC71E2"/>
    <w:rsid w:val="00CD42C3"/>
    <w:rsid w:val="00CD68B3"/>
    <w:rsid w:val="00CE4A8F"/>
    <w:rsid w:val="00CE58B6"/>
    <w:rsid w:val="00CE5C4D"/>
    <w:rsid w:val="00CE7E5D"/>
    <w:rsid w:val="00CF4639"/>
    <w:rsid w:val="00CF6553"/>
    <w:rsid w:val="00CF7C69"/>
    <w:rsid w:val="00CF7FCE"/>
    <w:rsid w:val="00D00E69"/>
    <w:rsid w:val="00D01ACC"/>
    <w:rsid w:val="00D02365"/>
    <w:rsid w:val="00D04934"/>
    <w:rsid w:val="00D0609D"/>
    <w:rsid w:val="00D11828"/>
    <w:rsid w:val="00D13382"/>
    <w:rsid w:val="00D2031B"/>
    <w:rsid w:val="00D2387E"/>
    <w:rsid w:val="00D25FE2"/>
    <w:rsid w:val="00D37949"/>
    <w:rsid w:val="00D42146"/>
    <w:rsid w:val="00D43252"/>
    <w:rsid w:val="00D44AE0"/>
    <w:rsid w:val="00D44EFC"/>
    <w:rsid w:val="00D5171D"/>
    <w:rsid w:val="00D606BB"/>
    <w:rsid w:val="00D625F5"/>
    <w:rsid w:val="00D668CA"/>
    <w:rsid w:val="00D72869"/>
    <w:rsid w:val="00D753D8"/>
    <w:rsid w:val="00D84DB1"/>
    <w:rsid w:val="00D9208C"/>
    <w:rsid w:val="00D95849"/>
    <w:rsid w:val="00D96CC5"/>
    <w:rsid w:val="00D978C6"/>
    <w:rsid w:val="00DA67AD"/>
    <w:rsid w:val="00DA71EC"/>
    <w:rsid w:val="00DB0284"/>
    <w:rsid w:val="00DB281B"/>
    <w:rsid w:val="00DB4C88"/>
    <w:rsid w:val="00DC16B9"/>
    <w:rsid w:val="00DC1797"/>
    <w:rsid w:val="00DD41E5"/>
    <w:rsid w:val="00DD70B8"/>
    <w:rsid w:val="00DE19A0"/>
    <w:rsid w:val="00DE4184"/>
    <w:rsid w:val="00DF0081"/>
    <w:rsid w:val="00DF7129"/>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EE3"/>
    <w:rsid w:val="00E66AF1"/>
    <w:rsid w:val="00E7260F"/>
    <w:rsid w:val="00E8535A"/>
    <w:rsid w:val="00E92301"/>
    <w:rsid w:val="00E96630"/>
    <w:rsid w:val="00EA5271"/>
    <w:rsid w:val="00EB0D77"/>
    <w:rsid w:val="00EB6541"/>
    <w:rsid w:val="00EB6832"/>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2912"/>
    <w:rsid w:val="00F73E3B"/>
    <w:rsid w:val="00F74124"/>
    <w:rsid w:val="00F85D7A"/>
    <w:rsid w:val="00F873E7"/>
    <w:rsid w:val="00F93B34"/>
    <w:rsid w:val="00F957FD"/>
    <w:rsid w:val="00FA54B1"/>
    <w:rsid w:val="00FB6DCF"/>
    <w:rsid w:val="00FB7905"/>
    <w:rsid w:val="00FC0AAF"/>
    <w:rsid w:val="00FC3415"/>
    <w:rsid w:val="00FC68B7"/>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7C19A-EE48-4291-95F6-16E7CB66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1478</Words>
  <Characters>8430</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6</cp:revision>
  <cp:lastPrinted>2015-11-27T17:32:00Z</cp:lastPrinted>
  <dcterms:created xsi:type="dcterms:W3CDTF">2015-11-27T15:20:00Z</dcterms:created>
  <dcterms:modified xsi:type="dcterms:W3CDTF">2015-11-27T17:35:00Z</dcterms:modified>
</cp:coreProperties>
</file>