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251AD0">
            <w:pPr>
              <w:jc w:val="right"/>
              <w:rPr>
                <w:b/>
                <w:sz w:val="40"/>
                <w:szCs w:val="40"/>
              </w:rPr>
            </w:pPr>
            <w:r>
              <w:rPr>
                <w:b/>
                <w:sz w:val="40"/>
                <w:szCs w:val="40"/>
              </w:rPr>
              <w:t>UN/SCETDG/4</w:t>
            </w:r>
            <w:r w:rsidR="00344DB3">
              <w:rPr>
                <w:b/>
                <w:sz w:val="40"/>
                <w:szCs w:val="40"/>
              </w:rPr>
              <w:t>8</w:t>
            </w:r>
            <w:r w:rsidRPr="005A1F2E">
              <w:rPr>
                <w:b/>
                <w:sz w:val="40"/>
                <w:szCs w:val="40"/>
              </w:rPr>
              <w:t>/INF.</w:t>
            </w:r>
            <w:r w:rsidR="00251AD0">
              <w:rPr>
                <w:b/>
                <w:sz w:val="40"/>
                <w:szCs w:val="40"/>
              </w:rPr>
              <w:t>40</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302C0A">
            <w:pPr>
              <w:tabs>
                <w:tab w:val="left" w:pos="7920"/>
              </w:tabs>
              <w:spacing w:before="120"/>
              <w:rPr>
                <w:b/>
              </w:rPr>
            </w:pPr>
            <w:r w:rsidRPr="005A1F2E">
              <w:rPr>
                <w:b/>
              </w:rPr>
              <w:t>Sub-Committee of Experts on the Transport of Dangerous Goods</w:t>
            </w:r>
            <w:r w:rsidRPr="005A1F2E">
              <w:rPr>
                <w:b/>
              </w:rPr>
              <w:tab/>
            </w:r>
            <w:r w:rsidR="003A07E5">
              <w:rPr>
                <w:b/>
              </w:rPr>
              <w:t>2</w:t>
            </w:r>
            <w:r w:rsidR="00251AD0">
              <w:rPr>
                <w:b/>
              </w:rPr>
              <w:t>6</w:t>
            </w:r>
            <w:r w:rsidR="00740FD7">
              <w:rPr>
                <w:b/>
              </w:rPr>
              <w:t xml:space="preserve"> </w:t>
            </w:r>
            <w:r w:rsidR="00430DA5">
              <w:rPr>
                <w:b/>
              </w:rPr>
              <w:t>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0DA5">
              <w:rPr>
                <w:b/>
              </w:rPr>
              <w:t>eighth</w:t>
            </w:r>
            <w:r>
              <w:rPr>
                <w:b/>
              </w:rPr>
              <w:t xml:space="preserve"> session</w:t>
            </w:r>
          </w:p>
          <w:p w:rsidR="00ED4C0B" w:rsidRPr="005A1F2E" w:rsidRDefault="00ED4C0B" w:rsidP="00CF376E">
            <w:r w:rsidRPr="005A1F2E">
              <w:t xml:space="preserve">Geneva, </w:t>
            </w:r>
            <w:r w:rsidR="00D55FDA">
              <w:t>20 November</w:t>
            </w:r>
            <w:r w:rsidR="00520847">
              <w:t xml:space="preserve"> </w:t>
            </w:r>
            <w:r>
              <w:t>–</w:t>
            </w:r>
            <w:r w:rsidR="00520847">
              <w:t xml:space="preserve"> </w:t>
            </w:r>
            <w:r w:rsidR="00D55FDA">
              <w:t>9 December</w:t>
            </w:r>
            <w:r>
              <w:t xml:space="preserve"> 201</w:t>
            </w:r>
            <w:r w:rsidR="00520847">
              <w:t>5</w:t>
            </w:r>
          </w:p>
          <w:p w:rsidR="003F4773" w:rsidRPr="00610992" w:rsidRDefault="00610992" w:rsidP="00302C0A">
            <w:pPr>
              <w:pStyle w:val="Default"/>
              <w:rPr>
                <w:sz w:val="20"/>
                <w:szCs w:val="20"/>
              </w:rPr>
            </w:pPr>
            <w:r w:rsidRPr="00610992">
              <w:rPr>
                <w:sz w:val="20"/>
                <w:szCs w:val="20"/>
              </w:rPr>
              <w:t xml:space="preserve">Item </w:t>
            </w:r>
            <w:r w:rsidR="00302C0A">
              <w:rPr>
                <w:sz w:val="20"/>
                <w:szCs w:val="20"/>
              </w:rPr>
              <w:t>7</w:t>
            </w:r>
            <w:r w:rsidR="006861C4" w:rsidRPr="00610992">
              <w:rPr>
                <w:sz w:val="20"/>
                <w:szCs w:val="20"/>
              </w:rPr>
              <w:t xml:space="preserve"> </w:t>
            </w:r>
            <w:r w:rsidR="003F4773" w:rsidRPr="00610992">
              <w:rPr>
                <w:sz w:val="20"/>
                <w:szCs w:val="20"/>
              </w:rPr>
              <w:t>of the provisional agenda</w:t>
            </w:r>
          </w:p>
          <w:p w:rsidR="00ED4C0B" w:rsidRPr="006861C4" w:rsidRDefault="00302C0A" w:rsidP="00520847">
            <w:pPr>
              <w:rPr>
                <w:b/>
              </w:rPr>
            </w:pPr>
            <w:r w:rsidRPr="00302C0A">
              <w:rPr>
                <w:b/>
              </w:rPr>
              <w:t>Global harmonization of transport of dangerous goods regulations with the Model Regulations</w:t>
            </w:r>
          </w:p>
        </w:tc>
      </w:tr>
    </w:tbl>
    <w:p w:rsidR="006861C4" w:rsidRDefault="006861C4" w:rsidP="00302C0A">
      <w:pPr>
        <w:pStyle w:val="HChG"/>
      </w:pPr>
      <w:r>
        <w:tab/>
      </w:r>
      <w:r>
        <w:tab/>
      </w:r>
      <w:r w:rsidR="00302C0A">
        <w:t>Information on decisions taken by the ICAO Dangerous Goods Panel (DGP/25)</w:t>
      </w:r>
      <w:bookmarkStart w:id="0" w:name="_GoBack"/>
      <w:bookmarkEnd w:id="0"/>
    </w:p>
    <w:p w:rsidR="00F6717A" w:rsidRDefault="006861C4" w:rsidP="00302C0A">
      <w:pPr>
        <w:pStyle w:val="H1G"/>
      </w:pPr>
      <w:r>
        <w:tab/>
      </w:r>
      <w:r>
        <w:tab/>
        <w:t xml:space="preserve">Transmitted by the </w:t>
      </w:r>
      <w:r w:rsidR="00302C0A">
        <w:t>International Civil Aviation Organization (ICAO)</w:t>
      </w:r>
    </w:p>
    <w:p w:rsidR="006861C4" w:rsidRDefault="006861C4" w:rsidP="006861C4">
      <w:pPr>
        <w:pStyle w:val="HChG"/>
      </w:pPr>
      <w:r>
        <w:tab/>
      </w:r>
      <w:r>
        <w:tab/>
        <w:t>Introduction</w:t>
      </w:r>
    </w:p>
    <w:p w:rsidR="00302C0A" w:rsidRDefault="006861C4" w:rsidP="00957678">
      <w:pPr>
        <w:pStyle w:val="SingleTxtG"/>
      </w:pPr>
      <w:r>
        <w:t>1.</w:t>
      </w:r>
      <w:r>
        <w:tab/>
      </w:r>
      <w:r w:rsidR="00251AD0">
        <w:t>The t</w:t>
      </w:r>
      <w:r w:rsidR="00302C0A">
        <w:t>wenty-</w:t>
      </w:r>
      <w:r w:rsidR="00251AD0">
        <w:t>f</w:t>
      </w:r>
      <w:r w:rsidR="00302C0A">
        <w:t xml:space="preserve">ifth </w:t>
      </w:r>
      <w:r w:rsidR="00251AD0">
        <w:t>m</w:t>
      </w:r>
      <w:r w:rsidR="00302C0A">
        <w:t xml:space="preserve">eeting of the Dangerous Goods Panel (DGP/25) was held in Montréal from 19 to 30 October 2015. The panel made a final review of amendments </w:t>
      </w:r>
      <w:proofErr w:type="gramStart"/>
      <w:r w:rsidR="00302C0A">
        <w:t>proposed</w:t>
      </w:r>
      <w:proofErr w:type="gramEnd"/>
      <w:r w:rsidR="00302C0A">
        <w:t xml:space="preserve"> to the Technical Instructions in order to harmonize with the 19th revised edition of the UN Model Regulations</w:t>
      </w:r>
      <w:r w:rsidR="00A11225">
        <w:t xml:space="preserve"> and to address issues specific to air transport</w:t>
      </w:r>
      <w:r w:rsidR="00302C0A">
        <w:t>.</w:t>
      </w:r>
      <w:r w:rsidR="00FF37EB">
        <w:t xml:space="preserve"> Amendments agreed by DGP/25 are subject to Council approval. They will first be reviewed by the Air Navigation Commission (ANC) for onward submission to the Council during the first quarter of 2016.</w:t>
      </w:r>
      <w:r w:rsidR="00957678">
        <w:t xml:space="preserve"> The full report of DGP/25 including all amendments agreed can be downloaded from </w:t>
      </w:r>
      <w:hyperlink r:id="rId9" w:history="1">
        <w:r w:rsidR="00957678" w:rsidRPr="00341193">
          <w:rPr>
            <w:rStyle w:val="Hyperlink"/>
          </w:rPr>
          <w:t>http://www.icao.int/safety/DangerousGoods/Pages/DGP25.aspx</w:t>
        </w:r>
      </w:hyperlink>
      <w:r w:rsidR="00957678">
        <w:t xml:space="preserve">. </w:t>
      </w:r>
    </w:p>
    <w:p w:rsidR="00302C0A" w:rsidRDefault="00302C0A" w:rsidP="00996B55">
      <w:pPr>
        <w:pStyle w:val="SingleTxtG"/>
      </w:pPr>
      <w:r>
        <w:t>2.</w:t>
      </w:r>
      <w:r>
        <w:tab/>
        <w:t>This information paper highlights issues which DGP/2</w:t>
      </w:r>
      <w:r w:rsidR="00996B55">
        <w:t>5</w:t>
      </w:r>
      <w:r>
        <w:t xml:space="preserve"> determined should be brought to the attention of the 48th Session of the Sub-Committee. </w:t>
      </w:r>
    </w:p>
    <w:p w:rsidR="00302C0A" w:rsidRDefault="00302C0A" w:rsidP="00302C0A">
      <w:pPr>
        <w:pStyle w:val="HChG"/>
      </w:pPr>
      <w:r>
        <w:tab/>
      </w:r>
      <w:r>
        <w:tab/>
        <w:t>Harmonization of the ICAO Technical Instructions with the 19th revised edition of the UN Model Regulations</w:t>
      </w:r>
    </w:p>
    <w:p w:rsidR="007C56D2" w:rsidRPr="00060080" w:rsidRDefault="007C56D2" w:rsidP="00251AD0">
      <w:pPr>
        <w:pStyle w:val="H1G"/>
      </w:pPr>
      <w:r w:rsidRPr="00060080">
        <w:tab/>
      </w:r>
      <w:r w:rsidRPr="00060080">
        <w:tab/>
        <w:t>DGP decisions which result in lack of harmonization with the UN Model Regulations</w:t>
      </w:r>
    </w:p>
    <w:p w:rsidR="007C56D2" w:rsidRDefault="0057581A" w:rsidP="00F15DE4">
      <w:pPr>
        <w:pStyle w:val="SingleTxtG"/>
        <w:ind w:left="1138" w:right="1138"/>
      </w:pPr>
      <w:r>
        <w:t>3.</w:t>
      </w:r>
      <w:r>
        <w:tab/>
      </w:r>
      <w:r w:rsidR="00905146">
        <w:t>New text was added to special provision 240 of the Model Regulations (</w:t>
      </w:r>
      <w:r w:rsidR="009F2BD9">
        <w:t>assigned to UN 3171</w:t>
      </w:r>
      <w:r w:rsidR="00905146">
        <w:t> </w:t>
      </w:r>
      <w:r w:rsidR="009F2BD9">
        <w:t>— BATTERY-POWERED VEHICLE</w:t>
      </w:r>
      <w:r w:rsidR="00F15DE4">
        <w:t xml:space="preserve"> or BATTERY-POWERED EQUIPMENT</w:t>
      </w:r>
      <w:r w:rsidR="00905146">
        <w:t>)</w:t>
      </w:r>
      <w:r w:rsidR="009F2BD9">
        <w:t xml:space="preserve"> </w:t>
      </w:r>
      <w:r w:rsidR="007C56D2">
        <w:t xml:space="preserve">which </w:t>
      </w:r>
      <w:r w:rsidR="003073BE">
        <w:t>permit</w:t>
      </w:r>
      <w:r w:rsidR="00905146">
        <w:t>s</w:t>
      </w:r>
      <w:r w:rsidR="003073BE">
        <w:t xml:space="preserve"> parts of </w:t>
      </w:r>
      <w:r w:rsidR="007C56D2">
        <w:t xml:space="preserve">vehicles </w:t>
      </w:r>
      <w:r w:rsidR="003073BE">
        <w:t xml:space="preserve">to be </w:t>
      </w:r>
      <w:r w:rsidR="007C56D2">
        <w:t>detached from their frames to fit into packaging</w:t>
      </w:r>
      <w:r w:rsidR="00905146">
        <w:t>. This text was not included in the corresponding special provision in the Technical Instructions (A21)</w:t>
      </w:r>
      <w:r w:rsidR="007C56D2">
        <w:t xml:space="preserve"> as it was felt</w:t>
      </w:r>
      <w:r w:rsidR="009F2BD9">
        <w:t xml:space="preserve"> </w:t>
      </w:r>
      <w:r w:rsidR="00905146">
        <w:t xml:space="preserve">it </w:t>
      </w:r>
      <w:r w:rsidR="009F2BD9">
        <w:t>referred to non-dangerous goods and therefore was unnecessary</w:t>
      </w:r>
      <w:r w:rsidR="007C56D2">
        <w:t>.</w:t>
      </w:r>
    </w:p>
    <w:p w:rsidR="00503798" w:rsidRPr="007C56D2" w:rsidRDefault="0057581A" w:rsidP="00EC1214">
      <w:pPr>
        <w:pStyle w:val="SingleTxtG"/>
        <w:keepNext/>
        <w:ind w:left="1138" w:right="1138"/>
        <w:rPr>
          <w:lang w:val="en-US"/>
        </w:rPr>
      </w:pPr>
      <w:r>
        <w:rPr>
          <w:lang w:val="en-US"/>
        </w:rPr>
        <w:lastRenderedPageBreak/>
        <w:t>4.</w:t>
      </w:r>
      <w:r>
        <w:rPr>
          <w:lang w:val="en-US"/>
        </w:rPr>
        <w:tab/>
      </w:r>
      <w:r w:rsidR="00503798">
        <w:rPr>
          <w:lang w:val="en-US"/>
        </w:rPr>
        <w:t>Amendments to special provisions related to the new classification provisions for vehicles/engines</w:t>
      </w:r>
      <w:r>
        <w:rPr>
          <w:lang w:val="en-US"/>
        </w:rPr>
        <w:t>/machines</w:t>
      </w:r>
      <w:r w:rsidR="00503798">
        <w:rPr>
          <w:lang w:val="en-US"/>
        </w:rPr>
        <w:t xml:space="preserve"> were not always included in the </w:t>
      </w:r>
      <w:r w:rsidR="00EC1214">
        <w:rPr>
          <w:lang w:val="en-US"/>
        </w:rPr>
        <w:t xml:space="preserve">corresponding </w:t>
      </w:r>
      <w:r w:rsidR="00503798">
        <w:rPr>
          <w:lang w:val="en-US"/>
        </w:rPr>
        <w:t>special provisions in the Technical Instructions as they were already included in packing instructions and the panel felt this to be the more appropriate place for them.</w:t>
      </w:r>
    </w:p>
    <w:p w:rsidR="002C13A6" w:rsidRDefault="00996B55" w:rsidP="00251AD0">
      <w:pPr>
        <w:pStyle w:val="H1G"/>
        <w:rPr>
          <w:bCs/>
          <w:lang w:val="en-US"/>
        </w:rPr>
      </w:pPr>
      <w:r>
        <w:tab/>
      </w:r>
      <w:r>
        <w:tab/>
      </w:r>
      <w:r w:rsidR="002C13A6" w:rsidRPr="00060080">
        <w:t>Consideration of proposal to the UN Sub-Committee related to exception for beverages, foods, medicines and cosmetics containing ethyl alcohol mixtures</w:t>
      </w:r>
      <w:r w:rsidR="002C13A6">
        <w:rPr>
          <w:bCs/>
          <w:lang w:val="en-US"/>
        </w:rPr>
        <w:t xml:space="preserve"> </w:t>
      </w:r>
    </w:p>
    <w:p w:rsidR="002C13A6" w:rsidRPr="0033078E" w:rsidRDefault="00E458B0" w:rsidP="00690DEA">
      <w:pPr>
        <w:pStyle w:val="SingleTxtG"/>
      </w:pPr>
      <w:r>
        <w:t>5.</w:t>
      </w:r>
      <w:r>
        <w:tab/>
      </w:r>
      <w:r w:rsidR="002C13A6" w:rsidRPr="0033078E">
        <w:t xml:space="preserve">DGP/25 did not support the proposal contained in ST/SG/AC.10/C.3/2015/45 which would except </w:t>
      </w:r>
      <w:r w:rsidR="0033078E" w:rsidRPr="0033078E">
        <w:t xml:space="preserve">from regulation </w:t>
      </w:r>
      <w:r w:rsidR="002C13A6">
        <w:t xml:space="preserve">beverages, foods, medicines and cosmetics containing ethyl alcohol mixtures classified as Packing Group II or III flammable liquids when in </w:t>
      </w:r>
      <w:proofErr w:type="spellStart"/>
      <w:r w:rsidR="002C13A6">
        <w:t>packagings</w:t>
      </w:r>
      <w:proofErr w:type="spellEnd"/>
      <w:r w:rsidR="002C13A6">
        <w:t xml:space="preserve"> suitable for retail sale or pharmaceutical distribution</w:t>
      </w:r>
      <w:r w:rsidR="0033078E">
        <w:t xml:space="preserve">. The panel did not see justification for the </w:t>
      </w:r>
      <w:r w:rsidR="00690DEA">
        <w:t>proposal</w:t>
      </w:r>
      <w:r w:rsidR="0033078E">
        <w:t>, noting that exceptions were not provided for other flammable liquids subject to full regulation which were less flammable than the goods the proposed exceptions appl</w:t>
      </w:r>
      <w:r w:rsidR="006A7886">
        <w:t>ied</w:t>
      </w:r>
      <w:r w:rsidR="0033078E">
        <w:t xml:space="preserve"> to.</w:t>
      </w:r>
    </w:p>
    <w:p w:rsidR="0033078E" w:rsidRPr="00060080" w:rsidRDefault="00060080" w:rsidP="00251AD0">
      <w:pPr>
        <w:pStyle w:val="H1G"/>
        <w:rPr>
          <w:lang w:val="en-US"/>
        </w:rPr>
      </w:pPr>
      <w:r w:rsidRPr="00060080">
        <w:rPr>
          <w:lang w:val="en-US"/>
        </w:rPr>
        <w:tab/>
      </w:r>
      <w:r w:rsidRPr="00060080">
        <w:rPr>
          <w:lang w:val="en-US"/>
        </w:rPr>
        <w:tab/>
      </w:r>
      <w:r w:rsidR="0033078E" w:rsidRPr="00060080">
        <w:rPr>
          <w:lang w:val="en-US"/>
        </w:rPr>
        <w:t xml:space="preserve">Additional restrictions on the </w:t>
      </w:r>
      <w:r w:rsidR="0033078E" w:rsidRPr="00060080">
        <w:t>transport</w:t>
      </w:r>
      <w:r w:rsidR="0033078E" w:rsidRPr="00060080">
        <w:rPr>
          <w:lang w:val="en-US"/>
        </w:rPr>
        <w:t xml:space="preserve"> by air of lithium batteries</w:t>
      </w:r>
    </w:p>
    <w:p w:rsidR="00F67CA6" w:rsidRDefault="00060080" w:rsidP="00E458B0">
      <w:pPr>
        <w:pStyle w:val="SingleTxtG"/>
        <w:ind w:left="1138" w:right="1138"/>
        <w:rPr>
          <w:rFonts w:cs="Arial"/>
          <w:bCs/>
          <w:szCs w:val="17"/>
        </w:rPr>
      </w:pPr>
      <w:r>
        <w:rPr>
          <w:lang w:val="en-US"/>
        </w:rPr>
        <w:t>6.</w:t>
      </w:r>
      <w:r>
        <w:rPr>
          <w:lang w:val="en-US"/>
        </w:rPr>
        <w:tab/>
      </w:r>
      <w:r w:rsidR="0006667B">
        <w:rPr>
          <w:lang w:val="en-US"/>
        </w:rPr>
        <w:t xml:space="preserve">Lengthy discussions </w:t>
      </w:r>
      <w:r w:rsidR="00EC1214">
        <w:rPr>
          <w:lang w:val="en-US"/>
        </w:rPr>
        <w:t xml:space="preserve">took place </w:t>
      </w:r>
      <w:r w:rsidR="0006667B">
        <w:rPr>
          <w:lang w:val="en-US"/>
        </w:rPr>
        <w:t>on proposal</w:t>
      </w:r>
      <w:r w:rsidR="00C46F02">
        <w:rPr>
          <w:lang w:val="en-US"/>
        </w:rPr>
        <w:t>s</w:t>
      </w:r>
      <w:r w:rsidR="0006667B">
        <w:rPr>
          <w:lang w:val="en-US"/>
        </w:rPr>
        <w:t xml:space="preserve"> to prohibit the transport of lithium ion batteries on passenger aircraft and </w:t>
      </w:r>
      <w:r w:rsidR="006A7886">
        <w:rPr>
          <w:lang w:val="en-US"/>
        </w:rPr>
        <w:t xml:space="preserve">to </w:t>
      </w:r>
      <w:r w:rsidR="0006667B">
        <w:rPr>
          <w:lang w:val="en-US"/>
        </w:rPr>
        <w:t xml:space="preserve">eliminate exceptions for small quantities of lithium batteries provided in Section II of Packing Instructions 965 </w:t>
      </w:r>
      <w:r w:rsidR="006A7886">
        <w:rPr>
          <w:lang w:val="en-US"/>
        </w:rPr>
        <w:t>(</w:t>
      </w:r>
      <w:r w:rsidR="0006667B" w:rsidRPr="00931FD9">
        <w:rPr>
          <w:rFonts w:cs="Arial"/>
          <w:bCs/>
          <w:szCs w:val="17"/>
        </w:rPr>
        <w:t>UN 3480</w:t>
      </w:r>
      <w:r w:rsidR="006A7886">
        <w:rPr>
          <w:rFonts w:cs="Arial"/>
          <w:bCs/>
          <w:szCs w:val="17"/>
        </w:rPr>
        <w:t>)</w:t>
      </w:r>
      <w:r w:rsidR="0006667B">
        <w:rPr>
          <w:lang w:val="en-US"/>
        </w:rPr>
        <w:t xml:space="preserve"> and 968 </w:t>
      </w:r>
      <w:r w:rsidR="006A7886">
        <w:rPr>
          <w:lang w:val="en-US"/>
        </w:rPr>
        <w:t>(</w:t>
      </w:r>
      <w:r w:rsidR="0006667B" w:rsidRPr="00931FD9">
        <w:rPr>
          <w:rFonts w:cs="Arial"/>
          <w:bCs/>
          <w:szCs w:val="17"/>
        </w:rPr>
        <w:t>UN 3090</w:t>
      </w:r>
      <w:r w:rsidR="006A7886">
        <w:rPr>
          <w:rFonts w:cs="Arial"/>
          <w:bCs/>
          <w:szCs w:val="17"/>
        </w:rPr>
        <w:t>)</w:t>
      </w:r>
      <w:r w:rsidR="0006667B">
        <w:rPr>
          <w:rFonts w:cs="Arial"/>
          <w:bCs/>
          <w:szCs w:val="17"/>
        </w:rPr>
        <w:t xml:space="preserve">. </w:t>
      </w:r>
      <w:r w:rsidR="00C46F02">
        <w:rPr>
          <w:rFonts w:cs="Arial"/>
          <w:bCs/>
          <w:szCs w:val="17"/>
        </w:rPr>
        <w:t>The need for the amendments was prompted by testing at the Federal Aviation Administration (FAA</w:t>
      </w:r>
      <w:r w:rsidR="00C46F02" w:rsidRPr="00C46F02">
        <w:t>)</w:t>
      </w:r>
      <w:r w:rsidR="00C46F02">
        <w:t xml:space="preserve"> William J. Hughes Technical </w:t>
      </w:r>
      <w:proofErr w:type="spellStart"/>
      <w:r w:rsidR="00C46F02">
        <w:t>Center</w:t>
      </w:r>
      <w:proofErr w:type="spellEnd"/>
      <w:r w:rsidR="00C46F02">
        <w:t xml:space="preserve"> that identified current aircraft cargo compartment fire suppression systems were unable to suppress or extinguish a fire involving significant quantities of lithium ion batteries.</w:t>
      </w:r>
      <w:r w:rsidR="00C46F02">
        <w:rPr>
          <w:rFonts w:cs="Arial"/>
          <w:bCs/>
          <w:szCs w:val="17"/>
        </w:rPr>
        <w:t xml:space="preserve"> This information led </w:t>
      </w:r>
      <w:r w:rsidR="00040E21">
        <w:rPr>
          <w:rFonts w:cs="Arial"/>
          <w:bCs/>
          <w:szCs w:val="17"/>
        </w:rPr>
        <w:t xml:space="preserve">three </w:t>
      </w:r>
      <w:r w:rsidR="00C46F02">
        <w:rPr>
          <w:rFonts w:cs="Arial"/>
          <w:bCs/>
          <w:szCs w:val="17"/>
        </w:rPr>
        <w:t xml:space="preserve">major airframe manufacturers to issue notices to </w:t>
      </w:r>
      <w:r w:rsidR="00BD44F1">
        <w:rPr>
          <w:rFonts w:cs="Arial"/>
          <w:bCs/>
          <w:szCs w:val="17"/>
        </w:rPr>
        <w:t xml:space="preserve">aircraft </w:t>
      </w:r>
      <w:r w:rsidR="00C46F02">
        <w:rPr>
          <w:rFonts w:cs="Arial"/>
          <w:bCs/>
          <w:szCs w:val="17"/>
        </w:rPr>
        <w:t>operators warning them of these risks and supporting a prohibition on the carriage of high-density packag</w:t>
      </w:r>
      <w:r w:rsidR="00BD44F1">
        <w:rPr>
          <w:rFonts w:cs="Arial"/>
          <w:bCs/>
          <w:szCs w:val="17"/>
        </w:rPr>
        <w:t>es</w:t>
      </w:r>
      <w:r w:rsidR="00C46F02">
        <w:rPr>
          <w:rFonts w:cs="Arial"/>
          <w:bCs/>
          <w:szCs w:val="17"/>
        </w:rPr>
        <w:t xml:space="preserve"> of lithium ion batteries on passenger aircraft until such time as safer methods of transport were implemented. High-level performance standards were </w:t>
      </w:r>
      <w:r w:rsidR="00BD44F1">
        <w:rPr>
          <w:rFonts w:cs="Arial"/>
          <w:bCs/>
          <w:szCs w:val="17"/>
        </w:rPr>
        <w:t xml:space="preserve">subsequently </w:t>
      </w:r>
      <w:r w:rsidR="00C46F02">
        <w:rPr>
          <w:rFonts w:cs="Arial"/>
          <w:bCs/>
          <w:szCs w:val="17"/>
        </w:rPr>
        <w:t>developed by an ICAO multidisciplinary lithium battery transport meeting which an external standard</w:t>
      </w:r>
      <w:r w:rsidR="00A52C53">
        <w:rPr>
          <w:rFonts w:cs="Arial"/>
          <w:bCs/>
          <w:szCs w:val="17"/>
        </w:rPr>
        <w:t>-</w:t>
      </w:r>
      <w:r w:rsidR="00C46F02">
        <w:rPr>
          <w:rFonts w:cs="Arial"/>
          <w:bCs/>
          <w:szCs w:val="17"/>
        </w:rPr>
        <w:t xml:space="preserve">setting body will use as a basis for </w:t>
      </w:r>
      <w:r w:rsidR="00A52C53">
        <w:rPr>
          <w:rFonts w:cs="Arial"/>
          <w:bCs/>
          <w:szCs w:val="17"/>
        </w:rPr>
        <w:t xml:space="preserve">the </w:t>
      </w:r>
      <w:r w:rsidR="00C46F02">
        <w:rPr>
          <w:rFonts w:cs="Arial"/>
          <w:bCs/>
          <w:szCs w:val="17"/>
        </w:rPr>
        <w:t xml:space="preserve">development of detailed standards. </w:t>
      </w:r>
      <w:r w:rsidR="00040E21">
        <w:rPr>
          <w:rFonts w:cs="Arial"/>
          <w:bCs/>
          <w:szCs w:val="17"/>
        </w:rPr>
        <w:t xml:space="preserve">It has been recommended that until these standards are developed and implemented, </w:t>
      </w:r>
      <w:r w:rsidR="00BD44F1">
        <w:rPr>
          <w:rFonts w:cs="Arial"/>
          <w:bCs/>
          <w:szCs w:val="17"/>
        </w:rPr>
        <w:t xml:space="preserve">aircraft </w:t>
      </w:r>
      <w:r w:rsidR="00040E21">
        <w:rPr>
          <w:rFonts w:cs="Arial"/>
          <w:bCs/>
          <w:szCs w:val="17"/>
        </w:rPr>
        <w:t xml:space="preserve">operators who wish to transport lithium batteries should conduct safety risk assessments before choosing to do so. An effective safety risk assessment would require the operator to be aware of the quantities and types of lithium batteries being transported, </w:t>
      </w:r>
      <w:r w:rsidR="00BD44F1">
        <w:rPr>
          <w:rFonts w:cs="Arial"/>
          <w:bCs/>
          <w:szCs w:val="17"/>
        </w:rPr>
        <w:t>but this knowledge cannot be practically obtained throughout the air transport process for Section II batteries</w:t>
      </w:r>
      <w:r w:rsidR="00F67CA6">
        <w:rPr>
          <w:rFonts w:cs="Arial"/>
          <w:bCs/>
          <w:szCs w:val="17"/>
        </w:rPr>
        <w:t xml:space="preserve"> which was the reason for the proposal to eliminate Section II.</w:t>
      </w:r>
    </w:p>
    <w:p w:rsidR="00BD44F1" w:rsidRDefault="00060080" w:rsidP="00935232">
      <w:pPr>
        <w:pStyle w:val="SingleTxtG"/>
        <w:keepNext/>
        <w:ind w:left="1138" w:right="1138"/>
        <w:rPr>
          <w:rFonts w:cs="Arial"/>
          <w:bCs/>
          <w:szCs w:val="17"/>
        </w:rPr>
      </w:pPr>
      <w:r>
        <w:rPr>
          <w:rFonts w:cs="Arial"/>
          <w:bCs/>
          <w:szCs w:val="17"/>
        </w:rPr>
        <w:lastRenderedPageBreak/>
        <w:t>7.</w:t>
      </w:r>
      <w:r>
        <w:rPr>
          <w:rFonts w:cs="Arial"/>
          <w:bCs/>
          <w:szCs w:val="17"/>
        </w:rPr>
        <w:tab/>
      </w:r>
      <w:r w:rsidR="00935232">
        <w:rPr>
          <w:rFonts w:cs="Arial"/>
          <w:bCs/>
          <w:szCs w:val="17"/>
        </w:rPr>
        <w:t xml:space="preserve">Although several panel members supported a ban and the elimination of Section II, </w:t>
      </w:r>
      <w:r w:rsidR="006A7886">
        <w:rPr>
          <w:rFonts w:cs="Arial"/>
          <w:bCs/>
          <w:szCs w:val="17"/>
        </w:rPr>
        <w:t xml:space="preserve">the majority </w:t>
      </w:r>
      <w:r w:rsidR="0006667B">
        <w:rPr>
          <w:rFonts w:cs="Arial"/>
          <w:bCs/>
          <w:szCs w:val="17"/>
        </w:rPr>
        <w:t xml:space="preserve">believed </w:t>
      </w:r>
      <w:r w:rsidR="00733D54">
        <w:rPr>
          <w:rFonts w:cs="Arial"/>
          <w:bCs/>
          <w:szCs w:val="17"/>
        </w:rPr>
        <w:t xml:space="preserve">alternative mitigating measures </w:t>
      </w:r>
      <w:r w:rsidR="00BD44F1">
        <w:rPr>
          <w:rFonts w:cs="Arial"/>
          <w:bCs/>
          <w:szCs w:val="17"/>
        </w:rPr>
        <w:t xml:space="preserve">would bring risks to an acceptable level and </w:t>
      </w:r>
      <w:r w:rsidR="00733D54">
        <w:rPr>
          <w:rFonts w:cs="Arial"/>
          <w:bCs/>
          <w:szCs w:val="17"/>
        </w:rPr>
        <w:t>would not have the detrimental effect to world-wide demand and commerce</w:t>
      </w:r>
      <w:r w:rsidR="006A7886">
        <w:rPr>
          <w:rFonts w:cs="Arial"/>
          <w:bCs/>
          <w:szCs w:val="17"/>
        </w:rPr>
        <w:t xml:space="preserve"> </w:t>
      </w:r>
      <w:r w:rsidR="00BD44F1">
        <w:rPr>
          <w:rFonts w:cs="Arial"/>
          <w:bCs/>
          <w:szCs w:val="17"/>
        </w:rPr>
        <w:t xml:space="preserve">a ban </w:t>
      </w:r>
      <w:r w:rsidR="006A7886">
        <w:rPr>
          <w:rFonts w:cs="Arial"/>
          <w:bCs/>
          <w:szCs w:val="17"/>
        </w:rPr>
        <w:t>would have.</w:t>
      </w:r>
      <w:r w:rsidR="00733D54">
        <w:rPr>
          <w:rFonts w:cs="Arial"/>
          <w:bCs/>
          <w:szCs w:val="17"/>
        </w:rPr>
        <w:t xml:space="preserve"> The</w:t>
      </w:r>
      <w:r w:rsidR="00935232">
        <w:rPr>
          <w:rFonts w:cs="Arial"/>
          <w:bCs/>
          <w:szCs w:val="17"/>
        </w:rPr>
        <w:t>se members</w:t>
      </w:r>
      <w:r w:rsidR="006A7886">
        <w:rPr>
          <w:rFonts w:cs="Arial"/>
          <w:bCs/>
          <w:szCs w:val="17"/>
        </w:rPr>
        <w:t xml:space="preserve"> </w:t>
      </w:r>
      <w:r w:rsidR="00733D54">
        <w:rPr>
          <w:rFonts w:cs="Arial"/>
          <w:bCs/>
          <w:szCs w:val="17"/>
        </w:rPr>
        <w:t xml:space="preserve">also believed </w:t>
      </w:r>
      <w:r w:rsidR="00935232">
        <w:rPr>
          <w:rFonts w:cs="Arial"/>
          <w:bCs/>
          <w:szCs w:val="17"/>
        </w:rPr>
        <w:t xml:space="preserve">that </w:t>
      </w:r>
      <w:r w:rsidR="00BD44F1">
        <w:rPr>
          <w:rFonts w:cs="Arial"/>
          <w:bCs/>
          <w:szCs w:val="17"/>
        </w:rPr>
        <w:t xml:space="preserve">a ban and elimination of Section II </w:t>
      </w:r>
      <w:r w:rsidR="00733D54">
        <w:rPr>
          <w:rFonts w:cs="Arial"/>
          <w:bCs/>
          <w:szCs w:val="17"/>
        </w:rPr>
        <w:t>would result in an increase in undeclared shipments.</w:t>
      </w:r>
    </w:p>
    <w:p w:rsidR="0033078E" w:rsidRDefault="00060080" w:rsidP="00BD44F1">
      <w:pPr>
        <w:pStyle w:val="SingleTxtG"/>
        <w:keepNext/>
        <w:ind w:left="1138" w:right="1138"/>
        <w:rPr>
          <w:lang w:val="en-US"/>
        </w:rPr>
      </w:pPr>
      <w:r>
        <w:rPr>
          <w:rFonts w:cs="Arial"/>
          <w:bCs/>
          <w:szCs w:val="17"/>
        </w:rPr>
        <w:t>8.</w:t>
      </w:r>
      <w:r>
        <w:rPr>
          <w:rFonts w:cs="Arial"/>
          <w:bCs/>
          <w:szCs w:val="17"/>
        </w:rPr>
        <w:tab/>
      </w:r>
      <w:r w:rsidR="00FD25C7">
        <w:rPr>
          <w:rFonts w:cs="Arial"/>
          <w:bCs/>
          <w:szCs w:val="17"/>
        </w:rPr>
        <w:t xml:space="preserve">The following </w:t>
      </w:r>
      <w:r w:rsidR="0033078E">
        <w:rPr>
          <w:lang w:val="en-US"/>
        </w:rPr>
        <w:t>additional restrictions on the transport by air of lithium batteries</w:t>
      </w:r>
      <w:r w:rsidR="00FD25C7">
        <w:rPr>
          <w:lang w:val="en-US"/>
        </w:rPr>
        <w:t xml:space="preserve"> were agreed</w:t>
      </w:r>
      <w:r w:rsidR="0033078E">
        <w:rPr>
          <w:lang w:val="en-US"/>
        </w:rPr>
        <w:t>:</w:t>
      </w:r>
    </w:p>
    <w:p w:rsidR="0033078E" w:rsidRPr="0033078E" w:rsidRDefault="00251AD0" w:rsidP="00060080">
      <w:pPr>
        <w:pStyle w:val="SingleTxtG"/>
        <w:keepNext/>
        <w:ind w:left="2061" w:right="1138" w:hanging="360"/>
        <w:rPr>
          <w:lang w:val="en-US"/>
        </w:rPr>
      </w:pPr>
      <w:r>
        <w:rPr>
          <w:lang w:val="en-US"/>
        </w:rPr>
        <w:t>(</w:t>
      </w:r>
      <w:r w:rsidR="0033078E">
        <w:rPr>
          <w:lang w:val="en-US"/>
        </w:rPr>
        <w:t>a)</w:t>
      </w:r>
      <w:r w:rsidR="0033078E">
        <w:rPr>
          <w:lang w:val="en-US"/>
        </w:rPr>
        <w:tab/>
      </w:r>
      <w:r>
        <w:rPr>
          <w:lang w:val="en-US"/>
        </w:rPr>
        <w:t>R</w:t>
      </w:r>
      <w:r w:rsidR="0033078E" w:rsidRPr="0033078E">
        <w:rPr>
          <w:lang w:val="en-US"/>
        </w:rPr>
        <w:t>equiring all lithium ion batteries to be shipped at a 30 per cent state of charge;</w:t>
      </w:r>
    </w:p>
    <w:p w:rsidR="0033078E" w:rsidRPr="0033078E" w:rsidRDefault="00251AD0" w:rsidP="00935232">
      <w:pPr>
        <w:pStyle w:val="SingleTxtG"/>
        <w:keepNext/>
        <w:ind w:left="2061" w:right="1138" w:hanging="360"/>
        <w:rPr>
          <w:lang w:val="en-US"/>
        </w:rPr>
      </w:pPr>
      <w:r>
        <w:rPr>
          <w:lang w:val="en-US"/>
        </w:rPr>
        <w:t>(</w:t>
      </w:r>
      <w:r w:rsidR="0033078E">
        <w:rPr>
          <w:lang w:val="en-US"/>
        </w:rPr>
        <w:t>b)</w:t>
      </w:r>
      <w:r w:rsidR="0033078E">
        <w:rPr>
          <w:lang w:val="en-US"/>
        </w:rPr>
        <w:tab/>
      </w:r>
      <w:r>
        <w:rPr>
          <w:lang w:val="en-US"/>
        </w:rPr>
        <w:t>L</w:t>
      </w:r>
      <w:r w:rsidR="0033078E" w:rsidRPr="0033078E">
        <w:rPr>
          <w:lang w:val="en-US"/>
        </w:rPr>
        <w:t xml:space="preserve">imiting the number of packages </w:t>
      </w:r>
      <w:r w:rsidR="00935232">
        <w:rPr>
          <w:lang w:val="en-US"/>
        </w:rPr>
        <w:t xml:space="preserve">of Section II </w:t>
      </w:r>
      <w:r w:rsidR="0033078E" w:rsidRPr="0033078E">
        <w:rPr>
          <w:lang w:val="en-US"/>
        </w:rPr>
        <w:t>batteries that a shipper could send per consignment to one; and</w:t>
      </w:r>
    </w:p>
    <w:p w:rsidR="0033078E" w:rsidRPr="00060080" w:rsidRDefault="00251AD0" w:rsidP="00935232">
      <w:pPr>
        <w:pStyle w:val="SingleTxtG"/>
        <w:keepNext/>
        <w:ind w:left="2061" w:right="1138" w:hanging="360"/>
        <w:rPr>
          <w:lang w:val="en-US"/>
        </w:rPr>
      </w:pPr>
      <w:r>
        <w:rPr>
          <w:lang w:val="en-US"/>
        </w:rPr>
        <w:t>(c)</w:t>
      </w:r>
      <w:r>
        <w:rPr>
          <w:lang w:val="en-US"/>
        </w:rPr>
        <w:tab/>
        <w:t>L</w:t>
      </w:r>
      <w:r w:rsidR="0033078E" w:rsidRPr="00060080">
        <w:rPr>
          <w:lang w:val="en-US"/>
        </w:rPr>
        <w:t xml:space="preserve">imiting the </w:t>
      </w:r>
      <w:r w:rsidR="0033078E" w:rsidRPr="0033078E">
        <w:rPr>
          <w:lang w:val="en-US"/>
        </w:rPr>
        <w:t>number</w:t>
      </w:r>
      <w:r w:rsidR="0033078E" w:rsidRPr="00060080">
        <w:rPr>
          <w:lang w:val="en-US"/>
        </w:rPr>
        <w:t xml:space="preserve"> of packages containing </w:t>
      </w:r>
      <w:r w:rsidR="00935232">
        <w:rPr>
          <w:lang w:val="en-US"/>
        </w:rPr>
        <w:t>Section II</w:t>
      </w:r>
      <w:r w:rsidR="0033078E" w:rsidRPr="00060080">
        <w:rPr>
          <w:lang w:val="en-US"/>
        </w:rPr>
        <w:t xml:space="preserve"> batteries placed in an overpack to one.</w:t>
      </w:r>
    </w:p>
    <w:p w:rsidR="0033078E" w:rsidRDefault="00060080" w:rsidP="00935232">
      <w:pPr>
        <w:pStyle w:val="SingleTxtG"/>
        <w:keepNext/>
        <w:ind w:left="1138" w:right="1138"/>
        <w:rPr>
          <w:lang w:val="en-US"/>
        </w:rPr>
      </w:pPr>
      <w:r>
        <w:rPr>
          <w:lang w:val="en-US"/>
        </w:rPr>
        <w:t>9.</w:t>
      </w:r>
      <w:r>
        <w:rPr>
          <w:lang w:val="en-US"/>
        </w:rPr>
        <w:tab/>
      </w:r>
      <w:r w:rsidR="0033078E">
        <w:rPr>
          <w:lang w:val="en-US"/>
        </w:rPr>
        <w:t>The amendments apply to both fully r</w:t>
      </w:r>
      <w:r w:rsidR="0006667B">
        <w:rPr>
          <w:lang w:val="en-US"/>
        </w:rPr>
        <w:t>egulated and excepted batteries on passenger and cargo aircraft.</w:t>
      </w:r>
      <w:r w:rsidR="00FD25C7">
        <w:rPr>
          <w:lang w:val="en-US"/>
        </w:rPr>
        <w:t xml:space="preserve"> Although not all panel members agreed that the additional measures would provide an acceptable level of safety for air transport, all agreed that they provided a significant improvement and should be incorporated in the current edition of the Technical Instructions </w:t>
      </w:r>
      <w:r w:rsidR="00935232">
        <w:rPr>
          <w:lang w:val="en-US"/>
        </w:rPr>
        <w:t xml:space="preserve">by way of an addendum. Panel members recommended an </w:t>
      </w:r>
      <w:r w:rsidR="00FD25C7">
        <w:rPr>
          <w:lang w:val="en-US"/>
        </w:rPr>
        <w:t xml:space="preserve">implementation date </w:t>
      </w:r>
      <w:r w:rsidR="00935232">
        <w:rPr>
          <w:lang w:val="en-US"/>
        </w:rPr>
        <w:t xml:space="preserve">of </w:t>
      </w:r>
      <w:r w:rsidR="00FD25C7">
        <w:rPr>
          <w:lang w:val="en-US"/>
        </w:rPr>
        <w:t xml:space="preserve">90 days after Council </w:t>
      </w:r>
      <w:r w:rsidR="00935232">
        <w:rPr>
          <w:lang w:val="en-US"/>
        </w:rPr>
        <w:t xml:space="preserve">approval </w:t>
      </w:r>
      <w:r w:rsidR="00FD25C7">
        <w:rPr>
          <w:lang w:val="en-US"/>
        </w:rPr>
        <w:t>but not later than 1 April 2016. The addendum is currently being processed through ICAO’s governing bodies through an accelerated amendment process.</w:t>
      </w:r>
    </w:p>
    <w:p w:rsidR="00F67CA6" w:rsidRDefault="00060080" w:rsidP="00F67CA6">
      <w:pPr>
        <w:pStyle w:val="SingleTxtG"/>
        <w:keepNext/>
        <w:ind w:left="1138" w:right="1138"/>
        <w:rPr>
          <w:lang w:val="en-US"/>
        </w:rPr>
      </w:pPr>
      <w:r>
        <w:rPr>
          <w:rFonts w:cs="Arial"/>
          <w:bCs/>
          <w:szCs w:val="17"/>
        </w:rPr>
        <w:t>10.</w:t>
      </w:r>
      <w:r>
        <w:rPr>
          <w:rFonts w:cs="Arial"/>
          <w:bCs/>
          <w:szCs w:val="17"/>
        </w:rPr>
        <w:tab/>
      </w:r>
      <w:r w:rsidR="00F67CA6">
        <w:rPr>
          <w:rFonts w:cs="Arial"/>
          <w:bCs/>
          <w:szCs w:val="17"/>
        </w:rPr>
        <w:t xml:space="preserve">The details of the discussion on the transport of lithium batteries by air </w:t>
      </w:r>
      <w:proofErr w:type="gramStart"/>
      <w:r w:rsidR="00F67CA6">
        <w:rPr>
          <w:rFonts w:cs="Arial"/>
          <w:bCs/>
          <w:szCs w:val="17"/>
        </w:rPr>
        <w:t>is</w:t>
      </w:r>
      <w:proofErr w:type="gramEnd"/>
      <w:r w:rsidR="00F67CA6">
        <w:rPr>
          <w:rFonts w:cs="Arial"/>
          <w:bCs/>
          <w:szCs w:val="17"/>
        </w:rPr>
        <w:t xml:space="preserve"> provided under Agenda Item 5 of the DGP/25 Report (</w:t>
      </w:r>
      <w:hyperlink r:id="rId10" w:history="1">
        <w:r w:rsidR="00F67CA6" w:rsidRPr="00E8195A">
          <w:rPr>
            <w:rStyle w:val="Hyperlink"/>
            <w:rFonts w:cs="Arial"/>
            <w:bCs/>
            <w:szCs w:val="17"/>
          </w:rPr>
          <w:t>http://www.icao.int/safety/DangerousGoods/</w:t>
        </w:r>
        <w:r w:rsidR="00F67CA6" w:rsidRPr="00E8195A">
          <w:rPr>
            <w:rStyle w:val="Hyperlink"/>
            <w:rFonts w:cs="Arial"/>
            <w:bCs/>
            <w:szCs w:val="17"/>
          </w:rPr>
          <w:br/>
          <w:t>Pages/DGP25.aspx</w:t>
        </w:r>
      </w:hyperlink>
      <w:r w:rsidR="00F67CA6">
        <w:rPr>
          <w:rFonts w:cs="Arial"/>
          <w:bCs/>
          <w:szCs w:val="17"/>
        </w:rPr>
        <w:t>).</w:t>
      </w:r>
    </w:p>
    <w:p w:rsidR="00957678" w:rsidRPr="00060080" w:rsidRDefault="00060080" w:rsidP="00251AD0">
      <w:pPr>
        <w:pStyle w:val="H1G"/>
        <w:rPr>
          <w:lang w:val="en-US"/>
        </w:rPr>
      </w:pPr>
      <w:r>
        <w:rPr>
          <w:lang w:val="en-US"/>
        </w:rPr>
        <w:tab/>
      </w:r>
      <w:r>
        <w:rPr>
          <w:lang w:val="en-US"/>
        </w:rPr>
        <w:tab/>
      </w:r>
      <w:r w:rsidR="00957678" w:rsidRPr="00060080">
        <w:rPr>
          <w:lang w:val="en-US"/>
        </w:rPr>
        <w:t>Revised training provisions</w:t>
      </w:r>
    </w:p>
    <w:p w:rsidR="001D3309" w:rsidRDefault="00060080" w:rsidP="00941FF1">
      <w:pPr>
        <w:pStyle w:val="SingleTxtG"/>
        <w:rPr>
          <w:iCs/>
        </w:rPr>
      </w:pPr>
      <w:r>
        <w:t>11.</w:t>
      </w:r>
      <w:r>
        <w:tab/>
      </w:r>
      <w:r w:rsidR="00957678" w:rsidRPr="00F67CA6">
        <w:t xml:space="preserve">Significant revisions to the dangerous goods training provisions have been developed for inclusion as an attachment to the 2017-2018 Edition of the Technical Instructions </w:t>
      </w:r>
      <w:r w:rsidR="005240B4" w:rsidRPr="00F67CA6">
        <w:t xml:space="preserve">for the purpose of review and feedback from States and industry. </w:t>
      </w:r>
      <w:r w:rsidR="001D3309">
        <w:rPr>
          <w:iCs/>
        </w:rPr>
        <w:t xml:space="preserve">Guidance material to support the revised training requirements was also developed for permanent inclusion in an attachment to the Technical Instructions. </w:t>
      </w:r>
      <w:r w:rsidR="00F67CA6" w:rsidRPr="00F67CA6">
        <w:t xml:space="preserve">The revisions were made </w:t>
      </w:r>
      <w:r w:rsidR="001D3309">
        <w:t xml:space="preserve">in order </w:t>
      </w:r>
      <w:r w:rsidR="00F67CA6" w:rsidRPr="00F67CA6">
        <w:t>to align dangerous goods by air training requirements with training requirements for other aviation disciplines</w:t>
      </w:r>
      <w:r w:rsidR="001D3309">
        <w:t xml:space="preserve"> </w:t>
      </w:r>
      <w:r w:rsidR="001D3309">
        <w:rPr>
          <w:iCs/>
        </w:rPr>
        <w:t xml:space="preserve">which </w:t>
      </w:r>
      <w:r w:rsidR="00941FF1">
        <w:rPr>
          <w:iCs/>
        </w:rPr>
        <w:t xml:space="preserve">that </w:t>
      </w:r>
      <w:r w:rsidR="001D3309">
        <w:rPr>
          <w:iCs/>
        </w:rPr>
        <w:t xml:space="preserve">on a competency-based approach to training. </w:t>
      </w:r>
    </w:p>
    <w:p w:rsidR="00957678" w:rsidRPr="00F67CA6" w:rsidRDefault="00060080" w:rsidP="00CF29E5">
      <w:pPr>
        <w:pStyle w:val="SingleTxtG"/>
      </w:pPr>
      <w:r>
        <w:t>12.</w:t>
      </w:r>
      <w:r>
        <w:tab/>
      </w:r>
      <w:r w:rsidR="002C13A6" w:rsidRPr="00F67CA6">
        <w:t xml:space="preserve">Once approved by the ICAO Council, the </w:t>
      </w:r>
      <w:r w:rsidR="001D3309">
        <w:t xml:space="preserve">revised training material </w:t>
      </w:r>
      <w:r w:rsidR="002C13A6" w:rsidRPr="00F67CA6">
        <w:t xml:space="preserve">will be provided on the ICAO public website for public consultation. </w:t>
      </w:r>
      <w:r w:rsidR="005240B4" w:rsidRPr="00F67CA6">
        <w:t>If necessary, revisions to the material will be developed by the DGP based on comments received. It is anticipated that the current training requirements will be replaced with the revised provisions in the 2019-2020 Edition. Guidance material will remain in an attachment</w:t>
      </w:r>
      <w:r w:rsidR="002C13A6" w:rsidRPr="00F67CA6">
        <w:t xml:space="preserve"> to the Technical Instructions</w:t>
      </w:r>
      <w:r w:rsidR="005240B4" w:rsidRPr="00F67CA6">
        <w:t>.</w:t>
      </w:r>
    </w:p>
    <w:p w:rsidR="006861C4" w:rsidRPr="00D214CA" w:rsidRDefault="00D214CA" w:rsidP="00D214CA">
      <w:pPr>
        <w:pStyle w:val="SingleTxtG"/>
        <w:spacing w:before="240" w:after="0"/>
        <w:jc w:val="center"/>
        <w:rPr>
          <w:u w:val="single"/>
        </w:rPr>
      </w:pPr>
      <w:r>
        <w:rPr>
          <w:u w:val="single"/>
        </w:rPr>
        <w:tab/>
      </w:r>
      <w:r>
        <w:rPr>
          <w:u w:val="single"/>
        </w:rPr>
        <w:tab/>
      </w:r>
      <w:r>
        <w:rPr>
          <w:u w:val="single"/>
        </w:rPr>
        <w:tab/>
      </w:r>
    </w:p>
    <w:p w:rsidR="006861C4" w:rsidRDefault="006861C4" w:rsidP="006861C4"/>
    <w:sectPr w:rsidR="006861C4" w:rsidSect="00F3171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8" w:rsidRDefault="00503798"/>
  </w:endnote>
  <w:endnote w:type="continuationSeparator" w:id="0">
    <w:p w:rsidR="00503798" w:rsidRDefault="00503798"/>
  </w:endnote>
  <w:endnote w:type="continuationNotice" w:id="1">
    <w:p w:rsidR="00503798" w:rsidRDefault="0050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587799" w:rsidRDefault="00503798">
    <w:pPr>
      <w:pStyle w:val="Footer"/>
      <w:rPr>
        <w:b/>
      </w:rPr>
    </w:pPr>
    <w:r w:rsidRPr="00587799">
      <w:rPr>
        <w:b/>
      </w:rPr>
      <w:fldChar w:fldCharType="begin"/>
    </w:r>
    <w:r w:rsidRPr="00587799">
      <w:rPr>
        <w:b/>
      </w:rPr>
      <w:instrText xml:space="preserve"> PAGE   \* MERGEFORMAT </w:instrText>
    </w:r>
    <w:r w:rsidRPr="00587799">
      <w:rPr>
        <w:b/>
      </w:rPr>
      <w:fldChar w:fldCharType="separate"/>
    </w:r>
    <w:r w:rsidR="00251AD0">
      <w:rPr>
        <w:b/>
        <w:noProof/>
      </w:rPr>
      <w:t>2</w:t>
    </w:r>
    <w:r w:rsidRPr="00587799">
      <w:rPr>
        <w:b/>
        <w:noProof/>
      </w:rPr>
      <w:fldChar w:fldCharType="end"/>
    </w:r>
  </w:p>
  <w:p w:rsidR="00503798" w:rsidRDefault="0050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D352FD" w:rsidRDefault="00503798"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251AD0">
      <w:rPr>
        <w:b/>
        <w:noProof/>
        <w:sz w:val="18"/>
      </w:rPr>
      <w:t>3</w:t>
    </w:r>
    <w:r w:rsidRPr="00D352FD">
      <w:rPr>
        <w:b/>
        <w:sz w:val="18"/>
      </w:rPr>
      <w:fldChar w:fldCharType="end"/>
    </w:r>
  </w:p>
  <w:p w:rsidR="00503798" w:rsidRDefault="00503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798" w:rsidRPr="00D352FD" w:rsidRDefault="005037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8" w:rsidRPr="000B175B" w:rsidRDefault="00503798" w:rsidP="000B175B">
      <w:pPr>
        <w:tabs>
          <w:tab w:val="right" w:pos="2155"/>
        </w:tabs>
        <w:spacing w:after="80"/>
        <w:ind w:left="680"/>
        <w:rPr>
          <w:u w:val="single"/>
        </w:rPr>
      </w:pPr>
      <w:r>
        <w:rPr>
          <w:u w:val="single"/>
        </w:rPr>
        <w:tab/>
      </w:r>
    </w:p>
  </w:footnote>
  <w:footnote w:type="continuationSeparator" w:id="0">
    <w:p w:rsidR="00503798" w:rsidRPr="00FC68B7" w:rsidRDefault="00503798" w:rsidP="00FC68B7">
      <w:pPr>
        <w:tabs>
          <w:tab w:val="left" w:pos="2155"/>
        </w:tabs>
        <w:spacing w:after="80"/>
        <w:ind w:left="680"/>
        <w:rPr>
          <w:u w:val="single"/>
        </w:rPr>
      </w:pPr>
      <w:r>
        <w:rPr>
          <w:u w:val="single"/>
        </w:rPr>
        <w:tab/>
      </w:r>
    </w:p>
  </w:footnote>
  <w:footnote w:type="continuationNotice" w:id="1">
    <w:p w:rsidR="00503798" w:rsidRDefault="00503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251AD0" w:rsidP="0033078E">
    <w:pPr>
      <w:pStyle w:val="Header"/>
    </w:pPr>
    <w:r>
      <w:rPr>
        <w:lang w:val="es-ES"/>
      </w:rPr>
      <w:t>UN/SCETDG/48/INF.40</w:t>
    </w:r>
  </w:p>
  <w:p w:rsidR="00503798" w:rsidRPr="00D214CA" w:rsidRDefault="00503798">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251AD0" w:rsidP="0033078E">
    <w:pPr>
      <w:pStyle w:val="Header"/>
      <w:jc w:val="right"/>
    </w:pPr>
    <w:r>
      <w:rPr>
        <w:lang w:val="es-ES"/>
      </w:rPr>
      <w:t>UN/SCETDG/48/INF.40</w:t>
    </w:r>
  </w:p>
  <w:p w:rsidR="00503798" w:rsidRPr="00D214CA" w:rsidRDefault="00503798"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8">
    <w:nsid w:val="46DF12DC"/>
    <w:multiLevelType w:val="multilevel"/>
    <w:tmpl w:val="79CABB00"/>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2">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4"/>
  </w:num>
  <w:num w:numId="15">
    <w:abstractNumId w:val="27"/>
  </w:num>
  <w:num w:numId="16">
    <w:abstractNumId w:val="16"/>
  </w:num>
  <w:num w:numId="17">
    <w:abstractNumId w:val="25"/>
  </w:num>
  <w:num w:numId="18">
    <w:abstractNumId w:val="33"/>
  </w:num>
  <w:num w:numId="19">
    <w:abstractNumId w:val="20"/>
  </w:num>
  <w:num w:numId="20">
    <w:abstractNumId w:val="22"/>
  </w:num>
  <w:num w:numId="21">
    <w:abstractNumId w:val="31"/>
  </w:num>
  <w:num w:numId="22">
    <w:abstractNumId w:val="17"/>
  </w:num>
  <w:num w:numId="23">
    <w:abstractNumId w:val="28"/>
  </w:num>
  <w:num w:numId="24">
    <w:abstractNumId w:val="14"/>
  </w:num>
  <w:num w:numId="25">
    <w:abstractNumId w:val="30"/>
  </w:num>
  <w:num w:numId="26">
    <w:abstractNumId w:val="29"/>
  </w:num>
  <w:num w:numId="27">
    <w:abstractNumId w:val="32"/>
  </w:num>
  <w:num w:numId="28">
    <w:abstractNumId w:val="26"/>
  </w:num>
  <w:num w:numId="29">
    <w:abstractNumId w:val="19"/>
  </w:num>
  <w:num w:numId="30">
    <w:abstractNumId w:val="15"/>
  </w:num>
  <w:num w:numId="31">
    <w:abstractNumId w:val="12"/>
  </w:num>
  <w:num w:numId="32">
    <w:abstractNumId w:val="11"/>
  </w:num>
  <w:num w:numId="33">
    <w:abstractNumId w:val="18"/>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5256"/>
    <w:rsid w:val="00027110"/>
    <w:rsid w:val="000273EE"/>
    <w:rsid w:val="00027F96"/>
    <w:rsid w:val="00030E15"/>
    <w:rsid w:val="00040E21"/>
    <w:rsid w:val="00050F6B"/>
    <w:rsid w:val="000525D6"/>
    <w:rsid w:val="00060080"/>
    <w:rsid w:val="00064E6C"/>
    <w:rsid w:val="0006667B"/>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7A13"/>
    <w:rsid w:val="000D698F"/>
    <w:rsid w:val="000D700D"/>
    <w:rsid w:val="000E0415"/>
    <w:rsid w:val="000E3CBC"/>
    <w:rsid w:val="000E3E09"/>
    <w:rsid w:val="000E4132"/>
    <w:rsid w:val="000E6FC9"/>
    <w:rsid w:val="000F5DD8"/>
    <w:rsid w:val="000F641A"/>
    <w:rsid w:val="000F7D68"/>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21B1"/>
    <w:rsid w:val="001450B5"/>
    <w:rsid w:val="001500EA"/>
    <w:rsid w:val="0015326E"/>
    <w:rsid w:val="001543A5"/>
    <w:rsid w:val="001633FB"/>
    <w:rsid w:val="0016659E"/>
    <w:rsid w:val="00171FC6"/>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36E1"/>
    <w:rsid w:val="001B4B04"/>
    <w:rsid w:val="001C0A92"/>
    <w:rsid w:val="001C6663"/>
    <w:rsid w:val="001C7895"/>
    <w:rsid w:val="001D26DF"/>
    <w:rsid w:val="001D2FDC"/>
    <w:rsid w:val="001D324A"/>
    <w:rsid w:val="001D3309"/>
    <w:rsid w:val="001D3887"/>
    <w:rsid w:val="001D4B7D"/>
    <w:rsid w:val="001E1608"/>
    <w:rsid w:val="001E1F95"/>
    <w:rsid w:val="001E3689"/>
    <w:rsid w:val="00206125"/>
    <w:rsid w:val="00211E0B"/>
    <w:rsid w:val="0021549E"/>
    <w:rsid w:val="00221BEE"/>
    <w:rsid w:val="00222A65"/>
    <w:rsid w:val="002309A7"/>
    <w:rsid w:val="00231DCE"/>
    <w:rsid w:val="00233C96"/>
    <w:rsid w:val="002344CD"/>
    <w:rsid w:val="00235678"/>
    <w:rsid w:val="00237785"/>
    <w:rsid w:val="00241466"/>
    <w:rsid w:val="002454FD"/>
    <w:rsid w:val="00245DA0"/>
    <w:rsid w:val="00246621"/>
    <w:rsid w:val="00246C32"/>
    <w:rsid w:val="00251AD0"/>
    <w:rsid w:val="0026552D"/>
    <w:rsid w:val="00266C3D"/>
    <w:rsid w:val="002725CA"/>
    <w:rsid w:val="00273219"/>
    <w:rsid w:val="00280105"/>
    <w:rsid w:val="00280EB7"/>
    <w:rsid w:val="00281EDF"/>
    <w:rsid w:val="002A11A8"/>
    <w:rsid w:val="002A1F97"/>
    <w:rsid w:val="002A43E5"/>
    <w:rsid w:val="002A5848"/>
    <w:rsid w:val="002B1CDA"/>
    <w:rsid w:val="002B5B24"/>
    <w:rsid w:val="002C13A6"/>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C0A"/>
    <w:rsid w:val="00302D74"/>
    <w:rsid w:val="00304E20"/>
    <w:rsid w:val="003065AA"/>
    <w:rsid w:val="00307115"/>
    <w:rsid w:val="003073BE"/>
    <w:rsid w:val="003107FA"/>
    <w:rsid w:val="003113A4"/>
    <w:rsid w:val="0031210B"/>
    <w:rsid w:val="0031261E"/>
    <w:rsid w:val="00313AEE"/>
    <w:rsid w:val="00314BF3"/>
    <w:rsid w:val="0031738D"/>
    <w:rsid w:val="003207D1"/>
    <w:rsid w:val="003229D8"/>
    <w:rsid w:val="00324F41"/>
    <w:rsid w:val="00325D96"/>
    <w:rsid w:val="0033078E"/>
    <w:rsid w:val="003310A6"/>
    <w:rsid w:val="003327D8"/>
    <w:rsid w:val="00336D59"/>
    <w:rsid w:val="0034100F"/>
    <w:rsid w:val="00343B80"/>
    <w:rsid w:val="00343C5F"/>
    <w:rsid w:val="00344DB3"/>
    <w:rsid w:val="0035093F"/>
    <w:rsid w:val="0035378F"/>
    <w:rsid w:val="0036086B"/>
    <w:rsid w:val="00361486"/>
    <w:rsid w:val="00362A80"/>
    <w:rsid w:val="0036414B"/>
    <w:rsid w:val="00366F3D"/>
    <w:rsid w:val="0036710F"/>
    <w:rsid w:val="00382BE7"/>
    <w:rsid w:val="0039277A"/>
    <w:rsid w:val="00392B57"/>
    <w:rsid w:val="00394A4A"/>
    <w:rsid w:val="003972E0"/>
    <w:rsid w:val="003977C2"/>
    <w:rsid w:val="003A07E5"/>
    <w:rsid w:val="003A2EEA"/>
    <w:rsid w:val="003B02FF"/>
    <w:rsid w:val="003B109A"/>
    <w:rsid w:val="003C21DB"/>
    <w:rsid w:val="003C2CC4"/>
    <w:rsid w:val="003C323B"/>
    <w:rsid w:val="003C5566"/>
    <w:rsid w:val="003C6103"/>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0DA5"/>
    <w:rsid w:val="00432011"/>
    <w:rsid w:val="004325CB"/>
    <w:rsid w:val="004345E0"/>
    <w:rsid w:val="00437E46"/>
    <w:rsid w:val="00437F3F"/>
    <w:rsid w:val="004420E4"/>
    <w:rsid w:val="00446DE4"/>
    <w:rsid w:val="00447967"/>
    <w:rsid w:val="00452D7D"/>
    <w:rsid w:val="00454036"/>
    <w:rsid w:val="00455263"/>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3798"/>
    <w:rsid w:val="00504E59"/>
    <w:rsid w:val="005054EE"/>
    <w:rsid w:val="00511255"/>
    <w:rsid w:val="005165FE"/>
    <w:rsid w:val="00517A3F"/>
    <w:rsid w:val="00520033"/>
    <w:rsid w:val="005201AE"/>
    <w:rsid w:val="00520847"/>
    <w:rsid w:val="00523059"/>
    <w:rsid w:val="00523965"/>
    <w:rsid w:val="00523D26"/>
    <w:rsid w:val="005240B4"/>
    <w:rsid w:val="0052436D"/>
    <w:rsid w:val="00527910"/>
    <w:rsid w:val="005355FB"/>
    <w:rsid w:val="00537105"/>
    <w:rsid w:val="005420F2"/>
    <w:rsid w:val="0054543E"/>
    <w:rsid w:val="00545561"/>
    <w:rsid w:val="005504CE"/>
    <w:rsid w:val="00557CAC"/>
    <w:rsid w:val="00570BD2"/>
    <w:rsid w:val="00575156"/>
    <w:rsid w:val="0057581A"/>
    <w:rsid w:val="005761C0"/>
    <w:rsid w:val="00576D2F"/>
    <w:rsid w:val="00577FFB"/>
    <w:rsid w:val="00582B84"/>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580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0DEA"/>
    <w:rsid w:val="00692A7A"/>
    <w:rsid w:val="00692BBF"/>
    <w:rsid w:val="00693528"/>
    <w:rsid w:val="00694BDB"/>
    <w:rsid w:val="00694DB9"/>
    <w:rsid w:val="006964E2"/>
    <w:rsid w:val="006A31E7"/>
    <w:rsid w:val="006A4FF4"/>
    <w:rsid w:val="006A7392"/>
    <w:rsid w:val="006A7886"/>
    <w:rsid w:val="006B2614"/>
    <w:rsid w:val="006B54B0"/>
    <w:rsid w:val="006C0D34"/>
    <w:rsid w:val="006C19F2"/>
    <w:rsid w:val="006C7261"/>
    <w:rsid w:val="006C7E11"/>
    <w:rsid w:val="006E4568"/>
    <w:rsid w:val="006E564B"/>
    <w:rsid w:val="006F1AFD"/>
    <w:rsid w:val="006F3E5A"/>
    <w:rsid w:val="00703434"/>
    <w:rsid w:val="00706CF0"/>
    <w:rsid w:val="00713695"/>
    <w:rsid w:val="00714353"/>
    <w:rsid w:val="0071612E"/>
    <w:rsid w:val="007215CA"/>
    <w:rsid w:val="0072632A"/>
    <w:rsid w:val="00731080"/>
    <w:rsid w:val="00733D54"/>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3A50"/>
    <w:rsid w:val="00787151"/>
    <w:rsid w:val="00790791"/>
    <w:rsid w:val="007907C5"/>
    <w:rsid w:val="00790B4D"/>
    <w:rsid w:val="0079308F"/>
    <w:rsid w:val="00796199"/>
    <w:rsid w:val="007979F3"/>
    <w:rsid w:val="007A6660"/>
    <w:rsid w:val="007B20A9"/>
    <w:rsid w:val="007B2AE6"/>
    <w:rsid w:val="007B2B56"/>
    <w:rsid w:val="007B6BA5"/>
    <w:rsid w:val="007C3390"/>
    <w:rsid w:val="007C4F4B"/>
    <w:rsid w:val="007C56D2"/>
    <w:rsid w:val="007C7159"/>
    <w:rsid w:val="007E2266"/>
    <w:rsid w:val="007E25DE"/>
    <w:rsid w:val="007E650F"/>
    <w:rsid w:val="007E7DDA"/>
    <w:rsid w:val="007E7E3F"/>
    <w:rsid w:val="007F2402"/>
    <w:rsid w:val="007F55FD"/>
    <w:rsid w:val="007F6611"/>
    <w:rsid w:val="007F66F9"/>
    <w:rsid w:val="00801547"/>
    <w:rsid w:val="008016A5"/>
    <w:rsid w:val="00801882"/>
    <w:rsid w:val="008028C7"/>
    <w:rsid w:val="008175E9"/>
    <w:rsid w:val="0082011D"/>
    <w:rsid w:val="00820C9B"/>
    <w:rsid w:val="008229C9"/>
    <w:rsid w:val="00823A99"/>
    <w:rsid w:val="008242D7"/>
    <w:rsid w:val="00827667"/>
    <w:rsid w:val="008309A5"/>
    <w:rsid w:val="00832A9A"/>
    <w:rsid w:val="008463F9"/>
    <w:rsid w:val="0085128E"/>
    <w:rsid w:val="008555F2"/>
    <w:rsid w:val="00862825"/>
    <w:rsid w:val="008644B5"/>
    <w:rsid w:val="00871FD5"/>
    <w:rsid w:val="008734C7"/>
    <w:rsid w:val="00873CC0"/>
    <w:rsid w:val="00886778"/>
    <w:rsid w:val="008979B1"/>
    <w:rsid w:val="008A6B25"/>
    <w:rsid w:val="008A6C4F"/>
    <w:rsid w:val="008A7D7C"/>
    <w:rsid w:val="008B57C5"/>
    <w:rsid w:val="008B5AD2"/>
    <w:rsid w:val="008B7671"/>
    <w:rsid w:val="008B7AF9"/>
    <w:rsid w:val="008C07F2"/>
    <w:rsid w:val="008C4BA9"/>
    <w:rsid w:val="008D4349"/>
    <w:rsid w:val="008D7089"/>
    <w:rsid w:val="008D7684"/>
    <w:rsid w:val="008E0E46"/>
    <w:rsid w:val="008F16EF"/>
    <w:rsid w:val="008F3A21"/>
    <w:rsid w:val="008F7198"/>
    <w:rsid w:val="009027C8"/>
    <w:rsid w:val="00905146"/>
    <w:rsid w:val="00915907"/>
    <w:rsid w:val="009203DB"/>
    <w:rsid w:val="00935232"/>
    <w:rsid w:val="009359B7"/>
    <w:rsid w:val="00936083"/>
    <w:rsid w:val="00941FF1"/>
    <w:rsid w:val="0094224B"/>
    <w:rsid w:val="00943370"/>
    <w:rsid w:val="00944344"/>
    <w:rsid w:val="00945A5D"/>
    <w:rsid w:val="0095044B"/>
    <w:rsid w:val="00955D36"/>
    <w:rsid w:val="00957678"/>
    <w:rsid w:val="00960293"/>
    <w:rsid w:val="00962788"/>
    <w:rsid w:val="00963CBA"/>
    <w:rsid w:val="009660D3"/>
    <w:rsid w:val="009667C3"/>
    <w:rsid w:val="00972515"/>
    <w:rsid w:val="00980555"/>
    <w:rsid w:val="00980BA4"/>
    <w:rsid w:val="0099124E"/>
    <w:rsid w:val="00991261"/>
    <w:rsid w:val="00992928"/>
    <w:rsid w:val="00996B55"/>
    <w:rsid w:val="0099739B"/>
    <w:rsid w:val="009A0CCA"/>
    <w:rsid w:val="009A2A17"/>
    <w:rsid w:val="009A41DC"/>
    <w:rsid w:val="009B36B1"/>
    <w:rsid w:val="009C3671"/>
    <w:rsid w:val="009C5E41"/>
    <w:rsid w:val="009C6AA8"/>
    <w:rsid w:val="009D47CE"/>
    <w:rsid w:val="009D49A7"/>
    <w:rsid w:val="009E07F3"/>
    <w:rsid w:val="009E1FFD"/>
    <w:rsid w:val="009E3D2F"/>
    <w:rsid w:val="009F0508"/>
    <w:rsid w:val="009F0F06"/>
    <w:rsid w:val="009F2BD9"/>
    <w:rsid w:val="00A02A90"/>
    <w:rsid w:val="00A11225"/>
    <w:rsid w:val="00A1306F"/>
    <w:rsid w:val="00A1424E"/>
    <w:rsid w:val="00A1427D"/>
    <w:rsid w:val="00A16E62"/>
    <w:rsid w:val="00A23AD3"/>
    <w:rsid w:val="00A243A4"/>
    <w:rsid w:val="00A3644D"/>
    <w:rsid w:val="00A4133A"/>
    <w:rsid w:val="00A4528A"/>
    <w:rsid w:val="00A46900"/>
    <w:rsid w:val="00A523CD"/>
    <w:rsid w:val="00A52C53"/>
    <w:rsid w:val="00A575B7"/>
    <w:rsid w:val="00A650BC"/>
    <w:rsid w:val="00A70FBE"/>
    <w:rsid w:val="00A719BB"/>
    <w:rsid w:val="00A71E9E"/>
    <w:rsid w:val="00A72F22"/>
    <w:rsid w:val="00A748A6"/>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9F6"/>
    <w:rsid w:val="00AE1EFD"/>
    <w:rsid w:val="00AE2E7A"/>
    <w:rsid w:val="00AE737D"/>
    <w:rsid w:val="00AF014B"/>
    <w:rsid w:val="00AF36F5"/>
    <w:rsid w:val="00B10932"/>
    <w:rsid w:val="00B15BBF"/>
    <w:rsid w:val="00B1765A"/>
    <w:rsid w:val="00B30179"/>
    <w:rsid w:val="00B3018A"/>
    <w:rsid w:val="00B326C3"/>
    <w:rsid w:val="00B3317B"/>
    <w:rsid w:val="00B37311"/>
    <w:rsid w:val="00B45F8C"/>
    <w:rsid w:val="00B509EA"/>
    <w:rsid w:val="00B54D63"/>
    <w:rsid w:val="00B62775"/>
    <w:rsid w:val="00B81E12"/>
    <w:rsid w:val="00B86229"/>
    <w:rsid w:val="00B87CDF"/>
    <w:rsid w:val="00B92AE4"/>
    <w:rsid w:val="00B93068"/>
    <w:rsid w:val="00B93A09"/>
    <w:rsid w:val="00BA0B17"/>
    <w:rsid w:val="00BA1C8B"/>
    <w:rsid w:val="00BA270E"/>
    <w:rsid w:val="00BB08BA"/>
    <w:rsid w:val="00BB7EA7"/>
    <w:rsid w:val="00BC03A3"/>
    <w:rsid w:val="00BC1A2E"/>
    <w:rsid w:val="00BC74E9"/>
    <w:rsid w:val="00BD3815"/>
    <w:rsid w:val="00BD44F1"/>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11334"/>
    <w:rsid w:val="00C140EE"/>
    <w:rsid w:val="00C201A3"/>
    <w:rsid w:val="00C26DFA"/>
    <w:rsid w:val="00C27477"/>
    <w:rsid w:val="00C27632"/>
    <w:rsid w:val="00C306AC"/>
    <w:rsid w:val="00C321F7"/>
    <w:rsid w:val="00C3356A"/>
    <w:rsid w:val="00C40934"/>
    <w:rsid w:val="00C429BE"/>
    <w:rsid w:val="00C463DD"/>
    <w:rsid w:val="00C46F02"/>
    <w:rsid w:val="00C502A4"/>
    <w:rsid w:val="00C52F16"/>
    <w:rsid w:val="00C569E3"/>
    <w:rsid w:val="00C62F76"/>
    <w:rsid w:val="00C64167"/>
    <w:rsid w:val="00C67A5F"/>
    <w:rsid w:val="00C70453"/>
    <w:rsid w:val="00C70FF3"/>
    <w:rsid w:val="00C73CF5"/>
    <w:rsid w:val="00C740E4"/>
    <w:rsid w:val="00C745C3"/>
    <w:rsid w:val="00C74F5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40D9"/>
    <w:rsid w:val="00CE4A8F"/>
    <w:rsid w:val="00CE4BDC"/>
    <w:rsid w:val="00CE52F5"/>
    <w:rsid w:val="00CF060E"/>
    <w:rsid w:val="00CF29E5"/>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71F9A"/>
    <w:rsid w:val="00D72550"/>
    <w:rsid w:val="00D753D8"/>
    <w:rsid w:val="00D81B39"/>
    <w:rsid w:val="00D84986"/>
    <w:rsid w:val="00D87F6D"/>
    <w:rsid w:val="00D9252E"/>
    <w:rsid w:val="00D92AA9"/>
    <w:rsid w:val="00D942C2"/>
    <w:rsid w:val="00D96CC5"/>
    <w:rsid w:val="00D978C6"/>
    <w:rsid w:val="00DA67AD"/>
    <w:rsid w:val="00DB2AEF"/>
    <w:rsid w:val="00DB3193"/>
    <w:rsid w:val="00DB71C2"/>
    <w:rsid w:val="00DB7C45"/>
    <w:rsid w:val="00DC0378"/>
    <w:rsid w:val="00DC3E5A"/>
    <w:rsid w:val="00DC6BF2"/>
    <w:rsid w:val="00DC7622"/>
    <w:rsid w:val="00DD217B"/>
    <w:rsid w:val="00DD7BE3"/>
    <w:rsid w:val="00DE0FD9"/>
    <w:rsid w:val="00DE38EC"/>
    <w:rsid w:val="00DE5FB9"/>
    <w:rsid w:val="00DE7C71"/>
    <w:rsid w:val="00DE7E86"/>
    <w:rsid w:val="00DF22D5"/>
    <w:rsid w:val="00DF4C3C"/>
    <w:rsid w:val="00DF5494"/>
    <w:rsid w:val="00E0259F"/>
    <w:rsid w:val="00E04B26"/>
    <w:rsid w:val="00E07CE1"/>
    <w:rsid w:val="00E07FDF"/>
    <w:rsid w:val="00E10DB6"/>
    <w:rsid w:val="00E130AB"/>
    <w:rsid w:val="00E16100"/>
    <w:rsid w:val="00E22448"/>
    <w:rsid w:val="00E25509"/>
    <w:rsid w:val="00E31280"/>
    <w:rsid w:val="00E36AE0"/>
    <w:rsid w:val="00E41514"/>
    <w:rsid w:val="00E42111"/>
    <w:rsid w:val="00E458B0"/>
    <w:rsid w:val="00E45FAF"/>
    <w:rsid w:val="00E464E9"/>
    <w:rsid w:val="00E46B58"/>
    <w:rsid w:val="00E50122"/>
    <w:rsid w:val="00E53D59"/>
    <w:rsid w:val="00E5644E"/>
    <w:rsid w:val="00E60BC4"/>
    <w:rsid w:val="00E611F5"/>
    <w:rsid w:val="00E61BF1"/>
    <w:rsid w:val="00E63066"/>
    <w:rsid w:val="00E7260F"/>
    <w:rsid w:val="00E8449A"/>
    <w:rsid w:val="00E8535A"/>
    <w:rsid w:val="00E8631A"/>
    <w:rsid w:val="00E92C7F"/>
    <w:rsid w:val="00E9395E"/>
    <w:rsid w:val="00E96630"/>
    <w:rsid w:val="00EA6DDC"/>
    <w:rsid w:val="00EA772F"/>
    <w:rsid w:val="00EB2AE2"/>
    <w:rsid w:val="00EB6832"/>
    <w:rsid w:val="00EC04D8"/>
    <w:rsid w:val="00EC1214"/>
    <w:rsid w:val="00ED30E9"/>
    <w:rsid w:val="00ED4C0B"/>
    <w:rsid w:val="00ED6653"/>
    <w:rsid w:val="00ED7772"/>
    <w:rsid w:val="00ED7A2A"/>
    <w:rsid w:val="00EE257F"/>
    <w:rsid w:val="00EE4966"/>
    <w:rsid w:val="00EF1D7F"/>
    <w:rsid w:val="00EF22F4"/>
    <w:rsid w:val="00EF582C"/>
    <w:rsid w:val="00EF5A8D"/>
    <w:rsid w:val="00F0002D"/>
    <w:rsid w:val="00F1272B"/>
    <w:rsid w:val="00F1510E"/>
    <w:rsid w:val="00F15DE4"/>
    <w:rsid w:val="00F173DD"/>
    <w:rsid w:val="00F21597"/>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0373"/>
    <w:rsid w:val="00F63B80"/>
    <w:rsid w:val="00F65530"/>
    <w:rsid w:val="00F6717A"/>
    <w:rsid w:val="00F67CA6"/>
    <w:rsid w:val="00F7751B"/>
    <w:rsid w:val="00F80AB9"/>
    <w:rsid w:val="00F83AF1"/>
    <w:rsid w:val="00F92F8C"/>
    <w:rsid w:val="00F9483C"/>
    <w:rsid w:val="00FA0E39"/>
    <w:rsid w:val="00FA5D55"/>
    <w:rsid w:val="00FA7DFD"/>
    <w:rsid w:val="00FB5F72"/>
    <w:rsid w:val="00FB61D6"/>
    <w:rsid w:val="00FC318E"/>
    <w:rsid w:val="00FC4EFC"/>
    <w:rsid w:val="00FC5F5D"/>
    <w:rsid w:val="00FC68B7"/>
    <w:rsid w:val="00FD0C57"/>
    <w:rsid w:val="00FD104C"/>
    <w:rsid w:val="00FD25C7"/>
    <w:rsid w:val="00FD3402"/>
    <w:rsid w:val="00FD4900"/>
    <w:rsid w:val="00FD50F3"/>
    <w:rsid w:val="00FD6B2B"/>
    <w:rsid w:val="00FD6B94"/>
    <w:rsid w:val="00FD72EC"/>
    <w:rsid w:val="00FE2C16"/>
    <w:rsid w:val="00FF01E5"/>
    <w:rsid w:val="00FF03BB"/>
    <w:rsid w:val="00FF37E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 w:id="19688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cao.int/safety/DangerousGoods/Pages/DGP25.aspx" TargetMode="External"/><Relationship Id="rId4" Type="http://schemas.microsoft.com/office/2007/relationships/stylesWithEffects" Target="stylesWithEffects.xml"/><Relationship Id="rId9" Type="http://schemas.openxmlformats.org/officeDocument/2006/relationships/hyperlink" Target="http://www.icao.int/safety/DangerousGoods/Pages/DGP25.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709D-711B-407F-B7B5-3D184005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2015-11-26T10:23:00Z</cp:lastPrinted>
  <dcterms:created xsi:type="dcterms:W3CDTF">2015-11-26T10:23:00Z</dcterms:created>
  <dcterms:modified xsi:type="dcterms:W3CDTF">2015-11-26T10:26:00Z</dcterms:modified>
</cp:coreProperties>
</file>