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99001C" w:rsidRPr="0099001C" w14:paraId="0D348ACE" w14:textId="77777777" w:rsidTr="008A0563">
        <w:trPr>
          <w:cantSplit/>
          <w:trHeight w:hRule="exact" w:val="113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4E990E82" w14:textId="20DE4035" w:rsidR="00D1270E" w:rsidRDefault="00D1270E" w:rsidP="00EA31E1">
            <w:pPr>
              <w:jc w:val="right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</w:t>
            </w:r>
            <w:r w:rsidRPr="0099001C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48</w:t>
            </w:r>
            <w:r w:rsidRPr="0099001C">
              <w:rPr>
                <w:b/>
                <w:sz w:val="40"/>
                <w:szCs w:val="40"/>
              </w:rPr>
              <w:t>/INF</w:t>
            </w:r>
            <w:r w:rsidR="00B56A66">
              <w:rPr>
                <w:b/>
                <w:sz w:val="40"/>
                <w:szCs w:val="40"/>
              </w:rPr>
              <w:t>.</w:t>
            </w:r>
            <w:r w:rsidR="007826A3">
              <w:rPr>
                <w:b/>
                <w:sz w:val="40"/>
                <w:szCs w:val="40"/>
              </w:rPr>
              <w:t>24</w:t>
            </w:r>
          </w:p>
          <w:p w14:paraId="60CE6C0A" w14:textId="64F5BAC2" w:rsidR="0099001C" w:rsidRDefault="0099001C" w:rsidP="00EA31E1">
            <w:pPr>
              <w:jc w:val="right"/>
              <w:rPr>
                <w:b/>
                <w:color w:val="FF0000"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ED71D9">
              <w:rPr>
                <w:b/>
                <w:sz w:val="40"/>
                <w:szCs w:val="40"/>
              </w:rPr>
              <w:t>30</w:t>
            </w:r>
            <w:r w:rsidRPr="0099001C">
              <w:rPr>
                <w:b/>
                <w:sz w:val="40"/>
                <w:szCs w:val="40"/>
              </w:rPr>
              <w:t>/INF</w:t>
            </w:r>
            <w:r w:rsidR="00B56A66">
              <w:rPr>
                <w:b/>
                <w:sz w:val="40"/>
                <w:szCs w:val="40"/>
              </w:rPr>
              <w:t>.</w:t>
            </w:r>
            <w:r w:rsidR="007826A3">
              <w:rPr>
                <w:b/>
                <w:sz w:val="40"/>
                <w:szCs w:val="40"/>
              </w:rPr>
              <w:t>7</w:t>
            </w:r>
          </w:p>
          <w:p w14:paraId="6A139B2A" w14:textId="77777777" w:rsidR="00D1270E" w:rsidRPr="0099001C" w:rsidRDefault="00D1270E" w:rsidP="00EA31E1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99001C" w14:paraId="0F34FCCE" w14:textId="77777777" w:rsidTr="008A0563">
        <w:trPr>
          <w:cantSplit/>
          <w:trHeight w:hRule="exact" w:val="100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tcMar>
              <w:left w:w="113" w:type="dxa"/>
            </w:tcMar>
          </w:tcPr>
          <w:p w14:paraId="33BDAD92" w14:textId="420A819D" w:rsidR="00A805EB" w:rsidRPr="00691F20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 xml:space="preserve">Committee of Experts on </w:t>
            </w:r>
            <w:r w:rsidR="004A3B0F">
              <w:rPr>
                <w:b/>
                <w:sz w:val="24"/>
                <w:szCs w:val="24"/>
                <w:lang w:val="en-US"/>
              </w:rPr>
              <w:t>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</w:t>
            </w:r>
            <w:r w:rsidR="00145D96">
              <w:rPr>
                <w:b/>
                <w:sz w:val="24"/>
                <w:szCs w:val="24"/>
                <w:lang w:val="en-US"/>
              </w:rPr>
              <w:t>tem of Classification</w:t>
            </w:r>
            <w:r w:rsidR="00145D96">
              <w:rPr>
                <w:b/>
                <w:sz w:val="24"/>
                <w:szCs w:val="24"/>
                <w:lang w:val="en-US"/>
              </w:rPr>
              <w:br/>
              <w:t>and Label</w:t>
            </w:r>
            <w:r w:rsidRPr="00691F20">
              <w:rPr>
                <w:b/>
                <w:sz w:val="24"/>
                <w:szCs w:val="24"/>
                <w:lang w:val="en-US"/>
              </w:rPr>
              <w:t>ing of Chemicals</w:t>
            </w:r>
            <w:r w:rsidR="004A3B0F">
              <w:rPr>
                <w:b/>
                <w:sz w:val="24"/>
                <w:szCs w:val="24"/>
                <w:lang w:val="en-US"/>
              </w:rPr>
              <w:t xml:space="preserve"> </w:t>
            </w:r>
            <w:r w:rsidR="004A3B0F">
              <w:rPr>
                <w:b/>
                <w:sz w:val="24"/>
                <w:szCs w:val="24"/>
                <w:lang w:val="en-US"/>
              </w:rPr>
              <w:tab/>
            </w:r>
            <w:r w:rsidR="004A3B0F">
              <w:rPr>
                <w:b/>
                <w:sz w:val="24"/>
                <w:szCs w:val="24"/>
                <w:lang w:val="en-US"/>
              </w:rPr>
              <w:tab/>
            </w:r>
            <w:r w:rsidR="004A3B0F">
              <w:rPr>
                <w:b/>
                <w:sz w:val="24"/>
                <w:szCs w:val="24"/>
                <w:lang w:val="en-US"/>
              </w:rPr>
              <w:tab/>
            </w:r>
            <w:r w:rsidR="004A3B0F">
              <w:rPr>
                <w:b/>
                <w:sz w:val="24"/>
                <w:szCs w:val="24"/>
                <w:lang w:val="en-US"/>
              </w:rPr>
              <w:tab/>
            </w:r>
            <w:r w:rsidR="004A3B0F">
              <w:rPr>
                <w:b/>
                <w:sz w:val="24"/>
                <w:szCs w:val="24"/>
                <w:lang w:val="en-US"/>
              </w:rPr>
              <w:tab/>
            </w:r>
            <w:r w:rsidR="004A3B0F">
              <w:rPr>
                <w:b/>
                <w:sz w:val="24"/>
                <w:szCs w:val="24"/>
                <w:lang w:val="en-US"/>
              </w:rPr>
              <w:tab/>
            </w:r>
            <w:r w:rsidR="004A3B0F">
              <w:rPr>
                <w:b/>
                <w:sz w:val="24"/>
                <w:szCs w:val="24"/>
                <w:lang w:val="en-US"/>
              </w:rPr>
              <w:tab/>
            </w:r>
            <w:r w:rsidR="004A3B0F">
              <w:rPr>
                <w:b/>
                <w:sz w:val="24"/>
                <w:szCs w:val="24"/>
                <w:lang w:val="en-US"/>
              </w:rPr>
              <w:tab/>
            </w:r>
            <w:r w:rsidR="00E92AB9">
              <w:rPr>
                <w:b/>
                <w:sz w:val="24"/>
                <w:szCs w:val="24"/>
                <w:lang w:val="en-US"/>
              </w:rPr>
              <w:tab/>
            </w:r>
            <w:r w:rsidR="00016283">
              <w:rPr>
                <w:rFonts w:hint="eastAsia"/>
                <w:b/>
                <w:lang w:val="en-US" w:eastAsia="ja-JP"/>
              </w:rPr>
              <w:t>20</w:t>
            </w:r>
            <w:r w:rsidR="00B56A66">
              <w:rPr>
                <w:b/>
                <w:lang w:val="en-US"/>
              </w:rPr>
              <w:t xml:space="preserve"> N</w:t>
            </w:r>
            <w:r w:rsidR="00E92AB9">
              <w:rPr>
                <w:b/>
                <w:lang w:val="en-US"/>
              </w:rPr>
              <w:t>ovember</w:t>
            </w:r>
            <w:r w:rsidR="00E92AB9" w:rsidRPr="006E4850">
              <w:rPr>
                <w:b/>
                <w:lang w:val="en-US"/>
              </w:rPr>
              <w:t xml:space="preserve"> 2015</w:t>
            </w:r>
          </w:p>
          <w:p w14:paraId="0EB87E61" w14:textId="77777777" w:rsidR="006E4850" w:rsidRDefault="006E4850" w:rsidP="00B40862">
            <w:pPr>
              <w:jc w:val="both"/>
            </w:pPr>
          </w:p>
          <w:p w14:paraId="56D4F587" w14:textId="77777777" w:rsidR="004A3B0F" w:rsidRDefault="004A3B0F" w:rsidP="00B40862">
            <w:pPr>
              <w:jc w:val="both"/>
            </w:pPr>
          </w:p>
          <w:p w14:paraId="42DC0EEA" w14:textId="77777777" w:rsidR="004A3B0F" w:rsidRDefault="004A3B0F" w:rsidP="00B40862">
            <w:pPr>
              <w:jc w:val="both"/>
            </w:pPr>
          </w:p>
        </w:tc>
      </w:tr>
      <w:tr w:rsidR="00AC441D" w14:paraId="5FAB9C53" w14:textId="77777777" w:rsidTr="009A6056">
        <w:trPr>
          <w:cantSplit/>
          <w:trHeight w:hRule="exact" w:val="2407"/>
        </w:trPr>
        <w:tc>
          <w:tcPr>
            <w:tcW w:w="4819" w:type="dxa"/>
            <w:tcMar>
              <w:left w:w="113" w:type="dxa"/>
            </w:tcMar>
          </w:tcPr>
          <w:p w14:paraId="7ED31D7C" w14:textId="77777777" w:rsidR="00AC441D" w:rsidRPr="007826A3" w:rsidRDefault="00AC441D" w:rsidP="007826A3">
            <w:pPr>
              <w:tabs>
                <w:tab w:val="right" w:pos="9300"/>
              </w:tabs>
              <w:spacing w:before="240"/>
              <w:rPr>
                <w:rFonts w:ascii="Helv" w:hAnsi="Helv" w:cs="Helv"/>
                <w:b/>
                <w:color w:val="000000"/>
                <w:sz w:val="18"/>
                <w:szCs w:val="18"/>
                <w:lang w:val="en-US"/>
              </w:rPr>
            </w:pPr>
            <w:r w:rsidRPr="007826A3">
              <w:rPr>
                <w:b/>
                <w:color w:val="000000"/>
                <w:sz w:val="18"/>
                <w:szCs w:val="18"/>
              </w:rPr>
              <w:t xml:space="preserve">Sub-Committee of Experts on the </w:t>
            </w:r>
            <w:r w:rsidRPr="007826A3">
              <w:rPr>
                <w:b/>
                <w:color w:val="000000"/>
                <w:sz w:val="18"/>
                <w:szCs w:val="18"/>
              </w:rPr>
              <w:br/>
              <w:t xml:space="preserve">Transport </w:t>
            </w:r>
            <w:bookmarkStart w:id="0" w:name="_GoBack"/>
            <w:r w:rsidRPr="007826A3">
              <w:rPr>
                <w:b/>
                <w:color w:val="000000"/>
                <w:sz w:val="18"/>
                <w:szCs w:val="18"/>
              </w:rPr>
              <w:t xml:space="preserve">of </w:t>
            </w:r>
            <w:bookmarkEnd w:id="0"/>
            <w:r w:rsidRPr="007826A3">
              <w:rPr>
                <w:b/>
                <w:color w:val="000000"/>
                <w:sz w:val="18"/>
                <w:szCs w:val="18"/>
              </w:rPr>
              <w:t xml:space="preserve">Dangerous Goods </w:t>
            </w:r>
            <w:r w:rsidRPr="007826A3">
              <w:rPr>
                <w:b/>
                <w:sz w:val="18"/>
                <w:szCs w:val="18"/>
                <w:lang w:val="en-US"/>
              </w:rPr>
              <w:tab/>
            </w:r>
          </w:p>
          <w:p w14:paraId="041F1629" w14:textId="77777777" w:rsidR="00AC441D" w:rsidRPr="007826A3" w:rsidRDefault="00AC441D" w:rsidP="00AC441D">
            <w:pPr>
              <w:spacing w:before="120"/>
              <w:rPr>
                <w:b/>
                <w:sz w:val="18"/>
                <w:szCs w:val="18"/>
              </w:rPr>
            </w:pPr>
            <w:r w:rsidRPr="007826A3">
              <w:rPr>
                <w:b/>
                <w:bCs/>
                <w:sz w:val="18"/>
                <w:szCs w:val="18"/>
              </w:rPr>
              <w:t>Forty-eighth session</w:t>
            </w:r>
          </w:p>
          <w:p w14:paraId="37A1DCF7" w14:textId="16E5E067" w:rsidR="00AC441D" w:rsidRPr="007826A3" w:rsidRDefault="007826A3" w:rsidP="00AC4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Geneva, 30 November </w:t>
            </w:r>
            <w:r w:rsidR="00603A59" w:rsidRPr="007826A3">
              <w:rPr>
                <w:sz w:val="18"/>
                <w:szCs w:val="18"/>
              </w:rPr>
              <w:t>– 9</w:t>
            </w:r>
            <w:r w:rsidR="00AC441D" w:rsidRPr="007826A3">
              <w:rPr>
                <w:sz w:val="18"/>
                <w:szCs w:val="18"/>
              </w:rPr>
              <w:t xml:space="preserve"> December 2015</w:t>
            </w:r>
          </w:p>
          <w:p w14:paraId="333F66D8" w14:textId="68826EEB" w:rsidR="00AC441D" w:rsidRPr="00691F20" w:rsidRDefault="00AC441D" w:rsidP="007826A3">
            <w:pPr>
              <w:spacing w:before="40"/>
              <w:ind w:left="34" w:hanging="34"/>
              <w:rPr>
                <w:b/>
                <w:sz w:val="24"/>
                <w:szCs w:val="24"/>
                <w:lang w:val="en-US"/>
              </w:rPr>
            </w:pPr>
            <w:r w:rsidRPr="007826A3">
              <w:rPr>
                <w:color w:val="000000"/>
                <w:sz w:val="18"/>
                <w:szCs w:val="18"/>
              </w:rPr>
              <w:t>Item</w:t>
            </w:r>
            <w:r w:rsidR="00B56A66" w:rsidRPr="007826A3">
              <w:rPr>
                <w:color w:val="000000"/>
                <w:sz w:val="18"/>
                <w:szCs w:val="18"/>
              </w:rPr>
              <w:t xml:space="preserve"> 10 (c)</w:t>
            </w:r>
            <w:r w:rsidRPr="007826A3">
              <w:rPr>
                <w:color w:val="000000"/>
                <w:sz w:val="18"/>
                <w:szCs w:val="18"/>
              </w:rPr>
              <w:t xml:space="preserve"> of the provisional agenda</w:t>
            </w:r>
            <w:r w:rsidR="007826A3">
              <w:rPr>
                <w:color w:val="000000"/>
                <w:sz w:val="18"/>
                <w:szCs w:val="18"/>
              </w:rPr>
              <w:br/>
            </w:r>
            <w:r w:rsidRPr="007826A3">
              <w:rPr>
                <w:b/>
                <w:color w:val="000000"/>
                <w:sz w:val="18"/>
                <w:szCs w:val="18"/>
              </w:rPr>
              <w:t>Issues related to the Globally Harmonized System of Classification and Labelling of Chemicals: Classification criteria for flammable gases</w:t>
            </w:r>
          </w:p>
        </w:tc>
        <w:tc>
          <w:tcPr>
            <w:tcW w:w="4820" w:type="dxa"/>
          </w:tcPr>
          <w:p w14:paraId="2259354D" w14:textId="77777777" w:rsidR="00AC441D" w:rsidRPr="007826A3" w:rsidRDefault="00AC441D" w:rsidP="007826A3">
            <w:pPr>
              <w:tabs>
                <w:tab w:val="right" w:pos="9300"/>
              </w:tabs>
              <w:spacing w:before="240"/>
              <w:rPr>
                <w:rFonts w:ascii="Helv" w:hAnsi="Helv" w:cs="Helv"/>
                <w:b/>
                <w:color w:val="000000"/>
                <w:sz w:val="18"/>
                <w:szCs w:val="18"/>
                <w:lang w:val="en-US"/>
              </w:rPr>
            </w:pPr>
            <w:r w:rsidRPr="007826A3">
              <w:rPr>
                <w:b/>
                <w:sz w:val="18"/>
                <w:szCs w:val="18"/>
                <w:lang w:val="en-US"/>
              </w:rPr>
              <w:t>Sub-Committee of Experts on the Globally Harmonized</w:t>
            </w:r>
            <w:r w:rsidRPr="007826A3">
              <w:rPr>
                <w:b/>
                <w:sz w:val="18"/>
                <w:szCs w:val="18"/>
                <w:lang w:val="en-US"/>
              </w:rPr>
              <w:br/>
              <w:t>System of Classification and Labeling of Chemicals</w:t>
            </w:r>
            <w:r w:rsidRPr="007826A3">
              <w:rPr>
                <w:b/>
                <w:sz w:val="18"/>
                <w:szCs w:val="18"/>
                <w:lang w:val="en-US"/>
              </w:rPr>
              <w:tab/>
            </w:r>
          </w:p>
          <w:p w14:paraId="535E93BA" w14:textId="77777777" w:rsidR="00AC441D" w:rsidRPr="007826A3" w:rsidRDefault="00AC441D" w:rsidP="00AC441D">
            <w:pPr>
              <w:spacing w:before="120"/>
              <w:rPr>
                <w:b/>
                <w:sz w:val="18"/>
                <w:szCs w:val="18"/>
              </w:rPr>
            </w:pPr>
            <w:r w:rsidRPr="007826A3">
              <w:rPr>
                <w:b/>
                <w:bCs/>
                <w:sz w:val="18"/>
                <w:szCs w:val="18"/>
              </w:rPr>
              <w:t>Thirtieth session</w:t>
            </w:r>
          </w:p>
          <w:p w14:paraId="6E562EB8" w14:textId="7691CBD9" w:rsidR="00AC441D" w:rsidRPr="007826A3" w:rsidRDefault="007826A3" w:rsidP="00AC4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Geneva, 9 </w:t>
            </w:r>
            <w:r w:rsidR="00AC441D" w:rsidRPr="007826A3">
              <w:rPr>
                <w:sz w:val="18"/>
                <w:szCs w:val="18"/>
              </w:rPr>
              <w:t>– 11 December 2015</w:t>
            </w:r>
          </w:p>
          <w:p w14:paraId="0F418583" w14:textId="0E865C8E" w:rsidR="00AC441D" w:rsidRPr="00691F20" w:rsidRDefault="00AC441D" w:rsidP="007826A3">
            <w:pPr>
              <w:spacing w:before="40"/>
              <w:ind w:left="34" w:hanging="34"/>
              <w:rPr>
                <w:b/>
                <w:sz w:val="24"/>
                <w:szCs w:val="24"/>
                <w:lang w:val="en-US"/>
              </w:rPr>
            </w:pPr>
            <w:r w:rsidRPr="007826A3">
              <w:rPr>
                <w:color w:val="000000"/>
                <w:sz w:val="18"/>
                <w:szCs w:val="18"/>
              </w:rPr>
              <w:t>Item</w:t>
            </w:r>
            <w:r w:rsidR="00B56A66" w:rsidRPr="007826A3">
              <w:rPr>
                <w:color w:val="000000"/>
                <w:sz w:val="18"/>
                <w:szCs w:val="18"/>
              </w:rPr>
              <w:t xml:space="preserve"> 2</w:t>
            </w:r>
            <w:r w:rsidR="00B56A66" w:rsidRPr="007826A3">
              <w:rPr>
                <w:color w:val="FF0000"/>
                <w:sz w:val="18"/>
                <w:szCs w:val="18"/>
              </w:rPr>
              <w:t xml:space="preserve"> </w:t>
            </w:r>
            <w:r w:rsidRPr="007826A3">
              <w:rPr>
                <w:color w:val="000000"/>
                <w:sz w:val="18"/>
                <w:szCs w:val="18"/>
              </w:rPr>
              <w:t>of the provisional agenda</w:t>
            </w:r>
            <w:r w:rsidR="007826A3">
              <w:rPr>
                <w:color w:val="000000"/>
                <w:sz w:val="18"/>
                <w:szCs w:val="18"/>
              </w:rPr>
              <w:br/>
            </w:r>
            <w:r w:rsidRPr="007826A3">
              <w:rPr>
                <w:b/>
                <w:bCs/>
                <w:color w:val="000000"/>
                <w:sz w:val="18"/>
                <w:szCs w:val="18"/>
              </w:rPr>
              <w:t>Classification criteria and related hazard communication: Classification criteria for flammable gases</w:t>
            </w:r>
          </w:p>
        </w:tc>
      </w:tr>
    </w:tbl>
    <w:p w14:paraId="6921B76F" w14:textId="2B672002" w:rsidR="00CA5BA1" w:rsidRPr="00262F84" w:rsidRDefault="00E92AB9" w:rsidP="007826A3">
      <w:pPr>
        <w:pStyle w:val="HChG"/>
        <w:rPr>
          <w:color w:val="000000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>
        <w:rPr>
          <w:color w:val="000000"/>
        </w:rPr>
        <w:t>P</w:t>
      </w:r>
      <w:r w:rsidR="0054104E">
        <w:t>roposal for label e</w:t>
      </w:r>
      <w:r>
        <w:t xml:space="preserve">lements </w:t>
      </w:r>
      <w:r w:rsidR="00B84CFE">
        <w:t xml:space="preserve">for the new </w:t>
      </w:r>
      <w:r w:rsidR="0054104E">
        <w:t>sub-categories a</w:t>
      </w:r>
      <w:r>
        <w:t xml:space="preserve">rising </w:t>
      </w:r>
      <w:r w:rsidR="0054104E">
        <w:t>from the revision of the c</w:t>
      </w:r>
      <w:r w:rsidR="00B84CFE">
        <w:t xml:space="preserve">riteria </w:t>
      </w:r>
      <w:r w:rsidR="0054104E">
        <w:t>for flammable g</w:t>
      </w:r>
      <w:r w:rsidR="00B40862">
        <w:t>as</w:t>
      </w:r>
      <w:r w:rsidR="00B40862" w:rsidRPr="0016069E">
        <w:rPr>
          <w:color w:val="000000"/>
        </w:rPr>
        <w:t xml:space="preserve">es </w:t>
      </w:r>
    </w:p>
    <w:p w14:paraId="4D870792" w14:textId="77777777" w:rsidR="00B5355E" w:rsidRDefault="00B40862" w:rsidP="007826A3">
      <w:pPr>
        <w:pStyle w:val="H1G"/>
      </w:pPr>
      <w:r w:rsidRPr="0016069E">
        <w:tab/>
      </w:r>
      <w:r w:rsidRPr="0016069E">
        <w:tab/>
        <w:t xml:space="preserve">Transmitted by the experts from </w:t>
      </w:r>
      <w:r>
        <w:t>Japan and Belgium</w:t>
      </w:r>
    </w:p>
    <w:p w14:paraId="503A5B9B" w14:textId="5B275788" w:rsidR="00B84CFE" w:rsidRPr="00DA6EDE" w:rsidRDefault="007826A3" w:rsidP="007826A3">
      <w:pPr>
        <w:pStyle w:val="HChG"/>
      </w:pPr>
      <w:r>
        <w:tab/>
      </w:r>
      <w:r>
        <w:tab/>
      </w:r>
      <w:r w:rsidR="00B84CFE">
        <w:t>Objective</w:t>
      </w:r>
    </w:p>
    <w:p w14:paraId="4CCF7BD3" w14:textId="17AC0D13" w:rsidR="00B84CFE" w:rsidRDefault="007826A3" w:rsidP="007826A3">
      <w:pPr>
        <w:pStyle w:val="SingleTxtG"/>
      </w:pPr>
      <w:r>
        <w:t>1.</w:t>
      </w:r>
      <w:r w:rsidR="00B84CFE">
        <w:tab/>
        <w:t>The objective of this informal document is to propose a though</w:t>
      </w:r>
      <w:r w:rsidR="0081170A">
        <w:t>t</w:t>
      </w:r>
      <w:r w:rsidR="00B84CFE">
        <w:t xml:space="preserve"> starter for the discussion on the label elements </w:t>
      </w:r>
      <w:r w:rsidR="00255142">
        <w:t xml:space="preserve">of flammable gases </w:t>
      </w:r>
      <w:r w:rsidR="00B84CFE">
        <w:t>following the revision of the criteria.</w:t>
      </w:r>
    </w:p>
    <w:p w14:paraId="58D8DB66" w14:textId="0DE4E427" w:rsidR="00DA6EDE" w:rsidRPr="00B5241A" w:rsidRDefault="007826A3" w:rsidP="007826A3">
      <w:pPr>
        <w:pStyle w:val="HChG"/>
      </w:pPr>
      <w:r>
        <w:tab/>
      </w:r>
      <w:r>
        <w:tab/>
      </w:r>
      <w:r w:rsidR="00DA6EDE" w:rsidRPr="00B5241A">
        <w:t>Background</w:t>
      </w:r>
    </w:p>
    <w:p w14:paraId="61B15802" w14:textId="42E7147E" w:rsidR="00F85E66" w:rsidRDefault="00B84CFE" w:rsidP="007826A3">
      <w:pPr>
        <w:pStyle w:val="SingleTxtG"/>
      </w:pPr>
      <w:r>
        <w:t>2</w:t>
      </w:r>
      <w:r w:rsidR="007826A3">
        <w:t>.</w:t>
      </w:r>
      <w:r w:rsidR="00F85E66">
        <w:tab/>
      </w:r>
      <w:r w:rsidR="00454028">
        <w:t xml:space="preserve">Following the mandate </w:t>
      </w:r>
      <w:r w:rsidR="00A45C97">
        <w:t>given during the</w:t>
      </w:r>
      <w:r w:rsidR="00454028">
        <w:t xml:space="preserve"> plenary session of December</w:t>
      </w:r>
      <w:r w:rsidR="00235D42">
        <w:t xml:space="preserve"> 2014</w:t>
      </w:r>
      <w:r w:rsidR="007826A3">
        <w:t>,</w:t>
      </w:r>
      <w:r w:rsidR="00E31844">
        <w:t xml:space="preserve"> </w:t>
      </w:r>
      <w:r w:rsidR="001E1DC9">
        <w:t xml:space="preserve">an </w:t>
      </w:r>
      <w:r w:rsidR="00B40862">
        <w:t xml:space="preserve">Informal Working Group (IWG) </w:t>
      </w:r>
      <w:r w:rsidR="001E1DC9">
        <w:t xml:space="preserve">was </w:t>
      </w:r>
      <w:r w:rsidR="0081170A">
        <w:t>set up</w:t>
      </w:r>
      <w:r w:rsidR="007826A3">
        <w:t xml:space="preserve">. </w:t>
      </w:r>
      <w:r w:rsidR="001E1DC9">
        <w:t xml:space="preserve">This </w:t>
      </w:r>
      <w:r w:rsidR="00B40862">
        <w:t>IWG held two meeting</w:t>
      </w:r>
      <w:r w:rsidR="00300C00">
        <w:t>s</w:t>
      </w:r>
      <w:r w:rsidR="00B40862">
        <w:t xml:space="preserve">, </w:t>
      </w:r>
      <w:r w:rsidR="00300C00">
        <w:t xml:space="preserve">the first one </w:t>
      </w:r>
      <w:r w:rsidR="00B40862">
        <w:t xml:space="preserve">in March 2015 and </w:t>
      </w:r>
      <w:r w:rsidR="00300C00">
        <w:t xml:space="preserve">the second one in </w:t>
      </w:r>
      <w:r w:rsidR="00B40862">
        <w:t xml:space="preserve">September 2015.   </w:t>
      </w:r>
    </w:p>
    <w:p w14:paraId="311BE04D" w14:textId="6283600B" w:rsidR="00E76E78" w:rsidRDefault="00090082" w:rsidP="007826A3">
      <w:pPr>
        <w:pStyle w:val="SingleTxtG"/>
      </w:pPr>
      <w:r>
        <w:t>3</w:t>
      </w:r>
      <w:r w:rsidR="007826A3">
        <w:t>.</w:t>
      </w:r>
      <w:r w:rsidR="00F85E66">
        <w:tab/>
      </w:r>
      <w:r w:rsidR="00B40862">
        <w:t xml:space="preserve">As noted in the reports from </w:t>
      </w:r>
      <w:r w:rsidR="00E31844">
        <w:t xml:space="preserve">this </w:t>
      </w:r>
      <w:r w:rsidR="0054104E">
        <w:t>IWG</w:t>
      </w:r>
      <w:r w:rsidR="00B40862">
        <w:t xml:space="preserve">, </w:t>
      </w:r>
      <w:r w:rsidR="00E76E78">
        <w:t xml:space="preserve">a first </w:t>
      </w:r>
      <w:r w:rsidR="00B40862">
        <w:t xml:space="preserve">consensus </w:t>
      </w:r>
      <w:r w:rsidR="00E76E78">
        <w:t>was reached in March for the</w:t>
      </w:r>
      <w:r w:rsidR="00B40862">
        <w:t xml:space="preserve"> creation of</w:t>
      </w:r>
      <w:r w:rsidR="0054104E">
        <w:t xml:space="preserve"> an additional subcategory for flammable g</w:t>
      </w:r>
      <w:r w:rsidR="00B40862">
        <w:t xml:space="preserve">ases to promote knowledge and safety, and </w:t>
      </w:r>
      <w:r w:rsidR="00E76E78">
        <w:t xml:space="preserve">during </w:t>
      </w:r>
      <w:r w:rsidR="00B40862">
        <w:t xml:space="preserve">the second </w:t>
      </w:r>
      <w:r w:rsidR="00E76E78">
        <w:t>IWG meeting,</w:t>
      </w:r>
      <w:r w:rsidR="00B40862">
        <w:t xml:space="preserve"> a consensus </w:t>
      </w:r>
      <w:r w:rsidR="00E76E78">
        <w:t xml:space="preserve">for the criteria </w:t>
      </w:r>
      <w:r w:rsidR="00B40862">
        <w:t xml:space="preserve">defining </w:t>
      </w:r>
      <w:r w:rsidR="00E76E78">
        <w:t>this additional</w:t>
      </w:r>
      <w:r w:rsidR="00B40862">
        <w:t xml:space="preserve"> subcategory</w:t>
      </w:r>
      <w:r w:rsidR="00E76E78">
        <w:t xml:space="preserve"> was reached</w:t>
      </w:r>
      <w:r w:rsidR="007826A3">
        <w:t xml:space="preserve">: </w:t>
      </w:r>
      <w:r w:rsidR="00B40862">
        <w:t xml:space="preserve">LFL&gt;6% volume or FBV&lt;10 cm/s would be an appropriate </w:t>
      </w:r>
      <w:r w:rsidR="0081170A">
        <w:t xml:space="preserve">delimitation </w:t>
      </w:r>
      <w:r w:rsidR="00300C00">
        <w:t>between subcategory 1a and subcategory 1b</w:t>
      </w:r>
      <w:r w:rsidR="007826A3">
        <w:t xml:space="preserve">. </w:t>
      </w:r>
      <w:r w:rsidR="008B3B13">
        <w:t>T</w:t>
      </w:r>
      <w:r w:rsidR="004B7156">
        <w:t xml:space="preserve">he </w:t>
      </w:r>
      <w:proofErr w:type="spellStart"/>
      <w:r w:rsidR="001E1DC9">
        <w:t>subcategorisation</w:t>
      </w:r>
      <w:proofErr w:type="spellEnd"/>
      <w:r w:rsidR="001E1DC9">
        <w:t xml:space="preserve"> would be optional</w:t>
      </w:r>
      <w:r w:rsidR="007826A3">
        <w:t xml:space="preserve">. </w:t>
      </w:r>
      <w:r w:rsidR="00B40862">
        <w:t>Experts from Japan and Belgium participated in the I</w:t>
      </w:r>
      <w:r w:rsidR="0054104E">
        <w:t>WG</w:t>
      </w:r>
      <w:r w:rsidR="004B7156">
        <w:t xml:space="preserve"> and support</w:t>
      </w:r>
      <w:r w:rsidR="00B40862">
        <w:t xml:space="preserve"> this consensus. </w:t>
      </w:r>
    </w:p>
    <w:p w14:paraId="1578AD7C" w14:textId="65B12A43" w:rsidR="00262F84" w:rsidRDefault="00090082" w:rsidP="007826A3">
      <w:pPr>
        <w:pStyle w:val="SingleTxtG"/>
      </w:pPr>
      <w:r>
        <w:t>4</w:t>
      </w:r>
      <w:r w:rsidR="007826A3">
        <w:t>.</w:t>
      </w:r>
      <w:r w:rsidR="00F85E66">
        <w:tab/>
      </w:r>
      <w:r w:rsidR="005C2EC9">
        <w:t xml:space="preserve">The current </w:t>
      </w:r>
      <w:r w:rsidR="0054104E">
        <w:t>label elements for f</w:t>
      </w:r>
      <w:r w:rsidR="005C2EC9">
        <w:t>lammable gas</w:t>
      </w:r>
      <w:r w:rsidR="002B5942">
        <w:t>es</w:t>
      </w:r>
      <w:r w:rsidR="005C2EC9">
        <w:t xml:space="preserve"> Category 1 and Category 2 </w:t>
      </w:r>
      <w:r w:rsidR="002B5942">
        <w:t xml:space="preserve">are </w:t>
      </w:r>
      <w:r w:rsidR="005C2EC9">
        <w:t xml:space="preserve">set out in </w:t>
      </w:r>
      <w:r w:rsidR="0054104E">
        <w:t xml:space="preserve">Chapter 2.2, </w:t>
      </w:r>
      <w:r w:rsidR="005C2EC9">
        <w:t>Table 2.2.4: Label elements for flammable gases (G</w:t>
      </w:r>
      <w:r w:rsidR="007826A3">
        <w:t>HS, Sixth revised edition</w:t>
      </w:r>
      <w:r w:rsidR="0054104E">
        <w:t>).</w:t>
      </w:r>
      <w:r w:rsidR="005C2EC9">
        <w:t xml:space="preserve"> </w:t>
      </w:r>
    </w:p>
    <w:p w14:paraId="687148A4" w14:textId="77777777" w:rsidR="005D5807" w:rsidRDefault="005D5807">
      <w:pPr>
        <w:suppressAutoHyphens w:val="0"/>
        <w:spacing w:line="240" w:lineRule="auto"/>
        <w:rPr>
          <w:b/>
          <w:sz w:val="18"/>
          <w:lang w:val="en-US"/>
        </w:rPr>
      </w:pPr>
      <w:r>
        <w:rPr>
          <w:b/>
          <w:sz w:val="18"/>
          <w:lang w:val="en-US"/>
        </w:rPr>
        <w:br w:type="page"/>
      </w:r>
    </w:p>
    <w:p w14:paraId="246F97C5" w14:textId="58AF4340" w:rsidR="005C2EC9" w:rsidRDefault="00262F84" w:rsidP="007826A3">
      <w:pPr>
        <w:jc w:val="center"/>
        <w:rPr>
          <w:b/>
          <w:sz w:val="18"/>
          <w:lang w:val="en-US"/>
        </w:rPr>
      </w:pPr>
      <w:r>
        <w:rPr>
          <w:b/>
          <w:sz w:val="18"/>
          <w:lang w:val="en-US"/>
        </w:rPr>
        <w:lastRenderedPageBreak/>
        <w:t>T</w:t>
      </w:r>
      <w:r w:rsidR="007826A3">
        <w:rPr>
          <w:b/>
          <w:sz w:val="18"/>
          <w:lang w:val="en-US"/>
        </w:rPr>
        <w:t>able</w:t>
      </w:r>
      <w:r>
        <w:rPr>
          <w:b/>
          <w:sz w:val="18"/>
          <w:lang w:val="en-US"/>
        </w:rPr>
        <w:t xml:space="preserve"> 1</w:t>
      </w:r>
      <w:r w:rsidR="0054104E">
        <w:rPr>
          <w:b/>
          <w:sz w:val="18"/>
          <w:lang w:val="en-US"/>
        </w:rPr>
        <w:t>:</w:t>
      </w:r>
      <w:r w:rsidR="003648B6">
        <w:rPr>
          <w:rFonts w:hint="eastAsia"/>
          <w:b/>
          <w:sz w:val="18"/>
          <w:lang w:val="en-US"/>
        </w:rPr>
        <w:tab/>
      </w:r>
      <w:r w:rsidR="003648B6">
        <w:rPr>
          <w:b/>
          <w:sz w:val="18"/>
          <w:lang w:val="en-US"/>
        </w:rPr>
        <w:t>Current GHS Label Elements for Flammable Gases</w:t>
      </w:r>
      <w:r w:rsidR="0019701E">
        <w:rPr>
          <w:b/>
          <w:sz w:val="18"/>
          <w:lang w:val="en-US"/>
        </w:rPr>
        <w:t>, Category 1</w:t>
      </w:r>
      <w:r w:rsidR="005C2EC9">
        <w:rPr>
          <w:b/>
          <w:sz w:val="18"/>
          <w:lang w:val="en-US"/>
        </w:rPr>
        <w:t xml:space="preserve"> and Category 2</w:t>
      </w:r>
      <w:r>
        <w:rPr>
          <w:b/>
          <w:sz w:val="18"/>
          <w:lang w:val="en-US"/>
        </w:rPr>
        <w:t>,</w:t>
      </w:r>
    </w:p>
    <w:p w14:paraId="681E323C" w14:textId="0DDA557B" w:rsidR="003648B6" w:rsidRPr="0093412E" w:rsidRDefault="007826A3" w:rsidP="007826A3">
      <w:pPr>
        <w:ind w:left="567" w:firstLine="567"/>
        <w:jc w:val="center"/>
        <w:rPr>
          <w:b/>
          <w:sz w:val="18"/>
          <w:lang w:val="en-US"/>
        </w:rPr>
      </w:pPr>
      <w:proofErr w:type="gramStart"/>
      <w:r>
        <w:rPr>
          <w:b/>
          <w:sz w:val="18"/>
          <w:lang w:val="en-US"/>
        </w:rPr>
        <w:t>f</w:t>
      </w:r>
      <w:r w:rsidR="00262F84">
        <w:rPr>
          <w:b/>
          <w:sz w:val="18"/>
          <w:lang w:val="en-US"/>
        </w:rPr>
        <w:t>rom</w:t>
      </w:r>
      <w:proofErr w:type="gramEnd"/>
      <w:r w:rsidR="00262F84">
        <w:rPr>
          <w:b/>
          <w:sz w:val="18"/>
          <w:lang w:val="en-US"/>
        </w:rPr>
        <w:t xml:space="preserve"> Table 2.2.4 of GHS Rev</w:t>
      </w:r>
      <w:r w:rsidR="00C60582">
        <w:rPr>
          <w:b/>
          <w:sz w:val="18"/>
          <w:lang w:val="en-US"/>
        </w:rPr>
        <w:t>ision</w:t>
      </w:r>
      <w:r w:rsidR="00262F84">
        <w:rPr>
          <w:b/>
          <w:sz w:val="18"/>
          <w:lang w:val="en-US"/>
        </w:rPr>
        <w:t xml:space="preserve"> 6</w:t>
      </w: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835"/>
        <w:gridCol w:w="2409"/>
      </w:tblGrid>
      <w:tr w:rsidR="00262F84" w:rsidRPr="007826A3" w14:paraId="189F7988" w14:textId="77777777" w:rsidTr="007826A3">
        <w:trPr>
          <w:trHeight w:hRule="exact" w:val="388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697A278C" w14:textId="77777777" w:rsidR="00262F84" w:rsidRPr="007826A3" w:rsidRDefault="00262F84" w:rsidP="003648B6">
            <w:pPr>
              <w:spacing w:afterLines="50" w:after="120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E4C1A73" w14:textId="77777777" w:rsidR="00262F84" w:rsidRPr="007826A3" w:rsidRDefault="00262F84" w:rsidP="0054104E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 w:rsidRPr="007826A3">
              <w:rPr>
                <w:b/>
                <w:sz w:val="18"/>
                <w:szCs w:val="18"/>
              </w:rPr>
              <w:t>Flammable Gases</w:t>
            </w:r>
          </w:p>
        </w:tc>
      </w:tr>
      <w:tr w:rsidR="00262F84" w:rsidRPr="007826A3" w14:paraId="1EC46F52" w14:textId="77777777" w:rsidTr="007826A3">
        <w:trPr>
          <w:trHeight w:hRule="exact" w:val="408"/>
          <w:jc w:val="center"/>
        </w:trPr>
        <w:tc>
          <w:tcPr>
            <w:tcW w:w="2376" w:type="dxa"/>
            <w:vMerge/>
            <w:shd w:val="clear" w:color="auto" w:fill="auto"/>
          </w:tcPr>
          <w:p w14:paraId="39062262" w14:textId="77777777" w:rsidR="00262F84" w:rsidRPr="007826A3" w:rsidRDefault="00262F84" w:rsidP="003648B6">
            <w:pPr>
              <w:spacing w:afterLines="50" w:after="12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B61EA7C" w14:textId="77777777" w:rsidR="00262F84" w:rsidRPr="007826A3" w:rsidRDefault="00262F84" w:rsidP="0054104E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 w:rsidRPr="007826A3">
              <w:rPr>
                <w:b/>
                <w:sz w:val="18"/>
                <w:szCs w:val="18"/>
              </w:rPr>
              <w:t>Category 1</w:t>
            </w:r>
          </w:p>
        </w:tc>
        <w:tc>
          <w:tcPr>
            <w:tcW w:w="2409" w:type="dxa"/>
            <w:shd w:val="clear" w:color="auto" w:fill="auto"/>
          </w:tcPr>
          <w:p w14:paraId="366D6B91" w14:textId="77777777" w:rsidR="00262F84" w:rsidRPr="007826A3" w:rsidRDefault="00262F84" w:rsidP="0054104E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 w:rsidRPr="007826A3">
              <w:rPr>
                <w:b/>
                <w:sz w:val="18"/>
                <w:szCs w:val="18"/>
              </w:rPr>
              <w:t>Category 2</w:t>
            </w:r>
          </w:p>
        </w:tc>
      </w:tr>
      <w:tr w:rsidR="003648B6" w:rsidRPr="007826A3" w14:paraId="68847CAB" w14:textId="77777777" w:rsidTr="007826A3">
        <w:trPr>
          <w:trHeight w:hRule="exact" w:val="429"/>
          <w:jc w:val="center"/>
        </w:trPr>
        <w:tc>
          <w:tcPr>
            <w:tcW w:w="2376" w:type="dxa"/>
            <w:shd w:val="clear" w:color="auto" w:fill="auto"/>
          </w:tcPr>
          <w:p w14:paraId="70EF67DD" w14:textId="77777777" w:rsidR="003648B6" w:rsidRPr="007826A3" w:rsidRDefault="003648B6" w:rsidP="003648B6">
            <w:pPr>
              <w:spacing w:afterLines="50" w:after="120"/>
              <w:rPr>
                <w:b/>
                <w:sz w:val="18"/>
                <w:szCs w:val="18"/>
              </w:rPr>
            </w:pPr>
            <w:r w:rsidRPr="007826A3">
              <w:rPr>
                <w:b/>
                <w:sz w:val="18"/>
                <w:szCs w:val="18"/>
              </w:rPr>
              <w:t>Symbol</w:t>
            </w:r>
          </w:p>
        </w:tc>
        <w:tc>
          <w:tcPr>
            <w:tcW w:w="2835" w:type="dxa"/>
            <w:shd w:val="clear" w:color="auto" w:fill="auto"/>
          </w:tcPr>
          <w:p w14:paraId="2B7089A4" w14:textId="77777777" w:rsidR="003648B6" w:rsidRPr="0054104E" w:rsidRDefault="003648B6" w:rsidP="0054104E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54104E">
              <w:rPr>
                <w:sz w:val="18"/>
                <w:szCs w:val="18"/>
              </w:rPr>
              <w:t>Flame</w:t>
            </w:r>
          </w:p>
        </w:tc>
        <w:tc>
          <w:tcPr>
            <w:tcW w:w="2409" w:type="dxa"/>
            <w:shd w:val="clear" w:color="auto" w:fill="auto"/>
          </w:tcPr>
          <w:p w14:paraId="175D11E7" w14:textId="77777777" w:rsidR="003648B6" w:rsidRPr="00003834" w:rsidRDefault="00262F84" w:rsidP="0054104E">
            <w:pPr>
              <w:spacing w:afterLines="50" w:after="120"/>
              <w:jc w:val="center"/>
              <w:rPr>
                <w:i/>
                <w:sz w:val="18"/>
                <w:szCs w:val="18"/>
              </w:rPr>
            </w:pPr>
            <w:r w:rsidRPr="00003834">
              <w:rPr>
                <w:i/>
                <w:sz w:val="18"/>
                <w:szCs w:val="18"/>
              </w:rPr>
              <w:t>No Symbol</w:t>
            </w:r>
          </w:p>
        </w:tc>
      </w:tr>
      <w:tr w:rsidR="003648B6" w:rsidRPr="007826A3" w14:paraId="2206C8AC" w14:textId="77777777" w:rsidTr="007826A3">
        <w:trPr>
          <w:trHeight w:hRule="exact" w:val="420"/>
          <w:jc w:val="center"/>
        </w:trPr>
        <w:tc>
          <w:tcPr>
            <w:tcW w:w="2376" w:type="dxa"/>
            <w:shd w:val="clear" w:color="auto" w:fill="auto"/>
          </w:tcPr>
          <w:p w14:paraId="3DAF9D57" w14:textId="77777777" w:rsidR="003648B6" w:rsidRPr="007826A3" w:rsidRDefault="003648B6" w:rsidP="003648B6">
            <w:pPr>
              <w:spacing w:afterLines="50" w:after="120"/>
              <w:rPr>
                <w:b/>
                <w:sz w:val="18"/>
                <w:szCs w:val="18"/>
              </w:rPr>
            </w:pPr>
            <w:r w:rsidRPr="007826A3">
              <w:rPr>
                <w:b/>
                <w:sz w:val="18"/>
                <w:szCs w:val="18"/>
              </w:rPr>
              <w:t>Signal word</w:t>
            </w:r>
          </w:p>
        </w:tc>
        <w:tc>
          <w:tcPr>
            <w:tcW w:w="2835" w:type="dxa"/>
            <w:shd w:val="clear" w:color="auto" w:fill="auto"/>
          </w:tcPr>
          <w:p w14:paraId="1533D7B1" w14:textId="77777777" w:rsidR="003648B6" w:rsidRPr="0054104E" w:rsidRDefault="003648B6" w:rsidP="0054104E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54104E">
              <w:rPr>
                <w:sz w:val="18"/>
                <w:szCs w:val="18"/>
              </w:rPr>
              <w:t>Danger</w:t>
            </w:r>
          </w:p>
        </w:tc>
        <w:tc>
          <w:tcPr>
            <w:tcW w:w="2409" w:type="dxa"/>
            <w:shd w:val="clear" w:color="auto" w:fill="auto"/>
          </w:tcPr>
          <w:p w14:paraId="00E666EA" w14:textId="77777777" w:rsidR="003648B6" w:rsidRPr="0054104E" w:rsidRDefault="003648B6" w:rsidP="0054104E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54104E">
              <w:rPr>
                <w:sz w:val="18"/>
                <w:szCs w:val="18"/>
              </w:rPr>
              <w:t>Warning</w:t>
            </w:r>
          </w:p>
        </w:tc>
      </w:tr>
      <w:tr w:rsidR="003648B6" w:rsidRPr="007826A3" w14:paraId="0F01C2C0" w14:textId="77777777" w:rsidTr="007826A3">
        <w:trPr>
          <w:trHeight w:hRule="exact" w:val="425"/>
          <w:jc w:val="center"/>
        </w:trPr>
        <w:tc>
          <w:tcPr>
            <w:tcW w:w="2376" w:type="dxa"/>
            <w:shd w:val="clear" w:color="auto" w:fill="auto"/>
          </w:tcPr>
          <w:p w14:paraId="794D21A9" w14:textId="77777777" w:rsidR="003648B6" w:rsidRPr="007826A3" w:rsidRDefault="003648B6" w:rsidP="003648B6">
            <w:pPr>
              <w:spacing w:afterLines="50" w:after="120"/>
              <w:rPr>
                <w:b/>
                <w:sz w:val="18"/>
                <w:szCs w:val="18"/>
              </w:rPr>
            </w:pPr>
            <w:r w:rsidRPr="007826A3">
              <w:rPr>
                <w:b/>
                <w:sz w:val="18"/>
                <w:szCs w:val="18"/>
              </w:rPr>
              <w:t>Hazard statement</w:t>
            </w:r>
          </w:p>
        </w:tc>
        <w:tc>
          <w:tcPr>
            <w:tcW w:w="2835" w:type="dxa"/>
            <w:shd w:val="clear" w:color="auto" w:fill="auto"/>
          </w:tcPr>
          <w:p w14:paraId="1F11380F" w14:textId="77777777" w:rsidR="003648B6" w:rsidRPr="0054104E" w:rsidRDefault="003648B6" w:rsidP="0054104E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54104E">
              <w:rPr>
                <w:sz w:val="18"/>
                <w:szCs w:val="18"/>
              </w:rPr>
              <w:t>Extremely flammable gas</w:t>
            </w:r>
          </w:p>
        </w:tc>
        <w:tc>
          <w:tcPr>
            <w:tcW w:w="2409" w:type="dxa"/>
            <w:shd w:val="clear" w:color="auto" w:fill="auto"/>
          </w:tcPr>
          <w:p w14:paraId="72A069A5" w14:textId="77777777" w:rsidR="003648B6" w:rsidRPr="0054104E" w:rsidRDefault="003648B6" w:rsidP="0054104E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54104E">
              <w:rPr>
                <w:sz w:val="18"/>
                <w:szCs w:val="18"/>
              </w:rPr>
              <w:t>Flammable gas</w:t>
            </w:r>
          </w:p>
        </w:tc>
      </w:tr>
    </w:tbl>
    <w:p w14:paraId="5D0FC279" w14:textId="7949D6D9" w:rsidR="005C2EC9" w:rsidRDefault="00171449" w:rsidP="00171449">
      <w:pPr>
        <w:pStyle w:val="HChG"/>
      </w:pPr>
      <w:r>
        <w:tab/>
      </w:r>
      <w:r>
        <w:tab/>
      </w:r>
      <w:r w:rsidR="009A6014">
        <w:t>Discussion</w:t>
      </w:r>
    </w:p>
    <w:p w14:paraId="40A48621" w14:textId="6DAF4662" w:rsidR="005C2EC9" w:rsidRDefault="00090082" w:rsidP="00171449">
      <w:pPr>
        <w:pStyle w:val="SingleTxtG"/>
      </w:pPr>
      <w:r>
        <w:t>5</w:t>
      </w:r>
      <w:r w:rsidR="00171449">
        <w:t>.</w:t>
      </w:r>
      <w:r w:rsidR="005C2EC9">
        <w:tab/>
        <w:t>In addition to th</w:t>
      </w:r>
      <w:r w:rsidR="00003834">
        <w:t>e creation of a new subcategory</w:t>
      </w:r>
      <w:r w:rsidR="005C2EC9">
        <w:t xml:space="preserve"> and </w:t>
      </w:r>
      <w:r w:rsidR="0081170A">
        <w:t xml:space="preserve">set up of </w:t>
      </w:r>
      <w:r w:rsidR="005C2EC9">
        <w:t xml:space="preserve">parameters </w:t>
      </w:r>
      <w:r w:rsidR="0081170A">
        <w:t>to define these categories</w:t>
      </w:r>
      <w:r w:rsidR="005C2EC9">
        <w:t>, it is nece</w:t>
      </w:r>
      <w:r w:rsidR="00003834">
        <w:t>ssary to ascertain appropriate label e</w:t>
      </w:r>
      <w:r w:rsidR="005C2EC9">
        <w:t xml:space="preserve">lements: </w:t>
      </w:r>
      <w:r w:rsidR="00003834">
        <w:t>(hazard statements, signal words, and p</w:t>
      </w:r>
      <w:r w:rsidR="005C2EC9">
        <w:t>ictograms (symbols)</w:t>
      </w:r>
      <w:r w:rsidR="00003834">
        <w:t>)</w:t>
      </w:r>
      <w:r w:rsidR="005C2EC9">
        <w:t xml:space="preserve"> to </w:t>
      </w:r>
      <w:r w:rsidR="008B3B13">
        <w:t xml:space="preserve">encourage </w:t>
      </w:r>
      <w:r w:rsidR="005C2EC9">
        <w:t>hazard communication for these subcategories</w:t>
      </w:r>
      <w:r w:rsidR="00E76B16">
        <w:t>.</w:t>
      </w:r>
    </w:p>
    <w:p w14:paraId="02BA8898" w14:textId="50241223" w:rsidR="005C2EC9" w:rsidRPr="005C2EC9" w:rsidRDefault="00090082" w:rsidP="00171449">
      <w:pPr>
        <w:pStyle w:val="SingleTxtG"/>
      </w:pPr>
      <w:r>
        <w:t>6</w:t>
      </w:r>
      <w:r w:rsidR="00171449">
        <w:t>.</w:t>
      </w:r>
      <w:r w:rsidR="00171449">
        <w:tab/>
      </w:r>
      <w:r w:rsidR="00E76B16">
        <w:t>During th</w:t>
      </w:r>
      <w:r w:rsidR="002B5942">
        <w:t xml:space="preserve">e </w:t>
      </w:r>
      <w:r w:rsidR="00E76B16">
        <w:t xml:space="preserve">second </w:t>
      </w:r>
      <w:r w:rsidR="002B5942">
        <w:t xml:space="preserve">IWG </w:t>
      </w:r>
      <w:r w:rsidR="00E76B16">
        <w:t xml:space="preserve">meeting, a preliminary discussion about hazard communication took place but no consensus could be achieved and it was decided to leave this issue for discussion and decision </w:t>
      </w:r>
      <w:r w:rsidR="0081170A">
        <w:t>by</w:t>
      </w:r>
      <w:r w:rsidR="00E76B16">
        <w:t xml:space="preserve"> the GHS S</w:t>
      </w:r>
      <w:r w:rsidR="00003834">
        <w:t>ub-Committee</w:t>
      </w:r>
      <w:r w:rsidR="00E76B16">
        <w:t>.</w:t>
      </w:r>
      <w:r w:rsidR="00E76B16" w:rsidDel="00E76B16">
        <w:t xml:space="preserve"> </w:t>
      </w:r>
    </w:p>
    <w:p w14:paraId="36A4F4D4" w14:textId="77777777" w:rsidR="00003834" w:rsidRDefault="00090082" w:rsidP="00171449">
      <w:pPr>
        <w:pStyle w:val="SingleTxtG"/>
      </w:pPr>
      <w:r>
        <w:t>7</w:t>
      </w:r>
      <w:r w:rsidR="00171449">
        <w:t>.</w:t>
      </w:r>
      <w:r w:rsidR="00003834">
        <w:tab/>
        <w:t>The l</w:t>
      </w:r>
      <w:r w:rsidR="005C2EC9">
        <w:t xml:space="preserve">abel </w:t>
      </w:r>
      <w:r w:rsidR="00003834">
        <w:t>e</w:t>
      </w:r>
      <w:r w:rsidR="005C2EC9">
        <w:t>lements sh</w:t>
      </w:r>
      <w:r w:rsidR="00F85E66">
        <w:t>ould be</w:t>
      </w:r>
      <w:r w:rsidR="00003834">
        <w:t>:</w:t>
      </w:r>
    </w:p>
    <w:p w14:paraId="44600B94" w14:textId="77777777" w:rsidR="00003834" w:rsidRDefault="00003834" w:rsidP="00003834">
      <w:pPr>
        <w:pStyle w:val="SingleTxtG"/>
        <w:ind w:firstLine="567"/>
      </w:pPr>
      <w:r>
        <w:t>(</w:t>
      </w:r>
      <w:proofErr w:type="gramStart"/>
      <w:r>
        <w:t>a</w:t>
      </w:r>
      <w:proofErr w:type="gramEnd"/>
      <w:r>
        <w:t>)</w:t>
      </w:r>
      <w:r>
        <w:tab/>
      </w:r>
      <w:r w:rsidR="0081170A">
        <w:rPr>
          <w:u w:val="single"/>
        </w:rPr>
        <w:t>B</w:t>
      </w:r>
      <w:r w:rsidR="00B40862" w:rsidRPr="00332DF8">
        <w:rPr>
          <w:u w:val="single"/>
        </w:rPr>
        <w:t xml:space="preserve">ased </w:t>
      </w:r>
      <w:r w:rsidR="00E76B16">
        <w:rPr>
          <w:u w:val="single"/>
        </w:rPr>
        <w:t>on</w:t>
      </w:r>
      <w:r w:rsidR="00E76B16" w:rsidRPr="00332DF8">
        <w:rPr>
          <w:u w:val="single"/>
        </w:rPr>
        <w:t xml:space="preserve"> </w:t>
      </w:r>
      <w:r w:rsidR="0081170A">
        <w:rPr>
          <w:u w:val="single"/>
        </w:rPr>
        <w:t xml:space="preserve">factual </w:t>
      </w:r>
      <w:r w:rsidR="00B40862" w:rsidRPr="00332DF8">
        <w:rPr>
          <w:u w:val="single"/>
        </w:rPr>
        <w:t xml:space="preserve">data </w:t>
      </w:r>
      <w:r w:rsidR="00BD42CF">
        <w:rPr>
          <w:u w:val="single"/>
        </w:rPr>
        <w:t xml:space="preserve">from the </w:t>
      </w:r>
      <w:r w:rsidR="00BD42CF" w:rsidRPr="00332DF8">
        <w:rPr>
          <w:u w:val="single"/>
        </w:rPr>
        <w:t>concern</w:t>
      </w:r>
      <w:r w:rsidR="00BD42CF">
        <w:rPr>
          <w:u w:val="single"/>
        </w:rPr>
        <w:t>ed</w:t>
      </w:r>
      <w:r w:rsidR="00BD42CF" w:rsidRPr="00332DF8">
        <w:rPr>
          <w:u w:val="single"/>
        </w:rPr>
        <w:t xml:space="preserve"> </w:t>
      </w:r>
      <w:r w:rsidR="00B40862" w:rsidRPr="00332DF8">
        <w:rPr>
          <w:u w:val="single"/>
        </w:rPr>
        <w:t>gase</w:t>
      </w:r>
      <w:r w:rsidR="00B40862" w:rsidRPr="00332DF8">
        <w:t>s found in those subcategories</w:t>
      </w:r>
      <w:r>
        <w:t>;</w:t>
      </w:r>
    </w:p>
    <w:p w14:paraId="0B1F5BF2" w14:textId="77777777" w:rsidR="00003834" w:rsidRDefault="00003834" w:rsidP="00003834">
      <w:pPr>
        <w:pStyle w:val="SingleTxtG"/>
        <w:ind w:firstLine="567"/>
      </w:pPr>
      <w:r>
        <w:t>(b)</w:t>
      </w:r>
      <w:r>
        <w:tab/>
      </w:r>
      <w:r w:rsidR="00B40862" w:rsidRPr="00332DF8">
        <w:rPr>
          <w:u w:val="single"/>
        </w:rPr>
        <w:t xml:space="preserve">Consistent with </w:t>
      </w:r>
      <w:r>
        <w:rPr>
          <w:u w:val="single"/>
        </w:rPr>
        <w:t>GHS hazard c</w:t>
      </w:r>
      <w:r w:rsidR="00B40862">
        <w:rPr>
          <w:u w:val="single"/>
        </w:rPr>
        <w:t>ommunication</w:t>
      </w:r>
      <w:r w:rsidR="00B40862" w:rsidRPr="00332DF8">
        <w:rPr>
          <w:u w:val="single"/>
        </w:rPr>
        <w:t xml:space="preserve"> </w:t>
      </w:r>
      <w:r>
        <w:rPr>
          <w:u w:val="single"/>
        </w:rPr>
        <w:t>for f</w:t>
      </w:r>
      <w:r w:rsidR="00B40862" w:rsidRPr="00332DF8">
        <w:rPr>
          <w:u w:val="single"/>
        </w:rPr>
        <w:t xml:space="preserve">lammable </w:t>
      </w:r>
      <w:r>
        <w:rPr>
          <w:u w:val="single"/>
        </w:rPr>
        <w:t>l</w:t>
      </w:r>
      <w:r w:rsidR="00B40862" w:rsidRPr="00332DF8">
        <w:rPr>
          <w:u w:val="single"/>
        </w:rPr>
        <w:t>iquids</w:t>
      </w:r>
      <w:r>
        <w:t>;</w:t>
      </w:r>
      <w:r w:rsidR="00F85E66">
        <w:t xml:space="preserve"> and, </w:t>
      </w:r>
    </w:p>
    <w:p w14:paraId="09E1EE4C" w14:textId="293A20CF" w:rsidR="00003834" w:rsidRDefault="00003834" w:rsidP="00003834">
      <w:pPr>
        <w:pStyle w:val="SingleTxtG"/>
        <w:ind w:firstLine="567"/>
      </w:pPr>
      <w:r>
        <w:t>(c)</w:t>
      </w:r>
      <w:r>
        <w:tab/>
      </w:r>
      <w:r w:rsidR="0012044E">
        <w:rPr>
          <w:u w:val="single"/>
        </w:rPr>
        <w:t>In line with the way</w:t>
      </w:r>
      <w:r w:rsidR="00B40862" w:rsidRPr="00332DF8">
        <w:rPr>
          <w:u w:val="single"/>
        </w:rPr>
        <w:t xml:space="preserve"> in which Flammable Gases are dealt </w:t>
      </w:r>
      <w:proofErr w:type="spellStart"/>
      <w:r w:rsidR="00B40862" w:rsidRPr="00332DF8">
        <w:rPr>
          <w:u w:val="single"/>
        </w:rPr>
        <w:t>within</w:t>
      </w:r>
      <w:proofErr w:type="spellEnd"/>
      <w:r w:rsidR="00B40862" w:rsidRPr="00332DF8">
        <w:rPr>
          <w:u w:val="single"/>
        </w:rPr>
        <w:t xml:space="preserve"> a number of </w:t>
      </w:r>
      <w:r w:rsidRPr="00003834">
        <w:tab/>
      </w:r>
      <w:r w:rsidR="00B40862" w:rsidRPr="00332DF8">
        <w:rPr>
          <w:u w:val="single"/>
        </w:rPr>
        <w:t>consensus standards</w:t>
      </w:r>
      <w:r w:rsidR="00B40862">
        <w:t xml:space="preserve">.  </w:t>
      </w:r>
    </w:p>
    <w:p w14:paraId="4916D236" w14:textId="69B744C3" w:rsidR="0093412E" w:rsidRPr="009577EB" w:rsidRDefault="0012044E" w:rsidP="00003834">
      <w:pPr>
        <w:pStyle w:val="SingleTxtG"/>
        <w:ind w:left="1701"/>
      </w:pPr>
      <w:r>
        <w:t>In addition, it is</w:t>
      </w:r>
      <w:r w:rsidR="00B40862">
        <w:t xml:space="preserve"> </w:t>
      </w:r>
      <w:r w:rsidR="005C2EC9">
        <w:t xml:space="preserve">desirable that, as described </w:t>
      </w:r>
      <w:r w:rsidR="00B40862">
        <w:t>in section</w:t>
      </w:r>
      <w:r w:rsidR="00B40862" w:rsidRPr="003441B0">
        <w:rPr>
          <w:color w:val="FF0000"/>
        </w:rPr>
        <w:t xml:space="preserve"> </w:t>
      </w:r>
      <w:r w:rsidR="00F85E66">
        <w:t>D</w:t>
      </w:r>
      <w:r w:rsidR="00B40862" w:rsidRPr="009577EB">
        <w:t xml:space="preserve">) of this paper, assigning </w:t>
      </w:r>
      <w:r w:rsidR="00003834">
        <w:t>l</w:t>
      </w:r>
      <w:r w:rsidR="00B40862">
        <w:t xml:space="preserve">abel elements </w:t>
      </w:r>
      <w:r w:rsidR="00B40862" w:rsidRPr="009577EB">
        <w:t xml:space="preserve">would cause </w:t>
      </w:r>
      <w:r w:rsidR="00B40862">
        <w:t>only</w:t>
      </w:r>
      <w:r w:rsidR="00B40862" w:rsidRPr="0016365E">
        <w:rPr>
          <w:u w:val="single"/>
        </w:rPr>
        <w:t xml:space="preserve"> a negligible change to </w:t>
      </w:r>
      <w:r w:rsidR="00003834">
        <w:rPr>
          <w:u w:val="single"/>
        </w:rPr>
        <w:t>current commercial practice in hazard c</w:t>
      </w:r>
      <w:r w:rsidR="00B40862" w:rsidRPr="0016365E">
        <w:rPr>
          <w:u w:val="single"/>
        </w:rPr>
        <w:t>ommunication</w:t>
      </w:r>
      <w:r w:rsidR="00B40862" w:rsidRPr="009577EB">
        <w:t xml:space="preserve">. </w:t>
      </w:r>
    </w:p>
    <w:p w14:paraId="76750BB0" w14:textId="4D97C634" w:rsidR="00B40862" w:rsidRPr="0019685C" w:rsidRDefault="00171449" w:rsidP="00171449">
      <w:pPr>
        <w:pStyle w:val="H1G"/>
      </w:pPr>
      <w:r>
        <w:tab/>
      </w:r>
      <w:r w:rsidR="00F85E66" w:rsidRPr="0019685C">
        <w:t>A</w:t>
      </w:r>
      <w:r>
        <w:t>.</w:t>
      </w:r>
      <w:r w:rsidR="00B40862" w:rsidRPr="0019685C">
        <w:t xml:space="preserve"> </w:t>
      </w:r>
      <w:r w:rsidR="0019685C">
        <w:tab/>
      </w:r>
      <w:r w:rsidR="0081170A">
        <w:t>B</w:t>
      </w:r>
      <w:r w:rsidR="00B40862" w:rsidRPr="0019685C">
        <w:t xml:space="preserve">ased </w:t>
      </w:r>
      <w:r w:rsidR="00E76B16">
        <w:t>on</w:t>
      </w:r>
      <w:r w:rsidR="00E76B16" w:rsidRPr="0019685C">
        <w:t xml:space="preserve"> </w:t>
      </w:r>
      <w:r w:rsidR="0081170A">
        <w:t xml:space="preserve">factual </w:t>
      </w:r>
      <w:r w:rsidR="00B40862" w:rsidRPr="0019685C">
        <w:t xml:space="preserve">data </w:t>
      </w:r>
      <w:r w:rsidR="00BD42CF">
        <w:t xml:space="preserve">from the </w:t>
      </w:r>
      <w:r w:rsidR="00BD42CF" w:rsidRPr="0019685C">
        <w:t>concern</w:t>
      </w:r>
      <w:r w:rsidR="00BD42CF">
        <w:t>ed</w:t>
      </w:r>
      <w:r w:rsidR="00BD42CF" w:rsidRPr="0019685C">
        <w:t xml:space="preserve"> </w:t>
      </w:r>
      <w:r w:rsidR="00B40862" w:rsidRPr="0019685C">
        <w:t>gases found in those subcategories</w:t>
      </w:r>
    </w:p>
    <w:p w14:paraId="6CB0E758" w14:textId="37561CD7" w:rsidR="00B40862" w:rsidRPr="00EA316A" w:rsidRDefault="00090082" w:rsidP="00171449">
      <w:pPr>
        <w:pStyle w:val="SingleTxtG"/>
        <w:rPr>
          <w:rFonts w:ascii="Calibri" w:hAnsi="Calibri" w:cs="Calibri"/>
          <w:color w:val="1A1A1A"/>
          <w:lang w:val="en-US" w:eastAsia="zh-CN"/>
        </w:rPr>
      </w:pPr>
      <w:r>
        <w:t>8</w:t>
      </w:r>
      <w:r w:rsidR="00171449">
        <w:t>.</w:t>
      </w:r>
      <w:r w:rsidR="00F85E66">
        <w:tab/>
      </w:r>
      <w:r w:rsidR="00B40862" w:rsidRPr="00332DF8">
        <w:t>Data and videos have been presented regarding a range of flammable g</w:t>
      </w:r>
      <w:r w:rsidR="00B40862">
        <w:t xml:space="preserve">ases. It has been seen that most hydrocarbon fuel gases in air, for which there is a stoichiometric concentration of the fuel </w:t>
      </w:r>
      <w:proofErr w:type="spellStart"/>
      <w:r w:rsidR="00B40862">
        <w:t>vís</w:t>
      </w:r>
      <w:proofErr w:type="spellEnd"/>
      <w:r w:rsidR="00B40862">
        <w:t>-a-</w:t>
      </w:r>
      <w:proofErr w:type="spellStart"/>
      <w:r w:rsidR="00B40862">
        <w:t>vís</w:t>
      </w:r>
      <w:proofErr w:type="spellEnd"/>
      <w:r w:rsidR="00B40862">
        <w:t xml:space="preserve"> oxygen, ign</w:t>
      </w:r>
      <w:r w:rsidR="00171449">
        <w:t xml:space="preserve">ite readily and burn strongly. </w:t>
      </w:r>
      <w:r w:rsidR="00B40862">
        <w:t xml:space="preserve">In a semi-enclosed area, </w:t>
      </w:r>
      <w:r w:rsidR="008B3B13">
        <w:t>like</w:t>
      </w:r>
      <w:r w:rsidR="00B40862">
        <w:t xml:space="preserve"> conditions of a small to moderate size warehouse, or standard shipping container placed in a warehouse or stockyard, fires from relatively small, unintended releases of these gases may burn with high destructive over-pressures and temperatures.  </w:t>
      </w:r>
      <w:r w:rsidR="00E76B16">
        <w:t xml:space="preserve">Videos and data presented during the second </w:t>
      </w:r>
      <w:r w:rsidR="005031F0">
        <w:t xml:space="preserve">IWG </w:t>
      </w:r>
      <w:r w:rsidR="005031F0" w:rsidRPr="00EA316A">
        <w:t>meeting</w:t>
      </w:r>
      <w:r w:rsidR="00E76B16" w:rsidRPr="00EA316A">
        <w:t xml:space="preserve"> have shown that a</w:t>
      </w:r>
      <w:r w:rsidR="00B40862" w:rsidRPr="00EA316A">
        <w:t xml:space="preserve"> small </w:t>
      </w:r>
      <w:r w:rsidR="00BD42CF" w:rsidRPr="00EA316A">
        <w:t xml:space="preserve">release </w:t>
      </w:r>
      <w:r w:rsidR="00B40862" w:rsidRPr="00EA316A">
        <w:t xml:space="preserve">of </w:t>
      </w:r>
      <w:r w:rsidR="00E76B16" w:rsidRPr="00EA316A">
        <w:t xml:space="preserve">this type of </w:t>
      </w:r>
      <w:r w:rsidR="00B40862" w:rsidRPr="00EA316A">
        <w:t>gas</w:t>
      </w:r>
      <w:r w:rsidR="00E76B16" w:rsidRPr="00EA316A">
        <w:t>es</w:t>
      </w:r>
      <w:r w:rsidR="00B40862" w:rsidRPr="00EA316A">
        <w:t xml:space="preserve"> </w:t>
      </w:r>
      <w:r w:rsidR="00E76B16" w:rsidRPr="00EA316A">
        <w:t xml:space="preserve">can create </w:t>
      </w:r>
      <w:r w:rsidR="00B40862" w:rsidRPr="00EA316A">
        <w:t>in those circumstances fatal pressures and</w:t>
      </w:r>
      <w:r w:rsidR="00B40862" w:rsidRPr="00CE1DB9">
        <w:t xml:space="preserve"> temperatures.  Those data and videos are available at</w:t>
      </w:r>
      <w:r w:rsidR="00EA316A" w:rsidRPr="00CE1DB9">
        <w:rPr>
          <w:rFonts w:ascii="Calibri" w:hAnsi="Calibri" w:cs="Calibri"/>
          <w:color w:val="18376A"/>
          <w:lang w:val="en-US" w:eastAsia="zh-CN"/>
        </w:rPr>
        <w:t xml:space="preserve"> </w:t>
      </w:r>
      <w:hyperlink r:id="rId9" w:history="1">
        <w:r w:rsidR="00EA316A" w:rsidRPr="00CE1DB9">
          <w:rPr>
            <w:rFonts w:ascii="Calibri" w:hAnsi="Calibri" w:cs="Calibri"/>
            <w:color w:val="103CC0"/>
            <w:u w:val="single" w:color="103CC0"/>
            <w:lang w:val="en-US" w:eastAsia="zh-CN"/>
          </w:rPr>
          <w:t>https://vimeo.com/146174877</w:t>
        </w:r>
      </w:hyperlink>
      <w:r w:rsidR="00EA316A" w:rsidRPr="00016283">
        <w:rPr>
          <w:rFonts w:ascii="Calibri" w:hAnsi="Calibri" w:cs="Calibri"/>
          <w:color w:val="000000" w:themeColor="text1"/>
          <w:lang w:val="en-US" w:eastAsia="zh-CN"/>
        </w:rPr>
        <w:t xml:space="preserve"> (High resolution, needs high speed internet</w:t>
      </w:r>
      <w:r w:rsidR="00EA316A" w:rsidRPr="00CE1DB9">
        <w:rPr>
          <w:rFonts w:ascii="Calibri" w:hAnsi="Calibri" w:cs="Calibri"/>
          <w:color w:val="18376A"/>
          <w:lang w:val="en-US" w:eastAsia="zh-CN"/>
        </w:rPr>
        <w:t>) and</w:t>
      </w:r>
      <w:r w:rsidR="00EA316A" w:rsidRPr="00CE1DB9">
        <w:rPr>
          <w:rFonts w:ascii="Calibri" w:hAnsi="Calibri" w:cs="Calibri"/>
          <w:color w:val="1A1A1A"/>
          <w:lang w:val="en-US" w:eastAsia="zh-CN"/>
        </w:rPr>
        <w:t xml:space="preserve"> </w:t>
      </w:r>
      <w:hyperlink r:id="rId10" w:history="1">
        <w:r w:rsidR="00EA316A" w:rsidRPr="00CE1DB9">
          <w:rPr>
            <w:rFonts w:ascii="Calibri" w:hAnsi="Calibri" w:cs="Calibri"/>
            <w:color w:val="103CC0"/>
            <w:u w:val="single" w:color="103CC0"/>
            <w:lang w:val="en-US" w:eastAsia="zh-CN"/>
          </w:rPr>
          <w:t>https://vimeo.com/146176112</w:t>
        </w:r>
      </w:hyperlink>
      <w:r w:rsidR="00EA316A" w:rsidRPr="00016283">
        <w:rPr>
          <w:rFonts w:ascii="Calibri" w:hAnsi="Calibri" w:cs="Calibri"/>
          <w:color w:val="000000" w:themeColor="text1"/>
          <w:lang w:val="en-US" w:eastAsia="zh-CN"/>
        </w:rPr>
        <w:t xml:space="preserve"> (Low resolution).</w:t>
      </w:r>
      <w:r w:rsidR="00CE1DB9" w:rsidRPr="00016283">
        <w:rPr>
          <w:color w:val="000000" w:themeColor="text1"/>
          <w:lang w:val="en-US" w:eastAsia="zh-CN"/>
        </w:rPr>
        <w:t xml:space="preserve"> Please use the password Uj33eJ4ZPw.</w:t>
      </w:r>
      <w:r w:rsidR="00B40862" w:rsidRPr="00CE1DB9">
        <w:t xml:space="preserve"> </w:t>
      </w:r>
      <w:r w:rsidR="000266B9">
        <w:t>The h</w:t>
      </w:r>
      <w:r w:rsidR="00B40862" w:rsidRPr="00EA316A">
        <w:t xml:space="preserve">azard </w:t>
      </w:r>
      <w:r w:rsidR="000266B9">
        <w:t>s</w:t>
      </w:r>
      <w:r w:rsidR="00B40862" w:rsidRPr="00EA316A">
        <w:t>tatement, “Extremely Flammable”, accu</w:t>
      </w:r>
      <w:r w:rsidR="000266B9">
        <w:t>rately describes them, and the s</w:t>
      </w:r>
      <w:r w:rsidR="00B40862" w:rsidRPr="00EA316A">
        <w:t xml:space="preserve">ignal </w:t>
      </w:r>
      <w:r w:rsidR="008B3B13" w:rsidRPr="00EA316A">
        <w:t>word</w:t>
      </w:r>
      <w:r w:rsidR="00B40862" w:rsidRPr="00EA316A">
        <w:t xml:space="preserve"> “Danger</w:t>
      </w:r>
      <w:r w:rsidR="00C37ECB" w:rsidRPr="00EA316A">
        <w:t>”</w:t>
      </w:r>
      <w:r w:rsidR="00B40862" w:rsidRPr="00EA316A">
        <w:t xml:space="preserve">, </w:t>
      </w:r>
      <w:r w:rsidR="008B3B13" w:rsidRPr="00EA316A">
        <w:t>shows</w:t>
      </w:r>
      <w:r w:rsidR="00B40862" w:rsidRPr="00EA316A">
        <w:t xml:space="preserve"> the high amo</w:t>
      </w:r>
      <w:r w:rsidR="00B40862">
        <w:t xml:space="preserve">unt of attention </w:t>
      </w:r>
      <w:r w:rsidR="008B3B13">
        <w:t>needed</w:t>
      </w:r>
      <w:r w:rsidR="00B40862">
        <w:t>.</w:t>
      </w:r>
    </w:p>
    <w:p w14:paraId="210D70E6" w14:textId="75828B86" w:rsidR="00B40862" w:rsidRDefault="00090082" w:rsidP="00171449">
      <w:pPr>
        <w:pStyle w:val="SingleTxtG"/>
      </w:pPr>
      <w:r>
        <w:t>9</w:t>
      </w:r>
      <w:r w:rsidR="00171449">
        <w:t>.</w:t>
      </w:r>
      <w:r w:rsidR="00F85E66">
        <w:tab/>
      </w:r>
      <w:proofErr w:type="gramStart"/>
      <w:r w:rsidR="00B40862">
        <w:t>In</w:t>
      </w:r>
      <w:proofErr w:type="gramEnd"/>
      <w:r w:rsidR="00B40862">
        <w:t xml:space="preserve"> contrast, Category 2 gases (LFL&gt;13%v, Burning Range &lt;12%v) would be difficult to ignite, even under thei</w:t>
      </w:r>
      <w:r w:rsidR="00171449">
        <w:t xml:space="preserve">r optimum fuel concentrations. </w:t>
      </w:r>
      <w:r w:rsidR="00B40862">
        <w:t xml:space="preserve">(We do not have data on actual combustion of Category 2 gases, and indeed, there seems to be some doubt that such </w:t>
      </w:r>
      <w:r w:rsidR="00B40862">
        <w:lastRenderedPageBreak/>
        <w:t xml:space="preserve">gases or </w:t>
      </w:r>
      <w:r w:rsidR="00171449">
        <w:t xml:space="preserve">gas mixtures currently exist). </w:t>
      </w:r>
      <w:r w:rsidR="00B40862">
        <w:t xml:space="preserve">During the </w:t>
      </w:r>
      <w:r w:rsidR="003A0CFC">
        <w:t>IWG meeting</w:t>
      </w:r>
      <w:r w:rsidR="00B40862">
        <w:t xml:space="preserve">, Professor </w:t>
      </w:r>
      <w:proofErr w:type="spellStart"/>
      <w:r w:rsidR="00B40862">
        <w:t>Volkmar</w:t>
      </w:r>
      <w:proofErr w:type="spellEnd"/>
      <w:r w:rsidR="00B40862">
        <w:t xml:space="preserve"> </w:t>
      </w:r>
      <w:proofErr w:type="spellStart"/>
      <w:r w:rsidR="00C37ECB">
        <w:t>Schröder</w:t>
      </w:r>
      <w:proofErr w:type="spellEnd"/>
      <w:r w:rsidR="00C37ECB">
        <w:t xml:space="preserve"> </w:t>
      </w:r>
      <w:r w:rsidR="0012044E">
        <w:t xml:space="preserve">from </w:t>
      </w:r>
      <w:r w:rsidR="00B40862">
        <w:t xml:space="preserve">the BAM of Germany pointed out, in reference to Category 1b, that it would be extremely rare in an enclosed space or semi enclosed space, to reach the ignition/flammable concentration (LFL) of even 6%  (See the minutes of the second IWG meeting </w:t>
      </w:r>
      <w:r w:rsidR="00B40862" w:rsidRPr="00BB0EAB">
        <w:rPr>
          <w:vertAlign w:val="superscript"/>
        </w:rPr>
        <w:t>(</w:t>
      </w:r>
      <w:r w:rsidR="00B40862">
        <w:t>*</w:t>
      </w:r>
      <w:r w:rsidR="00B40862" w:rsidRPr="00BB0EAB">
        <w:rPr>
          <w:vertAlign w:val="superscript"/>
        </w:rPr>
        <w:t>)</w:t>
      </w:r>
      <w:r w:rsidR="003A0CFC" w:rsidRPr="00B5241A">
        <w:t>)</w:t>
      </w:r>
      <w:r w:rsidR="00171449">
        <w:t xml:space="preserve">. </w:t>
      </w:r>
      <w:r w:rsidR="00B40862" w:rsidRPr="00081F69">
        <w:rPr>
          <w:i/>
        </w:rPr>
        <w:t>A fortiori</w:t>
      </w:r>
      <w:r w:rsidR="00B40862">
        <w:t xml:space="preserve"> it would be nearly impossible to reach the concentration of 13% volume in air, which is</w:t>
      </w:r>
      <w:r w:rsidR="00171449">
        <w:t xml:space="preserve"> the LFL for a Category 2 gas. </w:t>
      </w:r>
      <w:r w:rsidR="00B40862">
        <w:t xml:space="preserve">So, while these gases are currently termed “Flammable”, the term “Combustible” </w:t>
      </w:r>
      <w:r w:rsidR="00C825DC">
        <w:t xml:space="preserve">would be </w:t>
      </w:r>
      <w:r w:rsidR="00B40862">
        <w:t xml:space="preserve">more correct: Combustion will occur if they can be ignited, but it will be rare that the conditions </w:t>
      </w:r>
      <w:r w:rsidR="00C825DC">
        <w:t>may arise</w:t>
      </w:r>
      <w:r w:rsidR="00B40862">
        <w:t xml:space="preserve"> to ignite them</w:t>
      </w:r>
      <w:r w:rsidR="00171449">
        <w:t xml:space="preserve"> or sustain a flammable state. </w:t>
      </w:r>
      <w:proofErr w:type="gramStart"/>
      <w:r w:rsidR="00B40862">
        <w:t>For these gases, like in the Flammable Liquids classification, “Combustible” is more accurate than “Flammable</w:t>
      </w:r>
      <w:r w:rsidR="008B3B13">
        <w:t>”</w:t>
      </w:r>
      <w:r w:rsidR="00171449">
        <w:t>.</w:t>
      </w:r>
      <w:proofErr w:type="gramEnd"/>
      <w:r w:rsidR="00171449">
        <w:t xml:space="preserve"> </w:t>
      </w:r>
      <w:r w:rsidR="00B40862">
        <w:t>We are aware of no fire incidents reported relating to Category 2 gases, so the lesser Signal Word, “Warning</w:t>
      </w:r>
      <w:r w:rsidR="00C96746">
        <w:t xml:space="preserve">” </w:t>
      </w:r>
      <w:r w:rsidR="003A0CFC">
        <w:t xml:space="preserve">is appropriate as </w:t>
      </w:r>
      <w:r w:rsidR="00C825DC">
        <w:t>“</w:t>
      </w:r>
      <w:r w:rsidR="00B40862">
        <w:t>pro-safety</w:t>
      </w:r>
      <w:r w:rsidR="00C825DC">
        <w:t>”</w:t>
      </w:r>
      <w:r w:rsidR="00B40862">
        <w:t xml:space="preserve"> distinction from the Ext</w:t>
      </w:r>
      <w:r w:rsidR="008B3B13">
        <w:t>remely Flammable category gases</w:t>
      </w:r>
      <w:r w:rsidR="00B40862">
        <w:t xml:space="preserve">.  </w:t>
      </w:r>
    </w:p>
    <w:p w14:paraId="6FFCB7F5" w14:textId="0D165805" w:rsidR="00C60582" w:rsidRDefault="00090082" w:rsidP="00171449">
      <w:pPr>
        <w:pStyle w:val="SingleTxtG"/>
      </w:pPr>
      <w:r>
        <w:t>10</w:t>
      </w:r>
      <w:r w:rsidR="00171449">
        <w:t>.</w:t>
      </w:r>
      <w:r w:rsidR="00F85E66">
        <w:tab/>
      </w:r>
      <w:r w:rsidR="00B40862">
        <w:t xml:space="preserve">Between “Extremely Flammable” and “Combustible”, </w:t>
      </w:r>
      <w:r w:rsidR="004234CE">
        <w:t>the term</w:t>
      </w:r>
      <w:r w:rsidR="00C60582">
        <w:t xml:space="preserve"> “Highly Flammable” or “Flammable</w:t>
      </w:r>
      <w:r w:rsidR="00B40862">
        <w:t xml:space="preserve">” </w:t>
      </w:r>
      <w:r w:rsidR="004234CE">
        <w:t>could be selected if we refer to</w:t>
      </w:r>
      <w:r w:rsidR="00CC7CDC">
        <w:t xml:space="preserve"> </w:t>
      </w:r>
      <w:r w:rsidR="000266B9">
        <w:t>the hazard s</w:t>
      </w:r>
      <w:r w:rsidR="00B40862">
        <w:t>tatement</w:t>
      </w:r>
      <w:r w:rsidR="004234CE">
        <w:t>s</w:t>
      </w:r>
      <w:r w:rsidR="00B40862">
        <w:t xml:space="preserve"> </w:t>
      </w:r>
      <w:r w:rsidR="004234CE">
        <w:t xml:space="preserve">used for </w:t>
      </w:r>
      <w:r w:rsidR="000266B9">
        <w:t>flammable l</w:t>
      </w:r>
      <w:r w:rsidR="004234CE">
        <w:t>iquids</w:t>
      </w:r>
      <w:r w:rsidR="000266B9">
        <w:t xml:space="preserve">. </w:t>
      </w:r>
      <w:r w:rsidR="00B40862">
        <w:t xml:space="preserve">We note that there </w:t>
      </w:r>
      <w:r w:rsidR="00C825DC">
        <w:t xml:space="preserve">is </w:t>
      </w:r>
      <w:r w:rsidR="00B40862">
        <w:t xml:space="preserve">a group of gases and mixtures that burn with distinctly less force than the hydrocarbon fuel gases </w:t>
      </w:r>
      <w:r w:rsidR="00515F01">
        <w:t>but that</w:t>
      </w:r>
      <w:r w:rsidR="00B40862">
        <w:t xml:space="preserve"> will remain in subcategory 1a</w:t>
      </w:r>
      <w:r w:rsidR="00515F01">
        <w:t xml:space="preserve"> if the current</w:t>
      </w:r>
      <w:r w:rsidR="000266B9">
        <w:t xml:space="preserve"> recommendations of the IWG</w:t>
      </w:r>
      <w:r w:rsidR="00515F01">
        <w:t xml:space="preserve"> are adopted</w:t>
      </w:r>
      <w:r w:rsidR="000266B9">
        <w:t xml:space="preserve">. </w:t>
      </w:r>
      <w:r w:rsidR="00515F01">
        <w:t xml:space="preserve">Such gases </w:t>
      </w:r>
      <w:r w:rsidR="00B40862">
        <w:t xml:space="preserve">are represented by </w:t>
      </w:r>
      <w:proofErr w:type="spellStart"/>
      <w:r w:rsidR="00B40862">
        <w:t>Difluoroethane</w:t>
      </w:r>
      <w:proofErr w:type="spellEnd"/>
      <w:r w:rsidR="00B40862">
        <w:t>, and by the 90/10 nitrogen/propane mixture</w:t>
      </w:r>
      <w:r w:rsidR="00515F01">
        <w:t xml:space="preserve"> in the videos and data presented in the IWG</w:t>
      </w:r>
      <w:r w:rsidR="00B40862">
        <w:t xml:space="preserve">.  These </w:t>
      </w:r>
      <w:r w:rsidR="00515F01">
        <w:t xml:space="preserve">gases </w:t>
      </w:r>
      <w:r w:rsidR="00B40862">
        <w:t>clearly show combustion and pressures that are in an intermediate range</w:t>
      </w:r>
      <w:r w:rsidR="00C60582">
        <w:t>, lower than the pure hydrocarbons but higher than the proposed Category 1b gases.</w:t>
      </w:r>
    </w:p>
    <w:p w14:paraId="63C43061" w14:textId="6324CBE1" w:rsidR="00B40862" w:rsidRDefault="00090082" w:rsidP="00171449">
      <w:pPr>
        <w:pStyle w:val="SingleTxtG"/>
      </w:pPr>
      <w:r>
        <w:t>11</w:t>
      </w:r>
      <w:r w:rsidR="00171449">
        <w:t>.</w:t>
      </w:r>
      <w:r w:rsidR="00F85E66">
        <w:tab/>
      </w:r>
      <w:r w:rsidR="00B40862">
        <w:t>Looking again to the data and videos</w:t>
      </w:r>
      <w:r w:rsidR="00405975">
        <w:t xml:space="preserve"> for two other gases</w:t>
      </w:r>
      <w:r w:rsidR="00171449">
        <w:t xml:space="preserve">, </w:t>
      </w:r>
      <w:r w:rsidR="00B40862">
        <w:t>92/8 nitrogen/propane which</w:t>
      </w:r>
      <w:r w:rsidR="00042736">
        <w:t xml:space="preserve"> has</w:t>
      </w:r>
      <w:r w:rsidR="00B40862">
        <w:t xml:space="preserve"> a Fundamental Burning Velocity of 10cm/sec, </w:t>
      </w:r>
      <w:r w:rsidR="00405975">
        <w:t xml:space="preserve">and </w:t>
      </w:r>
      <w:r w:rsidR="00B40862">
        <w:t xml:space="preserve">is presented as the borderline case for subcategory 1b and </w:t>
      </w:r>
      <w:proofErr w:type="spellStart"/>
      <w:r w:rsidR="009B5C02">
        <w:t>Difluoromethane</w:t>
      </w:r>
      <w:proofErr w:type="spellEnd"/>
      <w:r w:rsidR="00B40862">
        <w:t>, a gas which is well within the sub-category, it is clear that the gases qualif</w:t>
      </w:r>
      <w:r w:rsidR="008B3B13">
        <w:t>ied</w:t>
      </w:r>
      <w:r w:rsidR="00B40862">
        <w:t xml:space="preserve"> in Category 1b do not develop highly destructive pressures when burning in container and warehouse</w:t>
      </w:r>
      <w:r w:rsidR="00B5355E">
        <w:t xml:space="preserve"> type semi-enclosed spaces and</w:t>
      </w:r>
      <w:r w:rsidR="00B5355E">
        <w:rPr>
          <w:rFonts w:hint="eastAsia"/>
        </w:rPr>
        <w:t xml:space="preserve"> </w:t>
      </w:r>
      <w:r w:rsidR="00B40862">
        <w:t>while the temperatures of combustion are similar to those of other gases</w:t>
      </w:r>
      <w:r w:rsidR="0077641B">
        <w:t>.</w:t>
      </w:r>
      <w:r w:rsidR="00B40862">
        <w:t xml:space="preserve"> </w:t>
      </w:r>
      <w:r w:rsidR="0077641B">
        <w:t xml:space="preserve">The </w:t>
      </w:r>
      <w:r w:rsidR="00B40862">
        <w:t xml:space="preserve">slower release of heat from that combustion leads to more moderate, less dangerous and less </w:t>
      </w:r>
      <w:r w:rsidR="00171449">
        <w:t xml:space="preserve">destructive temperature rises. </w:t>
      </w:r>
      <w:proofErr w:type="spellStart"/>
      <w:r w:rsidR="00B40862">
        <w:t>Dr.</w:t>
      </w:r>
      <w:proofErr w:type="spellEnd"/>
      <w:r w:rsidR="00B40862">
        <w:t xml:space="preserve"> Scott Davis stated that slower release also gives greater effect to the property of buoyancy, so flames tend to rise instead of spreading out to adjacent areas and articles</w:t>
      </w:r>
      <w:r w:rsidR="00B40862" w:rsidRPr="00BB0EAB">
        <w:rPr>
          <w:vertAlign w:val="superscript"/>
        </w:rPr>
        <w:t>(</w:t>
      </w:r>
      <w:r w:rsidR="00B40862">
        <w:t>**</w:t>
      </w:r>
      <w:r w:rsidR="00B40862" w:rsidRPr="00BB0EAB">
        <w:rPr>
          <w:vertAlign w:val="superscript"/>
        </w:rPr>
        <w:t>)</w:t>
      </w:r>
      <w:r w:rsidR="00171449">
        <w:t xml:space="preserve">. </w:t>
      </w:r>
      <w:r w:rsidR="00B40862">
        <w:t xml:space="preserve">So, it seems clear that these gases are not “Highly Flammable”: the term “Flammable Gas” is </w:t>
      </w:r>
      <w:r w:rsidR="0077641B">
        <w:t xml:space="preserve">more </w:t>
      </w:r>
      <w:r w:rsidR="00E06E39">
        <w:t>appropriate</w:t>
      </w:r>
      <w:r w:rsidR="0077641B">
        <w:t xml:space="preserve"> and </w:t>
      </w:r>
      <w:r w:rsidR="00B40862">
        <w:t xml:space="preserve">accurate. </w:t>
      </w:r>
    </w:p>
    <w:p w14:paraId="0513EB11" w14:textId="5B338939" w:rsidR="00B40862" w:rsidRPr="0019685C" w:rsidRDefault="00171449" w:rsidP="00171449">
      <w:pPr>
        <w:pStyle w:val="H1G"/>
      </w:pPr>
      <w:r>
        <w:tab/>
      </w:r>
      <w:r w:rsidR="00F85E66" w:rsidRPr="0019685C">
        <w:t>B</w:t>
      </w:r>
      <w:r>
        <w:t>.</w:t>
      </w:r>
      <w:r w:rsidR="00B40862" w:rsidRPr="0019685C">
        <w:t xml:space="preserve"> </w:t>
      </w:r>
      <w:r w:rsidR="0019685C">
        <w:tab/>
      </w:r>
      <w:r w:rsidR="00B40862" w:rsidRPr="0019685C">
        <w:t xml:space="preserve">Consistent with </w:t>
      </w:r>
      <w:r w:rsidR="000266B9">
        <w:t>GHS hazard c</w:t>
      </w:r>
      <w:r w:rsidR="00B40862" w:rsidRPr="0019685C">
        <w:t xml:space="preserve">ommunication </w:t>
      </w:r>
      <w:r w:rsidR="000266B9">
        <w:t>for flammable l</w:t>
      </w:r>
      <w:r w:rsidR="00B40862" w:rsidRPr="0019685C">
        <w:t>iquids</w:t>
      </w:r>
    </w:p>
    <w:p w14:paraId="37889139" w14:textId="443B6041" w:rsidR="0093412E" w:rsidRDefault="00090082" w:rsidP="00171449">
      <w:pPr>
        <w:pStyle w:val="SingleTxtG"/>
      </w:pPr>
      <w:r>
        <w:t>12</w:t>
      </w:r>
      <w:r w:rsidR="00171449">
        <w:t>.</w:t>
      </w:r>
      <w:r w:rsidR="00F85E66">
        <w:tab/>
      </w:r>
      <w:r w:rsidR="00B40862">
        <w:t xml:space="preserve">As mentioned briefly above, the closest analogy in other </w:t>
      </w:r>
      <w:r w:rsidR="000266B9">
        <w:t>GHS categories is presented by flammable l</w:t>
      </w:r>
      <w:r w:rsidR="00B40862">
        <w:t xml:space="preserve">iquids.  As set out in </w:t>
      </w:r>
      <w:r w:rsidR="000266B9">
        <w:t>Chapter 2.6, Table 2.6.2 the categories and h</w:t>
      </w:r>
      <w:r w:rsidR="00B40862">
        <w:t>a</w:t>
      </w:r>
      <w:r w:rsidR="000266B9">
        <w:t>zard s</w:t>
      </w:r>
      <w:r w:rsidR="00B40862">
        <w:t xml:space="preserve">tatements are:  </w:t>
      </w:r>
    </w:p>
    <w:p w14:paraId="39230F42" w14:textId="4084B1A0" w:rsidR="0093412E" w:rsidRPr="0093412E" w:rsidRDefault="00C60582" w:rsidP="00171449">
      <w:pPr>
        <w:jc w:val="center"/>
        <w:rPr>
          <w:b/>
          <w:sz w:val="18"/>
          <w:lang w:val="en-US"/>
        </w:rPr>
      </w:pPr>
      <w:r>
        <w:rPr>
          <w:b/>
          <w:sz w:val="18"/>
          <w:lang w:val="en-US"/>
        </w:rPr>
        <w:t>TABLE 2</w:t>
      </w:r>
      <w:r w:rsidR="000266B9">
        <w:rPr>
          <w:b/>
          <w:sz w:val="18"/>
          <w:lang w:val="en-US"/>
        </w:rPr>
        <w:t>:</w:t>
      </w:r>
      <w:r w:rsidR="00171449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>GHS Table 2.6.2: Label Elements for Flammable liquids, GHS Revision 6</w:t>
      </w:r>
    </w:p>
    <w:tbl>
      <w:tblPr>
        <w:tblpPr w:leftFromText="142" w:rightFromText="142" w:vertAnchor="text" w:horzAnchor="page" w:tblpXSpec="center" w:tblpY="52"/>
        <w:tblW w:w="92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163"/>
        <w:gridCol w:w="1983"/>
        <w:gridCol w:w="1733"/>
        <w:gridCol w:w="1701"/>
      </w:tblGrid>
      <w:tr w:rsidR="00C60582" w:rsidRPr="00171449" w14:paraId="381CA001" w14:textId="77777777" w:rsidTr="00171449">
        <w:trPr>
          <w:cantSplit/>
          <w:trHeight w:hRule="exact" w:val="454"/>
        </w:trPr>
        <w:tc>
          <w:tcPr>
            <w:tcW w:w="1635" w:type="dxa"/>
            <w:shd w:val="clear" w:color="auto" w:fill="auto"/>
          </w:tcPr>
          <w:p w14:paraId="110D322B" w14:textId="77777777" w:rsidR="00C60582" w:rsidRPr="00171449" w:rsidRDefault="00C60582" w:rsidP="0093412E">
            <w:pPr>
              <w:spacing w:afterLines="50" w:after="120"/>
              <w:rPr>
                <w:b/>
                <w:sz w:val="18"/>
                <w:szCs w:val="18"/>
              </w:rPr>
            </w:pPr>
          </w:p>
        </w:tc>
        <w:tc>
          <w:tcPr>
            <w:tcW w:w="7580" w:type="dxa"/>
            <w:gridSpan w:val="4"/>
            <w:shd w:val="clear" w:color="auto" w:fill="auto"/>
          </w:tcPr>
          <w:p w14:paraId="424A5145" w14:textId="77777777" w:rsidR="00C60582" w:rsidRPr="00171449" w:rsidRDefault="00C60582" w:rsidP="0093412E">
            <w:pPr>
              <w:spacing w:afterLines="50" w:after="120"/>
              <w:ind w:rightChars="-265" w:right="-530"/>
              <w:jc w:val="center"/>
              <w:rPr>
                <w:b/>
                <w:sz w:val="18"/>
                <w:szCs w:val="18"/>
              </w:rPr>
            </w:pPr>
          </w:p>
        </w:tc>
      </w:tr>
      <w:tr w:rsidR="00A53D67" w:rsidRPr="00171449" w14:paraId="46B7F83A" w14:textId="77777777" w:rsidTr="00171449">
        <w:trPr>
          <w:cantSplit/>
          <w:trHeight w:hRule="exact" w:val="454"/>
        </w:trPr>
        <w:tc>
          <w:tcPr>
            <w:tcW w:w="1635" w:type="dxa"/>
            <w:shd w:val="clear" w:color="auto" w:fill="auto"/>
          </w:tcPr>
          <w:p w14:paraId="3D331B55" w14:textId="77777777" w:rsidR="00A53D67" w:rsidRPr="00171449" w:rsidRDefault="00A53D67" w:rsidP="00A53D67">
            <w:pPr>
              <w:spacing w:afterLines="50" w:after="120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6CAC64F7" w14:textId="77777777" w:rsidR="00A53D67" w:rsidRPr="00171449" w:rsidRDefault="00A53D67" w:rsidP="000266B9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 w:rsidRPr="00171449">
              <w:rPr>
                <w:b/>
                <w:sz w:val="18"/>
                <w:szCs w:val="18"/>
              </w:rPr>
              <w:t>Category 1</w:t>
            </w:r>
          </w:p>
        </w:tc>
        <w:tc>
          <w:tcPr>
            <w:tcW w:w="1983" w:type="dxa"/>
            <w:shd w:val="clear" w:color="auto" w:fill="auto"/>
          </w:tcPr>
          <w:p w14:paraId="2CAA56CF" w14:textId="77777777" w:rsidR="00A53D67" w:rsidRPr="00171449" w:rsidRDefault="00A53D67" w:rsidP="000266B9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 w:rsidRPr="00171449">
              <w:rPr>
                <w:b/>
                <w:sz w:val="18"/>
                <w:szCs w:val="18"/>
              </w:rPr>
              <w:t>Category 2</w:t>
            </w:r>
          </w:p>
        </w:tc>
        <w:tc>
          <w:tcPr>
            <w:tcW w:w="1733" w:type="dxa"/>
            <w:shd w:val="clear" w:color="auto" w:fill="auto"/>
          </w:tcPr>
          <w:p w14:paraId="1DD11F70" w14:textId="77777777" w:rsidR="00A53D67" w:rsidRPr="00171449" w:rsidRDefault="00A53D67" w:rsidP="000266B9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 w:rsidRPr="00171449">
              <w:rPr>
                <w:b/>
                <w:sz w:val="18"/>
                <w:szCs w:val="18"/>
              </w:rPr>
              <w:t>Category 3</w:t>
            </w:r>
          </w:p>
        </w:tc>
        <w:tc>
          <w:tcPr>
            <w:tcW w:w="1701" w:type="dxa"/>
            <w:shd w:val="clear" w:color="auto" w:fill="auto"/>
          </w:tcPr>
          <w:p w14:paraId="7AAFD62A" w14:textId="77777777" w:rsidR="00A53D67" w:rsidRPr="00171449" w:rsidRDefault="00A53D67" w:rsidP="000266B9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 w:rsidRPr="00171449">
              <w:rPr>
                <w:b/>
                <w:sz w:val="18"/>
                <w:szCs w:val="18"/>
              </w:rPr>
              <w:t>Category 4</w:t>
            </w:r>
          </w:p>
        </w:tc>
      </w:tr>
      <w:tr w:rsidR="00A53D67" w:rsidRPr="00171449" w14:paraId="418B743A" w14:textId="77777777" w:rsidTr="00171449">
        <w:trPr>
          <w:cantSplit/>
          <w:trHeight w:hRule="exact" w:val="454"/>
        </w:trPr>
        <w:tc>
          <w:tcPr>
            <w:tcW w:w="1635" w:type="dxa"/>
            <w:shd w:val="clear" w:color="auto" w:fill="auto"/>
          </w:tcPr>
          <w:p w14:paraId="1ABAA35D" w14:textId="77777777" w:rsidR="00A53D67" w:rsidRPr="00171449" w:rsidRDefault="00A53D67" w:rsidP="00A53D67">
            <w:pPr>
              <w:spacing w:afterLines="50" w:after="120"/>
              <w:rPr>
                <w:b/>
                <w:sz w:val="18"/>
                <w:szCs w:val="18"/>
              </w:rPr>
            </w:pPr>
            <w:r w:rsidRPr="00171449">
              <w:rPr>
                <w:b/>
                <w:sz w:val="18"/>
                <w:szCs w:val="18"/>
              </w:rPr>
              <w:t>Symbol</w:t>
            </w:r>
          </w:p>
        </w:tc>
        <w:tc>
          <w:tcPr>
            <w:tcW w:w="2163" w:type="dxa"/>
            <w:shd w:val="clear" w:color="auto" w:fill="auto"/>
          </w:tcPr>
          <w:p w14:paraId="0519D58B" w14:textId="77777777" w:rsidR="00A53D67" w:rsidRPr="000266B9" w:rsidRDefault="00A53D67" w:rsidP="000266B9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Flame</w:t>
            </w:r>
          </w:p>
        </w:tc>
        <w:tc>
          <w:tcPr>
            <w:tcW w:w="1983" w:type="dxa"/>
            <w:shd w:val="clear" w:color="auto" w:fill="auto"/>
          </w:tcPr>
          <w:p w14:paraId="4B21F629" w14:textId="77777777" w:rsidR="00A53D67" w:rsidRPr="000266B9" w:rsidRDefault="00A53D67" w:rsidP="000266B9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Flame</w:t>
            </w:r>
          </w:p>
        </w:tc>
        <w:tc>
          <w:tcPr>
            <w:tcW w:w="1733" w:type="dxa"/>
            <w:shd w:val="clear" w:color="auto" w:fill="auto"/>
          </w:tcPr>
          <w:p w14:paraId="70ED535D" w14:textId="77777777" w:rsidR="00A53D67" w:rsidRPr="000266B9" w:rsidRDefault="00A53D67" w:rsidP="000266B9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Flame</w:t>
            </w:r>
          </w:p>
        </w:tc>
        <w:tc>
          <w:tcPr>
            <w:tcW w:w="1701" w:type="dxa"/>
            <w:shd w:val="clear" w:color="auto" w:fill="auto"/>
          </w:tcPr>
          <w:p w14:paraId="5BA41A22" w14:textId="77777777" w:rsidR="00A53D67" w:rsidRPr="000266B9" w:rsidRDefault="00A53D67" w:rsidP="000266B9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0266B9">
              <w:rPr>
                <w:i/>
                <w:sz w:val="18"/>
                <w:szCs w:val="18"/>
              </w:rPr>
              <w:t>No Symbol</w:t>
            </w:r>
          </w:p>
        </w:tc>
      </w:tr>
      <w:tr w:rsidR="00A53D67" w:rsidRPr="00171449" w14:paraId="50A54215" w14:textId="77777777" w:rsidTr="00171449">
        <w:trPr>
          <w:cantSplit/>
          <w:trHeight w:hRule="exact" w:val="454"/>
        </w:trPr>
        <w:tc>
          <w:tcPr>
            <w:tcW w:w="1635" w:type="dxa"/>
            <w:shd w:val="clear" w:color="auto" w:fill="auto"/>
          </w:tcPr>
          <w:p w14:paraId="1DF6A1CD" w14:textId="77777777" w:rsidR="00A53D67" w:rsidRPr="00171449" w:rsidRDefault="00A53D67" w:rsidP="00A53D67">
            <w:pPr>
              <w:spacing w:afterLines="50" w:after="120"/>
              <w:rPr>
                <w:b/>
                <w:sz w:val="18"/>
                <w:szCs w:val="18"/>
              </w:rPr>
            </w:pPr>
            <w:r w:rsidRPr="00171449">
              <w:rPr>
                <w:b/>
                <w:sz w:val="18"/>
                <w:szCs w:val="18"/>
              </w:rPr>
              <w:t>Signal word</w:t>
            </w:r>
          </w:p>
        </w:tc>
        <w:tc>
          <w:tcPr>
            <w:tcW w:w="2163" w:type="dxa"/>
            <w:shd w:val="clear" w:color="auto" w:fill="auto"/>
          </w:tcPr>
          <w:p w14:paraId="19A9E8F3" w14:textId="77777777" w:rsidR="00A53D67" w:rsidRPr="000266B9" w:rsidRDefault="00A53D67" w:rsidP="000266B9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Danger</w:t>
            </w:r>
          </w:p>
        </w:tc>
        <w:tc>
          <w:tcPr>
            <w:tcW w:w="1983" w:type="dxa"/>
            <w:shd w:val="clear" w:color="auto" w:fill="auto"/>
          </w:tcPr>
          <w:p w14:paraId="265A83F3" w14:textId="77777777" w:rsidR="00A53D67" w:rsidRPr="000266B9" w:rsidRDefault="00A53D67" w:rsidP="000266B9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Danger</w:t>
            </w:r>
          </w:p>
        </w:tc>
        <w:tc>
          <w:tcPr>
            <w:tcW w:w="1733" w:type="dxa"/>
            <w:shd w:val="clear" w:color="auto" w:fill="auto"/>
          </w:tcPr>
          <w:p w14:paraId="7984DAAA" w14:textId="77777777" w:rsidR="00A53D67" w:rsidRPr="000266B9" w:rsidRDefault="00A53D67" w:rsidP="000266B9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Warning</w:t>
            </w:r>
          </w:p>
        </w:tc>
        <w:tc>
          <w:tcPr>
            <w:tcW w:w="1701" w:type="dxa"/>
            <w:shd w:val="clear" w:color="auto" w:fill="auto"/>
          </w:tcPr>
          <w:p w14:paraId="78C5A058" w14:textId="77777777" w:rsidR="00A53D67" w:rsidRPr="000266B9" w:rsidRDefault="00A53D67" w:rsidP="000266B9">
            <w:pPr>
              <w:spacing w:afterLines="50" w:after="120"/>
              <w:jc w:val="center"/>
              <w:rPr>
                <w:i/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Warning</w:t>
            </w:r>
          </w:p>
        </w:tc>
      </w:tr>
      <w:tr w:rsidR="00A53D67" w:rsidRPr="00171449" w14:paraId="7FB962D0" w14:textId="77777777" w:rsidTr="00171449">
        <w:trPr>
          <w:cantSplit/>
          <w:trHeight w:hRule="exact" w:val="860"/>
        </w:trPr>
        <w:tc>
          <w:tcPr>
            <w:tcW w:w="1635" w:type="dxa"/>
            <w:shd w:val="clear" w:color="auto" w:fill="auto"/>
          </w:tcPr>
          <w:p w14:paraId="6EE5120B" w14:textId="77777777" w:rsidR="00A53D67" w:rsidRPr="00171449" w:rsidRDefault="00A53D67" w:rsidP="00A53D67">
            <w:pPr>
              <w:rPr>
                <w:b/>
                <w:sz w:val="18"/>
                <w:szCs w:val="18"/>
              </w:rPr>
            </w:pPr>
            <w:r w:rsidRPr="00171449">
              <w:rPr>
                <w:b/>
                <w:sz w:val="18"/>
                <w:szCs w:val="18"/>
              </w:rPr>
              <w:t>Hazard statement</w:t>
            </w:r>
          </w:p>
        </w:tc>
        <w:tc>
          <w:tcPr>
            <w:tcW w:w="2163" w:type="dxa"/>
            <w:shd w:val="clear" w:color="auto" w:fill="auto"/>
          </w:tcPr>
          <w:p w14:paraId="64F217D8" w14:textId="77777777" w:rsidR="00A53D67" w:rsidRPr="000266B9" w:rsidRDefault="00A53D67" w:rsidP="000266B9">
            <w:pPr>
              <w:jc w:val="center"/>
              <w:rPr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Extremely flammable liquid and vapour</w:t>
            </w:r>
          </w:p>
        </w:tc>
        <w:tc>
          <w:tcPr>
            <w:tcW w:w="1983" w:type="dxa"/>
            <w:shd w:val="clear" w:color="auto" w:fill="auto"/>
          </w:tcPr>
          <w:p w14:paraId="3689B061" w14:textId="77777777" w:rsidR="00A53D67" w:rsidRPr="000266B9" w:rsidRDefault="00A53D67" w:rsidP="000266B9">
            <w:pPr>
              <w:jc w:val="center"/>
              <w:rPr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Highly flammable liquid and vapour</w:t>
            </w:r>
          </w:p>
        </w:tc>
        <w:tc>
          <w:tcPr>
            <w:tcW w:w="1733" w:type="dxa"/>
            <w:shd w:val="clear" w:color="auto" w:fill="auto"/>
          </w:tcPr>
          <w:p w14:paraId="5B405D31" w14:textId="77777777" w:rsidR="00A53D67" w:rsidRPr="000266B9" w:rsidRDefault="005908ED" w:rsidP="000266B9">
            <w:pPr>
              <w:jc w:val="center"/>
              <w:rPr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Flammable liquid and vapour</w:t>
            </w:r>
          </w:p>
        </w:tc>
        <w:tc>
          <w:tcPr>
            <w:tcW w:w="1701" w:type="dxa"/>
            <w:shd w:val="clear" w:color="auto" w:fill="auto"/>
          </w:tcPr>
          <w:p w14:paraId="4F44067A" w14:textId="77777777" w:rsidR="00A53D67" w:rsidRPr="000266B9" w:rsidRDefault="005908ED" w:rsidP="000266B9">
            <w:pPr>
              <w:jc w:val="center"/>
              <w:rPr>
                <w:sz w:val="18"/>
                <w:szCs w:val="18"/>
              </w:rPr>
            </w:pPr>
            <w:r w:rsidRPr="000266B9">
              <w:rPr>
                <w:sz w:val="18"/>
                <w:szCs w:val="18"/>
              </w:rPr>
              <w:t>Combustible liquid</w:t>
            </w:r>
          </w:p>
        </w:tc>
      </w:tr>
    </w:tbl>
    <w:p w14:paraId="4C96C0EA" w14:textId="77777777" w:rsidR="00D1270E" w:rsidRDefault="00B40862" w:rsidP="00171449">
      <w:pPr>
        <w:pStyle w:val="SingleTxtG"/>
        <w:spacing w:before="240"/>
      </w:pPr>
      <w:r>
        <w:lastRenderedPageBreak/>
        <w:t>So, it can be seen that</w:t>
      </w:r>
      <w:r>
        <w:rPr>
          <w:color w:val="FF0000"/>
        </w:rPr>
        <w:t xml:space="preserve"> </w:t>
      </w:r>
      <w:r>
        <w:t>there is precedent within GHS for distinction between “Combustible” and “Flammable” and general consistency in categorization is beneficial to overall understanding.</w:t>
      </w:r>
    </w:p>
    <w:p w14:paraId="483723F1" w14:textId="20709219" w:rsidR="00B40862" w:rsidRPr="0019685C" w:rsidRDefault="00171449" w:rsidP="00171449">
      <w:pPr>
        <w:pStyle w:val="H1G"/>
      </w:pPr>
      <w:r>
        <w:tab/>
      </w:r>
      <w:r w:rsidR="00F85E66" w:rsidRPr="00B5355E">
        <w:t>C</w:t>
      </w:r>
      <w:r>
        <w:t>.</w:t>
      </w:r>
      <w:r w:rsidR="00B40862" w:rsidRPr="00B5355E">
        <w:t xml:space="preserve"> </w:t>
      </w:r>
      <w:r w:rsidR="0019685C" w:rsidRPr="00B5355E">
        <w:tab/>
      </w:r>
      <w:r w:rsidR="0012044E">
        <w:t>In line with the way</w:t>
      </w:r>
      <w:r w:rsidR="00E66D46">
        <w:t xml:space="preserve"> in which flammable g</w:t>
      </w:r>
      <w:r w:rsidR="00B40862" w:rsidRPr="0019685C">
        <w:t xml:space="preserve">ases are dealt </w:t>
      </w:r>
      <w:proofErr w:type="spellStart"/>
      <w:r w:rsidR="00B40862" w:rsidRPr="0019685C">
        <w:t>within</w:t>
      </w:r>
      <w:proofErr w:type="spellEnd"/>
      <w:r w:rsidR="00B40862" w:rsidRPr="0019685C">
        <w:t xml:space="preserve"> a number of consensus standards</w:t>
      </w:r>
    </w:p>
    <w:p w14:paraId="4529EA14" w14:textId="0263D5BF" w:rsidR="00B40862" w:rsidRDefault="00090082" w:rsidP="000F3F20">
      <w:pPr>
        <w:pStyle w:val="SingleTxtG"/>
      </w:pPr>
      <w:r>
        <w:t>13</w:t>
      </w:r>
      <w:r w:rsidR="00171449">
        <w:t>.</w:t>
      </w:r>
      <w:r w:rsidR="00F85E66">
        <w:tab/>
      </w:r>
      <w:r w:rsidR="00B40862">
        <w:t>Presentations at the I</w:t>
      </w:r>
      <w:r w:rsidR="00E66D46">
        <w:t>WG</w:t>
      </w:r>
      <w:r w:rsidR="00B40862">
        <w:t xml:space="preserve"> meetings have shown that </w:t>
      </w:r>
      <w:r w:rsidR="00EF0B3C">
        <w:t>besides GHS,</w:t>
      </w:r>
      <w:r w:rsidR="00B40862">
        <w:t xml:space="preserve"> several gas classification standards </w:t>
      </w:r>
      <w:r w:rsidR="00EF0B3C">
        <w:t xml:space="preserve">exist </w:t>
      </w:r>
      <w:r w:rsidR="00B40862">
        <w:t xml:space="preserve">in which the category corresponding to the GHS Extremely Flammable category has been </w:t>
      </w:r>
      <w:r w:rsidR="00EF0B3C">
        <w:t xml:space="preserve">considered </w:t>
      </w:r>
      <w:r w:rsidR="00171449">
        <w:t xml:space="preserve">too broad. </w:t>
      </w:r>
      <w:r w:rsidR="00B40862">
        <w:t>It has been shown that the Association for Heating and Refrigeratio</w:t>
      </w:r>
      <w:r w:rsidR="00E66D46">
        <w:t>n Engineers, from its original f</w:t>
      </w:r>
      <w:r w:rsidR="00B40862">
        <w:t xml:space="preserve">lammable category, </w:t>
      </w:r>
      <w:r w:rsidR="00E66D46">
        <w:t>has divided that category into h</w:t>
      </w:r>
      <w:r w:rsidR="00B40862">
        <w:t xml:space="preserve">igh </w:t>
      </w:r>
      <w:r w:rsidR="00E66D46">
        <w:t>f</w:t>
      </w:r>
      <w:r w:rsidR="002836C0">
        <w:t xml:space="preserve">lammable </w:t>
      </w:r>
      <w:r w:rsidR="00E66D46">
        <w:t>and flammable, and then divided the flammable category into flammable 2 and f</w:t>
      </w:r>
      <w:r w:rsidR="00B40862">
        <w:t xml:space="preserve">lammable 2L, </w:t>
      </w:r>
      <w:r w:rsidR="008B3B13">
        <w:t xml:space="preserve">in which </w:t>
      </w:r>
      <w:r w:rsidR="00B40862">
        <w:t>2L represent</w:t>
      </w:r>
      <w:r w:rsidR="008B3B13">
        <w:t>s</w:t>
      </w:r>
      <w:r w:rsidR="00171449">
        <w:t xml:space="preserve"> a category with FBV&lt;10 cm/s. </w:t>
      </w:r>
      <w:r w:rsidR="00E06E39">
        <w:t>The same was done by the</w:t>
      </w:r>
      <w:r w:rsidR="00B40862">
        <w:t xml:space="preserve"> international organization</w:t>
      </w:r>
      <w:r w:rsidR="00E06E39">
        <w:t xml:space="preserve"> </w:t>
      </w:r>
      <w:r w:rsidR="00B40862">
        <w:t>I</w:t>
      </w:r>
      <w:r w:rsidR="00171449">
        <w:t>SO in ISO 817.</w:t>
      </w:r>
      <w:r w:rsidR="00B40862">
        <w:t xml:space="preserve"> NFPA, in the United States, has divided gases in NFPA 497, Recommended Practice for the Classification of Flammable Liquids, Gases, or </w:t>
      </w:r>
      <w:proofErr w:type="spellStart"/>
      <w:r w:rsidR="00B40862">
        <w:t>Vapors</w:t>
      </w:r>
      <w:proofErr w:type="spellEnd"/>
      <w:r w:rsidR="00B40862">
        <w:t xml:space="preserve">, and of Hazardous (Classified) Locations for Electrical Installations in Chemical Process Areas, </w:t>
      </w:r>
      <w:proofErr w:type="gramStart"/>
      <w:r w:rsidR="00B40862">
        <w:t>(</w:t>
      </w:r>
      <w:proofErr w:type="gramEnd"/>
      <w:r w:rsidR="00B40862">
        <w:t xml:space="preserve">2012 edition).  In this classification </w:t>
      </w:r>
      <w:r w:rsidR="00E06E39">
        <w:t>there are</w:t>
      </w:r>
      <w:r w:rsidR="00B40862">
        <w:t xml:space="preserve"> four Divisions, based on Maximum Experimental Safety Gap, all within the group of gases that in GHS are in Flammable Gas category 1.  In NFPA Standard 68, the differences </w:t>
      </w:r>
      <w:r w:rsidR="00E06E39">
        <w:t xml:space="preserve">between </w:t>
      </w:r>
      <w:r w:rsidR="00B40862">
        <w:t>gases within the large group of flammable gases is recognized by using a continuous scale/calculation, based on the actual Fundamental Burning Velocity rather than g</w:t>
      </w:r>
      <w:r w:rsidR="00171449">
        <w:t xml:space="preserve">rouping gases into categories. </w:t>
      </w:r>
      <w:r w:rsidR="00B40862">
        <w:t xml:space="preserve">So, it is clear that the industrial world has recognized </w:t>
      </w:r>
      <w:r w:rsidR="002836C0">
        <w:t>the</w:t>
      </w:r>
      <w:r w:rsidR="00B40862">
        <w:t xml:space="preserve"> need to classify gases more </w:t>
      </w:r>
      <w:r w:rsidR="00E06E39">
        <w:t>accurately</w:t>
      </w:r>
      <w:r w:rsidR="00B40862">
        <w:t xml:space="preserve">, and that industries </w:t>
      </w:r>
      <w:r w:rsidR="00E06E39">
        <w:t>achieved this by different ways</w:t>
      </w:r>
      <w:r w:rsidR="00171449">
        <w:t xml:space="preserve">. </w:t>
      </w:r>
      <w:r w:rsidR="00B40862">
        <w:t>Here we can hope to provide the building blocks for more industries and regulators to build their own risk mitigation structures,</w:t>
      </w:r>
      <w:r w:rsidR="00E66D46">
        <w:t xml:space="preserve"> and in doing so we should use label e</w:t>
      </w:r>
      <w:r w:rsidR="00B40862">
        <w:t xml:space="preserve">lements that most accurately describe the categories that we are setting.  </w:t>
      </w:r>
    </w:p>
    <w:p w14:paraId="47656EDA" w14:textId="484E78E2" w:rsidR="00E862A4" w:rsidRPr="0019685C" w:rsidRDefault="00171449" w:rsidP="00171449">
      <w:pPr>
        <w:pStyle w:val="H1G"/>
        <w:rPr>
          <w:b w:val="0"/>
        </w:rPr>
      </w:pPr>
      <w:r>
        <w:tab/>
      </w:r>
      <w:r w:rsidR="0019685C" w:rsidRPr="0019685C">
        <w:t>D</w:t>
      </w:r>
      <w:r>
        <w:t>.</w:t>
      </w:r>
      <w:r w:rsidR="00B40862" w:rsidRPr="0019685C">
        <w:t xml:space="preserve"> </w:t>
      </w:r>
      <w:r w:rsidR="0019685C" w:rsidRPr="0019685C">
        <w:tab/>
      </w:r>
      <w:r w:rsidR="00B40862" w:rsidRPr="0019685C">
        <w:t xml:space="preserve">A negligible change to </w:t>
      </w:r>
      <w:r w:rsidR="00E66D46">
        <w:t>current commercial practice in hazard c</w:t>
      </w:r>
      <w:r w:rsidR="00B40862" w:rsidRPr="0019685C">
        <w:t>ommunication</w:t>
      </w:r>
    </w:p>
    <w:p w14:paraId="195A72A5" w14:textId="0896C821" w:rsidR="00B40862" w:rsidRDefault="00090082" w:rsidP="00171449">
      <w:pPr>
        <w:pStyle w:val="SingleTxtG"/>
      </w:pPr>
      <w:r>
        <w:t>14</w:t>
      </w:r>
      <w:r w:rsidR="00171449">
        <w:t>.</w:t>
      </w:r>
      <w:r w:rsidR="00F85E66">
        <w:tab/>
      </w:r>
      <w:r w:rsidR="00B40862">
        <w:t>It has been reported and verified that there are no pure gases, and currently either no or few commerci</w:t>
      </w:r>
      <w:r w:rsidR="00171449">
        <w:t xml:space="preserve">al gas mixtures in Category 2. </w:t>
      </w:r>
      <w:r w:rsidR="00B40862">
        <w:t xml:space="preserve">A search of available commercial literature and SDS’s does not reveal any Category 2 gas.  </w:t>
      </w:r>
      <w:r w:rsidR="00E06E39">
        <w:t>For these reasons, the impact of the change</w:t>
      </w:r>
      <w:r w:rsidR="00B40862">
        <w:t xml:space="preserve"> from “Flammable” to “Combustible” </w:t>
      </w:r>
      <w:r w:rsidR="00EA18F9">
        <w:t xml:space="preserve">might </w:t>
      </w:r>
      <w:r w:rsidR="00B40862">
        <w:t xml:space="preserve">be negligible. </w:t>
      </w:r>
    </w:p>
    <w:p w14:paraId="449D7830" w14:textId="59FA1E86" w:rsidR="00B40862" w:rsidRDefault="00090082" w:rsidP="00171449">
      <w:pPr>
        <w:pStyle w:val="SingleTxtG"/>
      </w:pPr>
      <w:r>
        <w:t>15</w:t>
      </w:r>
      <w:r w:rsidR="00171449">
        <w:t>.</w:t>
      </w:r>
      <w:r w:rsidR="00F85E66">
        <w:tab/>
      </w:r>
      <w:r w:rsidR="00B40862">
        <w:t xml:space="preserve">The qualification of a gas as Category 1b is optional to </w:t>
      </w:r>
      <w:r w:rsidR="00CC7CDC">
        <w:t xml:space="preserve">those </w:t>
      </w:r>
      <w:r w:rsidR="00B40862">
        <w:t xml:space="preserve">wanting to take </w:t>
      </w:r>
      <w:r w:rsidR="00171449">
        <w:t xml:space="preserve">advantage of that subcategory. </w:t>
      </w:r>
      <w:r w:rsidR="00B40862">
        <w:t>So use of</w:t>
      </w:r>
      <w:r w:rsidR="00B40862" w:rsidRPr="00352A89">
        <w:t xml:space="preserve"> “Flammable</w:t>
      </w:r>
      <w:r w:rsidR="00B40862">
        <w:t>” would be well within acceptable</w:t>
      </w:r>
      <w:r w:rsidR="00B40862" w:rsidRPr="00352A89">
        <w:t xml:space="preserve"> requirements </w:t>
      </w:r>
      <w:r w:rsidR="00B40862">
        <w:t xml:space="preserve">to take advantage </w:t>
      </w:r>
      <w:r w:rsidR="00B40862" w:rsidRPr="00352A89">
        <w:t>of that option.</w:t>
      </w:r>
      <w:r w:rsidR="00B40862" w:rsidRPr="004A54D4">
        <w:rPr>
          <w:color w:val="FF0000"/>
        </w:rPr>
        <w:t xml:space="preserve"> </w:t>
      </w:r>
    </w:p>
    <w:p w14:paraId="68189410" w14:textId="2DE4BEEC" w:rsidR="00D1270E" w:rsidRDefault="000F747C" w:rsidP="00171449">
      <w:pPr>
        <w:pStyle w:val="SingleTxtG"/>
      </w:pPr>
      <w:r>
        <w:t>16</w:t>
      </w:r>
      <w:r w:rsidR="00171449">
        <w:t>.</w:t>
      </w:r>
      <w:r w:rsidR="00F85E66">
        <w:tab/>
      </w:r>
      <w:r w:rsidR="00B40862">
        <w:t xml:space="preserve">Because the Model Regulations for the Transport of Dangerous Goods (TDG) </w:t>
      </w:r>
      <w:r w:rsidR="00EA18F9">
        <w:t>d</w:t>
      </w:r>
      <w:r w:rsidR="00E66D46">
        <w:t>o not use the hazard s</w:t>
      </w:r>
      <w:r w:rsidR="00B40862">
        <w:t xml:space="preserve">tatements from GHS anyway, there would be no impact for TDG. </w:t>
      </w:r>
    </w:p>
    <w:p w14:paraId="04DB32D2" w14:textId="09328F98" w:rsidR="0019701E" w:rsidRDefault="00551F05" w:rsidP="00551F05">
      <w:pPr>
        <w:pStyle w:val="HChG"/>
      </w:pPr>
      <w:r>
        <w:tab/>
      </w:r>
      <w:r>
        <w:tab/>
      </w:r>
      <w:r w:rsidR="0019701E">
        <w:t>Proposal</w:t>
      </w:r>
    </w:p>
    <w:p w14:paraId="78F864C1" w14:textId="11934B60" w:rsidR="00CA5BA1" w:rsidRDefault="00090082" w:rsidP="00551F05">
      <w:pPr>
        <w:pStyle w:val="SingleTxtG"/>
      </w:pPr>
      <w:r>
        <w:t>1</w:t>
      </w:r>
      <w:r w:rsidR="000F747C">
        <w:t>7</w:t>
      </w:r>
      <w:r w:rsidR="00551F05">
        <w:t>.</w:t>
      </w:r>
      <w:r w:rsidR="00F85E66">
        <w:tab/>
      </w:r>
      <w:r w:rsidR="00B40862">
        <w:t xml:space="preserve">For the reasons stated above, the </w:t>
      </w:r>
      <w:r w:rsidR="00A53D67">
        <w:t xml:space="preserve">experts from Japan and Belgium propose the </w:t>
      </w:r>
      <w:r w:rsidR="00EB22EE">
        <w:t>following label elements for the different categories/subcategories of flammable gases</w:t>
      </w:r>
      <w:r w:rsidR="00A53D67">
        <w:t xml:space="preserve"> proposed by the I</w:t>
      </w:r>
      <w:r w:rsidR="00E66D46">
        <w:t>WG</w:t>
      </w:r>
      <w:r w:rsidR="00EB22EE">
        <w:t xml:space="preserve">. </w:t>
      </w:r>
      <w:r w:rsidR="00A53D67">
        <w:t xml:space="preserve"> </w:t>
      </w:r>
    </w:p>
    <w:p w14:paraId="00CB23BC" w14:textId="77777777" w:rsidR="000F3F20" w:rsidRDefault="000F3F20">
      <w:pPr>
        <w:suppressAutoHyphens w:val="0"/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29534AE7" w14:textId="18A0CF4C" w:rsidR="0093412E" w:rsidRPr="00551F05" w:rsidRDefault="00A53D67" w:rsidP="00551F05">
      <w:pPr>
        <w:pStyle w:val="SingleTxtG"/>
        <w:jc w:val="center"/>
        <w:rPr>
          <w:b/>
          <w:lang w:val="en-US"/>
        </w:rPr>
      </w:pPr>
      <w:r w:rsidRPr="00551F05">
        <w:rPr>
          <w:b/>
          <w:lang w:val="en-US"/>
        </w:rPr>
        <w:lastRenderedPageBreak/>
        <w:t>T</w:t>
      </w:r>
      <w:r w:rsidR="00551F05">
        <w:rPr>
          <w:b/>
          <w:lang w:val="en-US"/>
        </w:rPr>
        <w:t>able</w:t>
      </w:r>
      <w:r w:rsidRPr="00551F05">
        <w:rPr>
          <w:b/>
          <w:lang w:val="en-US"/>
        </w:rPr>
        <w:t xml:space="preserve"> 3</w:t>
      </w:r>
      <w:r w:rsidR="00E66D46">
        <w:rPr>
          <w:b/>
          <w:lang w:val="en-US"/>
        </w:rPr>
        <w:t xml:space="preserve">: </w:t>
      </w:r>
      <w:r w:rsidRPr="00551F05">
        <w:rPr>
          <w:b/>
          <w:lang w:val="en-US"/>
        </w:rPr>
        <w:t>Proposed Label elements for f</w:t>
      </w:r>
      <w:r w:rsidR="0093412E" w:rsidRPr="00551F05">
        <w:rPr>
          <w:b/>
          <w:lang w:val="en-US"/>
        </w:rPr>
        <w:t>lammable Gases</w:t>
      </w:r>
    </w:p>
    <w:tbl>
      <w:tblPr>
        <w:tblW w:w="822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407"/>
        <w:gridCol w:w="1701"/>
        <w:gridCol w:w="2410"/>
      </w:tblGrid>
      <w:tr w:rsidR="00A53D67" w:rsidRPr="00551F05" w14:paraId="6DACCC14" w14:textId="77777777" w:rsidTr="00551F05">
        <w:trPr>
          <w:cantSplit/>
          <w:trHeight w:hRule="exact" w:val="454"/>
          <w:jc w:val="center"/>
        </w:trPr>
        <w:tc>
          <w:tcPr>
            <w:tcW w:w="1704" w:type="dxa"/>
            <w:vMerge w:val="restart"/>
            <w:shd w:val="clear" w:color="auto" w:fill="auto"/>
          </w:tcPr>
          <w:p w14:paraId="7B6D3BC8" w14:textId="77777777" w:rsidR="00A53D67" w:rsidRPr="00551F05" w:rsidRDefault="00A53D67" w:rsidP="00B40862">
            <w:pPr>
              <w:spacing w:afterLines="50" w:after="120"/>
              <w:rPr>
                <w:b/>
                <w:sz w:val="18"/>
                <w:szCs w:val="18"/>
              </w:rPr>
            </w:pPr>
          </w:p>
        </w:tc>
        <w:tc>
          <w:tcPr>
            <w:tcW w:w="6518" w:type="dxa"/>
            <w:gridSpan w:val="3"/>
            <w:shd w:val="clear" w:color="auto" w:fill="auto"/>
          </w:tcPr>
          <w:p w14:paraId="289B6CE1" w14:textId="74EC7ABF" w:rsidR="00A53D67" w:rsidRPr="00551F05" w:rsidRDefault="00E66D46" w:rsidP="00E66D46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Flammable g</w:t>
            </w:r>
            <w:r w:rsidR="00A53D67" w:rsidRPr="00551F05">
              <w:rPr>
                <w:b/>
                <w:sz w:val="18"/>
                <w:szCs w:val="18"/>
              </w:rPr>
              <w:t>ases</w:t>
            </w:r>
          </w:p>
        </w:tc>
      </w:tr>
      <w:tr w:rsidR="00B56A66" w:rsidRPr="00551F05" w14:paraId="7A825D4B" w14:textId="77777777" w:rsidTr="00551F05">
        <w:trPr>
          <w:cantSplit/>
          <w:trHeight w:hRule="exact" w:val="454"/>
          <w:jc w:val="center"/>
        </w:trPr>
        <w:tc>
          <w:tcPr>
            <w:tcW w:w="1704" w:type="dxa"/>
            <w:vMerge/>
            <w:shd w:val="clear" w:color="auto" w:fill="auto"/>
          </w:tcPr>
          <w:p w14:paraId="191DFB07" w14:textId="77777777" w:rsidR="00B56A66" w:rsidRPr="00551F05" w:rsidRDefault="00B56A66" w:rsidP="00B40862">
            <w:pPr>
              <w:spacing w:afterLines="50" w:after="120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auto"/>
          </w:tcPr>
          <w:p w14:paraId="2E33F46A" w14:textId="77777777" w:rsidR="00B56A66" w:rsidRPr="00551F05" w:rsidRDefault="00B56A66" w:rsidP="00E66D46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 w:rsidRPr="00551F05">
              <w:rPr>
                <w:b/>
                <w:sz w:val="18"/>
                <w:szCs w:val="18"/>
              </w:rPr>
              <w:t>Category 1/1a</w:t>
            </w:r>
          </w:p>
        </w:tc>
        <w:tc>
          <w:tcPr>
            <w:tcW w:w="1701" w:type="dxa"/>
            <w:shd w:val="clear" w:color="auto" w:fill="auto"/>
          </w:tcPr>
          <w:p w14:paraId="1A345B2E" w14:textId="77777777" w:rsidR="00B56A66" w:rsidRPr="00551F05" w:rsidRDefault="00B56A66" w:rsidP="00E66D46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 w:rsidRPr="00551F05">
              <w:rPr>
                <w:b/>
                <w:sz w:val="18"/>
                <w:szCs w:val="18"/>
              </w:rPr>
              <w:t>Category 1b</w:t>
            </w:r>
          </w:p>
        </w:tc>
        <w:tc>
          <w:tcPr>
            <w:tcW w:w="2410" w:type="dxa"/>
            <w:shd w:val="clear" w:color="auto" w:fill="auto"/>
          </w:tcPr>
          <w:p w14:paraId="659AB0ED" w14:textId="77777777" w:rsidR="00B56A66" w:rsidRPr="00551F05" w:rsidRDefault="00B56A66" w:rsidP="00E66D46">
            <w:pPr>
              <w:spacing w:afterLines="50" w:after="120"/>
              <w:jc w:val="center"/>
              <w:rPr>
                <w:b/>
                <w:sz w:val="18"/>
                <w:szCs w:val="18"/>
              </w:rPr>
            </w:pPr>
            <w:r w:rsidRPr="00551F05">
              <w:rPr>
                <w:b/>
                <w:sz w:val="18"/>
                <w:szCs w:val="18"/>
              </w:rPr>
              <w:t>Category 2</w:t>
            </w:r>
          </w:p>
        </w:tc>
      </w:tr>
      <w:tr w:rsidR="00B56A66" w:rsidRPr="00551F05" w14:paraId="4DD0AA1B" w14:textId="77777777" w:rsidTr="00551F05">
        <w:trPr>
          <w:cantSplit/>
          <w:trHeight w:hRule="exact" w:val="454"/>
          <w:jc w:val="center"/>
        </w:trPr>
        <w:tc>
          <w:tcPr>
            <w:tcW w:w="1704" w:type="dxa"/>
            <w:shd w:val="clear" w:color="auto" w:fill="auto"/>
          </w:tcPr>
          <w:p w14:paraId="76420758" w14:textId="77777777" w:rsidR="00B56A66" w:rsidRPr="00551F05" w:rsidRDefault="00B56A66" w:rsidP="00B40862">
            <w:pPr>
              <w:spacing w:afterLines="50" w:after="120"/>
              <w:rPr>
                <w:b/>
                <w:sz w:val="18"/>
                <w:szCs w:val="18"/>
              </w:rPr>
            </w:pPr>
            <w:r w:rsidRPr="00551F05">
              <w:rPr>
                <w:b/>
                <w:sz w:val="18"/>
                <w:szCs w:val="18"/>
              </w:rPr>
              <w:t>Symbol</w:t>
            </w:r>
          </w:p>
        </w:tc>
        <w:tc>
          <w:tcPr>
            <w:tcW w:w="2407" w:type="dxa"/>
            <w:shd w:val="clear" w:color="auto" w:fill="auto"/>
          </w:tcPr>
          <w:p w14:paraId="5E20B9F8" w14:textId="77777777" w:rsidR="00B56A66" w:rsidRPr="00E66D46" w:rsidRDefault="00B56A66" w:rsidP="00E66D46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E66D46">
              <w:rPr>
                <w:sz w:val="18"/>
                <w:szCs w:val="18"/>
              </w:rPr>
              <w:t>Flame</w:t>
            </w:r>
          </w:p>
        </w:tc>
        <w:tc>
          <w:tcPr>
            <w:tcW w:w="1701" w:type="dxa"/>
            <w:shd w:val="clear" w:color="auto" w:fill="auto"/>
          </w:tcPr>
          <w:p w14:paraId="288B5ACD" w14:textId="77777777" w:rsidR="00B56A66" w:rsidRPr="00E66D46" w:rsidRDefault="00B56A66" w:rsidP="00E66D46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E66D46">
              <w:rPr>
                <w:sz w:val="18"/>
                <w:szCs w:val="18"/>
              </w:rPr>
              <w:t>Flame</w:t>
            </w:r>
          </w:p>
        </w:tc>
        <w:tc>
          <w:tcPr>
            <w:tcW w:w="2410" w:type="dxa"/>
            <w:shd w:val="clear" w:color="auto" w:fill="auto"/>
          </w:tcPr>
          <w:p w14:paraId="0527400B" w14:textId="77777777" w:rsidR="00B56A66" w:rsidRPr="00E66D46" w:rsidRDefault="00B56A66" w:rsidP="00E66D46">
            <w:pPr>
              <w:spacing w:afterLines="50" w:after="120"/>
              <w:jc w:val="center"/>
              <w:rPr>
                <w:i/>
                <w:sz w:val="18"/>
                <w:szCs w:val="18"/>
                <w:lang w:val="en-US" w:eastAsia="ja-JP"/>
              </w:rPr>
            </w:pPr>
            <w:r w:rsidRPr="00E66D46">
              <w:rPr>
                <w:i/>
                <w:sz w:val="18"/>
                <w:szCs w:val="18"/>
              </w:rPr>
              <w:t>No Symbol</w:t>
            </w:r>
          </w:p>
        </w:tc>
      </w:tr>
      <w:tr w:rsidR="00B56A66" w:rsidRPr="00551F05" w14:paraId="6A20AAFE" w14:textId="77777777" w:rsidTr="00551F05">
        <w:trPr>
          <w:cantSplit/>
          <w:trHeight w:hRule="exact" w:val="454"/>
          <w:jc w:val="center"/>
        </w:trPr>
        <w:tc>
          <w:tcPr>
            <w:tcW w:w="1704" w:type="dxa"/>
            <w:shd w:val="clear" w:color="auto" w:fill="auto"/>
          </w:tcPr>
          <w:p w14:paraId="591AABEB" w14:textId="77777777" w:rsidR="00B56A66" w:rsidRPr="00551F05" w:rsidRDefault="00B56A66" w:rsidP="00B40862">
            <w:pPr>
              <w:spacing w:afterLines="50" w:after="120"/>
              <w:rPr>
                <w:b/>
                <w:sz w:val="18"/>
                <w:szCs w:val="18"/>
              </w:rPr>
            </w:pPr>
            <w:r w:rsidRPr="00551F05">
              <w:rPr>
                <w:b/>
                <w:sz w:val="18"/>
                <w:szCs w:val="18"/>
              </w:rPr>
              <w:t>Signal word</w:t>
            </w:r>
          </w:p>
        </w:tc>
        <w:tc>
          <w:tcPr>
            <w:tcW w:w="2407" w:type="dxa"/>
            <w:shd w:val="clear" w:color="auto" w:fill="auto"/>
          </w:tcPr>
          <w:p w14:paraId="6F42359A" w14:textId="77777777" w:rsidR="00B56A66" w:rsidRPr="00E66D46" w:rsidRDefault="00B56A66" w:rsidP="00E66D46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E66D46">
              <w:rPr>
                <w:sz w:val="18"/>
                <w:szCs w:val="18"/>
              </w:rPr>
              <w:t>Danger</w:t>
            </w:r>
          </w:p>
        </w:tc>
        <w:tc>
          <w:tcPr>
            <w:tcW w:w="1701" w:type="dxa"/>
            <w:shd w:val="clear" w:color="auto" w:fill="auto"/>
          </w:tcPr>
          <w:p w14:paraId="5A0F4FFA" w14:textId="77777777" w:rsidR="00B56A66" w:rsidRPr="00E66D46" w:rsidRDefault="00B56A66" w:rsidP="00E66D46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E66D46">
              <w:rPr>
                <w:sz w:val="18"/>
                <w:szCs w:val="18"/>
              </w:rPr>
              <w:t>Warning</w:t>
            </w:r>
          </w:p>
        </w:tc>
        <w:tc>
          <w:tcPr>
            <w:tcW w:w="2410" w:type="dxa"/>
            <w:shd w:val="clear" w:color="auto" w:fill="auto"/>
          </w:tcPr>
          <w:p w14:paraId="187C0D8D" w14:textId="77777777" w:rsidR="00B56A66" w:rsidRPr="00E66D46" w:rsidRDefault="00B56A66" w:rsidP="00E66D46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E66D46">
              <w:rPr>
                <w:sz w:val="18"/>
                <w:szCs w:val="18"/>
              </w:rPr>
              <w:t>Warning</w:t>
            </w:r>
          </w:p>
        </w:tc>
      </w:tr>
      <w:tr w:rsidR="00B56A66" w:rsidRPr="00551F05" w14:paraId="5FDB406F" w14:textId="77777777" w:rsidTr="00551F05">
        <w:trPr>
          <w:cantSplit/>
          <w:trHeight w:hRule="exact" w:val="840"/>
          <w:jc w:val="center"/>
        </w:trPr>
        <w:tc>
          <w:tcPr>
            <w:tcW w:w="1704" w:type="dxa"/>
            <w:shd w:val="clear" w:color="auto" w:fill="auto"/>
          </w:tcPr>
          <w:p w14:paraId="024CCB23" w14:textId="77777777" w:rsidR="00B56A66" w:rsidRPr="00551F05" w:rsidRDefault="00B56A66" w:rsidP="00B40862">
            <w:pPr>
              <w:spacing w:afterLines="50" w:after="120"/>
              <w:rPr>
                <w:b/>
                <w:sz w:val="18"/>
                <w:szCs w:val="18"/>
              </w:rPr>
            </w:pPr>
            <w:r w:rsidRPr="00551F05">
              <w:rPr>
                <w:b/>
                <w:sz w:val="18"/>
                <w:szCs w:val="18"/>
              </w:rPr>
              <w:t>Hazard statement</w:t>
            </w:r>
          </w:p>
        </w:tc>
        <w:tc>
          <w:tcPr>
            <w:tcW w:w="2407" w:type="dxa"/>
            <w:shd w:val="clear" w:color="auto" w:fill="auto"/>
          </w:tcPr>
          <w:p w14:paraId="5719B0AA" w14:textId="77777777" w:rsidR="00B56A66" w:rsidRPr="00E66D46" w:rsidRDefault="00B56A66" w:rsidP="00E66D46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E66D46">
              <w:rPr>
                <w:sz w:val="18"/>
                <w:szCs w:val="18"/>
              </w:rPr>
              <w:t>Extremely flammable gas</w:t>
            </w:r>
          </w:p>
        </w:tc>
        <w:tc>
          <w:tcPr>
            <w:tcW w:w="1701" w:type="dxa"/>
            <w:shd w:val="clear" w:color="auto" w:fill="auto"/>
          </w:tcPr>
          <w:p w14:paraId="0F9B5762" w14:textId="77777777" w:rsidR="00B56A66" w:rsidRPr="00E66D46" w:rsidRDefault="00B56A66" w:rsidP="00E66D46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E66D46">
              <w:rPr>
                <w:sz w:val="18"/>
                <w:szCs w:val="18"/>
              </w:rPr>
              <w:t>Flammable gas</w:t>
            </w:r>
          </w:p>
        </w:tc>
        <w:tc>
          <w:tcPr>
            <w:tcW w:w="2410" w:type="dxa"/>
            <w:shd w:val="clear" w:color="auto" w:fill="auto"/>
          </w:tcPr>
          <w:p w14:paraId="55740B1D" w14:textId="77777777" w:rsidR="00B56A66" w:rsidRPr="00E66D46" w:rsidRDefault="00B56A66" w:rsidP="00E66D46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E66D46">
              <w:rPr>
                <w:sz w:val="18"/>
                <w:szCs w:val="18"/>
              </w:rPr>
              <w:t>Combustible gas</w:t>
            </w:r>
          </w:p>
        </w:tc>
      </w:tr>
    </w:tbl>
    <w:p w14:paraId="237416FC" w14:textId="77777777" w:rsidR="00B40862" w:rsidRDefault="00B40862" w:rsidP="00551F05">
      <w:pPr>
        <w:pStyle w:val="SingleTxtG"/>
        <w:spacing w:before="360"/>
      </w:pPr>
      <w:r>
        <w:t xml:space="preserve">(*) The reason, as we understand it, is as follows:  These gases are produced in limited quantities and contained in small size (50 </w:t>
      </w:r>
      <w:proofErr w:type="spellStart"/>
      <w:r>
        <w:t>liter</w:t>
      </w:r>
      <w:r w:rsidR="00774F60">
        <w:t>s</w:t>
      </w:r>
      <w:proofErr w:type="spellEnd"/>
      <w:r>
        <w:t xml:space="preserve"> or less, 200 atm.) pressure bottles.  </w:t>
      </w:r>
      <w:r w:rsidR="00EA18F9">
        <w:t>Even i</w:t>
      </w:r>
      <w:r>
        <w:t xml:space="preserve">f the entire contents of such a bottle leak out, the result may be </w:t>
      </w:r>
      <w:r w:rsidR="00EA18F9">
        <w:t xml:space="preserve">diffusion of </w:t>
      </w:r>
      <w:r>
        <w:t xml:space="preserve">1 cubic meter of gas </w:t>
      </w:r>
      <w:r w:rsidR="00EA18F9">
        <w:t xml:space="preserve">under </w:t>
      </w:r>
      <w:r>
        <w:t>standard atmospheric pressure.  In a semi-enclosed space of 25m</w:t>
      </w:r>
      <w:r w:rsidRPr="00016283">
        <w:rPr>
          <w:vertAlign w:val="superscript"/>
        </w:rPr>
        <w:t>3</w:t>
      </w:r>
      <w:r>
        <w:t xml:space="preserve"> (about the size of a standard half size shipping container) this would amount to only a 4% concentration, below the LFL of the proposed Category 1b.  To reach the LFL of Category 2, assuming no leakage to the outside, three </w:t>
      </w:r>
      <w:r w:rsidR="00EA18F9">
        <w:t xml:space="preserve">of </w:t>
      </w:r>
      <w:r>
        <w:t xml:space="preserve">times this concentration would be required.  </w:t>
      </w:r>
    </w:p>
    <w:p w14:paraId="37A286DB" w14:textId="0EAB40B2" w:rsidR="00145D96" w:rsidRDefault="00B40862" w:rsidP="00551F05">
      <w:pPr>
        <w:pStyle w:val="SingleTxtG"/>
      </w:pPr>
      <w:r w:rsidRPr="00145D96">
        <w:t>(**)  In the videos, this is seen by the immediate rise in the flame from th</w:t>
      </w:r>
      <w:r w:rsidR="00145D96" w:rsidRPr="00145D96">
        <w:t xml:space="preserve">e ignition source regardless of </w:t>
      </w:r>
      <w:r w:rsidRPr="00145D96">
        <w:t xml:space="preserve">whether the flammable gas is lighter than air, such as ammonia, or heavier than air, such as </w:t>
      </w:r>
      <w:proofErr w:type="spellStart"/>
      <w:r w:rsidR="00774F60">
        <w:t>difluoromethane</w:t>
      </w:r>
      <w:proofErr w:type="spellEnd"/>
      <w:r w:rsidR="00551F05">
        <w:t xml:space="preserve">. </w:t>
      </w:r>
      <w:r w:rsidRPr="00145D96">
        <w:t xml:space="preserve">The subsequent spread and downward propagation of the flame in the test vessel is due to the fact that the bottom of the test chamber remains filled </w:t>
      </w:r>
      <w:r w:rsidR="00774F60">
        <w:t>with</w:t>
      </w:r>
      <w:r w:rsidR="00774F60" w:rsidRPr="00145D96">
        <w:t xml:space="preserve"> </w:t>
      </w:r>
      <w:r w:rsidRPr="00145D96">
        <w:t>the homogenized fuel/air mixture</w:t>
      </w:r>
      <w:r w:rsidR="00B11E5C" w:rsidRPr="00145D96">
        <w:t>.</w:t>
      </w:r>
      <w:r w:rsidR="00145D96" w:rsidRPr="00145D96">
        <w:t xml:space="preserve">  </w:t>
      </w:r>
    </w:p>
    <w:p w14:paraId="711C5A12" w14:textId="1A78A5BE" w:rsidR="005C2EC9" w:rsidRPr="00551F05" w:rsidRDefault="00551F05" w:rsidP="00551F05">
      <w:pPr>
        <w:spacing w:before="240" w:after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2EC9" w:rsidRPr="00551F05" w:rsidSect="005D58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2268" w:right="1134" w:bottom="1701" w:left="1134" w:header="170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15CE" w14:textId="77777777" w:rsidR="00D117D0" w:rsidRDefault="00D117D0"/>
  </w:endnote>
  <w:endnote w:type="continuationSeparator" w:id="0">
    <w:p w14:paraId="51C6D986" w14:textId="77777777" w:rsidR="00D117D0" w:rsidRDefault="00D117D0"/>
  </w:endnote>
  <w:endnote w:type="continuationNotice" w:id="1">
    <w:p w14:paraId="46081CBC" w14:textId="77777777" w:rsidR="00D117D0" w:rsidRDefault="00D11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A625" w14:textId="77777777" w:rsidR="00CC7CDC" w:rsidRPr="0099001C" w:rsidRDefault="00CC7CD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2127B9">
      <w:rPr>
        <w:b/>
        <w:noProof/>
        <w:sz w:val="18"/>
      </w:rPr>
      <w:t>4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F4AC" w14:textId="77777777" w:rsidR="00CC7CDC" w:rsidRPr="0099001C" w:rsidRDefault="00CC7CD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2127B9"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81266" w14:textId="77777777" w:rsidR="00D117D0" w:rsidRPr="000B175B" w:rsidRDefault="00D117D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DA067F" w14:textId="77777777" w:rsidR="00D117D0" w:rsidRPr="00FC68B7" w:rsidRDefault="00D117D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ECE7FA" w14:textId="77777777" w:rsidR="00D117D0" w:rsidRDefault="00D117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71CC" w14:textId="39388DBD" w:rsidR="00CC7CDC" w:rsidRPr="0099001C" w:rsidRDefault="00CC7CDC" w:rsidP="009F6924">
    <w:pPr>
      <w:pStyle w:val="Header"/>
    </w:pPr>
    <w:r w:rsidRPr="006E4850">
      <w:t>U</w:t>
    </w:r>
    <w:r>
      <w:t>N/SCETDG</w:t>
    </w:r>
    <w:r w:rsidRPr="006E4850">
      <w:t>/</w:t>
    </w:r>
    <w:r>
      <w:t>48</w:t>
    </w:r>
    <w:r w:rsidR="00171449">
      <w:t>/INF.24</w:t>
    </w:r>
  </w:p>
  <w:p w14:paraId="707862C4" w14:textId="49A258D6" w:rsidR="00CC7CDC" w:rsidRPr="0099001C" w:rsidRDefault="00CC7CDC" w:rsidP="00366CA7">
    <w:pPr>
      <w:pStyle w:val="Header"/>
    </w:pPr>
    <w:r w:rsidRPr="006E4850">
      <w:t>UN/SCEGHS/</w:t>
    </w:r>
    <w:r>
      <w:t>30</w:t>
    </w:r>
    <w:r w:rsidR="00171449">
      <w:t>/INF.7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97B2F" w14:textId="68361A94" w:rsidR="00CC7CDC" w:rsidRPr="0099001C" w:rsidRDefault="00537B86" w:rsidP="009F6924">
    <w:pPr>
      <w:pStyle w:val="Header"/>
      <w:jc w:val="right"/>
    </w:pPr>
    <w:r>
      <w:t>UN/SCEGDG/48/INF.24</w:t>
    </w:r>
  </w:p>
  <w:p w14:paraId="6B177411" w14:textId="7AE35AAD" w:rsidR="00CC7CDC" w:rsidRPr="0099001C" w:rsidRDefault="00537B86" w:rsidP="0099001C">
    <w:pPr>
      <w:pStyle w:val="Header"/>
      <w:jc w:val="right"/>
    </w:pPr>
    <w:r>
      <w:t>UN/SCEGHS/30/INF.7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8B3BD" w14:textId="77777777" w:rsidR="00537B86" w:rsidRDefault="00537B86" w:rsidP="002127B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00"/>
    <w:multiLevelType w:val="hybridMultilevel"/>
    <w:tmpl w:val="9E3E1666"/>
    <w:lvl w:ilvl="0" w:tplc="16FAC928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E76A0"/>
    <w:multiLevelType w:val="hybridMultilevel"/>
    <w:tmpl w:val="BEE84CD8"/>
    <w:lvl w:ilvl="0" w:tplc="4A481BDA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834"/>
    <w:rsid w:val="00016283"/>
    <w:rsid w:val="000266B9"/>
    <w:rsid w:val="00033B3D"/>
    <w:rsid w:val="00042736"/>
    <w:rsid w:val="00050F6B"/>
    <w:rsid w:val="0006257C"/>
    <w:rsid w:val="00072C8C"/>
    <w:rsid w:val="00081647"/>
    <w:rsid w:val="00090082"/>
    <w:rsid w:val="000931C0"/>
    <w:rsid w:val="000B175B"/>
    <w:rsid w:val="000B3A0F"/>
    <w:rsid w:val="000C6544"/>
    <w:rsid w:val="000D10AA"/>
    <w:rsid w:val="000D409C"/>
    <w:rsid w:val="000E0415"/>
    <w:rsid w:val="000E5843"/>
    <w:rsid w:val="000F3F20"/>
    <w:rsid w:val="000F747C"/>
    <w:rsid w:val="0012044E"/>
    <w:rsid w:val="001220B8"/>
    <w:rsid w:val="00145D96"/>
    <w:rsid w:val="00156F3C"/>
    <w:rsid w:val="00162BF7"/>
    <w:rsid w:val="00171449"/>
    <w:rsid w:val="00190AEA"/>
    <w:rsid w:val="0019685C"/>
    <w:rsid w:val="0019701E"/>
    <w:rsid w:val="001B4B04"/>
    <w:rsid w:val="001C6663"/>
    <w:rsid w:val="001C7895"/>
    <w:rsid w:val="001D26DF"/>
    <w:rsid w:val="001D6641"/>
    <w:rsid w:val="001E1DC9"/>
    <w:rsid w:val="001E47FD"/>
    <w:rsid w:val="001F4D71"/>
    <w:rsid w:val="00211E0B"/>
    <w:rsid w:val="002127B9"/>
    <w:rsid w:val="00235D42"/>
    <w:rsid w:val="002405A7"/>
    <w:rsid w:val="0025322D"/>
    <w:rsid w:val="00255142"/>
    <w:rsid w:val="00257E45"/>
    <w:rsid w:val="00262488"/>
    <w:rsid w:val="00262F84"/>
    <w:rsid w:val="002836C0"/>
    <w:rsid w:val="002B5942"/>
    <w:rsid w:val="002D59D3"/>
    <w:rsid w:val="00300C00"/>
    <w:rsid w:val="003107FA"/>
    <w:rsid w:val="003127A2"/>
    <w:rsid w:val="003229D8"/>
    <w:rsid w:val="0033745A"/>
    <w:rsid w:val="003565F9"/>
    <w:rsid w:val="003642AF"/>
    <w:rsid w:val="003648B6"/>
    <w:rsid w:val="00366CA7"/>
    <w:rsid w:val="0039277A"/>
    <w:rsid w:val="003972E0"/>
    <w:rsid w:val="003A0CFC"/>
    <w:rsid w:val="003B7232"/>
    <w:rsid w:val="003C2CC4"/>
    <w:rsid w:val="003C3936"/>
    <w:rsid w:val="003D4B23"/>
    <w:rsid w:val="003F1ED3"/>
    <w:rsid w:val="00405975"/>
    <w:rsid w:val="004234CE"/>
    <w:rsid w:val="004325CB"/>
    <w:rsid w:val="00446DE4"/>
    <w:rsid w:val="00454028"/>
    <w:rsid w:val="00460DD9"/>
    <w:rsid w:val="00467F71"/>
    <w:rsid w:val="004A3B0F"/>
    <w:rsid w:val="004A41CA"/>
    <w:rsid w:val="004B7156"/>
    <w:rsid w:val="004D0CBB"/>
    <w:rsid w:val="004D39BF"/>
    <w:rsid w:val="004E7ED6"/>
    <w:rsid w:val="004F770A"/>
    <w:rsid w:val="005031F0"/>
    <w:rsid w:val="00503228"/>
    <w:rsid w:val="00505384"/>
    <w:rsid w:val="00515F01"/>
    <w:rsid w:val="00532EF8"/>
    <w:rsid w:val="00537B86"/>
    <w:rsid w:val="0054104E"/>
    <w:rsid w:val="005420F2"/>
    <w:rsid w:val="00551F05"/>
    <w:rsid w:val="00556993"/>
    <w:rsid w:val="005720E0"/>
    <w:rsid w:val="005908ED"/>
    <w:rsid w:val="005B2C89"/>
    <w:rsid w:val="005B3DB3"/>
    <w:rsid w:val="005C2EC9"/>
    <w:rsid w:val="005D2C29"/>
    <w:rsid w:val="005D5807"/>
    <w:rsid w:val="005E22FE"/>
    <w:rsid w:val="00603A59"/>
    <w:rsid w:val="00611FC4"/>
    <w:rsid w:val="00613B9E"/>
    <w:rsid w:val="006176FB"/>
    <w:rsid w:val="00627ED0"/>
    <w:rsid w:val="0063100B"/>
    <w:rsid w:val="00640B26"/>
    <w:rsid w:val="006516AF"/>
    <w:rsid w:val="006565C7"/>
    <w:rsid w:val="00665595"/>
    <w:rsid w:val="00691F20"/>
    <w:rsid w:val="00693543"/>
    <w:rsid w:val="006A7392"/>
    <w:rsid w:val="006A7757"/>
    <w:rsid w:val="006B07FC"/>
    <w:rsid w:val="006E4850"/>
    <w:rsid w:val="006E564B"/>
    <w:rsid w:val="006F2155"/>
    <w:rsid w:val="006F398E"/>
    <w:rsid w:val="00710EE8"/>
    <w:rsid w:val="0071349F"/>
    <w:rsid w:val="00720DEB"/>
    <w:rsid w:val="0072632A"/>
    <w:rsid w:val="00733AAE"/>
    <w:rsid w:val="00774F60"/>
    <w:rsid w:val="0077641B"/>
    <w:rsid w:val="00781A60"/>
    <w:rsid w:val="007826A3"/>
    <w:rsid w:val="00793E09"/>
    <w:rsid w:val="007A0B22"/>
    <w:rsid w:val="007B6BA5"/>
    <w:rsid w:val="007C3390"/>
    <w:rsid w:val="007C4F4B"/>
    <w:rsid w:val="007F0B83"/>
    <w:rsid w:val="007F48EF"/>
    <w:rsid w:val="007F4FCD"/>
    <w:rsid w:val="007F6611"/>
    <w:rsid w:val="0081170A"/>
    <w:rsid w:val="0081732C"/>
    <w:rsid w:val="008175E9"/>
    <w:rsid w:val="008242D7"/>
    <w:rsid w:val="00827E05"/>
    <w:rsid w:val="008311A3"/>
    <w:rsid w:val="00832A26"/>
    <w:rsid w:val="00836AF7"/>
    <w:rsid w:val="00871FD5"/>
    <w:rsid w:val="00883434"/>
    <w:rsid w:val="00890677"/>
    <w:rsid w:val="008979B1"/>
    <w:rsid w:val="008A0563"/>
    <w:rsid w:val="008A6B25"/>
    <w:rsid w:val="008A6C4F"/>
    <w:rsid w:val="008B3B13"/>
    <w:rsid w:val="008B6C79"/>
    <w:rsid w:val="008B6E26"/>
    <w:rsid w:val="008E0E46"/>
    <w:rsid w:val="008E4C4C"/>
    <w:rsid w:val="00907AD2"/>
    <w:rsid w:val="00911047"/>
    <w:rsid w:val="0093412E"/>
    <w:rsid w:val="00963CBA"/>
    <w:rsid w:val="009650E6"/>
    <w:rsid w:val="00974A8D"/>
    <w:rsid w:val="0099001C"/>
    <w:rsid w:val="00991261"/>
    <w:rsid w:val="009A6014"/>
    <w:rsid w:val="009A6056"/>
    <w:rsid w:val="009B5C02"/>
    <w:rsid w:val="009C396D"/>
    <w:rsid w:val="009E5730"/>
    <w:rsid w:val="009F3A17"/>
    <w:rsid w:val="009F3D53"/>
    <w:rsid w:val="009F6924"/>
    <w:rsid w:val="00A1427D"/>
    <w:rsid w:val="00A45C97"/>
    <w:rsid w:val="00A53D67"/>
    <w:rsid w:val="00A55FB2"/>
    <w:rsid w:val="00A72F22"/>
    <w:rsid w:val="00A748A6"/>
    <w:rsid w:val="00A80459"/>
    <w:rsid w:val="00A805EB"/>
    <w:rsid w:val="00A879A4"/>
    <w:rsid w:val="00AA496B"/>
    <w:rsid w:val="00AC441D"/>
    <w:rsid w:val="00AE71F3"/>
    <w:rsid w:val="00B11E5C"/>
    <w:rsid w:val="00B30179"/>
    <w:rsid w:val="00B30E8F"/>
    <w:rsid w:val="00B33EC0"/>
    <w:rsid w:val="00B40862"/>
    <w:rsid w:val="00B5241A"/>
    <w:rsid w:val="00B5355E"/>
    <w:rsid w:val="00B56A66"/>
    <w:rsid w:val="00B81E12"/>
    <w:rsid w:val="00B84CFE"/>
    <w:rsid w:val="00B97D28"/>
    <w:rsid w:val="00BC74E9"/>
    <w:rsid w:val="00BD2146"/>
    <w:rsid w:val="00BD42CF"/>
    <w:rsid w:val="00BE4F74"/>
    <w:rsid w:val="00BE618E"/>
    <w:rsid w:val="00C17699"/>
    <w:rsid w:val="00C1778D"/>
    <w:rsid w:val="00C34B83"/>
    <w:rsid w:val="00C37ECB"/>
    <w:rsid w:val="00C41A28"/>
    <w:rsid w:val="00C463DD"/>
    <w:rsid w:val="00C60582"/>
    <w:rsid w:val="00C745C3"/>
    <w:rsid w:val="00C825DC"/>
    <w:rsid w:val="00C945EB"/>
    <w:rsid w:val="00C96746"/>
    <w:rsid w:val="00CA5BA1"/>
    <w:rsid w:val="00CC7CDC"/>
    <w:rsid w:val="00CD14B9"/>
    <w:rsid w:val="00CE1DB9"/>
    <w:rsid w:val="00CE4A8F"/>
    <w:rsid w:val="00D03498"/>
    <w:rsid w:val="00D055EB"/>
    <w:rsid w:val="00D117D0"/>
    <w:rsid w:val="00D1270E"/>
    <w:rsid w:val="00D2031B"/>
    <w:rsid w:val="00D25FE2"/>
    <w:rsid w:val="00D317BB"/>
    <w:rsid w:val="00D35D8F"/>
    <w:rsid w:val="00D43252"/>
    <w:rsid w:val="00D63881"/>
    <w:rsid w:val="00D978C6"/>
    <w:rsid w:val="00DA67AD"/>
    <w:rsid w:val="00DA6EDE"/>
    <w:rsid w:val="00DB0D4C"/>
    <w:rsid w:val="00DB5D0F"/>
    <w:rsid w:val="00DC3242"/>
    <w:rsid w:val="00DE7F20"/>
    <w:rsid w:val="00DF12F7"/>
    <w:rsid w:val="00DF2C64"/>
    <w:rsid w:val="00E02C81"/>
    <w:rsid w:val="00E04A75"/>
    <w:rsid w:val="00E06E39"/>
    <w:rsid w:val="00E06EAB"/>
    <w:rsid w:val="00E130AB"/>
    <w:rsid w:val="00E31844"/>
    <w:rsid w:val="00E31C87"/>
    <w:rsid w:val="00E445C1"/>
    <w:rsid w:val="00E66D46"/>
    <w:rsid w:val="00E70DF5"/>
    <w:rsid w:val="00E7260F"/>
    <w:rsid w:val="00E76B16"/>
    <w:rsid w:val="00E76E78"/>
    <w:rsid w:val="00E80F5F"/>
    <w:rsid w:val="00E862A4"/>
    <w:rsid w:val="00E87921"/>
    <w:rsid w:val="00E92AB9"/>
    <w:rsid w:val="00E96630"/>
    <w:rsid w:val="00E97D2D"/>
    <w:rsid w:val="00EA18F9"/>
    <w:rsid w:val="00EA264E"/>
    <w:rsid w:val="00EA316A"/>
    <w:rsid w:val="00EA31E1"/>
    <w:rsid w:val="00EA3A41"/>
    <w:rsid w:val="00EB22EE"/>
    <w:rsid w:val="00ED71D9"/>
    <w:rsid w:val="00ED7A2A"/>
    <w:rsid w:val="00EF0B3C"/>
    <w:rsid w:val="00EF1D7F"/>
    <w:rsid w:val="00EF7BEA"/>
    <w:rsid w:val="00F43EDE"/>
    <w:rsid w:val="00F53EDA"/>
    <w:rsid w:val="00F7753D"/>
    <w:rsid w:val="00F85E66"/>
    <w:rsid w:val="00F85F34"/>
    <w:rsid w:val="00FA06F7"/>
    <w:rsid w:val="00FB171A"/>
    <w:rsid w:val="00FC09B8"/>
    <w:rsid w:val="00FC68B7"/>
    <w:rsid w:val="00FD4F7E"/>
    <w:rsid w:val="00FD7BF6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E16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B5355E"/>
    <w:pPr>
      <w:ind w:leftChars="400" w:left="960"/>
    </w:pPr>
  </w:style>
  <w:style w:type="paragraph" w:styleId="BalloonText">
    <w:name w:val="Balloon Text"/>
    <w:basedOn w:val="Normal"/>
    <w:link w:val="BalloonTextChar"/>
    <w:rsid w:val="003B7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23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44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5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445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45C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B5355E"/>
    <w:pPr>
      <w:ind w:leftChars="400" w:left="960"/>
    </w:pPr>
  </w:style>
  <w:style w:type="paragraph" w:styleId="BalloonText">
    <w:name w:val="Balloon Text"/>
    <w:basedOn w:val="Normal"/>
    <w:link w:val="BalloonTextChar"/>
    <w:rsid w:val="003B7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23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44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5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445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45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imeo.com/146176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meo.com/146174877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0AB9-59C3-403E-B4B6-49EE030E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25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15</cp:revision>
  <cp:lastPrinted>2015-11-20T16:16:00Z</cp:lastPrinted>
  <dcterms:created xsi:type="dcterms:W3CDTF">2015-11-19T13:46:00Z</dcterms:created>
  <dcterms:modified xsi:type="dcterms:W3CDTF">2015-11-20T16:22:00Z</dcterms:modified>
</cp:coreProperties>
</file>