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7848" w:rsidRPr="00405521" w:rsidTr="00DD37E0">
        <w:trPr>
          <w:trHeight w:val="851"/>
        </w:trPr>
        <w:tc>
          <w:tcPr>
            <w:tcW w:w="1259" w:type="dxa"/>
            <w:tcBorders>
              <w:top w:val="nil"/>
              <w:left w:val="nil"/>
              <w:bottom w:val="single" w:sz="4" w:space="0" w:color="auto"/>
              <w:right w:val="nil"/>
            </w:tcBorders>
            <w:shd w:val="clear" w:color="auto" w:fill="auto"/>
          </w:tcPr>
          <w:p w:rsidR="00967848" w:rsidRPr="005C54F5" w:rsidRDefault="00967848" w:rsidP="00967848">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rsidR="00967848" w:rsidRPr="005C54F5" w:rsidRDefault="00967848" w:rsidP="00967848">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rsidR="00AB103E" w:rsidRPr="00405521" w:rsidRDefault="00AB103E" w:rsidP="00AB103E">
            <w:pPr>
              <w:jc w:val="right"/>
              <w:rPr>
                <w:b/>
                <w:sz w:val="40"/>
                <w:szCs w:val="40"/>
                <w:lang w:val="en-US"/>
              </w:rPr>
            </w:pPr>
            <w:r w:rsidRPr="00405521">
              <w:rPr>
                <w:b/>
                <w:sz w:val="40"/>
                <w:szCs w:val="40"/>
                <w:lang w:val="en-US"/>
              </w:rPr>
              <w:t>UN/SCETDG/4</w:t>
            </w:r>
            <w:r w:rsidR="001E3573">
              <w:rPr>
                <w:b/>
                <w:sz w:val="40"/>
                <w:szCs w:val="40"/>
                <w:lang w:val="en-US"/>
              </w:rPr>
              <w:t>8</w:t>
            </w:r>
            <w:r w:rsidRPr="00405521">
              <w:rPr>
                <w:b/>
                <w:sz w:val="40"/>
                <w:szCs w:val="40"/>
                <w:lang w:val="en-US"/>
              </w:rPr>
              <w:t>/INF.</w:t>
            </w:r>
            <w:r w:rsidR="00DB3885">
              <w:rPr>
                <w:b/>
                <w:sz w:val="40"/>
                <w:szCs w:val="40"/>
                <w:lang w:val="en-US"/>
              </w:rPr>
              <w:t>20</w:t>
            </w:r>
          </w:p>
          <w:p w:rsidR="00967848" w:rsidRPr="00405521" w:rsidRDefault="00967848" w:rsidP="00967848">
            <w:pPr>
              <w:jc w:val="right"/>
              <w:rPr>
                <w:highlight w:val="yellow"/>
                <w:lang w:val="en-US"/>
              </w:rPr>
            </w:pPr>
          </w:p>
        </w:tc>
      </w:tr>
    </w:tbl>
    <w:p w:rsidR="00AB103E" w:rsidRPr="006500BA" w:rsidRDefault="00AB103E" w:rsidP="00AB103E">
      <w:pPr>
        <w:spacing w:before="120" w:after="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844A7A">
        <w:rPr>
          <w:b/>
          <w:sz w:val="24"/>
          <w:szCs w:val="24"/>
        </w:rPr>
        <w:tab/>
      </w:r>
      <w:r w:rsidR="001E3573" w:rsidRPr="00DB3885">
        <w:rPr>
          <w:b/>
        </w:rPr>
        <w:t>16</w:t>
      </w:r>
      <w:r w:rsidR="00844A7A" w:rsidRPr="00DB3885">
        <w:rPr>
          <w:b/>
        </w:rPr>
        <w:t xml:space="preserve"> </w:t>
      </w:r>
      <w:r w:rsidR="001E3573" w:rsidRPr="00DB3885">
        <w:rPr>
          <w:b/>
        </w:rPr>
        <w:t>November</w:t>
      </w:r>
      <w:r w:rsidR="00844A7A" w:rsidRPr="00DB3885">
        <w:rPr>
          <w:b/>
        </w:rPr>
        <w:t xml:space="preserve"> 2015</w:t>
      </w:r>
    </w:p>
    <w:tbl>
      <w:tblPr>
        <w:tblW w:w="9639" w:type="dxa"/>
        <w:tblLayout w:type="fixed"/>
        <w:tblCellMar>
          <w:left w:w="0" w:type="dxa"/>
          <w:right w:w="0" w:type="dxa"/>
        </w:tblCellMar>
        <w:tblLook w:val="01E0" w:firstRow="1" w:lastRow="1" w:firstColumn="1" w:lastColumn="1" w:noHBand="0" w:noVBand="0"/>
      </w:tblPr>
      <w:tblGrid>
        <w:gridCol w:w="4593"/>
        <w:gridCol w:w="2353"/>
        <w:gridCol w:w="2693"/>
      </w:tblGrid>
      <w:tr w:rsidR="00AB103E" w:rsidTr="003D0D10">
        <w:tc>
          <w:tcPr>
            <w:tcW w:w="6946" w:type="dxa"/>
            <w:gridSpan w:val="2"/>
            <w:shd w:val="clear" w:color="auto" w:fill="auto"/>
          </w:tcPr>
          <w:p w:rsidR="00AB103E" w:rsidRPr="006D12B1" w:rsidRDefault="00AB103E" w:rsidP="003D0D10">
            <w:pPr>
              <w:spacing w:before="120" w:after="120"/>
              <w:ind w:right="57"/>
              <w:rPr>
                <w:b/>
              </w:rPr>
            </w:pPr>
            <w:r w:rsidRPr="006D12B1">
              <w:rPr>
                <w:b/>
              </w:rPr>
              <w:t xml:space="preserve">Sub-Committee of Experts on the Transport of Dangerous Goods </w:t>
            </w:r>
          </w:p>
        </w:tc>
        <w:tc>
          <w:tcPr>
            <w:tcW w:w="2693" w:type="dxa"/>
            <w:shd w:val="clear" w:color="auto" w:fill="auto"/>
          </w:tcPr>
          <w:p w:rsidR="00AB103E" w:rsidRPr="006D12B1" w:rsidRDefault="00AB103E" w:rsidP="0043243F">
            <w:pPr>
              <w:spacing w:before="120" w:after="120"/>
              <w:rPr>
                <w:b/>
              </w:rPr>
            </w:pPr>
          </w:p>
        </w:tc>
      </w:tr>
      <w:tr w:rsidR="003D0D10" w:rsidTr="003D0D10">
        <w:tc>
          <w:tcPr>
            <w:tcW w:w="6946" w:type="dxa"/>
            <w:gridSpan w:val="2"/>
            <w:shd w:val="clear" w:color="auto" w:fill="auto"/>
          </w:tcPr>
          <w:p w:rsidR="003D0D10" w:rsidRPr="006D12B1" w:rsidRDefault="003D0D10" w:rsidP="00894D34">
            <w:pPr>
              <w:spacing w:after="120"/>
              <w:ind w:right="57"/>
              <w:rPr>
                <w:b/>
              </w:rPr>
            </w:pPr>
            <w:r>
              <w:rPr>
                <w:b/>
              </w:rPr>
              <w:t>Forty-eight</w:t>
            </w:r>
            <w:r w:rsidR="00DB3885">
              <w:rPr>
                <w:b/>
              </w:rPr>
              <w:t>h</w:t>
            </w:r>
            <w:r w:rsidRPr="006D12B1">
              <w:rPr>
                <w:b/>
              </w:rPr>
              <w:t xml:space="preserve"> session</w:t>
            </w:r>
          </w:p>
        </w:tc>
        <w:tc>
          <w:tcPr>
            <w:tcW w:w="2693" w:type="dxa"/>
            <w:shd w:val="clear" w:color="auto" w:fill="auto"/>
          </w:tcPr>
          <w:p w:rsidR="003D0D10" w:rsidRPr="006D12B1" w:rsidRDefault="003D0D10" w:rsidP="0043243F">
            <w:pPr>
              <w:rPr>
                <w:b/>
              </w:rPr>
            </w:pPr>
          </w:p>
        </w:tc>
      </w:tr>
      <w:tr w:rsidR="003D0D10" w:rsidTr="0043243F">
        <w:tc>
          <w:tcPr>
            <w:tcW w:w="4593" w:type="dxa"/>
            <w:shd w:val="clear" w:color="auto" w:fill="auto"/>
          </w:tcPr>
          <w:p w:rsidR="003D0D10" w:rsidRPr="00976143" w:rsidRDefault="003D0D10" w:rsidP="00894D34">
            <w:pPr>
              <w:ind w:right="57"/>
            </w:pPr>
            <w:r w:rsidRPr="00976143">
              <w:t xml:space="preserve">Geneva, </w:t>
            </w:r>
            <w:r>
              <w:t xml:space="preserve">30 November </w:t>
            </w:r>
            <w:r>
              <w:rPr>
                <w:rFonts w:ascii="Courier New" w:hAnsi="Courier New" w:cs="Courier New"/>
              </w:rPr>
              <w:t>–</w:t>
            </w:r>
            <w:r>
              <w:t xml:space="preserve"> 9 December 2015</w:t>
            </w:r>
          </w:p>
          <w:p w:rsidR="003D0D10" w:rsidRPr="00BB027F" w:rsidRDefault="003D0D10" w:rsidP="00894D34">
            <w:pPr>
              <w:ind w:right="57"/>
            </w:pPr>
            <w:r w:rsidRPr="00BB027F">
              <w:t>Item</w:t>
            </w:r>
            <w:r>
              <w:t xml:space="preserve"> 10 (e)</w:t>
            </w:r>
            <w:r w:rsidRPr="00BB027F">
              <w:t xml:space="preserve"> of the provisional agenda</w:t>
            </w:r>
          </w:p>
          <w:p w:rsidR="003D0D10" w:rsidRPr="006B20F6" w:rsidRDefault="003D0D10" w:rsidP="00894D34">
            <w:pPr>
              <w:spacing w:after="120"/>
              <w:ind w:right="57"/>
              <w:rPr>
                <w:b/>
              </w:rPr>
            </w:pPr>
            <w:r w:rsidRPr="006B20F6">
              <w:rPr>
                <w:b/>
              </w:rPr>
              <w:t xml:space="preserve">Issues relating to the Globally Harmonized System of Classification and Labelling of Chemicals: </w:t>
            </w:r>
            <w:proofErr w:type="spellStart"/>
            <w:r>
              <w:rPr>
                <w:b/>
              </w:rPr>
              <w:t>C</w:t>
            </w:r>
            <w:r w:rsidRPr="006B20F6">
              <w:rPr>
                <w:b/>
              </w:rPr>
              <w:t>orrosivity</w:t>
            </w:r>
            <w:proofErr w:type="spellEnd"/>
            <w:r w:rsidRPr="006B20F6">
              <w:rPr>
                <w:b/>
              </w:rPr>
              <w:t xml:space="preserve"> criteria</w:t>
            </w:r>
          </w:p>
        </w:tc>
        <w:tc>
          <w:tcPr>
            <w:tcW w:w="5046" w:type="dxa"/>
            <w:gridSpan w:val="2"/>
            <w:shd w:val="clear" w:color="auto" w:fill="auto"/>
          </w:tcPr>
          <w:p w:rsidR="003D0D10" w:rsidRPr="006B20F6" w:rsidRDefault="003D0D10" w:rsidP="0043243F">
            <w:pPr>
              <w:spacing w:after="120"/>
              <w:rPr>
                <w:b/>
                <w:strike/>
              </w:rPr>
            </w:pPr>
          </w:p>
        </w:tc>
      </w:tr>
    </w:tbl>
    <w:p w:rsidR="003D0D10" w:rsidRPr="00976143" w:rsidRDefault="003D0D10" w:rsidP="003D0D10">
      <w:pPr>
        <w:pStyle w:val="HChG"/>
      </w:pPr>
      <w:r>
        <w:rPr>
          <w:rFonts w:eastAsia="MS Mincho"/>
        </w:rPr>
        <w:tab/>
      </w:r>
      <w:r>
        <w:rPr>
          <w:rFonts w:eastAsia="MS Mincho"/>
        </w:rPr>
        <w:tab/>
        <w:t>P</w:t>
      </w:r>
      <w:r w:rsidRPr="00EE5D1E">
        <w:rPr>
          <w:rFonts w:eastAsia="MS Mincho"/>
        </w:rPr>
        <w:t xml:space="preserve">roposal for revision of chapter 2.8 of the Model Regulations: </w:t>
      </w:r>
      <w:r>
        <w:rPr>
          <w:rFonts w:eastAsia="MS Mincho"/>
        </w:rPr>
        <w:t>C</w:t>
      </w:r>
      <w:r w:rsidRPr="004E2C30">
        <w:rPr>
          <w:rFonts w:eastAsia="MS Mincho"/>
        </w:rPr>
        <w:t>lassification and assignment to packing groups for mixtures</w:t>
      </w:r>
      <w:r>
        <w:tab/>
      </w:r>
    </w:p>
    <w:p w:rsidR="003D0D10" w:rsidRPr="00976143" w:rsidRDefault="003D0D10" w:rsidP="003D0D10">
      <w:pPr>
        <w:pStyle w:val="H1G"/>
        <w:ind w:firstLine="0"/>
      </w:pPr>
      <w:r w:rsidRPr="00976143">
        <w:t xml:space="preserve">Transmitted by the </w:t>
      </w:r>
      <w:r>
        <w:t>European Chemical Industry Council</w:t>
      </w:r>
      <w:r w:rsidRPr="00976143">
        <w:t xml:space="preserve"> </w:t>
      </w:r>
      <w:r>
        <w:t>(</w:t>
      </w:r>
      <w:r w:rsidRPr="00976143">
        <w:t>C</w:t>
      </w:r>
      <w:r>
        <w:t>EFIC) and the International Association for Soaps, Detergents and Maintenance Products (AISE)</w:t>
      </w:r>
      <w:r w:rsidR="007D4276" w:rsidRPr="007D4276">
        <w:rPr>
          <w:rStyle w:val="FootnoteReference"/>
        </w:rPr>
        <w:t xml:space="preserve"> </w:t>
      </w:r>
    </w:p>
    <w:p w:rsidR="003D0D10" w:rsidRPr="00976143" w:rsidRDefault="003D0D10" w:rsidP="00DB3885">
      <w:pPr>
        <w:pStyle w:val="HChG"/>
        <w:rPr>
          <w:rFonts w:eastAsia="MS Mincho"/>
        </w:rPr>
      </w:pPr>
      <w:r>
        <w:tab/>
      </w:r>
      <w:r>
        <w:tab/>
        <w:t>Purpose</w:t>
      </w:r>
    </w:p>
    <w:p w:rsidR="003D0D10" w:rsidRDefault="003D0D10" w:rsidP="003D0D10">
      <w:pPr>
        <w:pStyle w:val="SingleTxtG"/>
        <w:numPr>
          <w:ilvl w:val="0"/>
          <w:numId w:val="17"/>
        </w:numPr>
        <w:ind w:left="1134" w:firstLine="0"/>
      </w:pPr>
      <w:r>
        <w:t>At the forty-seventh session of the Sub-Committee of Experts on the Transport of Dangerous Goods (TDG), discussions continued with regards to proposed changes to Chapter 2.8 of the UN Model Regulations. It has become clear during these discussions that both the adoption of alternative methods from the Globally Harmonised System (GHS) as well as applying a more general approach to this topic (</w:t>
      </w:r>
      <w:r w:rsidRPr="00EE5D1E">
        <w:t>UN/SCETDG/47/INF.25</w:t>
      </w:r>
      <w:r>
        <w:t>) proved difficult to get consensus on.</w:t>
      </w:r>
    </w:p>
    <w:p w:rsidR="003D0D10" w:rsidRDefault="003D0D10" w:rsidP="003D0D10">
      <w:pPr>
        <w:pStyle w:val="SingleTxtG"/>
        <w:numPr>
          <w:ilvl w:val="0"/>
          <w:numId w:val="17"/>
        </w:numPr>
        <w:ind w:left="1134" w:firstLine="0"/>
      </w:pPr>
      <w:r>
        <w:t>Better overall alignment was reached on the general approach outlined in the proposal submitted by the expert from Spain (</w:t>
      </w:r>
      <w:r w:rsidRPr="008A3266">
        <w:t>UN/SCETDG/47/INF.24</w:t>
      </w:r>
      <w:r>
        <w:t>). However, the proposed additional physicochemical criteria, the reference to GHS and the fact that the proposal would also be applicable for substances met some resistance. CEFIC/AISE would therefore propose an alternative to the general approach from the Spanish expert. The aim of this proposal is to reduce and simplify the actual changes to Chapter 2.8 and therewith to better focus further discussions.</w:t>
      </w:r>
    </w:p>
    <w:p w:rsidR="003D0D10" w:rsidRDefault="003D0D10" w:rsidP="003D0D10">
      <w:pPr>
        <w:pStyle w:val="SingleTxtG"/>
        <w:numPr>
          <w:ilvl w:val="0"/>
          <w:numId w:val="17"/>
        </w:numPr>
        <w:ind w:left="1134" w:firstLine="0"/>
      </w:pPr>
      <w:r>
        <w:t>Regarding the proposed additional physicochemical criteria for assigning a packing group, CEFIC/AISE is of the opinion that both the criteria itself as well as any accompanying threshold limits cannot be properly introduced and justified without supporting data, which is currently lacking. However, to reduce concerns about potential under-classification of mixtures containing small amounts of Packing Group I ingredients, the current proposal introduces additional concentration-based criteria for such mixtures.</w:t>
      </w:r>
    </w:p>
    <w:p w:rsidR="00DB3885" w:rsidRDefault="00DB3885">
      <w:pPr>
        <w:suppressAutoHyphens w:val="0"/>
        <w:spacing w:line="240" w:lineRule="auto"/>
        <w:rPr>
          <w:b/>
          <w:sz w:val="28"/>
        </w:rPr>
      </w:pPr>
      <w:r>
        <w:br w:type="page"/>
      </w:r>
    </w:p>
    <w:p w:rsidR="003D0D10" w:rsidRPr="00E707A8" w:rsidRDefault="00DB3885" w:rsidP="00DB3885">
      <w:pPr>
        <w:pStyle w:val="HChG"/>
        <w:rPr>
          <w:rFonts w:eastAsia="MS Mincho"/>
        </w:rPr>
      </w:pPr>
      <w:r>
        <w:lastRenderedPageBreak/>
        <w:tab/>
      </w:r>
      <w:r>
        <w:tab/>
      </w:r>
      <w:r w:rsidR="003D0D10" w:rsidRPr="00E707A8">
        <w:t>Introduction</w:t>
      </w:r>
    </w:p>
    <w:p w:rsidR="003D0D10" w:rsidRDefault="003D0D10" w:rsidP="007D4276">
      <w:pPr>
        <w:pStyle w:val="SingleTxtG"/>
        <w:numPr>
          <w:ilvl w:val="0"/>
          <w:numId w:val="20"/>
        </w:numPr>
        <w:ind w:left="1134" w:firstLine="0"/>
      </w:pPr>
      <w:r>
        <w:t>CEFIC/AISE is of the opinion that the core issue with the current approach in Chapter 2.8 is the lack of appropriate alternative methodology to testing provisions for the assignment of packing groups for mixtures. Any such alternatives should lead to risk-proportionate assignment of packing groups; both avoiding overestimations as much as underestimations.</w:t>
      </w:r>
    </w:p>
    <w:p w:rsidR="003D0D10" w:rsidRDefault="003D0D10" w:rsidP="007D4276">
      <w:pPr>
        <w:pStyle w:val="SingleTxtG"/>
        <w:numPr>
          <w:ilvl w:val="0"/>
          <w:numId w:val="20"/>
        </w:numPr>
        <w:ind w:left="1134" w:firstLine="0"/>
      </w:pPr>
      <w:r>
        <w:t>The present proposal provides an alternative method for the assignment of packing groups for mixtures, not substances, and avoids any link to GHS and debatable additional physicochemical criteria. CEFIC /AISE is of the opinion that the application of an alternative method in transport has to be based on the transport classification and packing group assignment of the ingredients as provided in the Dangerous Goods List or as declared by the consignor. A “translation” of a GHS classification is not practicable because of the use of local implementations of GHS and not the UN-GHS as such. These local implementations of GHS are in many jurisdictions linked to lists of legally binding classifications. Simply “translating” a local GHS classification into a TDG classification may therefore lead to inconsistencies on a global basis.</w:t>
      </w:r>
    </w:p>
    <w:p w:rsidR="003D0D10" w:rsidRPr="003C007B" w:rsidRDefault="00DB3885" w:rsidP="00DB3885">
      <w:pPr>
        <w:pStyle w:val="HChG"/>
      </w:pPr>
      <w:r>
        <w:tab/>
      </w:r>
      <w:r>
        <w:tab/>
      </w:r>
      <w:r w:rsidR="003D0D10" w:rsidRPr="003C007B">
        <w:t>Proposal</w:t>
      </w:r>
    </w:p>
    <w:p w:rsidR="003D0D10" w:rsidRDefault="003D0D10" w:rsidP="003D0D10">
      <w:pPr>
        <w:pStyle w:val="SingleTxtG"/>
        <w:numPr>
          <w:ilvl w:val="0"/>
          <w:numId w:val="20"/>
        </w:numPr>
      </w:pPr>
      <w:r>
        <w:t>Add new paragraphs to chapter 2.8:</w:t>
      </w:r>
    </w:p>
    <w:p w:rsidR="003D0D10" w:rsidRPr="000F4BC1" w:rsidRDefault="003D0D10" w:rsidP="00DB3885">
      <w:pPr>
        <w:pStyle w:val="SingleTxtG"/>
        <w:ind w:left="1701" w:hanging="12"/>
        <w:rPr>
          <w:i/>
        </w:rPr>
      </w:pPr>
      <w:r w:rsidRPr="000F4BC1">
        <w:rPr>
          <w:i/>
        </w:rPr>
        <w:t>Classification and assignment of packing groups for mixtures</w:t>
      </w:r>
    </w:p>
    <w:p w:rsidR="003D0D10" w:rsidRDefault="003D0D10" w:rsidP="00DB3885">
      <w:pPr>
        <w:pStyle w:val="SingleTxtG"/>
        <w:ind w:left="1701"/>
      </w:pPr>
      <w:r w:rsidRPr="003C007B">
        <w:t>2.8.2.6</w:t>
      </w:r>
    </w:p>
    <w:p w:rsidR="003D0D10" w:rsidRDefault="003D0D10" w:rsidP="00DB3885">
      <w:pPr>
        <w:pStyle w:val="SingleTxtG"/>
        <w:ind w:left="1701"/>
        <w:rPr>
          <w:lang w:val="en-US"/>
        </w:rPr>
      </w:pPr>
      <w:r>
        <w:t xml:space="preserve">For liquid mixtures, or solid mixtures that may become liquid during carriage, where test data according to 2.8.2.4 is available, this information shall be used to assign the mixture to Class 8 and to the appropriate packing group. Where no such test data is available, </w:t>
      </w:r>
      <w:r>
        <w:rPr>
          <w:lang w:val="en-US"/>
        </w:rPr>
        <w:t xml:space="preserve">mixtures shall be considered for assignment to Class 8 when containing Class 8 ingredients. </w:t>
      </w:r>
    </w:p>
    <w:p w:rsidR="003D0D10" w:rsidRDefault="003D0D10" w:rsidP="00DB3885">
      <w:pPr>
        <w:pStyle w:val="SingleTxtG"/>
        <w:ind w:left="1701"/>
      </w:pPr>
      <w:r>
        <w:rPr>
          <w:lang w:val="en-US"/>
        </w:rPr>
        <w:t xml:space="preserve">Where a mixture contains ingredients for which no information on their corrosive properties is available, the mixture shall be considered as Class 8 if it has an extreme pH-value </w:t>
      </w:r>
      <w:r w:rsidRPr="003C007B">
        <w:t>(</w:t>
      </w:r>
      <w:r>
        <w:t>≤</w:t>
      </w:r>
      <w:r w:rsidRPr="003C007B">
        <w:t xml:space="preserve"> 2 or </w:t>
      </w:r>
      <w:r>
        <w:t>≥</w:t>
      </w:r>
      <w:r w:rsidRPr="003C007B">
        <w:t xml:space="preserve"> 11</w:t>
      </w:r>
      <w:proofErr w:type="gramStart"/>
      <w:r w:rsidRPr="003C007B">
        <w:t>,5</w:t>
      </w:r>
      <w:proofErr w:type="gramEnd"/>
      <w:r w:rsidRPr="003C007B">
        <w:t>)</w:t>
      </w:r>
      <w:r>
        <w:t xml:space="preserve"> and shall be assigned to Packing Group I, or Packing Group II if conclusive information is available for justification. </w:t>
      </w:r>
    </w:p>
    <w:p w:rsidR="003D0D10" w:rsidRDefault="003D0D10" w:rsidP="00DB3885">
      <w:pPr>
        <w:pStyle w:val="SingleTxtG"/>
        <w:ind w:left="1701"/>
      </w:pPr>
      <w:r>
        <w:t>2.8.2.7</w:t>
      </w:r>
    </w:p>
    <w:p w:rsidR="003D0D10" w:rsidRDefault="003D0D10" w:rsidP="00DB3885">
      <w:pPr>
        <w:pStyle w:val="SingleTxtG"/>
        <w:ind w:left="1701"/>
        <w:rPr>
          <w:b/>
        </w:rPr>
      </w:pPr>
      <w:r>
        <w:t xml:space="preserve">To determine whether a mixture containing Class 8 ingredients shall be considered to be allocated to Class 8 and to assign </w:t>
      </w:r>
      <w:proofErr w:type="gramStart"/>
      <w:r>
        <w:t>a Packing</w:t>
      </w:r>
      <w:proofErr w:type="gramEnd"/>
      <w:r>
        <w:t xml:space="preserve"> Group, scheme 2.8.2.7 shall be applied. When a specific concentration limit is assigned </w:t>
      </w:r>
      <w:proofErr w:type="gramStart"/>
      <w:r>
        <w:t>to an ingredients</w:t>
      </w:r>
      <w:proofErr w:type="gramEnd"/>
      <w:r>
        <w:t xml:space="preserve"> following its entry in the Dangerous Goods List, this limit shall be used instead of the generic limits in scheme 2.8.2.7. The generic cut-off value for the corrosive ingredients to be taken into account is 1%, or &lt;1% if there is a presumption that the ingredients present at a concentration &lt;1% can still be relevant for classifying the mixture to be corrosive to skin.</w:t>
      </w:r>
    </w:p>
    <w:p w:rsidR="003D0D10" w:rsidRDefault="003D0D10" w:rsidP="003D0D10">
      <w:pPr>
        <w:suppressAutoHyphens w:val="0"/>
        <w:spacing w:line="240" w:lineRule="auto"/>
        <w:rPr>
          <w:b/>
        </w:rPr>
      </w:pPr>
      <w:r>
        <w:rPr>
          <w:b/>
        </w:rPr>
        <w:br w:type="page"/>
      </w:r>
    </w:p>
    <w:p w:rsidR="003D0D10" w:rsidRPr="004D0637" w:rsidRDefault="003D0D10" w:rsidP="00DB3885">
      <w:pPr>
        <w:pStyle w:val="SingleTxtG"/>
        <w:ind w:left="1080"/>
        <w:jc w:val="center"/>
        <w:rPr>
          <w:b/>
        </w:rPr>
      </w:pPr>
      <w:r>
        <w:rPr>
          <w:b/>
        </w:rPr>
        <w:lastRenderedPageBreak/>
        <w:t>Scheme 2.8.2.7</w:t>
      </w:r>
    </w:p>
    <w:bookmarkStart w:id="0" w:name="_GoBack"/>
    <w:p w:rsidR="003D0D10" w:rsidRDefault="00824BC6" w:rsidP="003D0D10">
      <w:pPr>
        <w:pStyle w:val="SingleTxtG"/>
        <w:ind w:left="1080"/>
      </w:pPr>
      <w:r>
        <w:object w:dxaOrig="8313" w:dyaOrig="3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187.65pt" o:ole="">
            <v:imagedata r:id="rId9" o:title=""/>
          </v:shape>
          <o:OLEObject Type="Embed" ProgID="Word.Document.12" ShapeID="_x0000_i1025" DrawAspect="Content" ObjectID="_1509282196" r:id="rId10">
            <o:FieldCodes>\s</o:FieldCodes>
          </o:OLEObject>
        </w:object>
      </w:r>
      <w:bookmarkEnd w:id="0"/>
    </w:p>
    <w:p w:rsidR="003D0D10" w:rsidRDefault="003D0D10" w:rsidP="00DB3885">
      <w:pPr>
        <w:pStyle w:val="SingleTxtG"/>
      </w:pPr>
      <w:r>
        <w:t xml:space="preserve">Mixtures which, on basis of 2.8.2.6 and/or the scheme 2.8.2.7 are not judged to cause full thickness destruction of </w:t>
      </w:r>
      <w:r w:rsidR="00824BC6">
        <w:t>intact</w:t>
      </w:r>
      <w:r>
        <w:t xml:space="preserve"> skin shall be considered for their potential to cause corrosion to certain metal surfaces in accordance with the criteria in 2.8.2.5 (c) (ii).</w:t>
      </w:r>
    </w:p>
    <w:p w:rsidR="003D0D10" w:rsidRDefault="003D0D10" w:rsidP="003D0D10">
      <w:pPr>
        <w:pStyle w:val="SingleTxtG"/>
        <w:ind w:left="1080"/>
      </w:pPr>
    </w:p>
    <w:p w:rsidR="003D0D10" w:rsidRPr="00D511AF" w:rsidRDefault="003D0D10" w:rsidP="003D0D10">
      <w:pPr>
        <w:pStyle w:val="SingleTxtG"/>
        <w:ind w:left="1080"/>
        <w:jc w:val="center"/>
        <w:rPr>
          <w:u w:val="single"/>
        </w:rPr>
      </w:pPr>
      <w:r>
        <w:t>_______________</w:t>
      </w:r>
    </w:p>
    <w:p w:rsidR="003D0D10" w:rsidRDefault="003D0D10" w:rsidP="003D0D10">
      <w:pPr>
        <w:pStyle w:val="SingleTxtG"/>
        <w:ind w:left="1080"/>
      </w:pPr>
    </w:p>
    <w:p w:rsidR="00AB103E" w:rsidRPr="003C007B" w:rsidRDefault="00AB103E" w:rsidP="003D0D10">
      <w:pPr>
        <w:pStyle w:val="HChG"/>
        <w:rPr>
          <w:lang w:val="en-US"/>
        </w:rPr>
      </w:pPr>
    </w:p>
    <w:sectPr w:rsidR="00AB103E" w:rsidRPr="003C007B" w:rsidSect="00DC5FBA">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FC" w:rsidRDefault="00153BFC"/>
  </w:endnote>
  <w:endnote w:type="continuationSeparator" w:id="0">
    <w:p w:rsidR="00153BFC" w:rsidRDefault="00153BFC"/>
  </w:endnote>
  <w:endnote w:type="continuationNotice" w:id="1">
    <w:p w:rsidR="00153BFC" w:rsidRDefault="0015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C" w:rsidRPr="00DC5FBA" w:rsidRDefault="00F7172C" w:rsidP="00DC5FBA">
    <w:pPr>
      <w:pStyle w:val="Footer"/>
      <w:tabs>
        <w:tab w:val="right" w:pos="9638"/>
      </w:tabs>
      <w:rPr>
        <w:sz w:val="18"/>
      </w:rPr>
    </w:pPr>
    <w:r w:rsidRPr="00DC5FBA">
      <w:rPr>
        <w:b/>
        <w:sz w:val="18"/>
      </w:rPr>
      <w:fldChar w:fldCharType="begin"/>
    </w:r>
    <w:r w:rsidRPr="00DC5FBA">
      <w:rPr>
        <w:b/>
        <w:sz w:val="18"/>
      </w:rPr>
      <w:instrText xml:space="preserve"> PAGE  \* MERGEFORMAT </w:instrText>
    </w:r>
    <w:r w:rsidRPr="00DC5FBA">
      <w:rPr>
        <w:b/>
        <w:sz w:val="18"/>
      </w:rPr>
      <w:fldChar w:fldCharType="separate"/>
    </w:r>
    <w:r w:rsidR="00146DBC">
      <w:rPr>
        <w:b/>
        <w:noProof/>
        <w:sz w:val="18"/>
      </w:rPr>
      <w:t>2</w:t>
    </w:r>
    <w:r w:rsidRPr="00DC5FB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C" w:rsidRPr="00DC5FBA" w:rsidRDefault="00F7172C" w:rsidP="00DC5FBA">
    <w:pPr>
      <w:pStyle w:val="Footer"/>
      <w:tabs>
        <w:tab w:val="right" w:pos="9638"/>
      </w:tabs>
      <w:rPr>
        <w:b/>
        <w:sz w:val="18"/>
      </w:rPr>
    </w:pPr>
    <w:r>
      <w:tab/>
    </w:r>
    <w:r w:rsidRPr="00DC5FBA">
      <w:rPr>
        <w:b/>
        <w:sz w:val="18"/>
      </w:rPr>
      <w:fldChar w:fldCharType="begin"/>
    </w:r>
    <w:r w:rsidRPr="00DC5FBA">
      <w:rPr>
        <w:b/>
        <w:sz w:val="18"/>
      </w:rPr>
      <w:instrText xml:space="preserve"> PAGE  \* MERGEFORMAT </w:instrText>
    </w:r>
    <w:r w:rsidRPr="00DC5FBA">
      <w:rPr>
        <w:b/>
        <w:sz w:val="18"/>
      </w:rPr>
      <w:fldChar w:fldCharType="separate"/>
    </w:r>
    <w:r w:rsidR="00146DBC">
      <w:rPr>
        <w:b/>
        <w:noProof/>
        <w:sz w:val="18"/>
      </w:rPr>
      <w:t>3</w:t>
    </w:r>
    <w:r w:rsidRPr="00DC5FB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FC" w:rsidRPr="000B175B" w:rsidRDefault="00153BFC" w:rsidP="000B175B">
      <w:pPr>
        <w:tabs>
          <w:tab w:val="right" w:pos="2155"/>
        </w:tabs>
        <w:spacing w:after="80"/>
        <w:ind w:left="680"/>
        <w:rPr>
          <w:u w:val="single"/>
        </w:rPr>
      </w:pPr>
      <w:r>
        <w:rPr>
          <w:u w:val="single"/>
        </w:rPr>
        <w:tab/>
      </w:r>
    </w:p>
  </w:footnote>
  <w:footnote w:type="continuationSeparator" w:id="0">
    <w:p w:rsidR="00153BFC" w:rsidRPr="00FC68B7" w:rsidRDefault="00153BFC" w:rsidP="00FC68B7">
      <w:pPr>
        <w:tabs>
          <w:tab w:val="left" w:pos="2155"/>
        </w:tabs>
        <w:spacing w:after="80"/>
        <w:ind w:left="680"/>
        <w:rPr>
          <w:u w:val="single"/>
        </w:rPr>
      </w:pPr>
      <w:r>
        <w:rPr>
          <w:u w:val="single"/>
        </w:rPr>
        <w:tab/>
      </w:r>
    </w:p>
  </w:footnote>
  <w:footnote w:type="continuationNotice" w:id="1">
    <w:p w:rsidR="00153BFC" w:rsidRDefault="00153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C" w:rsidRPr="00DC5FBA" w:rsidRDefault="00AD3F0D">
    <w:pPr>
      <w:pStyle w:val="Header"/>
    </w:pPr>
    <w:r w:rsidRPr="00AD3F0D">
      <w:t>UN/SCETDG/4</w:t>
    </w:r>
    <w:r w:rsidR="003D0D10">
      <w:t>8</w:t>
    </w:r>
    <w:r w:rsidR="00DB3885">
      <w:t>/INF.20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95" w:rsidRPr="0005570C" w:rsidRDefault="00020095" w:rsidP="00020095">
    <w:pPr>
      <w:pStyle w:val="Header"/>
      <w:jc w:val="right"/>
    </w:pPr>
    <w:r w:rsidRPr="00F54DDA">
      <w:t>UN/SCETDG/4</w:t>
    </w:r>
    <w:r w:rsidR="00F14A47">
      <w:t>8</w:t>
    </w:r>
    <w:r w:rsidRPr="00F54DDA">
      <w:t>/INF.</w:t>
    </w:r>
    <w:r w:rsidR="00146DBC">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B64767"/>
    <w:multiLevelType w:val="hybridMultilevel"/>
    <w:tmpl w:val="068A50E6"/>
    <w:lvl w:ilvl="0" w:tplc="E68C1DAA">
      <w:start w:val="1"/>
      <w:numFmt w:val="bullet"/>
      <w:lvlText w:val="―"/>
      <w:lvlJc w:val="left"/>
      <w:pPr>
        <w:tabs>
          <w:tab w:val="num" w:pos="720"/>
        </w:tabs>
        <w:ind w:left="720" w:hanging="360"/>
      </w:pPr>
      <w:rPr>
        <w:rFonts w:ascii="Arial Narrow" w:hAnsi="Arial Narrow" w:hint="default"/>
      </w:rPr>
    </w:lvl>
    <w:lvl w:ilvl="1" w:tplc="8C4E29B2">
      <w:start w:val="1"/>
      <w:numFmt w:val="bullet"/>
      <w:lvlText w:val="―"/>
      <w:lvlJc w:val="left"/>
      <w:pPr>
        <w:tabs>
          <w:tab w:val="num" w:pos="1440"/>
        </w:tabs>
        <w:ind w:left="1440" w:hanging="360"/>
      </w:pPr>
      <w:rPr>
        <w:rFonts w:ascii="Arial Narrow" w:hAnsi="Arial Narrow" w:hint="default"/>
      </w:rPr>
    </w:lvl>
    <w:lvl w:ilvl="2" w:tplc="0F6CE384">
      <w:start w:val="27"/>
      <w:numFmt w:val="bullet"/>
      <w:lvlText w:val="•"/>
      <w:lvlJc w:val="left"/>
      <w:pPr>
        <w:tabs>
          <w:tab w:val="num" w:pos="2160"/>
        </w:tabs>
        <w:ind w:left="2160" w:hanging="360"/>
      </w:pPr>
      <w:rPr>
        <w:rFonts w:ascii="Arial" w:hAnsi="Arial" w:hint="default"/>
      </w:rPr>
    </w:lvl>
    <w:lvl w:ilvl="3" w:tplc="D76CC382" w:tentative="1">
      <w:start w:val="1"/>
      <w:numFmt w:val="bullet"/>
      <w:lvlText w:val="―"/>
      <w:lvlJc w:val="left"/>
      <w:pPr>
        <w:tabs>
          <w:tab w:val="num" w:pos="2880"/>
        </w:tabs>
        <w:ind w:left="2880" w:hanging="360"/>
      </w:pPr>
      <w:rPr>
        <w:rFonts w:ascii="Arial Narrow" w:hAnsi="Arial Narrow" w:hint="default"/>
      </w:rPr>
    </w:lvl>
    <w:lvl w:ilvl="4" w:tplc="02B089CA" w:tentative="1">
      <w:start w:val="1"/>
      <w:numFmt w:val="bullet"/>
      <w:lvlText w:val="―"/>
      <w:lvlJc w:val="left"/>
      <w:pPr>
        <w:tabs>
          <w:tab w:val="num" w:pos="3600"/>
        </w:tabs>
        <w:ind w:left="3600" w:hanging="360"/>
      </w:pPr>
      <w:rPr>
        <w:rFonts w:ascii="Arial Narrow" w:hAnsi="Arial Narrow" w:hint="default"/>
      </w:rPr>
    </w:lvl>
    <w:lvl w:ilvl="5" w:tplc="A24CBEE6" w:tentative="1">
      <w:start w:val="1"/>
      <w:numFmt w:val="bullet"/>
      <w:lvlText w:val="―"/>
      <w:lvlJc w:val="left"/>
      <w:pPr>
        <w:tabs>
          <w:tab w:val="num" w:pos="4320"/>
        </w:tabs>
        <w:ind w:left="4320" w:hanging="360"/>
      </w:pPr>
      <w:rPr>
        <w:rFonts w:ascii="Arial Narrow" w:hAnsi="Arial Narrow" w:hint="default"/>
      </w:rPr>
    </w:lvl>
    <w:lvl w:ilvl="6" w:tplc="ED90365C" w:tentative="1">
      <w:start w:val="1"/>
      <w:numFmt w:val="bullet"/>
      <w:lvlText w:val="―"/>
      <w:lvlJc w:val="left"/>
      <w:pPr>
        <w:tabs>
          <w:tab w:val="num" w:pos="5040"/>
        </w:tabs>
        <w:ind w:left="5040" w:hanging="360"/>
      </w:pPr>
      <w:rPr>
        <w:rFonts w:ascii="Arial Narrow" w:hAnsi="Arial Narrow" w:hint="default"/>
      </w:rPr>
    </w:lvl>
    <w:lvl w:ilvl="7" w:tplc="EDA8E8EC" w:tentative="1">
      <w:start w:val="1"/>
      <w:numFmt w:val="bullet"/>
      <w:lvlText w:val="―"/>
      <w:lvlJc w:val="left"/>
      <w:pPr>
        <w:tabs>
          <w:tab w:val="num" w:pos="5760"/>
        </w:tabs>
        <w:ind w:left="5760" w:hanging="360"/>
      </w:pPr>
      <w:rPr>
        <w:rFonts w:ascii="Arial Narrow" w:hAnsi="Arial Narrow" w:hint="default"/>
      </w:rPr>
    </w:lvl>
    <w:lvl w:ilvl="8" w:tplc="5900D30E" w:tentative="1">
      <w:start w:val="1"/>
      <w:numFmt w:val="bullet"/>
      <w:lvlText w:val="―"/>
      <w:lvlJc w:val="left"/>
      <w:pPr>
        <w:tabs>
          <w:tab w:val="num" w:pos="6480"/>
        </w:tabs>
        <w:ind w:left="6480" w:hanging="360"/>
      </w:pPr>
      <w:rPr>
        <w:rFonts w:ascii="Arial Narrow" w:hAnsi="Arial Narrow" w:hint="default"/>
      </w:rPr>
    </w:lvl>
  </w:abstractNum>
  <w:abstractNum w:abstractNumId="13">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2465406"/>
    <w:multiLevelType w:val="hybridMultilevel"/>
    <w:tmpl w:val="670E03D4"/>
    <w:lvl w:ilvl="0" w:tplc="03F667BE">
      <w:start w:val="4"/>
      <w:numFmt w:val="decimal"/>
      <w:lvlText w:val="%1."/>
      <w:lvlJc w:val="left"/>
      <w:pPr>
        <w:ind w:left="1689" w:hanging="55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6">
    <w:nsid w:val="57C912C2"/>
    <w:multiLevelType w:val="hybridMultilevel"/>
    <w:tmpl w:val="A4A03682"/>
    <w:lvl w:ilvl="0" w:tplc="77009FF6">
      <w:start w:val="1"/>
      <w:numFmt w:val="bullet"/>
      <w:lvlText w:val=""/>
      <w:lvlJc w:val="left"/>
      <w:pPr>
        <w:tabs>
          <w:tab w:val="num" w:pos="720"/>
        </w:tabs>
        <w:ind w:left="720" w:hanging="360"/>
      </w:pPr>
      <w:rPr>
        <w:rFonts w:ascii="Wingdings" w:hAnsi="Wingdings" w:hint="default"/>
      </w:rPr>
    </w:lvl>
    <w:lvl w:ilvl="1" w:tplc="3C76C7DE">
      <w:start w:val="27"/>
      <w:numFmt w:val="bullet"/>
      <w:lvlText w:val="―"/>
      <w:lvlJc w:val="left"/>
      <w:pPr>
        <w:tabs>
          <w:tab w:val="num" w:pos="1440"/>
        </w:tabs>
        <w:ind w:left="1440" w:hanging="360"/>
      </w:pPr>
      <w:rPr>
        <w:rFonts w:ascii="Arial Narrow" w:hAnsi="Arial Narrow" w:hint="default"/>
      </w:rPr>
    </w:lvl>
    <w:lvl w:ilvl="2" w:tplc="2D9C206C">
      <w:start w:val="1"/>
      <w:numFmt w:val="bullet"/>
      <w:lvlText w:val=""/>
      <w:lvlJc w:val="left"/>
      <w:pPr>
        <w:tabs>
          <w:tab w:val="num" w:pos="2160"/>
        </w:tabs>
        <w:ind w:left="2160" w:hanging="360"/>
      </w:pPr>
      <w:rPr>
        <w:rFonts w:ascii="Wingdings" w:hAnsi="Wingdings" w:hint="default"/>
      </w:rPr>
    </w:lvl>
    <w:lvl w:ilvl="3" w:tplc="52F297F2" w:tentative="1">
      <w:start w:val="1"/>
      <w:numFmt w:val="bullet"/>
      <w:lvlText w:val=""/>
      <w:lvlJc w:val="left"/>
      <w:pPr>
        <w:tabs>
          <w:tab w:val="num" w:pos="2880"/>
        </w:tabs>
        <w:ind w:left="2880" w:hanging="360"/>
      </w:pPr>
      <w:rPr>
        <w:rFonts w:ascii="Wingdings" w:hAnsi="Wingdings" w:hint="default"/>
      </w:rPr>
    </w:lvl>
    <w:lvl w:ilvl="4" w:tplc="B9B00314" w:tentative="1">
      <w:start w:val="1"/>
      <w:numFmt w:val="bullet"/>
      <w:lvlText w:val=""/>
      <w:lvlJc w:val="left"/>
      <w:pPr>
        <w:tabs>
          <w:tab w:val="num" w:pos="3600"/>
        </w:tabs>
        <w:ind w:left="3600" w:hanging="360"/>
      </w:pPr>
      <w:rPr>
        <w:rFonts w:ascii="Wingdings" w:hAnsi="Wingdings" w:hint="default"/>
      </w:rPr>
    </w:lvl>
    <w:lvl w:ilvl="5" w:tplc="76AE5514" w:tentative="1">
      <w:start w:val="1"/>
      <w:numFmt w:val="bullet"/>
      <w:lvlText w:val=""/>
      <w:lvlJc w:val="left"/>
      <w:pPr>
        <w:tabs>
          <w:tab w:val="num" w:pos="4320"/>
        </w:tabs>
        <w:ind w:left="4320" w:hanging="360"/>
      </w:pPr>
      <w:rPr>
        <w:rFonts w:ascii="Wingdings" w:hAnsi="Wingdings" w:hint="default"/>
      </w:rPr>
    </w:lvl>
    <w:lvl w:ilvl="6" w:tplc="4D6C9AD4" w:tentative="1">
      <w:start w:val="1"/>
      <w:numFmt w:val="bullet"/>
      <w:lvlText w:val=""/>
      <w:lvlJc w:val="left"/>
      <w:pPr>
        <w:tabs>
          <w:tab w:val="num" w:pos="5040"/>
        </w:tabs>
        <w:ind w:left="5040" w:hanging="360"/>
      </w:pPr>
      <w:rPr>
        <w:rFonts w:ascii="Wingdings" w:hAnsi="Wingdings" w:hint="default"/>
      </w:rPr>
    </w:lvl>
    <w:lvl w:ilvl="7" w:tplc="33280AB0" w:tentative="1">
      <w:start w:val="1"/>
      <w:numFmt w:val="bullet"/>
      <w:lvlText w:val=""/>
      <w:lvlJc w:val="left"/>
      <w:pPr>
        <w:tabs>
          <w:tab w:val="num" w:pos="5760"/>
        </w:tabs>
        <w:ind w:left="5760" w:hanging="360"/>
      </w:pPr>
      <w:rPr>
        <w:rFonts w:ascii="Wingdings" w:hAnsi="Wingdings" w:hint="default"/>
      </w:rPr>
    </w:lvl>
    <w:lvl w:ilvl="8" w:tplc="745EBF94" w:tentative="1">
      <w:start w:val="1"/>
      <w:numFmt w:val="bullet"/>
      <w:lvlText w:val=""/>
      <w:lvlJc w:val="left"/>
      <w:pPr>
        <w:tabs>
          <w:tab w:val="num" w:pos="6480"/>
        </w:tabs>
        <w:ind w:left="6480" w:hanging="360"/>
      </w:pPr>
      <w:rPr>
        <w:rFonts w:ascii="Wingdings" w:hAnsi="Wingdings" w:hint="default"/>
      </w:rPr>
    </w:lvl>
  </w:abstractNum>
  <w:abstractNum w:abstractNumId="17">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1"/>
  </w:num>
  <w:num w:numId="13">
    <w:abstractNumId w:val="10"/>
  </w:num>
  <w:num w:numId="14">
    <w:abstractNumId w:val="19"/>
  </w:num>
  <w:num w:numId="15">
    <w:abstractNumId w:val="20"/>
  </w:num>
  <w:num w:numId="16">
    <w:abstractNumId w:val="13"/>
  </w:num>
  <w:num w:numId="17">
    <w:abstractNumId w:val="15"/>
  </w:num>
  <w:num w:numId="18">
    <w:abstractNumId w:val="12"/>
  </w:num>
  <w:num w:numId="19">
    <w:abstractNumId w:val="16"/>
  </w:num>
  <w:num w:numId="20">
    <w:abstractNumId w:val="14"/>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E98"/>
    <w:rsid w:val="000022B8"/>
    <w:rsid w:val="0000447A"/>
    <w:rsid w:val="00010840"/>
    <w:rsid w:val="00012A02"/>
    <w:rsid w:val="00020095"/>
    <w:rsid w:val="000223D8"/>
    <w:rsid w:val="00024C31"/>
    <w:rsid w:val="0002626C"/>
    <w:rsid w:val="00035B55"/>
    <w:rsid w:val="00036BDC"/>
    <w:rsid w:val="00037FD8"/>
    <w:rsid w:val="0005007E"/>
    <w:rsid w:val="00050463"/>
    <w:rsid w:val="00050F6B"/>
    <w:rsid w:val="000525F0"/>
    <w:rsid w:val="000529BE"/>
    <w:rsid w:val="00055EF6"/>
    <w:rsid w:val="0006170C"/>
    <w:rsid w:val="00062F47"/>
    <w:rsid w:val="00071BCB"/>
    <w:rsid w:val="00072C8C"/>
    <w:rsid w:val="00075498"/>
    <w:rsid w:val="000769AB"/>
    <w:rsid w:val="00076AEE"/>
    <w:rsid w:val="00082A50"/>
    <w:rsid w:val="00086E05"/>
    <w:rsid w:val="00086FBE"/>
    <w:rsid w:val="00091419"/>
    <w:rsid w:val="0009189F"/>
    <w:rsid w:val="000931C0"/>
    <w:rsid w:val="000A10F6"/>
    <w:rsid w:val="000A46A4"/>
    <w:rsid w:val="000A4F2F"/>
    <w:rsid w:val="000A5DC2"/>
    <w:rsid w:val="000B175B"/>
    <w:rsid w:val="000B3A0F"/>
    <w:rsid w:val="000B5056"/>
    <w:rsid w:val="000B5B55"/>
    <w:rsid w:val="000C0BD8"/>
    <w:rsid w:val="000C170A"/>
    <w:rsid w:val="000C3866"/>
    <w:rsid w:val="000D6097"/>
    <w:rsid w:val="000D78B2"/>
    <w:rsid w:val="000E0415"/>
    <w:rsid w:val="000E3BFF"/>
    <w:rsid w:val="000E4C9F"/>
    <w:rsid w:val="000F0DEF"/>
    <w:rsid w:val="000F2718"/>
    <w:rsid w:val="000F3BB9"/>
    <w:rsid w:val="000F6938"/>
    <w:rsid w:val="0010335A"/>
    <w:rsid w:val="00110991"/>
    <w:rsid w:val="001129E5"/>
    <w:rsid w:val="00117787"/>
    <w:rsid w:val="00127986"/>
    <w:rsid w:val="00130B2B"/>
    <w:rsid w:val="00131D42"/>
    <w:rsid w:val="001329B7"/>
    <w:rsid w:val="00146DBC"/>
    <w:rsid w:val="00153BFC"/>
    <w:rsid w:val="00154402"/>
    <w:rsid w:val="001619B4"/>
    <w:rsid w:val="001633FB"/>
    <w:rsid w:val="00175FCF"/>
    <w:rsid w:val="0018709C"/>
    <w:rsid w:val="001A0D51"/>
    <w:rsid w:val="001A2909"/>
    <w:rsid w:val="001A66B1"/>
    <w:rsid w:val="001B1A57"/>
    <w:rsid w:val="001B4B04"/>
    <w:rsid w:val="001B6034"/>
    <w:rsid w:val="001B648B"/>
    <w:rsid w:val="001B7C3D"/>
    <w:rsid w:val="001C31B9"/>
    <w:rsid w:val="001C3AC6"/>
    <w:rsid w:val="001C4EB5"/>
    <w:rsid w:val="001C6663"/>
    <w:rsid w:val="001C7895"/>
    <w:rsid w:val="001D26DF"/>
    <w:rsid w:val="001D2FDC"/>
    <w:rsid w:val="001E18F2"/>
    <w:rsid w:val="001E3573"/>
    <w:rsid w:val="001E3F4D"/>
    <w:rsid w:val="001E5702"/>
    <w:rsid w:val="001F523D"/>
    <w:rsid w:val="00202290"/>
    <w:rsid w:val="00204D75"/>
    <w:rsid w:val="00206E5D"/>
    <w:rsid w:val="00210AB5"/>
    <w:rsid w:val="00211E0B"/>
    <w:rsid w:val="002213FA"/>
    <w:rsid w:val="00223C0B"/>
    <w:rsid w:val="0022446F"/>
    <w:rsid w:val="00225955"/>
    <w:rsid w:val="002262D3"/>
    <w:rsid w:val="002309A7"/>
    <w:rsid w:val="002311E4"/>
    <w:rsid w:val="0023606E"/>
    <w:rsid w:val="00237785"/>
    <w:rsid w:val="002413A9"/>
    <w:rsid w:val="00241466"/>
    <w:rsid w:val="00242462"/>
    <w:rsid w:val="002505B3"/>
    <w:rsid w:val="00252D36"/>
    <w:rsid w:val="00253374"/>
    <w:rsid w:val="00257377"/>
    <w:rsid w:val="00262A99"/>
    <w:rsid w:val="002673BB"/>
    <w:rsid w:val="00270110"/>
    <w:rsid w:val="00271844"/>
    <w:rsid w:val="00272039"/>
    <w:rsid w:val="002725CA"/>
    <w:rsid w:val="002732A9"/>
    <w:rsid w:val="00276796"/>
    <w:rsid w:val="00280EB7"/>
    <w:rsid w:val="00284D6E"/>
    <w:rsid w:val="0029098D"/>
    <w:rsid w:val="00290E10"/>
    <w:rsid w:val="002A34AB"/>
    <w:rsid w:val="002A55AC"/>
    <w:rsid w:val="002A5D83"/>
    <w:rsid w:val="002B1CDA"/>
    <w:rsid w:val="002B6251"/>
    <w:rsid w:val="002C56EC"/>
    <w:rsid w:val="002C638D"/>
    <w:rsid w:val="002E7020"/>
    <w:rsid w:val="002F1E9A"/>
    <w:rsid w:val="00306C2D"/>
    <w:rsid w:val="003107FA"/>
    <w:rsid w:val="00311FE0"/>
    <w:rsid w:val="003229D8"/>
    <w:rsid w:val="003304B6"/>
    <w:rsid w:val="003343A2"/>
    <w:rsid w:val="003372CE"/>
    <w:rsid w:val="00341D6C"/>
    <w:rsid w:val="00342E68"/>
    <w:rsid w:val="00347CF7"/>
    <w:rsid w:val="00347FB9"/>
    <w:rsid w:val="00350C40"/>
    <w:rsid w:val="00351405"/>
    <w:rsid w:val="003516AB"/>
    <w:rsid w:val="00360CB6"/>
    <w:rsid w:val="00361AD3"/>
    <w:rsid w:val="00364DED"/>
    <w:rsid w:val="0036510A"/>
    <w:rsid w:val="0037127D"/>
    <w:rsid w:val="003765A6"/>
    <w:rsid w:val="00376EA4"/>
    <w:rsid w:val="0037785D"/>
    <w:rsid w:val="00380528"/>
    <w:rsid w:val="0038171E"/>
    <w:rsid w:val="00384EB1"/>
    <w:rsid w:val="00386E2A"/>
    <w:rsid w:val="00387391"/>
    <w:rsid w:val="0039277A"/>
    <w:rsid w:val="003972E0"/>
    <w:rsid w:val="00397A19"/>
    <w:rsid w:val="003A0AB7"/>
    <w:rsid w:val="003A1DBE"/>
    <w:rsid w:val="003A48CE"/>
    <w:rsid w:val="003A6BE3"/>
    <w:rsid w:val="003B0387"/>
    <w:rsid w:val="003B4B4A"/>
    <w:rsid w:val="003B64AB"/>
    <w:rsid w:val="003C25F6"/>
    <w:rsid w:val="003C2675"/>
    <w:rsid w:val="003C2CC4"/>
    <w:rsid w:val="003D0D10"/>
    <w:rsid w:val="003D4B23"/>
    <w:rsid w:val="003D7EF0"/>
    <w:rsid w:val="003E5E80"/>
    <w:rsid w:val="003F1EDB"/>
    <w:rsid w:val="00405785"/>
    <w:rsid w:val="0042068F"/>
    <w:rsid w:val="00421257"/>
    <w:rsid w:val="00425157"/>
    <w:rsid w:val="0043014F"/>
    <w:rsid w:val="00430A88"/>
    <w:rsid w:val="0043243F"/>
    <w:rsid w:val="004325CB"/>
    <w:rsid w:val="00437F3F"/>
    <w:rsid w:val="00445784"/>
    <w:rsid w:val="00446DE4"/>
    <w:rsid w:val="00454036"/>
    <w:rsid w:val="004564CE"/>
    <w:rsid w:val="00463344"/>
    <w:rsid w:val="004728A0"/>
    <w:rsid w:val="00473156"/>
    <w:rsid w:val="004832A0"/>
    <w:rsid w:val="004939C8"/>
    <w:rsid w:val="00495374"/>
    <w:rsid w:val="00496AEF"/>
    <w:rsid w:val="004A6148"/>
    <w:rsid w:val="004B2C9D"/>
    <w:rsid w:val="004B4C10"/>
    <w:rsid w:val="004B6366"/>
    <w:rsid w:val="004C3287"/>
    <w:rsid w:val="004C571A"/>
    <w:rsid w:val="004C5B24"/>
    <w:rsid w:val="004D13CB"/>
    <w:rsid w:val="004D1C57"/>
    <w:rsid w:val="004D1C72"/>
    <w:rsid w:val="004E7676"/>
    <w:rsid w:val="004F42F4"/>
    <w:rsid w:val="004F51C8"/>
    <w:rsid w:val="00503B9C"/>
    <w:rsid w:val="00504585"/>
    <w:rsid w:val="00517A3F"/>
    <w:rsid w:val="0052275B"/>
    <w:rsid w:val="00522955"/>
    <w:rsid w:val="00527910"/>
    <w:rsid w:val="00534DA8"/>
    <w:rsid w:val="00535BE9"/>
    <w:rsid w:val="005420F2"/>
    <w:rsid w:val="00542679"/>
    <w:rsid w:val="0054581D"/>
    <w:rsid w:val="0055264D"/>
    <w:rsid w:val="00556634"/>
    <w:rsid w:val="005616F9"/>
    <w:rsid w:val="005634A1"/>
    <w:rsid w:val="005668E9"/>
    <w:rsid w:val="0057677B"/>
    <w:rsid w:val="00590144"/>
    <w:rsid w:val="005909BA"/>
    <w:rsid w:val="005919BB"/>
    <w:rsid w:val="005A4D8F"/>
    <w:rsid w:val="005B3DB3"/>
    <w:rsid w:val="005B4EF3"/>
    <w:rsid w:val="005B72E0"/>
    <w:rsid w:val="005C6031"/>
    <w:rsid w:val="005D5296"/>
    <w:rsid w:val="005D6A9B"/>
    <w:rsid w:val="005E1129"/>
    <w:rsid w:val="005E7F35"/>
    <w:rsid w:val="00600796"/>
    <w:rsid w:val="006014D2"/>
    <w:rsid w:val="0060312E"/>
    <w:rsid w:val="00605F62"/>
    <w:rsid w:val="00606BD8"/>
    <w:rsid w:val="00611FC4"/>
    <w:rsid w:val="00615E0D"/>
    <w:rsid w:val="006176FB"/>
    <w:rsid w:val="006201D7"/>
    <w:rsid w:val="0062283A"/>
    <w:rsid w:val="00632B18"/>
    <w:rsid w:val="0063419C"/>
    <w:rsid w:val="006357A0"/>
    <w:rsid w:val="00637DDC"/>
    <w:rsid w:val="0064066C"/>
    <w:rsid w:val="00640B26"/>
    <w:rsid w:val="00646800"/>
    <w:rsid w:val="006500BA"/>
    <w:rsid w:val="006504D1"/>
    <w:rsid w:val="00650DBA"/>
    <w:rsid w:val="006624E5"/>
    <w:rsid w:val="00672DB7"/>
    <w:rsid w:val="006804E7"/>
    <w:rsid w:val="00680C8B"/>
    <w:rsid w:val="00681546"/>
    <w:rsid w:val="00684E8C"/>
    <w:rsid w:val="00687F78"/>
    <w:rsid w:val="006913F9"/>
    <w:rsid w:val="00694F8E"/>
    <w:rsid w:val="006A7392"/>
    <w:rsid w:val="006B77E8"/>
    <w:rsid w:val="006C0D34"/>
    <w:rsid w:val="006C1CA0"/>
    <w:rsid w:val="006C3B18"/>
    <w:rsid w:val="006C7E11"/>
    <w:rsid w:val="006D247B"/>
    <w:rsid w:val="006D5191"/>
    <w:rsid w:val="006E2719"/>
    <w:rsid w:val="006E564B"/>
    <w:rsid w:val="006E62F4"/>
    <w:rsid w:val="006E6FBD"/>
    <w:rsid w:val="006F6D61"/>
    <w:rsid w:val="0070344F"/>
    <w:rsid w:val="007062C1"/>
    <w:rsid w:val="00725848"/>
    <w:rsid w:val="0072632A"/>
    <w:rsid w:val="00733F63"/>
    <w:rsid w:val="00741915"/>
    <w:rsid w:val="00743FC7"/>
    <w:rsid w:val="00746235"/>
    <w:rsid w:val="00753201"/>
    <w:rsid w:val="007532B1"/>
    <w:rsid w:val="007612E0"/>
    <w:rsid w:val="007664BA"/>
    <w:rsid w:val="007665DE"/>
    <w:rsid w:val="00777B95"/>
    <w:rsid w:val="007810B9"/>
    <w:rsid w:val="007824AC"/>
    <w:rsid w:val="00790791"/>
    <w:rsid w:val="00792D33"/>
    <w:rsid w:val="007A331B"/>
    <w:rsid w:val="007A4DA4"/>
    <w:rsid w:val="007A5095"/>
    <w:rsid w:val="007B3045"/>
    <w:rsid w:val="007B446D"/>
    <w:rsid w:val="007B6BA5"/>
    <w:rsid w:val="007B6FE6"/>
    <w:rsid w:val="007B7725"/>
    <w:rsid w:val="007C3390"/>
    <w:rsid w:val="007C4F4B"/>
    <w:rsid w:val="007D0BD8"/>
    <w:rsid w:val="007D40A6"/>
    <w:rsid w:val="007D4276"/>
    <w:rsid w:val="007D7BF0"/>
    <w:rsid w:val="007E148D"/>
    <w:rsid w:val="007E3A2B"/>
    <w:rsid w:val="007E7112"/>
    <w:rsid w:val="007F6611"/>
    <w:rsid w:val="00803CCB"/>
    <w:rsid w:val="00805EA2"/>
    <w:rsid w:val="008124A5"/>
    <w:rsid w:val="008140B9"/>
    <w:rsid w:val="00815697"/>
    <w:rsid w:val="008174EA"/>
    <w:rsid w:val="008175E9"/>
    <w:rsid w:val="00823C77"/>
    <w:rsid w:val="008242D7"/>
    <w:rsid w:val="00824BC6"/>
    <w:rsid w:val="00834556"/>
    <w:rsid w:val="00844A7A"/>
    <w:rsid w:val="00846632"/>
    <w:rsid w:val="00846FA4"/>
    <w:rsid w:val="00853C3D"/>
    <w:rsid w:val="00861958"/>
    <w:rsid w:val="00861ACC"/>
    <w:rsid w:val="00871FD5"/>
    <w:rsid w:val="00874909"/>
    <w:rsid w:val="00874B2D"/>
    <w:rsid w:val="00874C3C"/>
    <w:rsid w:val="00881256"/>
    <w:rsid w:val="00885E87"/>
    <w:rsid w:val="00887B65"/>
    <w:rsid w:val="00894D34"/>
    <w:rsid w:val="008979B1"/>
    <w:rsid w:val="008A04B9"/>
    <w:rsid w:val="008A1350"/>
    <w:rsid w:val="008A29F7"/>
    <w:rsid w:val="008A2F46"/>
    <w:rsid w:val="008A6B25"/>
    <w:rsid w:val="008A6C4F"/>
    <w:rsid w:val="008C126B"/>
    <w:rsid w:val="008C3E44"/>
    <w:rsid w:val="008C4A16"/>
    <w:rsid w:val="008C7850"/>
    <w:rsid w:val="008D16EF"/>
    <w:rsid w:val="008D5C92"/>
    <w:rsid w:val="008E0E46"/>
    <w:rsid w:val="008E436D"/>
    <w:rsid w:val="008F0FD7"/>
    <w:rsid w:val="008F473E"/>
    <w:rsid w:val="008F795E"/>
    <w:rsid w:val="008F7AC8"/>
    <w:rsid w:val="009019F7"/>
    <w:rsid w:val="00910C89"/>
    <w:rsid w:val="00911B89"/>
    <w:rsid w:val="0091248E"/>
    <w:rsid w:val="009142A0"/>
    <w:rsid w:val="00916F49"/>
    <w:rsid w:val="00921A36"/>
    <w:rsid w:val="00924C29"/>
    <w:rsid w:val="009311A9"/>
    <w:rsid w:val="00931677"/>
    <w:rsid w:val="009338EE"/>
    <w:rsid w:val="00936B1A"/>
    <w:rsid w:val="00940479"/>
    <w:rsid w:val="00945A5D"/>
    <w:rsid w:val="00954D29"/>
    <w:rsid w:val="0095794D"/>
    <w:rsid w:val="00963CBA"/>
    <w:rsid w:val="009641B6"/>
    <w:rsid w:val="00967848"/>
    <w:rsid w:val="00971136"/>
    <w:rsid w:val="00987EBF"/>
    <w:rsid w:val="0099124E"/>
    <w:rsid w:val="00991261"/>
    <w:rsid w:val="009967A1"/>
    <w:rsid w:val="00996DEB"/>
    <w:rsid w:val="009A0B38"/>
    <w:rsid w:val="009A2467"/>
    <w:rsid w:val="009A520F"/>
    <w:rsid w:val="009A5F28"/>
    <w:rsid w:val="009A6D43"/>
    <w:rsid w:val="009B0652"/>
    <w:rsid w:val="009B0E6D"/>
    <w:rsid w:val="009B7D27"/>
    <w:rsid w:val="009B7DF8"/>
    <w:rsid w:val="009C3671"/>
    <w:rsid w:val="009C36EB"/>
    <w:rsid w:val="009C57DA"/>
    <w:rsid w:val="009D0389"/>
    <w:rsid w:val="009D688C"/>
    <w:rsid w:val="009E2BD1"/>
    <w:rsid w:val="009E60A0"/>
    <w:rsid w:val="009F0F06"/>
    <w:rsid w:val="009F19A8"/>
    <w:rsid w:val="009F7F2C"/>
    <w:rsid w:val="00A03EB1"/>
    <w:rsid w:val="00A04323"/>
    <w:rsid w:val="00A07128"/>
    <w:rsid w:val="00A07269"/>
    <w:rsid w:val="00A1427D"/>
    <w:rsid w:val="00A14F60"/>
    <w:rsid w:val="00A16A89"/>
    <w:rsid w:val="00A16D82"/>
    <w:rsid w:val="00A17144"/>
    <w:rsid w:val="00A239AB"/>
    <w:rsid w:val="00A37D91"/>
    <w:rsid w:val="00A43707"/>
    <w:rsid w:val="00A57926"/>
    <w:rsid w:val="00A6285D"/>
    <w:rsid w:val="00A63075"/>
    <w:rsid w:val="00A67565"/>
    <w:rsid w:val="00A72F22"/>
    <w:rsid w:val="00A748A6"/>
    <w:rsid w:val="00A7547B"/>
    <w:rsid w:val="00A75EC9"/>
    <w:rsid w:val="00A80B7C"/>
    <w:rsid w:val="00A86FB7"/>
    <w:rsid w:val="00A879A4"/>
    <w:rsid w:val="00A904E6"/>
    <w:rsid w:val="00AA090A"/>
    <w:rsid w:val="00AA163A"/>
    <w:rsid w:val="00AA6752"/>
    <w:rsid w:val="00AB103E"/>
    <w:rsid w:val="00AB681C"/>
    <w:rsid w:val="00AB6E64"/>
    <w:rsid w:val="00AC518F"/>
    <w:rsid w:val="00AD1E7B"/>
    <w:rsid w:val="00AD2541"/>
    <w:rsid w:val="00AD3F0D"/>
    <w:rsid w:val="00AE0568"/>
    <w:rsid w:val="00AE54F4"/>
    <w:rsid w:val="00AF63B1"/>
    <w:rsid w:val="00B062A6"/>
    <w:rsid w:val="00B153B2"/>
    <w:rsid w:val="00B30179"/>
    <w:rsid w:val="00B31ADE"/>
    <w:rsid w:val="00B3317B"/>
    <w:rsid w:val="00B37B2B"/>
    <w:rsid w:val="00B44382"/>
    <w:rsid w:val="00B446CD"/>
    <w:rsid w:val="00B45F43"/>
    <w:rsid w:val="00B5229B"/>
    <w:rsid w:val="00B6429F"/>
    <w:rsid w:val="00B710FA"/>
    <w:rsid w:val="00B73FEA"/>
    <w:rsid w:val="00B75701"/>
    <w:rsid w:val="00B81E12"/>
    <w:rsid w:val="00B93068"/>
    <w:rsid w:val="00B93C47"/>
    <w:rsid w:val="00B965F2"/>
    <w:rsid w:val="00B9672F"/>
    <w:rsid w:val="00B96C70"/>
    <w:rsid w:val="00BA1D7B"/>
    <w:rsid w:val="00BA2FED"/>
    <w:rsid w:val="00BA5A48"/>
    <w:rsid w:val="00BB2B9D"/>
    <w:rsid w:val="00BC311A"/>
    <w:rsid w:val="00BC46ED"/>
    <w:rsid w:val="00BC498D"/>
    <w:rsid w:val="00BC5429"/>
    <w:rsid w:val="00BC74E9"/>
    <w:rsid w:val="00BD4AEC"/>
    <w:rsid w:val="00BD7462"/>
    <w:rsid w:val="00BE0A65"/>
    <w:rsid w:val="00BE3C13"/>
    <w:rsid w:val="00BE618E"/>
    <w:rsid w:val="00BF7A1A"/>
    <w:rsid w:val="00C02B2A"/>
    <w:rsid w:val="00C03AAF"/>
    <w:rsid w:val="00C05117"/>
    <w:rsid w:val="00C0646D"/>
    <w:rsid w:val="00C16149"/>
    <w:rsid w:val="00C17DB1"/>
    <w:rsid w:val="00C279E5"/>
    <w:rsid w:val="00C302B4"/>
    <w:rsid w:val="00C3224A"/>
    <w:rsid w:val="00C33088"/>
    <w:rsid w:val="00C36BD9"/>
    <w:rsid w:val="00C41106"/>
    <w:rsid w:val="00C4315F"/>
    <w:rsid w:val="00C463DD"/>
    <w:rsid w:val="00C51B63"/>
    <w:rsid w:val="00C55E68"/>
    <w:rsid w:val="00C56BF7"/>
    <w:rsid w:val="00C62213"/>
    <w:rsid w:val="00C622ED"/>
    <w:rsid w:val="00C62F76"/>
    <w:rsid w:val="00C6321A"/>
    <w:rsid w:val="00C71249"/>
    <w:rsid w:val="00C745C3"/>
    <w:rsid w:val="00C75DEB"/>
    <w:rsid w:val="00C75FFB"/>
    <w:rsid w:val="00C833AA"/>
    <w:rsid w:val="00C8384C"/>
    <w:rsid w:val="00C918F4"/>
    <w:rsid w:val="00CB4BB2"/>
    <w:rsid w:val="00CB54F7"/>
    <w:rsid w:val="00CC04D5"/>
    <w:rsid w:val="00CC12CC"/>
    <w:rsid w:val="00CC2702"/>
    <w:rsid w:val="00CC78A6"/>
    <w:rsid w:val="00CD3225"/>
    <w:rsid w:val="00CD64B5"/>
    <w:rsid w:val="00CD7976"/>
    <w:rsid w:val="00CD7A0A"/>
    <w:rsid w:val="00CE12A9"/>
    <w:rsid w:val="00CE4A8F"/>
    <w:rsid w:val="00CE6425"/>
    <w:rsid w:val="00CE729A"/>
    <w:rsid w:val="00CF3CBA"/>
    <w:rsid w:val="00CF714F"/>
    <w:rsid w:val="00D019C1"/>
    <w:rsid w:val="00D1076A"/>
    <w:rsid w:val="00D11267"/>
    <w:rsid w:val="00D13EA7"/>
    <w:rsid w:val="00D2031B"/>
    <w:rsid w:val="00D20EF4"/>
    <w:rsid w:val="00D25FE2"/>
    <w:rsid w:val="00D30E58"/>
    <w:rsid w:val="00D31317"/>
    <w:rsid w:val="00D34C69"/>
    <w:rsid w:val="00D43252"/>
    <w:rsid w:val="00D44D4B"/>
    <w:rsid w:val="00D52364"/>
    <w:rsid w:val="00D65404"/>
    <w:rsid w:val="00D70410"/>
    <w:rsid w:val="00D70BC8"/>
    <w:rsid w:val="00D753D8"/>
    <w:rsid w:val="00D75DBB"/>
    <w:rsid w:val="00D80A99"/>
    <w:rsid w:val="00D96CC5"/>
    <w:rsid w:val="00D978C6"/>
    <w:rsid w:val="00DA17EA"/>
    <w:rsid w:val="00DA5F0B"/>
    <w:rsid w:val="00DA67AD"/>
    <w:rsid w:val="00DB0CF8"/>
    <w:rsid w:val="00DB3885"/>
    <w:rsid w:val="00DC5FBA"/>
    <w:rsid w:val="00DD37E0"/>
    <w:rsid w:val="00DE6BC8"/>
    <w:rsid w:val="00DF2772"/>
    <w:rsid w:val="00E02013"/>
    <w:rsid w:val="00E114F7"/>
    <w:rsid w:val="00E130AB"/>
    <w:rsid w:val="00E14834"/>
    <w:rsid w:val="00E14DB4"/>
    <w:rsid w:val="00E17A8C"/>
    <w:rsid w:val="00E241E1"/>
    <w:rsid w:val="00E2585F"/>
    <w:rsid w:val="00E31D55"/>
    <w:rsid w:val="00E34130"/>
    <w:rsid w:val="00E45799"/>
    <w:rsid w:val="00E45EA8"/>
    <w:rsid w:val="00E47423"/>
    <w:rsid w:val="00E5268C"/>
    <w:rsid w:val="00E549B7"/>
    <w:rsid w:val="00E5644E"/>
    <w:rsid w:val="00E631DD"/>
    <w:rsid w:val="00E6387D"/>
    <w:rsid w:val="00E653B2"/>
    <w:rsid w:val="00E7260F"/>
    <w:rsid w:val="00E77EB3"/>
    <w:rsid w:val="00E84943"/>
    <w:rsid w:val="00E8535A"/>
    <w:rsid w:val="00E858B7"/>
    <w:rsid w:val="00E95503"/>
    <w:rsid w:val="00E96630"/>
    <w:rsid w:val="00EA2E89"/>
    <w:rsid w:val="00EA30DA"/>
    <w:rsid w:val="00EA772F"/>
    <w:rsid w:val="00EB0465"/>
    <w:rsid w:val="00EB1EC4"/>
    <w:rsid w:val="00EB6832"/>
    <w:rsid w:val="00EC702A"/>
    <w:rsid w:val="00ED3645"/>
    <w:rsid w:val="00ED49D3"/>
    <w:rsid w:val="00ED7A2A"/>
    <w:rsid w:val="00EE5771"/>
    <w:rsid w:val="00EF1D7F"/>
    <w:rsid w:val="00F02DB8"/>
    <w:rsid w:val="00F14A47"/>
    <w:rsid w:val="00F14AAA"/>
    <w:rsid w:val="00F14D34"/>
    <w:rsid w:val="00F16818"/>
    <w:rsid w:val="00F1720B"/>
    <w:rsid w:val="00F2107F"/>
    <w:rsid w:val="00F23A8E"/>
    <w:rsid w:val="00F260D8"/>
    <w:rsid w:val="00F274E2"/>
    <w:rsid w:val="00F30DC6"/>
    <w:rsid w:val="00F31984"/>
    <w:rsid w:val="00F332AD"/>
    <w:rsid w:val="00F366EF"/>
    <w:rsid w:val="00F40E75"/>
    <w:rsid w:val="00F45BD8"/>
    <w:rsid w:val="00F518F7"/>
    <w:rsid w:val="00F532F9"/>
    <w:rsid w:val="00F54674"/>
    <w:rsid w:val="00F645B4"/>
    <w:rsid w:val="00F7172C"/>
    <w:rsid w:val="00F729F2"/>
    <w:rsid w:val="00F778FA"/>
    <w:rsid w:val="00F82DD7"/>
    <w:rsid w:val="00F8442F"/>
    <w:rsid w:val="00F85DBE"/>
    <w:rsid w:val="00F85FA3"/>
    <w:rsid w:val="00F94A28"/>
    <w:rsid w:val="00F94A93"/>
    <w:rsid w:val="00FB06BF"/>
    <w:rsid w:val="00FC495C"/>
    <w:rsid w:val="00FC5F7F"/>
    <w:rsid w:val="00FC653E"/>
    <w:rsid w:val="00FC68B7"/>
    <w:rsid w:val="00FD047F"/>
    <w:rsid w:val="00FD1BD9"/>
    <w:rsid w:val="00FD3622"/>
    <w:rsid w:val="00FD3CF2"/>
    <w:rsid w:val="00FD6B2B"/>
    <w:rsid w:val="00FF03BB"/>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H1GChar">
    <w:name w:val="_ H_1_G Char"/>
    <w:link w:val="H1G"/>
    <w:rsid w:val="003F1EDB"/>
    <w:rPr>
      <w:b/>
      <w:sz w:val="24"/>
      <w:lang w:val="en-GB" w:eastAsia="en-US"/>
    </w:rPr>
  </w:style>
  <w:style w:type="paragraph" w:styleId="BalloonText">
    <w:name w:val="Balloon Text"/>
    <w:basedOn w:val="Normal"/>
    <w:link w:val="BalloonTextChar"/>
    <w:rsid w:val="007A5095"/>
    <w:pPr>
      <w:spacing w:line="240" w:lineRule="auto"/>
    </w:pPr>
    <w:rPr>
      <w:rFonts w:ascii="Tahoma" w:hAnsi="Tahoma"/>
      <w:sz w:val="16"/>
      <w:szCs w:val="16"/>
    </w:rPr>
  </w:style>
  <w:style w:type="character" w:customStyle="1" w:styleId="BalloonTextChar">
    <w:name w:val="Balloon Text Char"/>
    <w:link w:val="BalloonText"/>
    <w:rsid w:val="007A5095"/>
    <w:rPr>
      <w:rFonts w:ascii="Tahoma" w:hAnsi="Tahoma" w:cs="Tahoma"/>
      <w:sz w:val="16"/>
      <w:szCs w:val="16"/>
      <w:lang w:val="en-GB" w:eastAsia="en-US"/>
    </w:rPr>
  </w:style>
  <w:style w:type="paragraph" w:styleId="Revision">
    <w:name w:val="Revision"/>
    <w:hidden/>
    <w:uiPriority w:val="99"/>
    <w:semiHidden/>
    <w:rsid w:val="00D75DBB"/>
    <w:rPr>
      <w:lang w:eastAsia="en-US"/>
    </w:rPr>
  </w:style>
  <w:style w:type="paragraph" w:styleId="CommentSubject">
    <w:name w:val="annotation subject"/>
    <w:basedOn w:val="CommentText"/>
    <w:next w:val="CommentText"/>
    <w:link w:val="CommentSubjectChar"/>
    <w:rsid w:val="009311A9"/>
    <w:rPr>
      <w:b/>
      <w:bCs/>
    </w:rPr>
  </w:style>
  <w:style w:type="character" w:customStyle="1" w:styleId="CommentTextChar">
    <w:name w:val="Comment Text Char"/>
    <w:link w:val="CommentText"/>
    <w:semiHidden/>
    <w:rsid w:val="009311A9"/>
    <w:rPr>
      <w:lang w:eastAsia="en-US"/>
    </w:rPr>
  </w:style>
  <w:style w:type="character" w:customStyle="1" w:styleId="CommentSubjectChar">
    <w:name w:val="Comment Subject Char"/>
    <w:link w:val="CommentSubject"/>
    <w:rsid w:val="009311A9"/>
    <w:rPr>
      <w:b/>
      <w:bCs/>
      <w:lang w:eastAsia="en-US"/>
    </w:rPr>
  </w:style>
  <w:style w:type="character" w:customStyle="1" w:styleId="FootnoteTextChar">
    <w:name w:val="Footnote Text Char"/>
    <w:aliases w:val="5_G Char"/>
    <w:link w:val="FootnoteText"/>
    <w:uiPriority w:val="99"/>
    <w:rsid w:val="00AB103E"/>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H1GChar">
    <w:name w:val="_ H_1_G Char"/>
    <w:link w:val="H1G"/>
    <w:rsid w:val="003F1EDB"/>
    <w:rPr>
      <w:b/>
      <w:sz w:val="24"/>
      <w:lang w:val="en-GB" w:eastAsia="en-US"/>
    </w:rPr>
  </w:style>
  <w:style w:type="paragraph" w:styleId="BalloonText">
    <w:name w:val="Balloon Text"/>
    <w:basedOn w:val="Normal"/>
    <w:link w:val="BalloonTextChar"/>
    <w:rsid w:val="007A5095"/>
    <w:pPr>
      <w:spacing w:line="240" w:lineRule="auto"/>
    </w:pPr>
    <w:rPr>
      <w:rFonts w:ascii="Tahoma" w:hAnsi="Tahoma"/>
      <w:sz w:val="16"/>
      <w:szCs w:val="16"/>
    </w:rPr>
  </w:style>
  <w:style w:type="character" w:customStyle="1" w:styleId="BalloonTextChar">
    <w:name w:val="Balloon Text Char"/>
    <w:link w:val="BalloonText"/>
    <w:rsid w:val="007A5095"/>
    <w:rPr>
      <w:rFonts w:ascii="Tahoma" w:hAnsi="Tahoma" w:cs="Tahoma"/>
      <w:sz w:val="16"/>
      <w:szCs w:val="16"/>
      <w:lang w:val="en-GB" w:eastAsia="en-US"/>
    </w:rPr>
  </w:style>
  <w:style w:type="paragraph" w:styleId="Revision">
    <w:name w:val="Revision"/>
    <w:hidden/>
    <w:uiPriority w:val="99"/>
    <w:semiHidden/>
    <w:rsid w:val="00D75DBB"/>
    <w:rPr>
      <w:lang w:eastAsia="en-US"/>
    </w:rPr>
  </w:style>
  <w:style w:type="paragraph" w:styleId="CommentSubject">
    <w:name w:val="annotation subject"/>
    <w:basedOn w:val="CommentText"/>
    <w:next w:val="CommentText"/>
    <w:link w:val="CommentSubjectChar"/>
    <w:rsid w:val="009311A9"/>
    <w:rPr>
      <w:b/>
      <w:bCs/>
    </w:rPr>
  </w:style>
  <w:style w:type="character" w:customStyle="1" w:styleId="CommentTextChar">
    <w:name w:val="Comment Text Char"/>
    <w:link w:val="CommentText"/>
    <w:semiHidden/>
    <w:rsid w:val="009311A9"/>
    <w:rPr>
      <w:lang w:eastAsia="en-US"/>
    </w:rPr>
  </w:style>
  <w:style w:type="character" w:customStyle="1" w:styleId="CommentSubjectChar">
    <w:name w:val="Comment Subject Char"/>
    <w:link w:val="CommentSubject"/>
    <w:rsid w:val="009311A9"/>
    <w:rPr>
      <w:b/>
      <w:bCs/>
      <w:lang w:eastAsia="en-US"/>
    </w:rPr>
  </w:style>
  <w:style w:type="character" w:customStyle="1" w:styleId="FootnoteTextChar">
    <w:name w:val="Footnote Text Char"/>
    <w:aliases w:val="5_G Char"/>
    <w:link w:val="FootnoteText"/>
    <w:uiPriority w:val="99"/>
    <w:rsid w:val="00AB103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3EC2-9DA6-48D2-A486-BCEC9A80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4</cp:revision>
  <cp:lastPrinted>2015-11-17T15:16:00Z</cp:lastPrinted>
  <dcterms:created xsi:type="dcterms:W3CDTF">2015-11-17T15:12:00Z</dcterms:created>
  <dcterms:modified xsi:type="dcterms:W3CDTF">2015-11-17T15:17:00Z</dcterms:modified>
</cp:coreProperties>
</file>