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C13534" w:rsidRPr="005A1F2E" w:rsidTr="00C13534">
        <w:trPr>
          <w:cantSplit/>
          <w:trHeight w:hRule="exact" w:val="851"/>
        </w:trPr>
        <w:tc>
          <w:tcPr>
            <w:tcW w:w="9639" w:type="dxa"/>
            <w:tcBorders>
              <w:bottom w:val="single" w:sz="4" w:space="0" w:color="auto"/>
            </w:tcBorders>
            <w:vAlign w:val="bottom"/>
          </w:tcPr>
          <w:p w:rsidR="00C13534" w:rsidRPr="00556F1E" w:rsidRDefault="004A7637" w:rsidP="004A7637">
            <w:pPr>
              <w:jc w:val="right"/>
              <w:rPr>
                <w:b/>
                <w:sz w:val="36"/>
                <w:szCs w:val="36"/>
              </w:rPr>
            </w:pPr>
            <w:r>
              <w:rPr>
                <w:b/>
                <w:sz w:val="36"/>
                <w:szCs w:val="36"/>
              </w:rPr>
              <w:t>UN/SCETDG/48/INF.17</w:t>
            </w:r>
          </w:p>
        </w:tc>
      </w:tr>
      <w:tr w:rsidR="00C13534" w:rsidRPr="005A1F2E" w:rsidTr="00C13534">
        <w:trPr>
          <w:cantSplit/>
          <w:trHeight w:val="2456"/>
        </w:trPr>
        <w:tc>
          <w:tcPr>
            <w:tcW w:w="9639" w:type="dxa"/>
            <w:tcBorders>
              <w:top w:val="single" w:sz="4" w:space="0" w:color="auto"/>
            </w:tcBorders>
          </w:tcPr>
          <w:p w:rsidR="00C13534" w:rsidRPr="005A1F2E" w:rsidRDefault="00C13534" w:rsidP="00C13534">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C13534" w:rsidRPr="005A1F2E" w:rsidRDefault="00C13534" w:rsidP="00C13534">
            <w:pPr>
              <w:tabs>
                <w:tab w:val="left" w:pos="8000"/>
              </w:tabs>
              <w:spacing w:before="120"/>
              <w:rPr>
                <w:b/>
              </w:rPr>
            </w:pPr>
            <w:r w:rsidRPr="005A1F2E">
              <w:rPr>
                <w:b/>
              </w:rPr>
              <w:t>Sub-Committee of Experts on the Transport of Dangerous Goods</w:t>
            </w:r>
            <w:r w:rsidRPr="005A1F2E">
              <w:rPr>
                <w:b/>
              </w:rPr>
              <w:tab/>
            </w:r>
            <w:r w:rsidR="004A7637">
              <w:rPr>
                <w:b/>
              </w:rPr>
              <w:t>12 November 2015</w:t>
            </w:r>
          </w:p>
          <w:p w:rsidR="00C13534" w:rsidRDefault="00C13534" w:rsidP="00C13534">
            <w:pPr>
              <w:spacing w:before="120"/>
              <w:rPr>
                <w:b/>
              </w:rPr>
            </w:pPr>
            <w:r>
              <w:rPr>
                <w:b/>
              </w:rPr>
              <w:t xml:space="preserve">Forty- </w:t>
            </w:r>
            <w:r w:rsidR="00BB2601">
              <w:rPr>
                <w:b/>
              </w:rPr>
              <w:t>eighth</w:t>
            </w:r>
            <w:r>
              <w:rPr>
                <w:b/>
              </w:rPr>
              <w:t xml:space="preserve"> session</w:t>
            </w:r>
          </w:p>
          <w:p w:rsidR="00B15C5D" w:rsidRDefault="00C13534" w:rsidP="00C13534">
            <w:r>
              <w:t xml:space="preserve">Geneva, </w:t>
            </w:r>
            <w:r w:rsidR="005B1193">
              <w:t>30 November – 9 December 2015</w:t>
            </w:r>
          </w:p>
          <w:p w:rsidR="00C13534" w:rsidRPr="00BE3FCE" w:rsidRDefault="00B15C5D" w:rsidP="00C13534">
            <w:r>
              <w:t xml:space="preserve">Item </w:t>
            </w:r>
            <w:r w:rsidR="004A7637">
              <w:t>2 (</w:t>
            </w:r>
            <w:proofErr w:type="spellStart"/>
            <w:r w:rsidR="004A7637">
              <w:t>i</w:t>
            </w:r>
            <w:proofErr w:type="spellEnd"/>
            <w:r w:rsidR="004A7637">
              <w:t>)</w:t>
            </w:r>
            <w:r>
              <w:t xml:space="preserve"> of the provisional agenda</w:t>
            </w:r>
          </w:p>
          <w:p w:rsidR="00C13534" w:rsidRPr="005A1F2E" w:rsidRDefault="009C6163" w:rsidP="00C13534">
            <w:pPr>
              <w:rPr>
                <w:b/>
              </w:rPr>
            </w:pPr>
            <w:r w:rsidRPr="009C6163">
              <w:rPr>
                <w:b/>
              </w:rPr>
              <w:t>Explosives and related matters</w:t>
            </w:r>
            <w:r>
              <w:rPr>
                <w:b/>
              </w:rPr>
              <w:t>:</w:t>
            </w:r>
            <w:r w:rsidRPr="00E950FE">
              <w:rPr>
                <w:b/>
              </w:rPr>
              <w:t xml:space="preserve"> </w:t>
            </w:r>
            <w:r w:rsidR="00E950FE" w:rsidRPr="00E950FE">
              <w:rPr>
                <w:b/>
              </w:rPr>
              <w:t>miscellaneous</w:t>
            </w:r>
          </w:p>
        </w:tc>
      </w:tr>
    </w:tbl>
    <w:p w:rsidR="00E950FE" w:rsidRDefault="00E950FE" w:rsidP="00E950FE">
      <w:pPr>
        <w:pStyle w:val="HChG"/>
      </w:pPr>
      <w:r>
        <w:tab/>
      </w:r>
      <w:r>
        <w:tab/>
      </w:r>
      <w:r w:rsidR="00F26CC4">
        <w:t>Application of Security Provisions to</w:t>
      </w:r>
      <w:r w:rsidR="002933F2">
        <w:t xml:space="preserve"> Explosives N</w:t>
      </w:r>
      <w:r w:rsidR="004A7637">
        <w:t>.</w:t>
      </w:r>
      <w:r w:rsidR="002933F2">
        <w:t>O</w:t>
      </w:r>
      <w:r w:rsidR="004A7637">
        <w:t>.S</w:t>
      </w:r>
    </w:p>
    <w:p w:rsidR="00E72064" w:rsidRPr="00E72064" w:rsidRDefault="00E72064" w:rsidP="00E72064">
      <w:pPr>
        <w:pStyle w:val="H1G"/>
      </w:pPr>
      <w:r>
        <w:tab/>
      </w:r>
      <w:r>
        <w:tab/>
        <w:t xml:space="preserve">Document ST/SG/AC.10/C.3/2015/47 </w:t>
      </w:r>
      <w:r w:rsidRPr="00E72064">
        <w:rPr>
          <w:u w:val="single"/>
        </w:rPr>
        <w:t>with revised paragraph 6</w:t>
      </w:r>
    </w:p>
    <w:p w:rsidR="00E950FE" w:rsidRDefault="00E950FE" w:rsidP="00164FCA">
      <w:pPr>
        <w:pStyle w:val="H1G"/>
        <w:outlineLvl w:val="0"/>
      </w:pPr>
      <w:r>
        <w:tab/>
      </w:r>
      <w:r>
        <w:tab/>
        <w:t xml:space="preserve">Transmitted by the </w:t>
      </w:r>
      <w:r w:rsidR="00A0099E">
        <w:t>expert from</w:t>
      </w:r>
      <w:r>
        <w:t xml:space="preserve"> the </w:t>
      </w:r>
      <w:smartTag w:uri="urn:schemas-microsoft-com:office:smarttags" w:element="place">
        <w:smartTag w:uri="urn:schemas-microsoft-com:office:smarttags" w:element="country-region">
          <w:r>
            <w:t>United Kingdom</w:t>
          </w:r>
        </w:smartTag>
      </w:smartTag>
      <w:r>
        <w:t xml:space="preserve"> </w:t>
      </w:r>
    </w:p>
    <w:p w:rsidR="00E950FE" w:rsidRDefault="00E950FE" w:rsidP="00164FCA">
      <w:pPr>
        <w:pStyle w:val="HChG"/>
        <w:outlineLvl w:val="0"/>
      </w:pPr>
      <w:r>
        <w:tab/>
      </w:r>
      <w:r>
        <w:tab/>
        <w:t>Introduction</w:t>
      </w:r>
    </w:p>
    <w:p w:rsidR="00BB2601" w:rsidRDefault="004A7637" w:rsidP="004A7637">
      <w:pPr>
        <w:pStyle w:val="SingleTxtG"/>
      </w:pPr>
      <w:r>
        <w:t>1.</w:t>
      </w:r>
      <w:r>
        <w:tab/>
      </w:r>
      <w:r w:rsidR="00CB3A74">
        <w:t xml:space="preserve">At the Forty-fifth meeting of the Sub-Committee the expert from Italy raised an issue with the classification of </w:t>
      </w:r>
      <w:r w:rsidR="00C20715">
        <w:t xml:space="preserve">articles under UN No. 0349, </w:t>
      </w:r>
      <w:r w:rsidR="00572FBD">
        <w:t>A</w:t>
      </w:r>
      <w:r w:rsidR="00EE0061">
        <w:t>rticles,</w:t>
      </w:r>
      <w:r w:rsidR="00572FBD">
        <w:t xml:space="preserve"> E</w:t>
      </w:r>
      <w:r w:rsidR="00EE0061">
        <w:t>xplosive</w:t>
      </w:r>
      <w:r w:rsidR="00572FBD">
        <w:t>, N</w:t>
      </w:r>
      <w:r>
        <w:t>.</w:t>
      </w:r>
      <w:r w:rsidR="00572FBD">
        <w:t>O</w:t>
      </w:r>
      <w:r>
        <w:t>.</w:t>
      </w:r>
      <w:r w:rsidR="00572FBD">
        <w:t>S</w:t>
      </w:r>
      <w:r w:rsidR="00C20715">
        <w:t xml:space="preserve"> 1.4S (ST/AG/</w:t>
      </w:r>
      <w:r w:rsidR="00C20715" w:rsidRPr="004A7637">
        <w:t>AC</w:t>
      </w:r>
      <w:r w:rsidR="00C20715">
        <w:t>./C3/2014/22</w:t>
      </w:r>
      <w:r w:rsidR="00BC0174">
        <w:t>)</w:t>
      </w:r>
      <w:r w:rsidR="00C20715">
        <w:t xml:space="preserve">. The </w:t>
      </w:r>
      <w:r w:rsidR="00BC0174">
        <w:t xml:space="preserve">issue was discussed by the </w:t>
      </w:r>
      <w:r w:rsidR="00C20715">
        <w:t>Explosive Working Group</w:t>
      </w:r>
      <w:r w:rsidR="00BC0174">
        <w:t xml:space="preserve"> and concluded that the issue extended wider than just articles in UN 0349 and encouraged Italy to develop a more comprehensive proposal for future consideration. (</w:t>
      </w:r>
      <w:r w:rsidR="009D0873">
        <w:t>See</w:t>
      </w:r>
      <w:r w:rsidR="00BB1EF7">
        <w:t xml:space="preserve"> </w:t>
      </w:r>
      <w:r>
        <w:t>informal document INF.61, 45</w:t>
      </w:r>
      <w:r w:rsidRPr="004A7637">
        <w:rPr>
          <w:vertAlign w:val="superscript"/>
        </w:rPr>
        <w:t>th</w:t>
      </w:r>
      <w:r>
        <w:t xml:space="preserve"> session</w:t>
      </w:r>
      <w:r w:rsidR="00CB238C">
        <w:t>)</w:t>
      </w:r>
      <w:r w:rsidR="000D12B2">
        <w:t>.</w:t>
      </w:r>
    </w:p>
    <w:p w:rsidR="00572FBD" w:rsidRPr="00572FBD" w:rsidRDefault="004A7637" w:rsidP="004A7637">
      <w:pPr>
        <w:pStyle w:val="SingleTxtG"/>
      </w:pPr>
      <w:r>
        <w:t>2.</w:t>
      </w:r>
      <w:r>
        <w:tab/>
      </w:r>
      <w:r w:rsidR="000D12B2">
        <w:t>The issue concerned explosives that</w:t>
      </w:r>
      <w:r w:rsidR="002933F2">
        <w:t>,</w:t>
      </w:r>
      <w:r w:rsidR="000D12B2">
        <w:t xml:space="preserve"> as a consequence of being repackaged and reclassified</w:t>
      </w:r>
      <w:r w:rsidR="002933F2">
        <w:t>, cease to be considered as</w:t>
      </w:r>
      <w:r w:rsidR="000D12B2">
        <w:t xml:space="preserve"> high consequence dangerous goods and therefore </w:t>
      </w:r>
      <w:r w:rsidR="00572FBD">
        <w:t>do not</w:t>
      </w:r>
      <w:r w:rsidR="000D12B2">
        <w:t xml:space="preserve"> attract the security provisions of Chapter 1.4 of the Model Regulations. The example provided by the expert from Italy was </w:t>
      </w:r>
      <w:r w:rsidR="000D12B2" w:rsidRPr="00A0164D">
        <w:rPr>
          <w:lang w:val="en-US"/>
        </w:rPr>
        <w:t>UN 0279 C</w:t>
      </w:r>
      <w:r w:rsidR="00EE0061">
        <w:rPr>
          <w:lang w:val="en-US"/>
        </w:rPr>
        <w:t>harges</w:t>
      </w:r>
      <w:r w:rsidR="000D12B2" w:rsidRPr="00A0164D">
        <w:rPr>
          <w:lang w:val="en-US"/>
        </w:rPr>
        <w:t xml:space="preserve"> P</w:t>
      </w:r>
      <w:r w:rsidR="00EE0061">
        <w:rPr>
          <w:lang w:val="en-US"/>
        </w:rPr>
        <w:t>ropelling for</w:t>
      </w:r>
      <w:r w:rsidR="000D12B2" w:rsidRPr="00A0164D">
        <w:rPr>
          <w:lang w:val="en-US"/>
        </w:rPr>
        <w:t xml:space="preserve"> C</w:t>
      </w:r>
      <w:r w:rsidR="00EE0061">
        <w:rPr>
          <w:lang w:val="en-US"/>
        </w:rPr>
        <w:t>annon</w:t>
      </w:r>
      <w:r w:rsidR="000D12B2" w:rsidRPr="00A0164D">
        <w:rPr>
          <w:lang w:val="en-US"/>
        </w:rPr>
        <w:t>, 1.1C</w:t>
      </w:r>
      <w:r w:rsidR="00BF5921">
        <w:rPr>
          <w:lang w:val="en-US"/>
        </w:rPr>
        <w:t>.</w:t>
      </w:r>
      <w:r w:rsidR="000D12B2">
        <w:rPr>
          <w:lang w:val="en-US"/>
        </w:rPr>
        <w:t xml:space="preserve"> </w:t>
      </w:r>
      <w:r w:rsidR="00BF5921">
        <w:rPr>
          <w:lang w:val="en-US"/>
        </w:rPr>
        <w:t>Th</w:t>
      </w:r>
      <w:r w:rsidR="000D12B2">
        <w:rPr>
          <w:lang w:val="en-US"/>
        </w:rPr>
        <w:t>ese articles appear</w:t>
      </w:r>
      <w:r w:rsidR="00572FBD">
        <w:rPr>
          <w:lang w:val="en-US"/>
        </w:rPr>
        <w:t xml:space="preserve"> on the indicative list of high consequence dangerous goods and hence attract special attention regarding their security. However, evidence has been provided to show that they can be packaged so as to reduce their hazard and the only appropriate classification available is UN 0349</w:t>
      </w:r>
      <w:r w:rsidR="00BF5921">
        <w:rPr>
          <w:lang w:val="en-US"/>
        </w:rPr>
        <w:t>.</w:t>
      </w:r>
      <w:r w:rsidR="002933F2">
        <w:rPr>
          <w:lang w:val="en-US"/>
        </w:rPr>
        <w:t xml:space="preserve"> </w:t>
      </w:r>
      <w:r w:rsidR="00BF5921">
        <w:rPr>
          <w:lang w:val="en-US"/>
        </w:rPr>
        <w:t>A</w:t>
      </w:r>
      <w:r w:rsidR="002933F2">
        <w:rPr>
          <w:lang w:val="en-US"/>
        </w:rPr>
        <w:t>s a result they would no longer be</w:t>
      </w:r>
      <w:r w:rsidR="00572FBD">
        <w:rPr>
          <w:lang w:val="en-US"/>
        </w:rPr>
        <w:t xml:space="preserve"> regarded as high consequence, despite the fact that the article remains unchanged.</w:t>
      </w:r>
    </w:p>
    <w:p w:rsidR="00CB519A" w:rsidRDefault="004A7637" w:rsidP="004A7637">
      <w:pPr>
        <w:pStyle w:val="SingleTxtG"/>
      </w:pPr>
      <w:r>
        <w:rPr>
          <w:lang w:val="en-US"/>
        </w:rPr>
        <w:t>3.</w:t>
      </w:r>
      <w:r>
        <w:rPr>
          <w:lang w:val="en-US"/>
        </w:rPr>
        <w:tab/>
      </w:r>
      <w:r w:rsidR="00572FBD">
        <w:rPr>
          <w:lang w:val="en-US"/>
        </w:rPr>
        <w:t>The Working Group on Explosives believed the issue concerned a</w:t>
      </w:r>
      <w:r w:rsidR="00CB519A">
        <w:rPr>
          <w:lang w:val="en-US"/>
        </w:rPr>
        <w:t xml:space="preserve"> wider range of entries in the D</w:t>
      </w:r>
      <w:r w:rsidR="00572FBD">
        <w:rPr>
          <w:lang w:val="en-US"/>
        </w:rPr>
        <w:t>angerous Goods List</w:t>
      </w:r>
      <w:r w:rsidR="00CB519A">
        <w:rPr>
          <w:lang w:val="en-US"/>
        </w:rPr>
        <w:t>. The articles for wider consideration include</w:t>
      </w:r>
      <w:r w:rsidR="00F26CC4">
        <w:rPr>
          <w:lang w:val="en-US"/>
        </w:rPr>
        <w:t xml:space="preserve"> </w:t>
      </w:r>
      <w:proofErr w:type="gramStart"/>
      <w:r w:rsidR="00F26CC4">
        <w:rPr>
          <w:lang w:val="en-US"/>
        </w:rPr>
        <w:t>( in</w:t>
      </w:r>
      <w:proofErr w:type="gramEnd"/>
      <w:r w:rsidR="00F26CC4">
        <w:rPr>
          <w:lang w:val="en-US"/>
        </w:rPr>
        <w:t xml:space="preserve"> addition to 0349)</w:t>
      </w:r>
      <w:r w:rsidR="00CB519A">
        <w:rPr>
          <w:lang w:val="en-US"/>
        </w:rPr>
        <w:t>:</w:t>
      </w:r>
      <w:r w:rsidR="00CB519A" w:rsidRPr="00CB519A">
        <w:t xml:space="preserve"> </w:t>
      </w:r>
    </w:p>
    <w:p w:rsidR="00CB519A" w:rsidRDefault="00CB519A" w:rsidP="00CB519A">
      <w:pPr>
        <w:pStyle w:val="SingleTxtG"/>
        <w:numPr>
          <w:ilvl w:val="1"/>
          <w:numId w:val="44"/>
        </w:numPr>
      </w:pPr>
      <w:r>
        <w:t xml:space="preserve">Articles Explosives NOS – entries for </w:t>
      </w:r>
      <w:r w:rsidRPr="008A4730">
        <w:t>0356 (1.3L), 0350 (1.4B), 0351 (1.4C), 0352 (1.4D), 0471 (1.4E), 0472 (1.4F)  and 0353 (1.4G)</w:t>
      </w:r>
      <w:r>
        <w:t>; and</w:t>
      </w:r>
    </w:p>
    <w:p w:rsidR="00CB519A" w:rsidRDefault="00CB519A" w:rsidP="00CB519A">
      <w:pPr>
        <w:pStyle w:val="SingleTxtG"/>
        <w:numPr>
          <w:ilvl w:val="1"/>
          <w:numId w:val="44"/>
        </w:numPr>
      </w:pPr>
      <w:r w:rsidRPr="008A4730">
        <w:t>Substances, Explosives, NOS</w:t>
      </w:r>
      <w:r>
        <w:t xml:space="preserve"> – entries for</w:t>
      </w:r>
      <w:r w:rsidRPr="008A4730">
        <w:t xml:space="preserve"> 0478 (1.3G), 0359 (1.3L), 0479 (1.4C), 0480 (1.4D), 0485 (1.4G) and 0481 (1.4S).</w:t>
      </w:r>
    </w:p>
    <w:p w:rsidR="00EE0061" w:rsidRPr="00CB519A" w:rsidRDefault="00EE0061" w:rsidP="007C1216">
      <w:pPr>
        <w:pStyle w:val="SingleTxtG"/>
      </w:pPr>
      <w:r>
        <w:t xml:space="preserve">In each instance the article and substance may have achieved the classification simply based on the packaging used, and </w:t>
      </w:r>
      <w:r w:rsidR="00DA7BC9">
        <w:t xml:space="preserve">yet </w:t>
      </w:r>
      <w:r w:rsidR="004160DB">
        <w:t xml:space="preserve">the substance and article in themselves </w:t>
      </w:r>
      <w:r w:rsidR="00D24BAA">
        <w:t>w</w:t>
      </w:r>
      <w:r w:rsidR="004160DB">
        <w:t xml:space="preserve">ould </w:t>
      </w:r>
      <w:r w:rsidR="00DA7BC9">
        <w:t>be considered high consequence.</w:t>
      </w:r>
    </w:p>
    <w:p w:rsidR="00DA7BC9" w:rsidRPr="004531E3" w:rsidRDefault="007C1216" w:rsidP="007C1216">
      <w:pPr>
        <w:pStyle w:val="SingleTxtG"/>
        <w:tabs>
          <w:tab w:val="left" w:pos="1701"/>
        </w:tabs>
        <w:spacing w:before="240"/>
      </w:pPr>
      <w:r>
        <w:rPr>
          <w:lang w:val="en-US"/>
        </w:rPr>
        <w:t>4.</w:t>
      </w:r>
      <w:r>
        <w:rPr>
          <w:lang w:val="en-US"/>
        </w:rPr>
        <w:tab/>
      </w:r>
      <w:r w:rsidR="00CB519A">
        <w:rPr>
          <w:lang w:val="en-US"/>
        </w:rPr>
        <w:t>In considering the High Consequence Dangerous Goods List</w:t>
      </w:r>
      <w:r w:rsidR="00BF5921">
        <w:rPr>
          <w:lang w:val="en-US"/>
        </w:rPr>
        <w:t>,</w:t>
      </w:r>
      <w:r w:rsidR="00CB519A">
        <w:rPr>
          <w:lang w:val="en-US"/>
        </w:rPr>
        <w:t xml:space="preserve"> it is noted that insensitive explosive</w:t>
      </w:r>
      <w:r w:rsidR="004531E3">
        <w:rPr>
          <w:lang w:val="en-US"/>
        </w:rPr>
        <w:t xml:space="preserve"> articles</w:t>
      </w:r>
      <w:r w:rsidR="00CB519A">
        <w:rPr>
          <w:lang w:val="en-US"/>
        </w:rPr>
        <w:t xml:space="preserve"> are also excluded from consideration. Whilst the classification recognizes the risk of initiation is lower, the outcome of initiation is </w:t>
      </w:r>
      <w:r w:rsidR="002933F2">
        <w:rPr>
          <w:lang w:val="en-US"/>
        </w:rPr>
        <w:t>the same as for the respective conventional explosive</w:t>
      </w:r>
      <w:r w:rsidR="00CB519A">
        <w:rPr>
          <w:lang w:val="en-US"/>
        </w:rPr>
        <w:t xml:space="preserve"> and </w:t>
      </w:r>
      <w:r w:rsidR="002933F2">
        <w:rPr>
          <w:lang w:val="en-US"/>
        </w:rPr>
        <w:t>the potential consequences are no different.</w:t>
      </w:r>
      <w:r w:rsidR="00CB519A">
        <w:rPr>
          <w:lang w:val="en-US"/>
        </w:rPr>
        <w:t xml:space="preserve"> It is </w:t>
      </w:r>
      <w:r w:rsidR="002933F2">
        <w:rPr>
          <w:lang w:val="en-US"/>
        </w:rPr>
        <w:lastRenderedPageBreak/>
        <w:t xml:space="preserve">therefore </w:t>
      </w:r>
      <w:r w:rsidR="00CB519A">
        <w:rPr>
          <w:lang w:val="en-US"/>
        </w:rPr>
        <w:t>suggested that</w:t>
      </w:r>
      <w:r w:rsidR="004531E3">
        <w:rPr>
          <w:lang w:val="en-US"/>
        </w:rPr>
        <w:t xml:space="preserve"> </w:t>
      </w:r>
      <w:r w:rsidR="00F51D97" w:rsidRPr="008A4730">
        <w:t>Articles, Explosive, Extremely Insensitive, 0486 (1.6N)</w:t>
      </w:r>
      <w:r w:rsidR="004531E3">
        <w:t xml:space="preserve"> </w:t>
      </w:r>
      <w:r w:rsidR="00F51D97">
        <w:t xml:space="preserve">should also be considered for inclusion </w:t>
      </w:r>
      <w:r w:rsidR="00BF5921">
        <w:t>i</w:t>
      </w:r>
      <w:r w:rsidR="00F51D97">
        <w:t xml:space="preserve">n the </w:t>
      </w:r>
      <w:r w:rsidR="00F51D97" w:rsidRPr="00F51D97">
        <w:t>High Consequence Dangerous Goods</w:t>
      </w:r>
      <w:r w:rsidR="00F51D97">
        <w:t xml:space="preserve"> list</w:t>
      </w:r>
      <w:r w:rsidR="00EE0061">
        <w:t>.</w:t>
      </w:r>
      <w:r w:rsidR="00F51D97">
        <w:t xml:space="preserve"> </w:t>
      </w:r>
      <w:r>
        <w:tab/>
      </w:r>
    </w:p>
    <w:p w:rsidR="00F26CC4" w:rsidRPr="007C1216" w:rsidRDefault="007C1216" w:rsidP="00E37DC0">
      <w:pPr>
        <w:pStyle w:val="SingleTxtG"/>
        <w:tabs>
          <w:tab w:val="left" w:pos="1701"/>
        </w:tabs>
      </w:pPr>
      <w:r>
        <w:t>5.</w:t>
      </w:r>
      <w:r>
        <w:tab/>
      </w:r>
      <w:r w:rsidR="00E1300D">
        <w:t>Whilst it is explicit that the list in Table 1.4.1 of the Model Regulations is purely indicative of the dangerous goods that should be subject to the special provisions in 1.4.3.2, it was reported that enforcers often consider it to be a comprehensive list when checking compliance</w:t>
      </w:r>
      <w:r w:rsidR="004531E3">
        <w:t xml:space="preserve">. In the absence of any other reference </w:t>
      </w:r>
      <w:r w:rsidR="00D24BAA">
        <w:t xml:space="preserve">as </w:t>
      </w:r>
      <w:r w:rsidR="004531E3">
        <w:t>to what is and what is not considered high consequence, this seems reasonable.</w:t>
      </w:r>
    </w:p>
    <w:p w:rsidR="004531E3" w:rsidRPr="00E1300D" w:rsidRDefault="004531E3" w:rsidP="004531E3">
      <w:pPr>
        <w:pStyle w:val="SingleTxtG"/>
      </w:pPr>
      <w:r w:rsidRPr="00DA7BC9">
        <w:rPr>
          <w:b/>
          <w:sz w:val="28"/>
          <w:szCs w:val="28"/>
        </w:rPr>
        <w:t>Discussion</w:t>
      </w:r>
    </w:p>
    <w:p w:rsidR="00DA7BC9" w:rsidRPr="00CA469C" w:rsidRDefault="007C1216" w:rsidP="00E37DC0">
      <w:pPr>
        <w:pStyle w:val="SingleTxtG"/>
        <w:rPr>
          <w:b/>
        </w:rPr>
      </w:pPr>
      <w:r w:rsidRPr="00CA469C">
        <w:rPr>
          <w:b/>
          <w:lang w:val="en-US"/>
        </w:rPr>
        <w:t>6.</w:t>
      </w:r>
      <w:r w:rsidRPr="00CA469C">
        <w:rPr>
          <w:b/>
          <w:lang w:val="en-US"/>
        </w:rPr>
        <w:tab/>
      </w:r>
      <w:r w:rsidR="00DA7BC9" w:rsidRPr="00CA469C">
        <w:rPr>
          <w:b/>
          <w:lang w:val="en-US"/>
        </w:rPr>
        <w:t>Members of the Working group were asked to provide suggestions as to ways forward. In responding to this request three options have been identified:</w:t>
      </w:r>
    </w:p>
    <w:p w:rsidR="00DA7BC9" w:rsidRPr="00CA469C" w:rsidRDefault="00DA7BC9" w:rsidP="00E37DC0">
      <w:pPr>
        <w:pStyle w:val="SingleTxtG"/>
        <w:ind w:left="1701"/>
        <w:rPr>
          <w:b/>
        </w:rPr>
      </w:pPr>
      <w:r w:rsidRPr="00CA469C">
        <w:rPr>
          <w:b/>
        </w:rPr>
        <w:t>I</w:t>
      </w:r>
      <w:r w:rsidRPr="00CA469C">
        <w:rPr>
          <w:b/>
        </w:rPr>
        <w:tab/>
      </w:r>
      <w:r w:rsidR="009D0873" w:rsidRPr="00CA469C">
        <w:rPr>
          <w:b/>
        </w:rPr>
        <w:t>add</w:t>
      </w:r>
      <w:r w:rsidRPr="00CA469C">
        <w:rPr>
          <w:b/>
        </w:rPr>
        <w:t xml:space="preserve"> all the Explosives NOS entries to the High Consequence Dangerous Goods List provided in Table 1.4.1 of the Model Regulations</w:t>
      </w:r>
      <w:r w:rsidR="00BF5921" w:rsidRPr="00CA469C">
        <w:rPr>
          <w:b/>
        </w:rPr>
        <w:t>.</w:t>
      </w:r>
    </w:p>
    <w:p w:rsidR="007D352A" w:rsidRPr="00CA469C" w:rsidRDefault="00DA7BC9" w:rsidP="00E37DC0">
      <w:pPr>
        <w:pStyle w:val="SingleTxtG"/>
        <w:ind w:left="1701"/>
        <w:rPr>
          <w:b/>
        </w:rPr>
      </w:pPr>
      <w:r w:rsidRPr="00CA469C">
        <w:rPr>
          <w:b/>
        </w:rPr>
        <w:t>II</w:t>
      </w:r>
      <w:r w:rsidRPr="00CA469C">
        <w:rPr>
          <w:b/>
        </w:rPr>
        <w:tab/>
      </w:r>
      <w:r w:rsidR="007D352A" w:rsidRPr="00CA469C">
        <w:rPr>
          <w:b/>
        </w:rPr>
        <w:t>Revise Special Provision 178 to require the Competent Authority to specify whether or not the item classified is subject to the security provisions required in Chapter 1.4</w:t>
      </w:r>
      <w:r w:rsidR="00951E43" w:rsidRPr="00CA469C">
        <w:rPr>
          <w:b/>
        </w:rPr>
        <w:t>.3.2</w:t>
      </w:r>
      <w:r w:rsidR="007D352A" w:rsidRPr="00CA469C">
        <w:rPr>
          <w:b/>
        </w:rPr>
        <w:t xml:space="preserve"> of the Model Regulations; and</w:t>
      </w:r>
    </w:p>
    <w:p w:rsidR="00983C4C" w:rsidRPr="00CA469C" w:rsidRDefault="007D352A" w:rsidP="00E37DC0">
      <w:pPr>
        <w:pStyle w:val="SingleTxtG"/>
        <w:ind w:left="1701"/>
        <w:rPr>
          <w:b/>
        </w:rPr>
      </w:pPr>
      <w:r w:rsidRPr="00CA469C">
        <w:rPr>
          <w:b/>
        </w:rPr>
        <w:t>Require the tr</w:t>
      </w:r>
      <w:bookmarkStart w:id="0" w:name="_GoBack"/>
      <w:bookmarkEnd w:id="0"/>
      <w:r w:rsidRPr="00CA469C">
        <w:rPr>
          <w:b/>
        </w:rPr>
        <w:t xml:space="preserve">ansport documents for articles and substances so identified </w:t>
      </w:r>
      <w:r w:rsidR="00983C4C" w:rsidRPr="00CA469C">
        <w:rPr>
          <w:b/>
        </w:rPr>
        <w:t>to be clearly marked “High Consequence Dangerous Goods”; and</w:t>
      </w:r>
    </w:p>
    <w:p w:rsidR="00983C4C" w:rsidRPr="00CA469C" w:rsidRDefault="007D352A" w:rsidP="00E37DC0">
      <w:pPr>
        <w:pStyle w:val="SingleTxtG"/>
        <w:ind w:left="1701"/>
        <w:rPr>
          <w:b/>
        </w:rPr>
      </w:pPr>
      <w:r w:rsidRPr="00CA469C">
        <w:rPr>
          <w:b/>
        </w:rPr>
        <w:t>Amend the Ind</w:t>
      </w:r>
      <w:r w:rsidR="00983C4C" w:rsidRPr="00CA469C">
        <w:rPr>
          <w:b/>
        </w:rPr>
        <w:t>icative list in Table 1.4.1 to capture articles and substances identified</w:t>
      </w:r>
      <w:r w:rsidR="00D05BAE" w:rsidRPr="00CA469C">
        <w:rPr>
          <w:b/>
        </w:rPr>
        <w:t xml:space="preserve"> by the Competent A</w:t>
      </w:r>
      <w:r w:rsidR="00983C4C" w:rsidRPr="00CA469C">
        <w:rPr>
          <w:b/>
        </w:rPr>
        <w:t xml:space="preserve">uthority as </w:t>
      </w:r>
      <w:r w:rsidR="00D05BAE" w:rsidRPr="00CA469C">
        <w:rPr>
          <w:b/>
        </w:rPr>
        <w:t xml:space="preserve">high consequence as </w:t>
      </w:r>
      <w:r w:rsidR="00983C4C" w:rsidRPr="00CA469C">
        <w:rPr>
          <w:b/>
        </w:rPr>
        <w:t>part of the classification procedure.</w:t>
      </w:r>
    </w:p>
    <w:p w:rsidR="00DA7BC9" w:rsidRPr="00CA469C" w:rsidRDefault="00983C4C" w:rsidP="00E37DC0">
      <w:pPr>
        <w:pStyle w:val="SingleTxtG"/>
        <w:ind w:left="1701"/>
        <w:rPr>
          <w:b/>
        </w:rPr>
      </w:pPr>
      <w:r w:rsidRPr="00CA469C">
        <w:rPr>
          <w:b/>
        </w:rPr>
        <w:t>III</w:t>
      </w:r>
      <w:r w:rsidRPr="00CA469C">
        <w:rPr>
          <w:b/>
        </w:rPr>
        <w:tab/>
        <w:t xml:space="preserve">Add new UN </w:t>
      </w:r>
      <w:r w:rsidR="00D05BAE" w:rsidRPr="00CA469C">
        <w:rPr>
          <w:b/>
        </w:rPr>
        <w:t>numbers</w:t>
      </w:r>
      <w:r w:rsidRPr="00CA469C">
        <w:rPr>
          <w:b/>
        </w:rPr>
        <w:t xml:space="preserve"> for all </w:t>
      </w:r>
      <w:r w:rsidR="00D05BAE" w:rsidRPr="00CA469C">
        <w:rPr>
          <w:b/>
        </w:rPr>
        <w:t>Explosives NOS entries in the Dangerous Goods List to differentiate between those that are considered to be of high consequence (and therefore attract the security provisions in 1.4</w:t>
      </w:r>
      <w:r w:rsidR="004431A9" w:rsidRPr="00CA469C">
        <w:rPr>
          <w:b/>
        </w:rPr>
        <w:t>.3.2</w:t>
      </w:r>
      <w:r w:rsidR="00D05BAE" w:rsidRPr="00CA469C">
        <w:rPr>
          <w:b/>
        </w:rPr>
        <w:t xml:space="preserve">), </w:t>
      </w:r>
      <w:r w:rsidR="00951E43" w:rsidRPr="00CA469C">
        <w:rPr>
          <w:b/>
        </w:rPr>
        <w:t>from</w:t>
      </w:r>
      <w:r w:rsidR="00D05BAE" w:rsidRPr="00CA469C">
        <w:rPr>
          <w:b/>
        </w:rPr>
        <w:t xml:space="preserve"> those that are not.</w:t>
      </w:r>
      <w:r w:rsidR="007D352A" w:rsidRPr="00CA469C">
        <w:rPr>
          <w:b/>
        </w:rPr>
        <w:t xml:space="preserve"> </w:t>
      </w:r>
      <w:r w:rsidR="00951E43" w:rsidRPr="00CA469C">
        <w:rPr>
          <w:b/>
        </w:rPr>
        <w:t>Update Table 1.4.1 to include all the new entries.</w:t>
      </w:r>
    </w:p>
    <w:p w:rsidR="000D12B2" w:rsidRPr="00AF3577" w:rsidRDefault="00E37DC0" w:rsidP="00E37DC0">
      <w:pPr>
        <w:pStyle w:val="SingleTxtG"/>
      </w:pPr>
      <w:r>
        <w:t>7.</w:t>
      </w:r>
      <w:r>
        <w:tab/>
      </w:r>
      <w:r w:rsidR="00D05BAE" w:rsidRPr="00E37DC0">
        <w:t>Given</w:t>
      </w:r>
      <w:r w:rsidR="00D05BAE">
        <w:rPr>
          <w:lang w:val="en-US"/>
        </w:rPr>
        <w:t xml:space="preserve"> the potential</w:t>
      </w:r>
      <w:r w:rsidR="00F26CC4">
        <w:rPr>
          <w:lang w:val="en-US"/>
        </w:rPr>
        <w:t xml:space="preserve"> for misuse</w:t>
      </w:r>
      <w:r w:rsidR="00D05BAE">
        <w:rPr>
          <w:lang w:val="en-US"/>
        </w:rPr>
        <w:t xml:space="preserve"> of insensitive articles in Hazard Division 1.6</w:t>
      </w:r>
      <w:r w:rsidR="00F26CC4">
        <w:rPr>
          <w:lang w:val="en-US"/>
        </w:rPr>
        <w:t>,</w:t>
      </w:r>
      <w:r w:rsidR="00D05BAE">
        <w:rPr>
          <w:lang w:val="en-US"/>
        </w:rPr>
        <w:t xml:space="preserve"> it is difficult to understand why they hav</w:t>
      </w:r>
      <w:r w:rsidR="00AF3577">
        <w:rPr>
          <w:lang w:val="en-US"/>
        </w:rPr>
        <w:t>e not been included in the list. Whilst special conditions may be required to enable initiation, the end result is generally comparable with standard explosives and hence should attract the same l</w:t>
      </w:r>
      <w:r w:rsidR="00F26CC4">
        <w:rPr>
          <w:lang w:val="en-US"/>
        </w:rPr>
        <w:t>evel of precautions against loss or theft</w:t>
      </w:r>
      <w:r w:rsidR="00AF3577">
        <w:rPr>
          <w:lang w:val="en-US"/>
        </w:rPr>
        <w:t>.</w:t>
      </w:r>
    </w:p>
    <w:p w:rsidR="00AF3577" w:rsidRPr="00AF3577" w:rsidRDefault="00E37DC0" w:rsidP="00E37DC0">
      <w:pPr>
        <w:pStyle w:val="SingleTxtG"/>
      </w:pPr>
      <w:r>
        <w:t>8.</w:t>
      </w:r>
      <w:r>
        <w:tab/>
      </w:r>
      <w:r w:rsidR="00AF3577" w:rsidRPr="00E37DC0">
        <w:t>Option</w:t>
      </w:r>
      <w:r w:rsidR="00AF3577">
        <w:rPr>
          <w:lang w:val="en-US"/>
        </w:rPr>
        <w:t xml:space="preserve"> I is considered the simplest to implement but would mean that substances and articles currently classified under these entries would be captured, as will other </w:t>
      </w:r>
      <w:r w:rsidR="00962A74">
        <w:rPr>
          <w:lang w:val="en-US"/>
        </w:rPr>
        <w:t>substances and articles</w:t>
      </w:r>
      <w:r w:rsidR="00AF3577">
        <w:rPr>
          <w:lang w:val="en-US"/>
        </w:rPr>
        <w:t xml:space="preserve"> that do not warrant special protection.</w:t>
      </w:r>
    </w:p>
    <w:p w:rsidR="00E1300D" w:rsidRPr="00E1300D" w:rsidRDefault="00E37DC0" w:rsidP="00E37DC0">
      <w:pPr>
        <w:pStyle w:val="SingleTxtG"/>
      </w:pPr>
      <w:r>
        <w:t>9.</w:t>
      </w:r>
      <w:r>
        <w:tab/>
      </w:r>
      <w:r w:rsidR="00962A74" w:rsidRPr="00E37DC0">
        <w:t>Option</w:t>
      </w:r>
      <w:r w:rsidR="00962A74">
        <w:rPr>
          <w:lang w:val="en-US"/>
        </w:rPr>
        <w:t xml:space="preserve"> II provides a mechanism by which relevant substances and articles can be targeted for special precautions but places additional responsibilities on the Competent Authority. Whilst the intention is to ensure consignors/enforcers are alerted to</w:t>
      </w:r>
      <w:r w:rsidR="00BF5921">
        <w:rPr>
          <w:lang w:val="en-US"/>
        </w:rPr>
        <w:t xml:space="preserve"> the</w:t>
      </w:r>
      <w:r w:rsidR="00962A74">
        <w:rPr>
          <w:lang w:val="en-US"/>
        </w:rPr>
        <w:t xml:space="preserve"> presence of High Consequence goods, the additional amendments</w:t>
      </w:r>
      <w:r w:rsidR="00E1300D">
        <w:rPr>
          <w:lang w:val="en-US"/>
        </w:rPr>
        <w:t xml:space="preserve"> could be argued to</w:t>
      </w:r>
      <w:r w:rsidR="00BF5921">
        <w:rPr>
          <w:lang w:val="en-US"/>
        </w:rPr>
        <w:t xml:space="preserve"> be</w:t>
      </w:r>
      <w:r w:rsidR="00E1300D">
        <w:rPr>
          <w:lang w:val="en-US"/>
        </w:rPr>
        <w:t xml:space="preserve"> overly complicating the application of Chapter 1.4.</w:t>
      </w:r>
    </w:p>
    <w:p w:rsidR="004531E3" w:rsidRPr="008F1E6F" w:rsidRDefault="00E37DC0" w:rsidP="00E37DC0">
      <w:pPr>
        <w:pStyle w:val="SingleTxtG"/>
      </w:pPr>
      <w:r>
        <w:t>10.</w:t>
      </w:r>
      <w:r>
        <w:tab/>
      </w:r>
      <w:r w:rsidR="00E1300D" w:rsidRPr="00E37DC0">
        <w:t>Option</w:t>
      </w:r>
      <w:r w:rsidR="00E1300D">
        <w:rPr>
          <w:lang w:val="en-US"/>
        </w:rPr>
        <w:t xml:space="preserve"> III will ensure that the Indicative List </w:t>
      </w:r>
      <w:r w:rsidR="004531E3">
        <w:rPr>
          <w:lang w:val="en-US"/>
        </w:rPr>
        <w:t>can continue to be used as a convenient reference</w:t>
      </w:r>
      <w:r w:rsidR="00E1300D">
        <w:rPr>
          <w:lang w:val="en-US"/>
        </w:rPr>
        <w:t xml:space="preserve"> list</w:t>
      </w:r>
      <w:r w:rsidR="004531E3">
        <w:rPr>
          <w:lang w:val="en-US"/>
        </w:rPr>
        <w:t xml:space="preserve"> for those checking compliance</w:t>
      </w:r>
      <w:r w:rsidR="00E1300D">
        <w:rPr>
          <w:lang w:val="en-US"/>
        </w:rPr>
        <w:t xml:space="preserve">, </w:t>
      </w:r>
      <w:r w:rsidR="00F26CC4">
        <w:rPr>
          <w:lang w:val="en-US"/>
        </w:rPr>
        <w:t xml:space="preserve">but </w:t>
      </w:r>
      <w:r w:rsidR="00E1300D">
        <w:rPr>
          <w:lang w:val="en-US"/>
        </w:rPr>
        <w:t>it will entail the significant expansion of the explosive entri</w:t>
      </w:r>
      <w:r w:rsidR="004531E3">
        <w:rPr>
          <w:lang w:val="en-US"/>
        </w:rPr>
        <w:t xml:space="preserve">es in the Dangerous Goods List for a </w:t>
      </w:r>
      <w:r w:rsidR="00F26CC4">
        <w:rPr>
          <w:lang w:val="en-US"/>
        </w:rPr>
        <w:t xml:space="preserve">disproportionate number of </w:t>
      </w:r>
      <w:r w:rsidR="00951E43">
        <w:rPr>
          <w:lang w:val="en-US"/>
        </w:rPr>
        <w:t>potential applications</w:t>
      </w:r>
      <w:r w:rsidR="00F26CC4">
        <w:rPr>
          <w:lang w:val="en-US"/>
        </w:rPr>
        <w:t>.</w:t>
      </w:r>
    </w:p>
    <w:p w:rsidR="008F1E6F" w:rsidRPr="004531E3" w:rsidRDefault="00E37DC0" w:rsidP="00E37DC0">
      <w:pPr>
        <w:pStyle w:val="HChG"/>
      </w:pPr>
      <w:r>
        <w:lastRenderedPageBreak/>
        <w:tab/>
      </w:r>
      <w:r>
        <w:tab/>
      </w:r>
      <w:r w:rsidR="008F1E6F">
        <w:t>Proposals</w:t>
      </w:r>
    </w:p>
    <w:p w:rsidR="004431A9" w:rsidRPr="008F1E6F" w:rsidRDefault="00E37DC0" w:rsidP="00E37DC0">
      <w:pPr>
        <w:pStyle w:val="SingleTxtG"/>
      </w:pPr>
      <w:r>
        <w:rPr>
          <w:lang w:val="en-US"/>
        </w:rPr>
        <w:t>11.</w:t>
      </w:r>
      <w:r>
        <w:rPr>
          <w:lang w:val="en-US"/>
        </w:rPr>
        <w:tab/>
      </w:r>
      <w:r w:rsidR="00D24BAA">
        <w:rPr>
          <w:lang w:val="en-US"/>
        </w:rPr>
        <w:t>It is proposed t</w:t>
      </w:r>
      <w:r w:rsidR="004531E3">
        <w:rPr>
          <w:lang w:val="en-US"/>
        </w:rPr>
        <w:t xml:space="preserve">hat </w:t>
      </w:r>
      <w:r w:rsidR="004531E3" w:rsidRPr="00E37DC0">
        <w:t>Option</w:t>
      </w:r>
      <w:r w:rsidR="004531E3">
        <w:rPr>
          <w:lang w:val="en-US"/>
        </w:rPr>
        <w:t xml:space="preserve"> II be adopted as the preferred solution</w:t>
      </w:r>
      <w:r w:rsidR="00BF5921">
        <w:rPr>
          <w:lang w:val="en-US"/>
        </w:rPr>
        <w:t>,</w:t>
      </w:r>
      <w:r w:rsidR="004431A9">
        <w:rPr>
          <w:lang w:val="en-US"/>
        </w:rPr>
        <w:t xml:space="preserve"> </w:t>
      </w:r>
      <w:r w:rsidR="00BF5921">
        <w:rPr>
          <w:lang w:val="en-US"/>
        </w:rPr>
        <w:t>because</w:t>
      </w:r>
      <w:r w:rsidR="004431A9">
        <w:rPr>
          <w:lang w:val="en-US"/>
        </w:rPr>
        <w:t xml:space="preserve"> it provides the ability to ensure the appropriate security provisions are applied without major changes to the procedures or Dangerous Goods List.</w:t>
      </w:r>
    </w:p>
    <w:p w:rsidR="008F1E6F" w:rsidRPr="004431A9" w:rsidRDefault="00E37DC0" w:rsidP="00E37DC0">
      <w:pPr>
        <w:pStyle w:val="SingleTxtG"/>
      </w:pPr>
      <w:r>
        <w:rPr>
          <w:lang w:val="en-US"/>
        </w:rPr>
        <w:t>12.</w:t>
      </w:r>
      <w:r>
        <w:rPr>
          <w:lang w:val="en-US"/>
        </w:rPr>
        <w:tab/>
      </w:r>
      <w:r w:rsidR="008F1E6F">
        <w:rPr>
          <w:lang w:val="en-US"/>
        </w:rPr>
        <w:t>That Hazard Division 1.6 be included in the list of High Consequence Dangerous Goods</w:t>
      </w:r>
    </w:p>
    <w:p w:rsidR="004431A9" w:rsidRPr="004431A9" w:rsidRDefault="00E37DC0" w:rsidP="00E37DC0">
      <w:pPr>
        <w:pStyle w:val="SingleTxtG"/>
      </w:pPr>
      <w:r>
        <w:t>13.</w:t>
      </w:r>
      <w:r>
        <w:tab/>
      </w:r>
      <w:r w:rsidR="004431A9" w:rsidRPr="00E37DC0">
        <w:t>The</w:t>
      </w:r>
      <w:r w:rsidR="004431A9">
        <w:rPr>
          <w:lang w:val="en-US"/>
        </w:rPr>
        <w:t xml:space="preserve"> changes proposed are therefore:</w:t>
      </w:r>
    </w:p>
    <w:p w:rsidR="004431A9" w:rsidRDefault="00E37DC0" w:rsidP="00E37DC0">
      <w:pPr>
        <w:tabs>
          <w:tab w:val="left" w:pos="2268"/>
        </w:tabs>
        <w:suppressAutoHyphens w:val="0"/>
        <w:spacing w:line="240" w:lineRule="auto"/>
        <w:ind w:left="1701"/>
      </w:pPr>
      <w:r>
        <w:t>(a)</w:t>
      </w:r>
      <w:r>
        <w:tab/>
      </w:r>
      <w:r>
        <w:tab/>
      </w:r>
      <w:r w:rsidR="00F26CC4">
        <w:t>Amend Special Provision 178 to read:</w:t>
      </w:r>
    </w:p>
    <w:p w:rsidR="00E37DC0" w:rsidRPr="008A4730" w:rsidRDefault="00E37DC0" w:rsidP="00E37DC0">
      <w:pPr>
        <w:tabs>
          <w:tab w:val="left" w:pos="2268"/>
        </w:tabs>
        <w:suppressAutoHyphens w:val="0"/>
        <w:spacing w:line="240" w:lineRule="auto"/>
        <w:ind w:left="1701"/>
      </w:pPr>
    </w:p>
    <w:p w:rsidR="00FA2DFC" w:rsidRPr="008A4730" w:rsidRDefault="004431A9" w:rsidP="00E37DC0">
      <w:pPr>
        <w:pStyle w:val="SingleTxtG"/>
        <w:ind w:left="1701"/>
      </w:pPr>
      <w:proofErr w:type="gramStart"/>
      <w:r w:rsidRPr="00951E43">
        <w:t>….</w:t>
      </w:r>
      <w:r w:rsidR="00E37DC0">
        <w:t xml:space="preserve"> </w:t>
      </w:r>
      <w:r w:rsidRPr="00951E43">
        <w:t>approval of the competent authority of the country of origin</w:t>
      </w:r>
      <w:r w:rsidRPr="00B1202F">
        <w:t>.</w:t>
      </w:r>
      <w:proofErr w:type="gramEnd"/>
      <w:r w:rsidRPr="00B1202F">
        <w:t xml:space="preserve"> </w:t>
      </w:r>
      <w:r w:rsidRPr="00E37DC0">
        <w:rPr>
          <w:i/>
          <w:u w:val="single"/>
        </w:rPr>
        <w:t>The competent authority shall specify whether the provisions of Chapter 1.4.3.2 are to be applied</w:t>
      </w:r>
      <w:r w:rsidR="008F1E6F" w:rsidRPr="00E37DC0">
        <w:rPr>
          <w:i/>
          <w:u w:val="single"/>
        </w:rPr>
        <w:t xml:space="preserve"> </w:t>
      </w:r>
      <w:r w:rsidR="00951E43" w:rsidRPr="00E37DC0">
        <w:rPr>
          <w:i/>
          <w:u w:val="single"/>
        </w:rPr>
        <w:t>if</w:t>
      </w:r>
      <w:r w:rsidR="008F1E6F" w:rsidRPr="00E37DC0">
        <w:rPr>
          <w:i/>
          <w:u w:val="single"/>
        </w:rPr>
        <w:t xml:space="preserve"> not </w:t>
      </w:r>
      <w:r w:rsidR="00951E43" w:rsidRPr="00E37DC0">
        <w:rPr>
          <w:i/>
          <w:u w:val="single"/>
        </w:rPr>
        <w:t>already</w:t>
      </w:r>
      <w:r w:rsidR="008F1E6F" w:rsidRPr="00E37DC0">
        <w:rPr>
          <w:i/>
          <w:u w:val="single"/>
        </w:rPr>
        <w:t xml:space="preserve"> required.</w:t>
      </w:r>
      <w:r w:rsidRPr="00E37DC0">
        <w:rPr>
          <w:i/>
          <w:u w:val="single"/>
        </w:rPr>
        <w:t xml:space="preserve"> </w:t>
      </w:r>
      <w:r w:rsidR="008F1E6F" w:rsidRPr="00E37DC0">
        <w:rPr>
          <w:i/>
          <w:u w:val="single"/>
        </w:rPr>
        <w:t>When so specified</w:t>
      </w:r>
      <w:r w:rsidRPr="00E37DC0">
        <w:rPr>
          <w:i/>
          <w:u w:val="single"/>
        </w:rPr>
        <w:t xml:space="preserve">, </w:t>
      </w:r>
      <w:r w:rsidR="008F1E6F" w:rsidRPr="00E37DC0">
        <w:rPr>
          <w:i/>
          <w:u w:val="single"/>
        </w:rPr>
        <w:t xml:space="preserve">the information provided in accordance with Chapter 5.4 </w:t>
      </w:r>
      <w:r w:rsidR="00FA2DFC" w:rsidRPr="00E37DC0">
        <w:rPr>
          <w:i/>
          <w:u w:val="single"/>
        </w:rPr>
        <w:t>shall clearly id</w:t>
      </w:r>
      <w:r w:rsidR="00F26CC4" w:rsidRPr="00E37DC0">
        <w:rPr>
          <w:i/>
          <w:u w:val="single"/>
        </w:rPr>
        <w:t>entify the article or substance</w:t>
      </w:r>
      <w:r w:rsidR="00FA2DFC" w:rsidRPr="00E37DC0">
        <w:rPr>
          <w:i/>
          <w:u w:val="single"/>
        </w:rPr>
        <w:t xml:space="preserve"> as a ‘High Consequence Dangerous Goods’</w:t>
      </w:r>
      <w:r w:rsidR="00F26CC4" w:rsidRPr="00E37DC0">
        <w:rPr>
          <w:i/>
          <w:u w:val="single"/>
        </w:rPr>
        <w:t>.</w:t>
      </w:r>
    </w:p>
    <w:p w:rsidR="004431A9" w:rsidRDefault="00E37DC0" w:rsidP="00E37DC0">
      <w:pPr>
        <w:pStyle w:val="SingleTxtG"/>
        <w:ind w:firstLine="567"/>
      </w:pPr>
      <w:r>
        <w:t>(b)</w:t>
      </w:r>
      <w:r>
        <w:tab/>
      </w:r>
      <w:r w:rsidR="008F1E6F">
        <w:t>Amend</w:t>
      </w:r>
      <w:r w:rsidR="00FA2DFC">
        <w:t xml:space="preserve"> Table 1.4.1</w:t>
      </w:r>
      <w:r w:rsidR="008F1E6F">
        <w:t xml:space="preserve"> to read</w:t>
      </w:r>
      <w:r w:rsidR="00F26CC4">
        <w:t>:</w:t>
      </w:r>
    </w:p>
    <w:p w:rsidR="00FA2DFC" w:rsidRDefault="00FA2DFC" w:rsidP="00E37DC0">
      <w:pPr>
        <w:pStyle w:val="SingleTxtG"/>
        <w:ind w:left="2268"/>
      </w:pPr>
      <w:r>
        <w:t xml:space="preserve">Class1, Division 1.5   </w:t>
      </w:r>
      <w:r>
        <w:tab/>
        <w:t>explosives</w:t>
      </w:r>
    </w:p>
    <w:p w:rsidR="008F1E6F" w:rsidRPr="008F1E6F" w:rsidRDefault="008F1E6F" w:rsidP="00FA2DFC">
      <w:pPr>
        <w:pStyle w:val="SingleTxtG"/>
        <w:ind w:left="2214"/>
        <w:rPr>
          <w:i/>
          <w:u w:val="single"/>
        </w:rPr>
      </w:pPr>
      <w:r w:rsidRPr="008F1E6F">
        <w:rPr>
          <w:i/>
          <w:u w:val="single"/>
        </w:rPr>
        <w:t>Class1, Division 1.6</w:t>
      </w:r>
      <w:r w:rsidRPr="008F1E6F">
        <w:rPr>
          <w:i/>
          <w:u w:val="single"/>
        </w:rPr>
        <w:tab/>
      </w:r>
      <w:r w:rsidRPr="008F1E6F">
        <w:rPr>
          <w:i/>
          <w:u w:val="single"/>
        </w:rPr>
        <w:tab/>
        <w:t>explosive</w:t>
      </w:r>
      <w:r w:rsidR="00951E43">
        <w:rPr>
          <w:i/>
          <w:u w:val="single"/>
        </w:rPr>
        <w:t>s</w:t>
      </w:r>
    </w:p>
    <w:p w:rsidR="00FA2DFC" w:rsidRPr="008F1E6F" w:rsidRDefault="00FA2DFC" w:rsidP="00FA2DFC">
      <w:pPr>
        <w:pStyle w:val="SingleTxtG"/>
        <w:ind w:left="4524" w:hanging="2310"/>
        <w:rPr>
          <w:i/>
          <w:u w:val="single"/>
        </w:rPr>
      </w:pPr>
      <w:r w:rsidRPr="008F1E6F">
        <w:rPr>
          <w:i/>
          <w:u w:val="single"/>
        </w:rPr>
        <w:t xml:space="preserve">Class 1 </w:t>
      </w:r>
      <w:r w:rsidRPr="008F1E6F">
        <w:rPr>
          <w:i/>
          <w:u w:val="single"/>
        </w:rPr>
        <w:tab/>
      </w:r>
      <w:r w:rsidRPr="008F1E6F">
        <w:rPr>
          <w:i/>
          <w:u w:val="single"/>
        </w:rPr>
        <w:tab/>
        <w:t xml:space="preserve">Substances, Explosive, NOS, where </w:t>
      </w:r>
      <w:r w:rsidR="00951E43">
        <w:rPr>
          <w:i/>
          <w:u w:val="single"/>
        </w:rPr>
        <w:t>specified</w:t>
      </w:r>
      <w:r w:rsidRPr="008F1E6F">
        <w:rPr>
          <w:i/>
          <w:u w:val="single"/>
        </w:rPr>
        <w:t xml:space="preserve"> by the Competent Authority</w:t>
      </w:r>
    </w:p>
    <w:p w:rsidR="008F1E6F" w:rsidRPr="008F1E6F" w:rsidRDefault="008F1E6F" w:rsidP="008F1E6F">
      <w:pPr>
        <w:pStyle w:val="SingleTxtG"/>
        <w:ind w:left="4524" w:hanging="2310"/>
        <w:rPr>
          <w:i/>
          <w:u w:val="single"/>
        </w:rPr>
      </w:pPr>
      <w:r w:rsidRPr="008F1E6F">
        <w:rPr>
          <w:i/>
          <w:u w:val="single"/>
        </w:rPr>
        <w:t xml:space="preserve">Class 1 </w:t>
      </w:r>
      <w:r w:rsidRPr="008F1E6F">
        <w:rPr>
          <w:i/>
          <w:u w:val="single"/>
        </w:rPr>
        <w:tab/>
      </w:r>
      <w:r w:rsidRPr="008F1E6F">
        <w:rPr>
          <w:i/>
          <w:u w:val="single"/>
        </w:rPr>
        <w:tab/>
        <w:t xml:space="preserve">Articles, Explosive, NOS, where </w:t>
      </w:r>
      <w:r w:rsidR="00951E43">
        <w:rPr>
          <w:i/>
          <w:u w:val="single"/>
        </w:rPr>
        <w:t>specified</w:t>
      </w:r>
      <w:r w:rsidRPr="008F1E6F">
        <w:rPr>
          <w:i/>
          <w:u w:val="single"/>
        </w:rPr>
        <w:t xml:space="preserve"> by the Competent Authority</w:t>
      </w:r>
    </w:p>
    <w:p w:rsidR="008F1E6F" w:rsidRPr="00E37DC0" w:rsidRDefault="00E37DC0" w:rsidP="00E37DC0">
      <w:pPr>
        <w:pStyle w:val="SingleTxtG"/>
        <w:spacing w:before="240" w:after="0"/>
        <w:jc w:val="center"/>
        <w:rPr>
          <w:u w:val="single"/>
        </w:rPr>
      </w:pPr>
      <w:r>
        <w:rPr>
          <w:u w:val="single"/>
        </w:rPr>
        <w:tab/>
      </w:r>
      <w:r>
        <w:rPr>
          <w:u w:val="single"/>
        </w:rPr>
        <w:tab/>
      </w:r>
      <w:r>
        <w:rPr>
          <w:u w:val="single"/>
        </w:rPr>
        <w:tab/>
      </w:r>
    </w:p>
    <w:p w:rsidR="00FA2DFC" w:rsidRDefault="00FA2DFC" w:rsidP="008F1E6F">
      <w:pPr>
        <w:pStyle w:val="SingleTxtG"/>
        <w:ind w:left="2214"/>
      </w:pPr>
    </w:p>
    <w:p w:rsidR="00154F74" w:rsidRPr="00154F74" w:rsidRDefault="0060793F" w:rsidP="00F26CC4">
      <w:pPr>
        <w:pStyle w:val="SingleTxtG"/>
      </w:pPr>
      <w:r>
        <w:t xml:space="preserve"> </w:t>
      </w:r>
    </w:p>
    <w:sectPr w:rsidR="00154F74" w:rsidRPr="00154F74" w:rsidSect="005B119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D2" w:rsidRDefault="00074FD2"/>
  </w:endnote>
  <w:endnote w:type="continuationSeparator" w:id="0">
    <w:p w:rsidR="00074FD2" w:rsidRDefault="00074FD2"/>
  </w:endnote>
  <w:endnote w:type="continuationNotice" w:id="1">
    <w:p w:rsidR="00074FD2" w:rsidRDefault="0007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C1" w:rsidRDefault="007972C1">
    <w:pPr>
      <w:pStyle w:val="Footer"/>
    </w:pPr>
    <w:r>
      <w:fldChar w:fldCharType="begin"/>
    </w:r>
    <w:r>
      <w:instrText xml:space="preserve"> PAGE   \* MERGEFORMAT </w:instrText>
    </w:r>
    <w:r>
      <w:fldChar w:fldCharType="separate"/>
    </w:r>
    <w:r w:rsidR="00CA469C">
      <w:rPr>
        <w:noProof/>
      </w:rPr>
      <w:t>2</w:t>
    </w:r>
    <w:r>
      <w:rPr>
        <w:noProof/>
      </w:rPr>
      <w:fldChar w:fldCharType="end"/>
    </w:r>
  </w:p>
  <w:p w:rsidR="007972C1" w:rsidRDefault="00797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C1" w:rsidRDefault="007972C1">
    <w:pPr>
      <w:pStyle w:val="Footer"/>
      <w:jc w:val="right"/>
    </w:pPr>
    <w:r>
      <w:fldChar w:fldCharType="begin"/>
    </w:r>
    <w:r>
      <w:instrText xml:space="preserve"> PAGE   \* MERGEFORMAT </w:instrText>
    </w:r>
    <w:r>
      <w:fldChar w:fldCharType="separate"/>
    </w:r>
    <w:r w:rsidR="00CA469C">
      <w:rPr>
        <w:noProof/>
      </w:rPr>
      <w:t>3</w:t>
    </w:r>
    <w:r>
      <w:rPr>
        <w:noProof/>
      </w:rPr>
      <w:fldChar w:fldCharType="end"/>
    </w:r>
  </w:p>
  <w:p w:rsidR="007972C1" w:rsidRDefault="00797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C1" w:rsidRDefault="00EB7117">
    <w:pPr>
      <w:pStyle w:val="Footer"/>
    </w:pPr>
    <w:r>
      <w:rPr>
        <w:noProof/>
        <w:lang w:eastAsia="en-GB"/>
      </w:rPr>
      <w:drawing>
        <wp:anchor distT="0" distB="0" distL="114300" distR="114300" simplePos="0" relativeHeight="251658240"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D2" w:rsidRPr="000B175B" w:rsidRDefault="00074FD2" w:rsidP="000B175B">
      <w:pPr>
        <w:tabs>
          <w:tab w:val="right" w:pos="2155"/>
        </w:tabs>
        <w:spacing w:after="80"/>
        <w:ind w:left="680"/>
        <w:rPr>
          <w:u w:val="single"/>
        </w:rPr>
      </w:pPr>
      <w:r>
        <w:rPr>
          <w:u w:val="single"/>
        </w:rPr>
        <w:tab/>
      </w:r>
    </w:p>
  </w:footnote>
  <w:footnote w:type="continuationSeparator" w:id="0">
    <w:p w:rsidR="00074FD2" w:rsidRPr="00FC68B7" w:rsidRDefault="00074FD2" w:rsidP="00FC68B7">
      <w:pPr>
        <w:tabs>
          <w:tab w:val="left" w:pos="2155"/>
        </w:tabs>
        <w:spacing w:after="80"/>
        <w:ind w:left="680"/>
        <w:rPr>
          <w:u w:val="single"/>
        </w:rPr>
      </w:pPr>
      <w:r>
        <w:rPr>
          <w:u w:val="single"/>
        </w:rPr>
        <w:tab/>
      </w:r>
    </w:p>
  </w:footnote>
  <w:footnote w:type="continuationNotice" w:id="1">
    <w:p w:rsidR="00074FD2" w:rsidRDefault="00074F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C1" w:rsidRPr="00B23020" w:rsidRDefault="00EB7117" w:rsidP="00B23020">
    <w:pPr>
      <w:pBdr>
        <w:bottom w:val="single" w:sz="4" w:space="1" w:color="auto"/>
      </w:pBdr>
      <w:rPr>
        <w:b/>
        <w:sz w:val="18"/>
        <w:szCs w:val="18"/>
      </w:rPr>
    </w:pPr>
    <w:r>
      <w:rPr>
        <w:noProof/>
        <w:lang w:eastAsia="en-GB"/>
      </w:rPr>
      <mc:AlternateContent>
        <mc:Choice Requires="wps">
          <w:drawing>
            <wp:anchor distT="0" distB="0" distL="114300" distR="114300" simplePos="0" relativeHeight="251657216" behindDoc="0" locked="0" layoutInCell="1" allowOverlap="1" wp14:anchorId="4D36AE4F" wp14:editId="45C9F35A">
              <wp:simplePos x="0" y="0"/>
              <wp:positionH relativeFrom="page">
                <wp:posOffset>9791700</wp:posOffset>
              </wp:positionH>
              <wp:positionV relativeFrom="margin">
                <wp:posOffset>0</wp:posOffset>
              </wp:positionV>
              <wp:extent cx="215900" cy="6120130"/>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2C1" w:rsidRPr="00DC5FBA" w:rsidRDefault="007972C1" w:rsidP="008D7973">
                          <w:pPr>
                            <w:pStyle w:val="Header"/>
                          </w:pPr>
                          <w:r w:rsidRPr="00191FC2">
                            <w:t>UN/SCETDG/43/INF.3</w:t>
                          </w:r>
                        </w:p>
                        <w:p w:rsidR="007972C1" w:rsidRDefault="007972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771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N/TnGnoCAAD/&#10;BAAADgAAAAAAAAAAAAAAAAAuAgAAZHJzL2Uyb0RvYy54bWxQSwECLQAUAAYACAAAACEAWb6kY+EA&#10;AAAKAQAADwAAAAAAAAAAAAAAAADUBAAAZHJzL2Rvd25yZXYueG1sUEsFBgAAAAAEAAQA8wAAAOIF&#10;AAAAAA==&#10;" stroked="f">
              <v:textbox style="layout-flow:vertical" inset="0,0,0,0">
                <w:txbxContent>
                  <w:p w:rsidR="007972C1" w:rsidRPr="00DC5FBA" w:rsidRDefault="007972C1" w:rsidP="008D7973">
                    <w:pPr>
                      <w:pStyle w:val="Header"/>
                    </w:pPr>
                    <w:r w:rsidRPr="00191FC2">
                      <w:t>UN/SCETDG/43/INF.3</w:t>
                    </w:r>
                  </w:p>
                  <w:p w:rsidR="007972C1" w:rsidRDefault="007972C1"/>
                </w:txbxContent>
              </v:textbox>
              <w10:wrap anchorx="page" anchory="margin"/>
            </v:shape>
          </w:pict>
        </mc:Fallback>
      </mc:AlternateContent>
    </w:r>
    <w:r w:rsidR="009D3727">
      <w:rPr>
        <w:b/>
        <w:sz w:val="18"/>
        <w:szCs w:val="18"/>
      </w:rPr>
      <w:t>UN/SCETDG/48/INF.17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C1" w:rsidRPr="00A351E0" w:rsidRDefault="009D3727" w:rsidP="009D3727">
    <w:pPr>
      <w:pStyle w:val="Header"/>
      <w:jc w:val="right"/>
    </w:pPr>
    <w:r>
      <w:rPr>
        <w:lang w:val="fr-CH"/>
      </w:rPr>
      <w:t>UN/SCETDG/48/INF.17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7336B24"/>
    <w:multiLevelType w:val="hybridMultilevel"/>
    <w:tmpl w:val="335E1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1702DC4"/>
    <w:multiLevelType w:val="hybridMultilevel"/>
    <w:tmpl w:val="DB18B07A"/>
    <w:lvl w:ilvl="0" w:tplc="28EC71DE">
      <w:start w:val="12"/>
      <w:numFmt w:val="decimal"/>
      <w:lvlText w:val="%1."/>
      <w:lvlJc w:val="left"/>
      <w:pPr>
        <w:tabs>
          <w:tab w:val="num" w:pos="1700"/>
        </w:tabs>
        <w:ind w:left="1700" w:hanging="600"/>
      </w:pPr>
      <w:rPr>
        <w:rFonts w:cs="Times New Roman" w:hint="default"/>
      </w:rPr>
    </w:lvl>
    <w:lvl w:ilvl="1" w:tplc="08090019" w:tentative="1">
      <w:start w:val="1"/>
      <w:numFmt w:val="lowerLetter"/>
      <w:lvlText w:val="%2."/>
      <w:lvlJc w:val="left"/>
      <w:pPr>
        <w:tabs>
          <w:tab w:val="num" w:pos="2180"/>
        </w:tabs>
        <w:ind w:left="2180" w:hanging="360"/>
      </w:pPr>
    </w:lvl>
    <w:lvl w:ilvl="2" w:tplc="0809001B" w:tentative="1">
      <w:start w:val="1"/>
      <w:numFmt w:val="lowerRoman"/>
      <w:lvlText w:val="%3."/>
      <w:lvlJc w:val="right"/>
      <w:pPr>
        <w:tabs>
          <w:tab w:val="num" w:pos="2900"/>
        </w:tabs>
        <w:ind w:left="2900" w:hanging="180"/>
      </w:pPr>
    </w:lvl>
    <w:lvl w:ilvl="3" w:tplc="0809000F" w:tentative="1">
      <w:start w:val="1"/>
      <w:numFmt w:val="decimal"/>
      <w:lvlText w:val="%4."/>
      <w:lvlJc w:val="left"/>
      <w:pPr>
        <w:tabs>
          <w:tab w:val="num" w:pos="3620"/>
        </w:tabs>
        <w:ind w:left="3620" w:hanging="360"/>
      </w:pPr>
    </w:lvl>
    <w:lvl w:ilvl="4" w:tplc="08090019" w:tentative="1">
      <w:start w:val="1"/>
      <w:numFmt w:val="lowerLetter"/>
      <w:lvlText w:val="%5."/>
      <w:lvlJc w:val="left"/>
      <w:pPr>
        <w:tabs>
          <w:tab w:val="num" w:pos="4340"/>
        </w:tabs>
        <w:ind w:left="4340" w:hanging="360"/>
      </w:pPr>
    </w:lvl>
    <w:lvl w:ilvl="5" w:tplc="0809001B" w:tentative="1">
      <w:start w:val="1"/>
      <w:numFmt w:val="lowerRoman"/>
      <w:lvlText w:val="%6."/>
      <w:lvlJc w:val="right"/>
      <w:pPr>
        <w:tabs>
          <w:tab w:val="num" w:pos="5060"/>
        </w:tabs>
        <w:ind w:left="5060" w:hanging="180"/>
      </w:pPr>
    </w:lvl>
    <w:lvl w:ilvl="6" w:tplc="0809000F" w:tentative="1">
      <w:start w:val="1"/>
      <w:numFmt w:val="decimal"/>
      <w:lvlText w:val="%7."/>
      <w:lvlJc w:val="left"/>
      <w:pPr>
        <w:tabs>
          <w:tab w:val="num" w:pos="5780"/>
        </w:tabs>
        <w:ind w:left="5780" w:hanging="360"/>
      </w:pPr>
    </w:lvl>
    <w:lvl w:ilvl="7" w:tplc="08090019" w:tentative="1">
      <w:start w:val="1"/>
      <w:numFmt w:val="lowerLetter"/>
      <w:lvlText w:val="%8."/>
      <w:lvlJc w:val="left"/>
      <w:pPr>
        <w:tabs>
          <w:tab w:val="num" w:pos="6500"/>
        </w:tabs>
        <w:ind w:left="6500" w:hanging="360"/>
      </w:pPr>
    </w:lvl>
    <w:lvl w:ilvl="8" w:tplc="0809001B" w:tentative="1">
      <w:start w:val="1"/>
      <w:numFmt w:val="lowerRoman"/>
      <w:lvlText w:val="%9."/>
      <w:lvlJc w:val="right"/>
      <w:pPr>
        <w:tabs>
          <w:tab w:val="num" w:pos="7220"/>
        </w:tabs>
        <w:ind w:left="722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19B30AD3"/>
    <w:multiLevelType w:val="hybridMultilevel"/>
    <w:tmpl w:val="D9CE4540"/>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1">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28D36E2C"/>
    <w:multiLevelType w:val="hybridMultilevel"/>
    <w:tmpl w:val="4CFCD8E2"/>
    <w:lvl w:ilvl="0" w:tplc="F4840EC8">
      <w:start w:val="9"/>
      <w:numFmt w:val="decimal"/>
      <w:lvlText w:val="%1."/>
      <w:lvlJc w:val="left"/>
      <w:pPr>
        <w:tabs>
          <w:tab w:val="num" w:pos="1700"/>
        </w:tabs>
        <w:ind w:left="1700" w:hanging="600"/>
      </w:pPr>
      <w:rPr>
        <w:rFonts w:hint="default"/>
      </w:rPr>
    </w:lvl>
    <w:lvl w:ilvl="1" w:tplc="08090019" w:tentative="1">
      <w:start w:val="1"/>
      <w:numFmt w:val="lowerLetter"/>
      <w:lvlText w:val="%2."/>
      <w:lvlJc w:val="left"/>
      <w:pPr>
        <w:tabs>
          <w:tab w:val="num" w:pos="2180"/>
        </w:tabs>
        <w:ind w:left="2180" w:hanging="360"/>
      </w:pPr>
    </w:lvl>
    <w:lvl w:ilvl="2" w:tplc="0809001B" w:tentative="1">
      <w:start w:val="1"/>
      <w:numFmt w:val="lowerRoman"/>
      <w:lvlText w:val="%3."/>
      <w:lvlJc w:val="right"/>
      <w:pPr>
        <w:tabs>
          <w:tab w:val="num" w:pos="2900"/>
        </w:tabs>
        <w:ind w:left="2900" w:hanging="180"/>
      </w:pPr>
    </w:lvl>
    <w:lvl w:ilvl="3" w:tplc="0809000F" w:tentative="1">
      <w:start w:val="1"/>
      <w:numFmt w:val="decimal"/>
      <w:lvlText w:val="%4."/>
      <w:lvlJc w:val="left"/>
      <w:pPr>
        <w:tabs>
          <w:tab w:val="num" w:pos="3620"/>
        </w:tabs>
        <w:ind w:left="3620" w:hanging="360"/>
      </w:pPr>
    </w:lvl>
    <w:lvl w:ilvl="4" w:tplc="08090019" w:tentative="1">
      <w:start w:val="1"/>
      <w:numFmt w:val="lowerLetter"/>
      <w:lvlText w:val="%5."/>
      <w:lvlJc w:val="left"/>
      <w:pPr>
        <w:tabs>
          <w:tab w:val="num" w:pos="4340"/>
        </w:tabs>
        <w:ind w:left="4340" w:hanging="360"/>
      </w:pPr>
    </w:lvl>
    <w:lvl w:ilvl="5" w:tplc="0809001B" w:tentative="1">
      <w:start w:val="1"/>
      <w:numFmt w:val="lowerRoman"/>
      <w:lvlText w:val="%6."/>
      <w:lvlJc w:val="right"/>
      <w:pPr>
        <w:tabs>
          <w:tab w:val="num" w:pos="5060"/>
        </w:tabs>
        <w:ind w:left="5060" w:hanging="180"/>
      </w:pPr>
    </w:lvl>
    <w:lvl w:ilvl="6" w:tplc="0809000F" w:tentative="1">
      <w:start w:val="1"/>
      <w:numFmt w:val="decimal"/>
      <w:lvlText w:val="%7."/>
      <w:lvlJc w:val="left"/>
      <w:pPr>
        <w:tabs>
          <w:tab w:val="num" w:pos="5780"/>
        </w:tabs>
        <w:ind w:left="5780" w:hanging="360"/>
      </w:pPr>
    </w:lvl>
    <w:lvl w:ilvl="7" w:tplc="08090019" w:tentative="1">
      <w:start w:val="1"/>
      <w:numFmt w:val="lowerLetter"/>
      <w:lvlText w:val="%8."/>
      <w:lvlJc w:val="left"/>
      <w:pPr>
        <w:tabs>
          <w:tab w:val="num" w:pos="6500"/>
        </w:tabs>
        <w:ind w:left="6500" w:hanging="360"/>
      </w:pPr>
    </w:lvl>
    <w:lvl w:ilvl="8" w:tplc="0809001B" w:tentative="1">
      <w:start w:val="1"/>
      <w:numFmt w:val="lowerRoman"/>
      <w:lvlText w:val="%9."/>
      <w:lvlJc w:val="right"/>
      <w:pPr>
        <w:tabs>
          <w:tab w:val="num" w:pos="7220"/>
        </w:tabs>
        <w:ind w:left="7220" w:hanging="180"/>
      </w:pPr>
    </w:lvl>
  </w:abstractNum>
  <w:abstractNum w:abstractNumId="23">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3A790494"/>
    <w:multiLevelType w:val="hybridMultilevel"/>
    <w:tmpl w:val="60FC05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E1C71E7"/>
    <w:multiLevelType w:val="hybridMultilevel"/>
    <w:tmpl w:val="D39A4054"/>
    <w:lvl w:ilvl="0" w:tplc="08090001">
      <w:start w:val="1"/>
      <w:numFmt w:val="bullet"/>
      <w:lvlText w:val=""/>
      <w:lvlJc w:val="left"/>
      <w:pPr>
        <w:tabs>
          <w:tab w:val="num" w:pos="1760"/>
        </w:tabs>
        <w:ind w:left="1760" w:hanging="360"/>
      </w:pPr>
      <w:rPr>
        <w:rFonts w:ascii="Symbol" w:hAnsi="Symbol" w:hint="default"/>
      </w:rPr>
    </w:lvl>
    <w:lvl w:ilvl="1" w:tplc="08090003" w:tentative="1">
      <w:start w:val="1"/>
      <w:numFmt w:val="bullet"/>
      <w:lvlText w:val="o"/>
      <w:lvlJc w:val="left"/>
      <w:pPr>
        <w:tabs>
          <w:tab w:val="num" w:pos="2480"/>
        </w:tabs>
        <w:ind w:left="2480" w:hanging="360"/>
      </w:pPr>
      <w:rPr>
        <w:rFonts w:ascii="Courier New" w:hAnsi="Courier New" w:cs="Courier New" w:hint="default"/>
      </w:rPr>
    </w:lvl>
    <w:lvl w:ilvl="2" w:tplc="08090005" w:tentative="1">
      <w:start w:val="1"/>
      <w:numFmt w:val="bullet"/>
      <w:lvlText w:val=""/>
      <w:lvlJc w:val="left"/>
      <w:pPr>
        <w:tabs>
          <w:tab w:val="num" w:pos="3200"/>
        </w:tabs>
        <w:ind w:left="3200" w:hanging="360"/>
      </w:pPr>
      <w:rPr>
        <w:rFonts w:ascii="Wingdings" w:hAnsi="Wingdings" w:hint="default"/>
      </w:rPr>
    </w:lvl>
    <w:lvl w:ilvl="3" w:tplc="08090001" w:tentative="1">
      <w:start w:val="1"/>
      <w:numFmt w:val="bullet"/>
      <w:lvlText w:val=""/>
      <w:lvlJc w:val="left"/>
      <w:pPr>
        <w:tabs>
          <w:tab w:val="num" w:pos="3920"/>
        </w:tabs>
        <w:ind w:left="3920" w:hanging="360"/>
      </w:pPr>
      <w:rPr>
        <w:rFonts w:ascii="Symbol" w:hAnsi="Symbol" w:hint="default"/>
      </w:rPr>
    </w:lvl>
    <w:lvl w:ilvl="4" w:tplc="08090003" w:tentative="1">
      <w:start w:val="1"/>
      <w:numFmt w:val="bullet"/>
      <w:lvlText w:val="o"/>
      <w:lvlJc w:val="left"/>
      <w:pPr>
        <w:tabs>
          <w:tab w:val="num" w:pos="4640"/>
        </w:tabs>
        <w:ind w:left="4640" w:hanging="360"/>
      </w:pPr>
      <w:rPr>
        <w:rFonts w:ascii="Courier New" w:hAnsi="Courier New" w:cs="Courier New" w:hint="default"/>
      </w:rPr>
    </w:lvl>
    <w:lvl w:ilvl="5" w:tplc="08090005" w:tentative="1">
      <w:start w:val="1"/>
      <w:numFmt w:val="bullet"/>
      <w:lvlText w:val=""/>
      <w:lvlJc w:val="left"/>
      <w:pPr>
        <w:tabs>
          <w:tab w:val="num" w:pos="5360"/>
        </w:tabs>
        <w:ind w:left="5360" w:hanging="360"/>
      </w:pPr>
      <w:rPr>
        <w:rFonts w:ascii="Wingdings" w:hAnsi="Wingdings" w:hint="default"/>
      </w:rPr>
    </w:lvl>
    <w:lvl w:ilvl="6" w:tplc="08090001" w:tentative="1">
      <w:start w:val="1"/>
      <w:numFmt w:val="bullet"/>
      <w:lvlText w:val=""/>
      <w:lvlJc w:val="left"/>
      <w:pPr>
        <w:tabs>
          <w:tab w:val="num" w:pos="6080"/>
        </w:tabs>
        <w:ind w:left="6080" w:hanging="360"/>
      </w:pPr>
      <w:rPr>
        <w:rFonts w:ascii="Symbol" w:hAnsi="Symbol" w:hint="default"/>
      </w:rPr>
    </w:lvl>
    <w:lvl w:ilvl="7" w:tplc="08090003" w:tentative="1">
      <w:start w:val="1"/>
      <w:numFmt w:val="bullet"/>
      <w:lvlText w:val="o"/>
      <w:lvlJc w:val="left"/>
      <w:pPr>
        <w:tabs>
          <w:tab w:val="num" w:pos="6800"/>
        </w:tabs>
        <w:ind w:left="6800" w:hanging="360"/>
      </w:pPr>
      <w:rPr>
        <w:rFonts w:ascii="Courier New" w:hAnsi="Courier New" w:cs="Courier New" w:hint="default"/>
      </w:rPr>
    </w:lvl>
    <w:lvl w:ilvl="8" w:tplc="08090005" w:tentative="1">
      <w:start w:val="1"/>
      <w:numFmt w:val="bullet"/>
      <w:lvlText w:val=""/>
      <w:lvlJc w:val="left"/>
      <w:pPr>
        <w:tabs>
          <w:tab w:val="num" w:pos="7520"/>
        </w:tabs>
        <w:ind w:left="7520" w:hanging="360"/>
      </w:pPr>
      <w:rPr>
        <w:rFonts w:ascii="Wingdings" w:hAnsi="Wingdings" w:hint="default"/>
      </w:rPr>
    </w:lvl>
  </w:abstractNum>
  <w:abstractNum w:abstractNumId="28">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3EB01949"/>
    <w:multiLevelType w:val="hybridMultilevel"/>
    <w:tmpl w:val="E04C68A0"/>
    <w:lvl w:ilvl="0" w:tplc="03C866AA">
      <w:start w:val="7"/>
      <w:numFmt w:val="decimal"/>
      <w:lvlText w:val="%1."/>
      <w:lvlJc w:val="left"/>
      <w:pPr>
        <w:tabs>
          <w:tab w:val="num" w:pos="1689"/>
        </w:tabs>
        <w:ind w:left="1689" w:hanging="555"/>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0">
    <w:nsid w:val="41BD41C2"/>
    <w:multiLevelType w:val="hybridMultilevel"/>
    <w:tmpl w:val="362EF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536D46AA"/>
    <w:multiLevelType w:val="hybridMultilevel"/>
    <w:tmpl w:val="8AEE3AC0"/>
    <w:lvl w:ilvl="0" w:tplc="97EE05EC">
      <w:start w:val="1"/>
      <w:numFmt w:val="decimal"/>
      <w:lvlText w:val="%1."/>
      <w:lvlJc w:val="left"/>
      <w:pPr>
        <w:ind w:left="1353"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5B4B1BC4"/>
    <w:multiLevelType w:val="multilevel"/>
    <w:tmpl w:val="210C2D08"/>
    <w:lvl w:ilvl="0">
      <w:start w:val="1"/>
      <w:numFmt w:val="upperRoman"/>
      <w:lvlText w:val="%1."/>
      <w:lvlJc w:val="right"/>
      <w:pPr>
        <w:tabs>
          <w:tab w:val="num" w:pos="1580"/>
        </w:tabs>
        <w:ind w:left="1580" w:hanging="180"/>
      </w:pPr>
      <w:rPr>
        <w:b w:val="0"/>
        <w:i w:val="0"/>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35">
    <w:nsid w:val="5F0F104B"/>
    <w:multiLevelType w:val="hybridMultilevel"/>
    <w:tmpl w:val="6AE44B6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F254ECF"/>
    <w:multiLevelType w:val="hybridMultilevel"/>
    <w:tmpl w:val="AC40B9B4"/>
    <w:lvl w:ilvl="0" w:tplc="08090019">
      <w:start w:val="1"/>
      <w:numFmt w:val="lowerLetter"/>
      <w:lvlText w:val="%1."/>
      <w:lvlJc w:val="left"/>
      <w:pPr>
        <w:tabs>
          <w:tab w:val="num" w:pos="1760"/>
        </w:tabs>
        <w:ind w:left="1760" w:hanging="360"/>
      </w:pPr>
      <w:rPr>
        <w:b w:val="0"/>
        <w:i w:val="0"/>
      </w:rPr>
    </w:lvl>
    <w:lvl w:ilvl="1" w:tplc="08090019">
      <w:start w:val="1"/>
      <w:numFmt w:val="lowerLetter"/>
      <w:lvlText w:val="%2."/>
      <w:lvlJc w:val="left"/>
      <w:pPr>
        <w:tabs>
          <w:tab w:val="num" w:pos="1740"/>
        </w:tabs>
        <w:ind w:left="1740" w:hanging="360"/>
      </w:pPr>
    </w:lvl>
    <w:lvl w:ilvl="2" w:tplc="0809001B">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4030CD7"/>
    <w:multiLevelType w:val="hybridMultilevel"/>
    <w:tmpl w:val="9E0A9484"/>
    <w:lvl w:ilvl="0" w:tplc="08090001">
      <w:start w:val="1"/>
      <w:numFmt w:val="bullet"/>
      <w:lvlText w:val=""/>
      <w:lvlJc w:val="left"/>
      <w:pPr>
        <w:tabs>
          <w:tab w:val="num" w:pos="1820"/>
        </w:tabs>
        <w:ind w:left="1820" w:hanging="360"/>
      </w:pPr>
      <w:rPr>
        <w:rFonts w:ascii="Symbol" w:hAnsi="Symbol" w:hint="default"/>
      </w:rPr>
    </w:lvl>
    <w:lvl w:ilvl="1" w:tplc="08090003" w:tentative="1">
      <w:start w:val="1"/>
      <w:numFmt w:val="bullet"/>
      <w:lvlText w:val="o"/>
      <w:lvlJc w:val="left"/>
      <w:pPr>
        <w:tabs>
          <w:tab w:val="num" w:pos="2540"/>
        </w:tabs>
        <w:ind w:left="2540" w:hanging="360"/>
      </w:pPr>
      <w:rPr>
        <w:rFonts w:ascii="Courier New" w:hAnsi="Courier New" w:cs="Courier New" w:hint="default"/>
      </w:rPr>
    </w:lvl>
    <w:lvl w:ilvl="2" w:tplc="08090005" w:tentative="1">
      <w:start w:val="1"/>
      <w:numFmt w:val="bullet"/>
      <w:lvlText w:val=""/>
      <w:lvlJc w:val="left"/>
      <w:pPr>
        <w:tabs>
          <w:tab w:val="num" w:pos="3260"/>
        </w:tabs>
        <w:ind w:left="3260" w:hanging="360"/>
      </w:pPr>
      <w:rPr>
        <w:rFonts w:ascii="Wingdings" w:hAnsi="Wingdings" w:hint="default"/>
      </w:rPr>
    </w:lvl>
    <w:lvl w:ilvl="3" w:tplc="08090001" w:tentative="1">
      <w:start w:val="1"/>
      <w:numFmt w:val="bullet"/>
      <w:lvlText w:val=""/>
      <w:lvlJc w:val="left"/>
      <w:pPr>
        <w:tabs>
          <w:tab w:val="num" w:pos="3980"/>
        </w:tabs>
        <w:ind w:left="3980" w:hanging="360"/>
      </w:pPr>
      <w:rPr>
        <w:rFonts w:ascii="Symbol" w:hAnsi="Symbol" w:hint="default"/>
      </w:rPr>
    </w:lvl>
    <w:lvl w:ilvl="4" w:tplc="08090003" w:tentative="1">
      <w:start w:val="1"/>
      <w:numFmt w:val="bullet"/>
      <w:lvlText w:val="o"/>
      <w:lvlJc w:val="left"/>
      <w:pPr>
        <w:tabs>
          <w:tab w:val="num" w:pos="4700"/>
        </w:tabs>
        <w:ind w:left="4700" w:hanging="360"/>
      </w:pPr>
      <w:rPr>
        <w:rFonts w:ascii="Courier New" w:hAnsi="Courier New" w:cs="Courier New" w:hint="default"/>
      </w:rPr>
    </w:lvl>
    <w:lvl w:ilvl="5" w:tplc="08090005" w:tentative="1">
      <w:start w:val="1"/>
      <w:numFmt w:val="bullet"/>
      <w:lvlText w:val=""/>
      <w:lvlJc w:val="left"/>
      <w:pPr>
        <w:tabs>
          <w:tab w:val="num" w:pos="5420"/>
        </w:tabs>
        <w:ind w:left="5420" w:hanging="360"/>
      </w:pPr>
      <w:rPr>
        <w:rFonts w:ascii="Wingdings" w:hAnsi="Wingdings" w:hint="default"/>
      </w:rPr>
    </w:lvl>
    <w:lvl w:ilvl="6" w:tplc="08090001" w:tentative="1">
      <w:start w:val="1"/>
      <w:numFmt w:val="bullet"/>
      <w:lvlText w:val=""/>
      <w:lvlJc w:val="left"/>
      <w:pPr>
        <w:tabs>
          <w:tab w:val="num" w:pos="6140"/>
        </w:tabs>
        <w:ind w:left="6140" w:hanging="360"/>
      </w:pPr>
      <w:rPr>
        <w:rFonts w:ascii="Symbol" w:hAnsi="Symbol" w:hint="default"/>
      </w:rPr>
    </w:lvl>
    <w:lvl w:ilvl="7" w:tplc="08090003" w:tentative="1">
      <w:start w:val="1"/>
      <w:numFmt w:val="bullet"/>
      <w:lvlText w:val="o"/>
      <w:lvlJc w:val="left"/>
      <w:pPr>
        <w:tabs>
          <w:tab w:val="num" w:pos="6860"/>
        </w:tabs>
        <w:ind w:left="6860" w:hanging="360"/>
      </w:pPr>
      <w:rPr>
        <w:rFonts w:ascii="Courier New" w:hAnsi="Courier New" w:cs="Courier New" w:hint="default"/>
      </w:rPr>
    </w:lvl>
    <w:lvl w:ilvl="8" w:tplc="08090005" w:tentative="1">
      <w:start w:val="1"/>
      <w:numFmt w:val="bullet"/>
      <w:lvlText w:val=""/>
      <w:lvlJc w:val="left"/>
      <w:pPr>
        <w:tabs>
          <w:tab w:val="num" w:pos="7580"/>
        </w:tabs>
        <w:ind w:left="7580" w:hanging="360"/>
      </w:pPr>
      <w:rPr>
        <w:rFonts w:ascii="Wingdings" w:hAnsi="Wingdings" w:hint="default"/>
      </w:rPr>
    </w:lvl>
  </w:abstractNum>
  <w:abstractNum w:abstractNumId="39">
    <w:nsid w:val="65925DC1"/>
    <w:multiLevelType w:val="hybridMultilevel"/>
    <w:tmpl w:val="0FC2063C"/>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E0C5B38"/>
    <w:multiLevelType w:val="hybridMultilevel"/>
    <w:tmpl w:val="FD3800A6"/>
    <w:lvl w:ilvl="0" w:tplc="257670AE">
      <w:start w:val="1"/>
      <w:numFmt w:val="decimal"/>
      <w:lvlText w:val="(%1)"/>
      <w:lvlJc w:val="left"/>
      <w:pPr>
        <w:ind w:left="360" w:hanging="360"/>
      </w:pPr>
      <w:rPr>
        <w:rFonts w:cs="Times New Roman"/>
        <w:b w:val="0"/>
      </w:rPr>
    </w:lvl>
    <w:lvl w:ilvl="1" w:tplc="6C56B684">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6"/>
  </w:num>
  <w:num w:numId="13">
    <w:abstractNumId w:val="12"/>
  </w:num>
  <w:num w:numId="14">
    <w:abstractNumId w:val="39"/>
  </w:num>
  <w:num w:numId="15">
    <w:abstractNumId w:val="42"/>
  </w:num>
  <w:num w:numId="16">
    <w:abstractNumId w:val="25"/>
  </w:num>
  <w:num w:numId="17">
    <w:abstractNumId w:val="23"/>
  </w:num>
  <w:num w:numId="18">
    <w:abstractNumId w:val="41"/>
  </w:num>
  <w:num w:numId="19">
    <w:abstractNumId w:val="17"/>
  </w:num>
  <w:num w:numId="20">
    <w:abstractNumId w:val="13"/>
  </w:num>
  <w:num w:numId="21">
    <w:abstractNumId w:val="24"/>
  </w:num>
  <w:num w:numId="22">
    <w:abstractNumId w:val="10"/>
  </w:num>
  <w:num w:numId="23">
    <w:abstractNumId w:val="28"/>
  </w:num>
  <w:num w:numId="24">
    <w:abstractNumId w:val="14"/>
  </w:num>
  <w:num w:numId="25">
    <w:abstractNumId w:val="19"/>
  </w:num>
  <w:num w:numId="26">
    <w:abstractNumId w:val="31"/>
  </w:num>
  <w:num w:numId="27">
    <w:abstractNumId w:val="40"/>
  </w:num>
  <w:num w:numId="28">
    <w:abstractNumId w:val="20"/>
  </w:num>
  <w:num w:numId="29">
    <w:abstractNumId w:val="21"/>
  </w:num>
  <w:num w:numId="30">
    <w:abstractNumId w:val="3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7"/>
  </w:num>
  <w:num w:numId="34">
    <w:abstractNumId w:val="22"/>
  </w:num>
  <w:num w:numId="35">
    <w:abstractNumId w:val="26"/>
  </w:num>
  <w:num w:numId="36">
    <w:abstractNumId w:val="36"/>
  </w:num>
  <w:num w:numId="37">
    <w:abstractNumId w:val="18"/>
  </w:num>
  <w:num w:numId="38">
    <w:abstractNumId w:val="11"/>
  </w:num>
  <w:num w:numId="39">
    <w:abstractNumId w:val="35"/>
  </w:num>
  <w:num w:numId="40">
    <w:abstractNumId w:val="15"/>
  </w:num>
  <w:num w:numId="41">
    <w:abstractNumId w:val="34"/>
  </w:num>
  <w:num w:numId="42">
    <w:abstractNumId w:val="29"/>
  </w:num>
  <w:num w:numId="43">
    <w:abstractNumId w:val="30"/>
  </w:num>
  <w:num w:numId="4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06F18"/>
    <w:rsid w:val="00010840"/>
    <w:rsid w:val="00011218"/>
    <w:rsid w:val="000115A4"/>
    <w:rsid w:val="00014BA7"/>
    <w:rsid w:val="00025E4D"/>
    <w:rsid w:val="0002626C"/>
    <w:rsid w:val="00037FD8"/>
    <w:rsid w:val="00050F6B"/>
    <w:rsid w:val="00056542"/>
    <w:rsid w:val="00060E74"/>
    <w:rsid w:val="00061FBD"/>
    <w:rsid w:val="00062F47"/>
    <w:rsid w:val="00071BCB"/>
    <w:rsid w:val="00072C8C"/>
    <w:rsid w:val="00074FD2"/>
    <w:rsid w:val="00076808"/>
    <w:rsid w:val="00086FBE"/>
    <w:rsid w:val="00091419"/>
    <w:rsid w:val="000931C0"/>
    <w:rsid w:val="000A47C9"/>
    <w:rsid w:val="000A57F2"/>
    <w:rsid w:val="000B175B"/>
    <w:rsid w:val="000B1E6B"/>
    <w:rsid w:val="000B3A0F"/>
    <w:rsid w:val="000B5E2F"/>
    <w:rsid w:val="000C0BD8"/>
    <w:rsid w:val="000C3E80"/>
    <w:rsid w:val="000C5F44"/>
    <w:rsid w:val="000D12B2"/>
    <w:rsid w:val="000D34DF"/>
    <w:rsid w:val="000D7149"/>
    <w:rsid w:val="000E0415"/>
    <w:rsid w:val="000E24D3"/>
    <w:rsid w:val="000F2380"/>
    <w:rsid w:val="000F5031"/>
    <w:rsid w:val="001125BF"/>
    <w:rsid w:val="00117787"/>
    <w:rsid w:val="00130B2B"/>
    <w:rsid w:val="00131767"/>
    <w:rsid w:val="00131D42"/>
    <w:rsid w:val="001329B7"/>
    <w:rsid w:val="0014274C"/>
    <w:rsid w:val="0015390C"/>
    <w:rsid w:val="00154F74"/>
    <w:rsid w:val="0016239A"/>
    <w:rsid w:val="001633FB"/>
    <w:rsid w:val="00164FCA"/>
    <w:rsid w:val="0018709C"/>
    <w:rsid w:val="00191FC2"/>
    <w:rsid w:val="001A0D51"/>
    <w:rsid w:val="001A4A69"/>
    <w:rsid w:val="001B1A57"/>
    <w:rsid w:val="001B4B04"/>
    <w:rsid w:val="001B63B3"/>
    <w:rsid w:val="001C08BC"/>
    <w:rsid w:val="001C3F03"/>
    <w:rsid w:val="001C4992"/>
    <w:rsid w:val="001C6663"/>
    <w:rsid w:val="001C7895"/>
    <w:rsid w:val="001D26DF"/>
    <w:rsid w:val="001D2FDC"/>
    <w:rsid w:val="001E07EE"/>
    <w:rsid w:val="001E7DE2"/>
    <w:rsid w:val="001F1589"/>
    <w:rsid w:val="00204D75"/>
    <w:rsid w:val="00211E0B"/>
    <w:rsid w:val="00212046"/>
    <w:rsid w:val="002213FA"/>
    <w:rsid w:val="0022446F"/>
    <w:rsid w:val="002262D3"/>
    <w:rsid w:val="002309A7"/>
    <w:rsid w:val="00230F2E"/>
    <w:rsid w:val="002345D2"/>
    <w:rsid w:val="00235937"/>
    <w:rsid w:val="00237495"/>
    <w:rsid w:val="00237785"/>
    <w:rsid w:val="00241466"/>
    <w:rsid w:val="002425D3"/>
    <w:rsid w:val="00253374"/>
    <w:rsid w:val="00266E87"/>
    <w:rsid w:val="00271844"/>
    <w:rsid w:val="002725CA"/>
    <w:rsid w:val="00276796"/>
    <w:rsid w:val="002807B9"/>
    <w:rsid w:val="00280EB7"/>
    <w:rsid w:val="00285581"/>
    <w:rsid w:val="00287C9D"/>
    <w:rsid w:val="00290AF2"/>
    <w:rsid w:val="002933F2"/>
    <w:rsid w:val="00297FDB"/>
    <w:rsid w:val="002A7BC0"/>
    <w:rsid w:val="002B1CDA"/>
    <w:rsid w:val="002C56EC"/>
    <w:rsid w:val="002C638D"/>
    <w:rsid w:val="002D30CC"/>
    <w:rsid w:val="002E0A46"/>
    <w:rsid w:val="002F0ACF"/>
    <w:rsid w:val="003107FA"/>
    <w:rsid w:val="003229D8"/>
    <w:rsid w:val="00322F26"/>
    <w:rsid w:val="00323B8F"/>
    <w:rsid w:val="00324932"/>
    <w:rsid w:val="003415C1"/>
    <w:rsid w:val="00350C40"/>
    <w:rsid w:val="00364DED"/>
    <w:rsid w:val="0037785D"/>
    <w:rsid w:val="0039277A"/>
    <w:rsid w:val="003972E0"/>
    <w:rsid w:val="003B2F54"/>
    <w:rsid w:val="003B5E83"/>
    <w:rsid w:val="003C247C"/>
    <w:rsid w:val="003C2CC4"/>
    <w:rsid w:val="003D4B23"/>
    <w:rsid w:val="003D5766"/>
    <w:rsid w:val="003D7C8B"/>
    <w:rsid w:val="003F66B7"/>
    <w:rsid w:val="004015EB"/>
    <w:rsid w:val="004160DB"/>
    <w:rsid w:val="0041748B"/>
    <w:rsid w:val="004325CB"/>
    <w:rsid w:val="00434D54"/>
    <w:rsid w:val="00437F3F"/>
    <w:rsid w:val="004431A9"/>
    <w:rsid w:val="00443E7D"/>
    <w:rsid w:val="00445784"/>
    <w:rsid w:val="00446DE4"/>
    <w:rsid w:val="004531E3"/>
    <w:rsid w:val="00454036"/>
    <w:rsid w:val="00462EB7"/>
    <w:rsid w:val="00463344"/>
    <w:rsid w:val="004640FD"/>
    <w:rsid w:val="0047477F"/>
    <w:rsid w:val="00475A5C"/>
    <w:rsid w:val="00486F0C"/>
    <w:rsid w:val="004906B4"/>
    <w:rsid w:val="00491353"/>
    <w:rsid w:val="00495374"/>
    <w:rsid w:val="004A411D"/>
    <w:rsid w:val="004A7637"/>
    <w:rsid w:val="004B1622"/>
    <w:rsid w:val="004B2C9D"/>
    <w:rsid w:val="004B4C10"/>
    <w:rsid w:val="004B61DC"/>
    <w:rsid w:val="004C008C"/>
    <w:rsid w:val="004C3287"/>
    <w:rsid w:val="004C5AF0"/>
    <w:rsid w:val="00502A1E"/>
    <w:rsid w:val="00503B9C"/>
    <w:rsid w:val="00517A3F"/>
    <w:rsid w:val="005203EB"/>
    <w:rsid w:val="00522D44"/>
    <w:rsid w:val="00527910"/>
    <w:rsid w:val="00534DA8"/>
    <w:rsid w:val="005420F2"/>
    <w:rsid w:val="00546D58"/>
    <w:rsid w:val="00555BB3"/>
    <w:rsid w:val="00556F1E"/>
    <w:rsid w:val="005616F9"/>
    <w:rsid w:val="00572388"/>
    <w:rsid w:val="0057266D"/>
    <w:rsid w:val="00572FBD"/>
    <w:rsid w:val="00573567"/>
    <w:rsid w:val="00573BDD"/>
    <w:rsid w:val="005872A8"/>
    <w:rsid w:val="00590144"/>
    <w:rsid w:val="005A1293"/>
    <w:rsid w:val="005A4D8F"/>
    <w:rsid w:val="005B1193"/>
    <w:rsid w:val="005B3DB3"/>
    <w:rsid w:val="005D1D1C"/>
    <w:rsid w:val="005D5296"/>
    <w:rsid w:val="005D5E45"/>
    <w:rsid w:val="00601025"/>
    <w:rsid w:val="006014D2"/>
    <w:rsid w:val="00606BD8"/>
    <w:rsid w:val="0060793F"/>
    <w:rsid w:val="00611FC4"/>
    <w:rsid w:val="006176FB"/>
    <w:rsid w:val="0063419C"/>
    <w:rsid w:val="00640B26"/>
    <w:rsid w:val="006420B1"/>
    <w:rsid w:val="00646E44"/>
    <w:rsid w:val="006500BA"/>
    <w:rsid w:val="00650DBA"/>
    <w:rsid w:val="0067448A"/>
    <w:rsid w:val="006804E7"/>
    <w:rsid w:val="00680EC5"/>
    <w:rsid w:val="00681546"/>
    <w:rsid w:val="00681628"/>
    <w:rsid w:val="00684E8C"/>
    <w:rsid w:val="006A7392"/>
    <w:rsid w:val="006B7933"/>
    <w:rsid w:val="006C07A1"/>
    <w:rsid w:val="006C0D34"/>
    <w:rsid w:val="006C1CA0"/>
    <w:rsid w:val="006C7E11"/>
    <w:rsid w:val="006D247B"/>
    <w:rsid w:val="006D5191"/>
    <w:rsid w:val="006E564B"/>
    <w:rsid w:val="006E6FBD"/>
    <w:rsid w:val="0070311F"/>
    <w:rsid w:val="00704A7F"/>
    <w:rsid w:val="00706CB4"/>
    <w:rsid w:val="007102D9"/>
    <w:rsid w:val="0071170B"/>
    <w:rsid w:val="007227B6"/>
    <w:rsid w:val="00725848"/>
    <w:rsid w:val="0072632A"/>
    <w:rsid w:val="00731502"/>
    <w:rsid w:val="007319D5"/>
    <w:rsid w:val="00731BEA"/>
    <w:rsid w:val="0073427D"/>
    <w:rsid w:val="00741915"/>
    <w:rsid w:val="00753201"/>
    <w:rsid w:val="007612E0"/>
    <w:rsid w:val="00762706"/>
    <w:rsid w:val="007665DE"/>
    <w:rsid w:val="007675A8"/>
    <w:rsid w:val="00771113"/>
    <w:rsid w:val="00776AB3"/>
    <w:rsid w:val="00790791"/>
    <w:rsid w:val="00791404"/>
    <w:rsid w:val="007972C1"/>
    <w:rsid w:val="007A069D"/>
    <w:rsid w:val="007B6BA5"/>
    <w:rsid w:val="007B6FE6"/>
    <w:rsid w:val="007C1216"/>
    <w:rsid w:val="007C3390"/>
    <w:rsid w:val="007C4F4B"/>
    <w:rsid w:val="007D24F7"/>
    <w:rsid w:val="007D352A"/>
    <w:rsid w:val="007E3A92"/>
    <w:rsid w:val="007F25B3"/>
    <w:rsid w:val="007F6611"/>
    <w:rsid w:val="00800A7C"/>
    <w:rsid w:val="0080387F"/>
    <w:rsid w:val="008041BA"/>
    <w:rsid w:val="008124A5"/>
    <w:rsid w:val="008175E9"/>
    <w:rsid w:val="008242D7"/>
    <w:rsid w:val="0083337A"/>
    <w:rsid w:val="00855967"/>
    <w:rsid w:val="00861ACC"/>
    <w:rsid w:val="00870272"/>
    <w:rsid w:val="008706AB"/>
    <w:rsid w:val="00871FD5"/>
    <w:rsid w:val="00874782"/>
    <w:rsid w:val="00874C3C"/>
    <w:rsid w:val="00880DE7"/>
    <w:rsid w:val="00885E87"/>
    <w:rsid w:val="00893828"/>
    <w:rsid w:val="008979B1"/>
    <w:rsid w:val="008A1350"/>
    <w:rsid w:val="008A29F7"/>
    <w:rsid w:val="008A6B25"/>
    <w:rsid w:val="008A6C4F"/>
    <w:rsid w:val="008C0C4E"/>
    <w:rsid w:val="008C448E"/>
    <w:rsid w:val="008C4A16"/>
    <w:rsid w:val="008C518D"/>
    <w:rsid w:val="008D16EF"/>
    <w:rsid w:val="008D4C57"/>
    <w:rsid w:val="008D5AB6"/>
    <w:rsid w:val="008D7973"/>
    <w:rsid w:val="008E0E46"/>
    <w:rsid w:val="008F1E6F"/>
    <w:rsid w:val="008F7055"/>
    <w:rsid w:val="009019F7"/>
    <w:rsid w:val="00901FD8"/>
    <w:rsid w:val="00904592"/>
    <w:rsid w:val="009128F8"/>
    <w:rsid w:val="00916F49"/>
    <w:rsid w:val="0092169C"/>
    <w:rsid w:val="00921A36"/>
    <w:rsid w:val="009245EB"/>
    <w:rsid w:val="00924C9C"/>
    <w:rsid w:val="0093272D"/>
    <w:rsid w:val="009331DF"/>
    <w:rsid w:val="009338EE"/>
    <w:rsid w:val="009346DE"/>
    <w:rsid w:val="00934810"/>
    <w:rsid w:val="00936A04"/>
    <w:rsid w:val="00940479"/>
    <w:rsid w:val="00943B65"/>
    <w:rsid w:val="00945A5D"/>
    <w:rsid w:val="009502B6"/>
    <w:rsid w:val="00951E43"/>
    <w:rsid w:val="00962A74"/>
    <w:rsid w:val="00963CBA"/>
    <w:rsid w:val="00964B10"/>
    <w:rsid w:val="00971136"/>
    <w:rsid w:val="009815DF"/>
    <w:rsid w:val="00983C4C"/>
    <w:rsid w:val="009868DE"/>
    <w:rsid w:val="00987EBF"/>
    <w:rsid w:val="0099124E"/>
    <w:rsid w:val="00991261"/>
    <w:rsid w:val="00992985"/>
    <w:rsid w:val="0099483C"/>
    <w:rsid w:val="009967A1"/>
    <w:rsid w:val="009A3CB7"/>
    <w:rsid w:val="009B0ED1"/>
    <w:rsid w:val="009C3671"/>
    <w:rsid w:val="009C6163"/>
    <w:rsid w:val="009D0873"/>
    <w:rsid w:val="009D3727"/>
    <w:rsid w:val="009F0F06"/>
    <w:rsid w:val="00A0099E"/>
    <w:rsid w:val="00A04323"/>
    <w:rsid w:val="00A120B4"/>
    <w:rsid w:val="00A1427D"/>
    <w:rsid w:val="00A143F8"/>
    <w:rsid w:val="00A27707"/>
    <w:rsid w:val="00A351E0"/>
    <w:rsid w:val="00A51536"/>
    <w:rsid w:val="00A72F22"/>
    <w:rsid w:val="00A748A6"/>
    <w:rsid w:val="00A75EC9"/>
    <w:rsid w:val="00A83C8E"/>
    <w:rsid w:val="00A879A4"/>
    <w:rsid w:val="00A973E5"/>
    <w:rsid w:val="00AB48E3"/>
    <w:rsid w:val="00AB521F"/>
    <w:rsid w:val="00AE5607"/>
    <w:rsid w:val="00AF0E84"/>
    <w:rsid w:val="00AF2A45"/>
    <w:rsid w:val="00AF3577"/>
    <w:rsid w:val="00B062A6"/>
    <w:rsid w:val="00B07928"/>
    <w:rsid w:val="00B15C5D"/>
    <w:rsid w:val="00B23020"/>
    <w:rsid w:val="00B238BF"/>
    <w:rsid w:val="00B30179"/>
    <w:rsid w:val="00B32C5C"/>
    <w:rsid w:val="00B3317B"/>
    <w:rsid w:val="00B44874"/>
    <w:rsid w:val="00B629E6"/>
    <w:rsid w:val="00B6429F"/>
    <w:rsid w:val="00B656F0"/>
    <w:rsid w:val="00B73FEA"/>
    <w:rsid w:val="00B81E12"/>
    <w:rsid w:val="00B85580"/>
    <w:rsid w:val="00B8617B"/>
    <w:rsid w:val="00B93068"/>
    <w:rsid w:val="00BB1EF7"/>
    <w:rsid w:val="00BB2601"/>
    <w:rsid w:val="00BC0174"/>
    <w:rsid w:val="00BC46ED"/>
    <w:rsid w:val="00BC498D"/>
    <w:rsid w:val="00BC5429"/>
    <w:rsid w:val="00BC6F35"/>
    <w:rsid w:val="00BC74E9"/>
    <w:rsid w:val="00BE3C13"/>
    <w:rsid w:val="00BE447C"/>
    <w:rsid w:val="00BE5B7F"/>
    <w:rsid w:val="00BE618E"/>
    <w:rsid w:val="00BE7885"/>
    <w:rsid w:val="00BF5921"/>
    <w:rsid w:val="00BF7A1A"/>
    <w:rsid w:val="00C02B2A"/>
    <w:rsid w:val="00C07230"/>
    <w:rsid w:val="00C074A7"/>
    <w:rsid w:val="00C13534"/>
    <w:rsid w:val="00C16149"/>
    <w:rsid w:val="00C20715"/>
    <w:rsid w:val="00C20967"/>
    <w:rsid w:val="00C223FD"/>
    <w:rsid w:val="00C302B4"/>
    <w:rsid w:val="00C34FFC"/>
    <w:rsid w:val="00C463DD"/>
    <w:rsid w:val="00C509DB"/>
    <w:rsid w:val="00C567D1"/>
    <w:rsid w:val="00C622ED"/>
    <w:rsid w:val="00C62F76"/>
    <w:rsid w:val="00C65026"/>
    <w:rsid w:val="00C72005"/>
    <w:rsid w:val="00C745C3"/>
    <w:rsid w:val="00C74A11"/>
    <w:rsid w:val="00C8384C"/>
    <w:rsid w:val="00C85F8B"/>
    <w:rsid w:val="00C8738E"/>
    <w:rsid w:val="00C927AC"/>
    <w:rsid w:val="00C93744"/>
    <w:rsid w:val="00C97C80"/>
    <w:rsid w:val="00CA469C"/>
    <w:rsid w:val="00CB238C"/>
    <w:rsid w:val="00CB3A74"/>
    <w:rsid w:val="00CB4AC7"/>
    <w:rsid w:val="00CB519A"/>
    <w:rsid w:val="00CC2702"/>
    <w:rsid w:val="00CC78A6"/>
    <w:rsid w:val="00CD3225"/>
    <w:rsid w:val="00CD64B5"/>
    <w:rsid w:val="00CE4A8F"/>
    <w:rsid w:val="00CF3DF4"/>
    <w:rsid w:val="00CF657E"/>
    <w:rsid w:val="00D038EE"/>
    <w:rsid w:val="00D05BAE"/>
    <w:rsid w:val="00D17C98"/>
    <w:rsid w:val="00D2031B"/>
    <w:rsid w:val="00D20EF4"/>
    <w:rsid w:val="00D21AA4"/>
    <w:rsid w:val="00D24BAA"/>
    <w:rsid w:val="00D25FE2"/>
    <w:rsid w:val="00D2640C"/>
    <w:rsid w:val="00D34FB3"/>
    <w:rsid w:val="00D43252"/>
    <w:rsid w:val="00D7166A"/>
    <w:rsid w:val="00D73A22"/>
    <w:rsid w:val="00D753D8"/>
    <w:rsid w:val="00D80431"/>
    <w:rsid w:val="00D80A99"/>
    <w:rsid w:val="00D94B0C"/>
    <w:rsid w:val="00D96CC5"/>
    <w:rsid w:val="00D978C6"/>
    <w:rsid w:val="00D97ABE"/>
    <w:rsid w:val="00DA67AD"/>
    <w:rsid w:val="00DA7BC9"/>
    <w:rsid w:val="00DB0CD3"/>
    <w:rsid w:val="00DB0CF8"/>
    <w:rsid w:val="00DB1F53"/>
    <w:rsid w:val="00DC1AA4"/>
    <w:rsid w:val="00DC5166"/>
    <w:rsid w:val="00DC5FBA"/>
    <w:rsid w:val="00DD5C8B"/>
    <w:rsid w:val="00DD5D14"/>
    <w:rsid w:val="00DE112D"/>
    <w:rsid w:val="00DF2772"/>
    <w:rsid w:val="00DF3CF2"/>
    <w:rsid w:val="00DF498E"/>
    <w:rsid w:val="00E000AD"/>
    <w:rsid w:val="00E00782"/>
    <w:rsid w:val="00E05C1C"/>
    <w:rsid w:val="00E1300D"/>
    <w:rsid w:val="00E130AB"/>
    <w:rsid w:val="00E147D5"/>
    <w:rsid w:val="00E14CFE"/>
    <w:rsid w:val="00E16E63"/>
    <w:rsid w:val="00E235CC"/>
    <w:rsid w:val="00E23AA7"/>
    <w:rsid w:val="00E241E1"/>
    <w:rsid w:val="00E328FE"/>
    <w:rsid w:val="00E35C1C"/>
    <w:rsid w:val="00E37DC0"/>
    <w:rsid w:val="00E427E2"/>
    <w:rsid w:val="00E5454A"/>
    <w:rsid w:val="00E549B7"/>
    <w:rsid w:val="00E5644E"/>
    <w:rsid w:val="00E62EA5"/>
    <w:rsid w:val="00E62F12"/>
    <w:rsid w:val="00E631DD"/>
    <w:rsid w:val="00E6387D"/>
    <w:rsid w:val="00E65EF4"/>
    <w:rsid w:val="00E70AD0"/>
    <w:rsid w:val="00E72064"/>
    <w:rsid w:val="00E7260F"/>
    <w:rsid w:val="00E747A5"/>
    <w:rsid w:val="00E8535A"/>
    <w:rsid w:val="00E950FE"/>
    <w:rsid w:val="00E96630"/>
    <w:rsid w:val="00EA772F"/>
    <w:rsid w:val="00EB18D7"/>
    <w:rsid w:val="00EB6832"/>
    <w:rsid w:val="00EB7117"/>
    <w:rsid w:val="00ED42F7"/>
    <w:rsid w:val="00ED6D82"/>
    <w:rsid w:val="00ED7A2A"/>
    <w:rsid w:val="00EE0061"/>
    <w:rsid w:val="00EE0832"/>
    <w:rsid w:val="00EE5771"/>
    <w:rsid w:val="00EE76BB"/>
    <w:rsid w:val="00EF1D7F"/>
    <w:rsid w:val="00F02BE7"/>
    <w:rsid w:val="00F14AAA"/>
    <w:rsid w:val="00F16818"/>
    <w:rsid w:val="00F20E52"/>
    <w:rsid w:val="00F236CE"/>
    <w:rsid w:val="00F26CC4"/>
    <w:rsid w:val="00F30427"/>
    <w:rsid w:val="00F40E75"/>
    <w:rsid w:val="00F42066"/>
    <w:rsid w:val="00F518F7"/>
    <w:rsid w:val="00F51D97"/>
    <w:rsid w:val="00F53216"/>
    <w:rsid w:val="00F532F9"/>
    <w:rsid w:val="00F53664"/>
    <w:rsid w:val="00F54674"/>
    <w:rsid w:val="00F55FD3"/>
    <w:rsid w:val="00F644C3"/>
    <w:rsid w:val="00F701A2"/>
    <w:rsid w:val="00F729F2"/>
    <w:rsid w:val="00F76BC5"/>
    <w:rsid w:val="00F778FA"/>
    <w:rsid w:val="00F85B4A"/>
    <w:rsid w:val="00F85DBE"/>
    <w:rsid w:val="00F91C7F"/>
    <w:rsid w:val="00F93084"/>
    <w:rsid w:val="00F94942"/>
    <w:rsid w:val="00FA2DFC"/>
    <w:rsid w:val="00FB016C"/>
    <w:rsid w:val="00FB15E9"/>
    <w:rsid w:val="00FC03B9"/>
    <w:rsid w:val="00FC305C"/>
    <w:rsid w:val="00FC68B7"/>
    <w:rsid w:val="00FD199B"/>
    <w:rsid w:val="00FD6B2B"/>
    <w:rsid w:val="00FE7224"/>
    <w:rsid w:val="00FF0169"/>
    <w:rsid w:val="00FF03BB"/>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FooterChar">
    <w:name w:val="Footer Char"/>
    <w:aliases w:val="3_G Char"/>
    <w:link w:val="Footer"/>
    <w:uiPriority w:val="99"/>
    <w:rsid w:val="00B23020"/>
    <w:rPr>
      <w:sz w:val="16"/>
      <w:lang w:eastAsia="en-US"/>
    </w:rPr>
  </w:style>
  <w:style w:type="paragraph" w:styleId="DocumentMap">
    <w:name w:val="Document Map"/>
    <w:basedOn w:val="Normal"/>
    <w:semiHidden/>
    <w:rsid w:val="00164FCA"/>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FooterChar">
    <w:name w:val="Footer Char"/>
    <w:aliases w:val="3_G Char"/>
    <w:link w:val="Footer"/>
    <w:uiPriority w:val="99"/>
    <w:rsid w:val="00B23020"/>
    <w:rPr>
      <w:sz w:val="16"/>
      <w:lang w:eastAsia="en-US"/>
    </w:rPr>
  </w:style>
  <w:style w:type="paragraph" w:styleId="DocumentMap">
    <w:name w:val="Document Map"/>
    <w:basedOn w:val="Normal"/>
    <w:semiHidden/>
    <w:rsid w:val="00164FC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ebale</dc:creator>
  <cp:lastModifiedBy>Laurence Berthet</cp:lastModifiedBy>
  <cp:revision>7</cp:revision>
  <cp:lastPrinted>2015-11-12T13:33:00Z</cp:lastPrinted>
  <dcterms:created xsi:type="dcterms:W3CDTF">2015-11-12T13:07:00Z</dcterms:created>
  <dcterms:modified xsi:type="dcterms:W3CDTF">2015-11-12T13:34:00Z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