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80D2B" w:rsidRPr="005A1F2E" w14:paraId="5800EE81" w14:textId="77777777" w:rsidTr="00404FD4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4ECB5A3" w14:textId="5027A1E0" w:rsidR="00280D2B" w:rsidRPr="005A1F2E" w:rsidRDefault="00280D2B" w:rsidP="00A4449F">
            <w:pPr>
              <w:spacing w:after="240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UN/SCETDG/4</w:t>
            </w:r>
            <w:r w:rsidR="00450B3A">
              <w:rPr>
                <w:b/>
                <w:sz w:val="40"/>
                <w:szCs w:val="40"/>
              </w:rPr>
              <w:t>8</w:t>
            </w:r>
            <w:r w:rsidRPr="005A1F2E">
              <w:rPr>
                <w:b/>
                <w:sz w:val="40"/>
                <w:szCs w:val="40"/>
              </w:rPr>
              <w:t>/INF.</w:t>
            </w:r>
            <w:r w:rsidR="00A4449F">
              <w:rPr>
                <w:b/>
                <w:sz w:val="40"/>
                <w:szCs w:val="40"/>
              </w:rPr>
              <w:t>6</w:t>
            </w: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573"/>
      </w:tblGrid>
      <w:tr w:rsidR="00280D2B" w:rsidRPr="0045083B" w14:paraId="2F8792DF" w14:textId="77777777" w:rsidTr="00211CD6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7EAA34C" w14:textId="0D4F2AB6" w:rsidR="00280D2B" w:rsidRPr="0045083B" w:rsidRDefault="00280D2B" w:rsidP="00EF3923">
            <w:pPr>
              <w:tabs>
                <w:tab w:val="right" w:pos="9214"/>
              </w:tabs>
            </w:pPr>
            <w:r w:rsidRPr="0045083B">
              <w:rPr>
                <w:b/>
                <w:sz w:val="24"/>
                <w:szCs w:val="24"/>
              </w:rPr>
              <w:t>Committee of Experts on the Transport of Dangerous Goods</w:t>
            </w:r>
            <w:r w:rsidRPr="0045083B">
              <w:rPr>
                <w:b/>
                <w:sz w:val="24"/>
                <w:szCs w:val="24"/>
              </w:rPr>
              <w:tab/>
            </w:r>
            <w:r w:rsidRPr="0045083B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5083B">
              <w:rPr>
                <w:b/>
                <w:sz w:val="24"/>
                <w:szCs w:val="24"/>
              </w:rPr>
              <w:br/>
              <w:t>and Labelling of Chemicals</w:t>
            </w:r>
            <w:r w:rsidRPr="0045083B">
              <w:rPr>
                <w:b/>
              </w:rPr>
              <w:tab/>
            </w:r>
            <w:r w:rsidR="00A4449F">
              <w:rPr>
                <w:b/>
                <w:sz w:val="18"/>
                <w:szCs w:val="24"/>
              </w:rPr>
              <w:t>23</w:t>
            </w:r>
            <w:r w:rsidR="00EF3923">
              <w:rPr>
                <w:b/>
                <w:sz w:val="18"/>
                <w:szCs w:val="24"/>
              </w:rPr>
              <w:t xml:space="preserve"> October </w:t>
            </w:r>
            <w:r w:rsidR="00450B3A">
              <w:rPr>
                <w:b/>
                <w:sz w:val="18"/>
                <w:szCs w:val="24"/>
              </w:rPr>
              <w:t>2015</w:t>
            </w:r>
          </w:p>
        </w:tc>
      </w:tr>
      <w:tr w:rsidR="00280D2B" w:rsidRPr="0045083B" w14:paraId="309C8C3F" w14:textId="77777777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F1A3CF0" w14:textId="77777777" w:rsidR="00280D2B" w:rsidRPr="0045083B" w:rsidRDefault="00280D2B" w:rsidP="005A37A2">
            <w:pPr>
              <w:spacing w:before="120"/>
              <w:rPr>
                <w:b/>
              </w:rPr>
            </w:pPr>
            <w:r w:rsidRPr="0045083B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CA0D1C7" w14:textId="77777777" w:rsidR="00280D2B" w:rsidRPr="0045083B" w:rsidRDefault="00280D2B" w:rsidP="00280D2B">
            <w:pPr>
              <w:spacing w:before="120"/>
              <w:rPr>
                <w:b/>
              </w:rPr>
            </w:pPr>
          </w:p>
        </w:tc>
      </w:tr>
      <w:tr w:rsidR="00280D2B" w:rsidRPr="0045083B" w14:paraId="389EE664" w14:textId="77777777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0BD1546" w14:textId="15B620BA" w:rsidR="00280D2B" w:rsidRPr="0045083B" w:rsidRDefault="00280D2B" w:rsidP="00450B3A">
            <w:pPr>
              <w:spacing w:before="120"/>
              <w:ind w:left="34" w:hanging="34"/>
              <w:rPr>
                <w:b/>
              </w:rPr>
            </w:pPr>
            <w:r w:rsidRPr="0045083B">
              <w:rPr>
                <w:b/>
              </w:rPr>
              <w:t>Forty-</w:t>
            </w:r>
            <w:r w:rsidR="00450B3A">
              <w:rPr>
                <w:b/>
              </w:rPr>
              <w:t>eight</w:t>
            </w:r>
            <w:r w:rsidR="00A4449F">
              <w:rPr>
                <w:b/>
              </w:rPr>
              <w:t>h</w:t>
            </w:r>
            <w:r w:rsidRPr="0045083B">
              <w:rPr>
                <w:b/>
              </w:rPr>
              <w:t xml:space="preserve"> session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0E5BD5F" w14:textId="77777777" w:rsidR="00280D2B" w:rsidRPr="0045083B" w:rsidRDefault="00280D2B" w:rsidP="00211CD6">
            <w:pPr>
              <w:spacing w:before="120"/>
              <w:rPr>
                <w:b/>
              </w:rPr>
            </w:pPr>
          </w:p>
        </w:tc>
      </w:tr>
      <w:tr w:rsidR="00280D2B" w:rsidRPr="0045083B" w14:paraId="1AE7CC5B" w14:textId="77777777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2F95987" w14:textId="77777777" w:rsidR="00280D2B" w:rsidRPr="00F54DDA" w:rsidRDefault="00280D2B" w:rsidP="00F54DDA">
            <w:pPr>
              <w:spacing w:before="120"/>
              <w:ind w:left="34" w:hanging="34"/>
            </w:pPr>
            <w:r w:rsidRPr="00F54DDA">
              <w:t xml:space="preserve">Geneva, </w:t>
            </w:r>
            <w:r w:rsidR="00450B3A">
              <w:t>30 November</w:t>
            </w:r>
            <w:r w:rsidRPr="00F54DDA">
              <w:t xml:space="preserve"> – </w:t>
            </w:r>
            <w:r w:rsidR="00450B3A">
              <w:t>9 December</w:t>
            </w:r>
            <w:r w:rsidRPr="00F54DDA">
              <w:t xml:space="preserve"> 2015</w:t>
            </w:r>
          </w:p>
          <w:p w14:paraId="72EC69A8" w14:textId="4980C72F" w:rsidR="00280D2B" w:rsidRPr="00F54DDA" w:rsidRDefault="00280D2B" w:rsidP="00F54DDA">
            <w:pPr>
              <w:ind w:left="34" w:hanging="34"/>
            </w:pPr>
            <w:r w:rsidRPr="00F54DDA">
              <w:t xml:space="preserve">Item </w:t>
            </w:r>
            <w:r w:rsidR="00A4449F">
              <w:t>3</w:t>
            </w:r>
            <w:r w:rsidR="005149A9">
              <w:t xml:space="preserve"> </w:t>
            </w:r>
            <w:r w:rsidRPr="00F54DDA">
              <w:t>of the provisional agenda</w:t>
            </w:r>
          </w:p>
          <w:p w14:paraId="729E3529" w14:textId="06B7070D" w:rsidR="005149A9" w:rsidRPr="004624AF" w:rsidRDefault="00A4449F" w:rsidP="00A4449F">
            <w:pPr>
              <w:spacing w:after="120"/>
              <w:ind w:left="-11" w:firstLine="11"/>
              <w:rPr>
                <w:b/>
              </w:rPr>
            </w:pPr>
            <w:r>
              <w:rPr>
                <w:b/>
              </w:rPr>
              <w:t>Listing, classification and packing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A6A4BB9" w14:textId="77777777" w:rsidR="00280D2B" w:rsidRPr="00280D2B" w:rsidRDefault="00280D2B" w:rsidP="00280D2B">
            <w:pPr>
              <w:spacing w:before="120"/>
              <w:rPr>
                <w:b/>
              </w:rPr>
            </w:pPr>
          </w:p>
        </w:tc>
      </w:tr>
    </w:tbl>
    <w:p w14:paraId="3E4DC087" w14:textId="25C16CA9" w:rsidR="00A4449F" w:rsidRPr="00735725" w:rsidRDefault="00A4449F" w:rsidP="00A4449F">
      <w:pPr>
        <w:pStyle w:val="HChG"/>
      </w:pPr>
      <w:r>
        <w:tab/>
      </w:r>
      <w:r>
        <w:tab/>
      </w:r>
      <w:r>
        <w:t>C</w:t>
      </w:r>
      <w:r w:rsidRPr="00735725">
        <w:t xml:space="preserve">lassification procedures related to </w:t>
      </w:r>
      <w:r>
        <w:t>sodium-ion batteries</w:t>
      </w:r>
    </w:p>
    <w:p w14:paraId="47DFC06D" w14:textId="10A3491D" w:rsidR="00A4449F" w:rsidRPr="007373CC" w:rsidRDefault="00A4449F" w:rsidP="00A4449F">
      <w:pPr>
        <w:pStyle w:val="H1G"/>
        <w:rPr>
          <w:lang w:val="fr-CH"/>
        </w:rPr>
      </w:pPr>
      <w:r>
        <w:tab/>
      </w:r>
      <w:r>
        <w:tab/>
      </w:r>
      <w:r>
        <w:t>Transmitted by the expert from the United Kingdom</w:t>
      </w:r>
    </w:p>
    <w:p w14:paraId="6DE5F714" w14:textId="6946F9EF" w:rsidR="00A4449F" w:rsidRPr="00A4449F" w:rsidRDefault="00A4449F" w:rsidP="00A4449F">
      <w:pPr>
        <w:pStyle w:val="HChG"/>
      </w:pPr>
      <w:r>
        <w:tab/>
      </w:r>
      <w:r>
        <w:tab/>
      </w:r>
      <w:r>
        <w:t>Introduction</w:t>
      </w:r>
    </w:p>
    <w:p w14:paraId="55A5333D" w14:textId="37CC10DF" w:rsidR="00A4449F" w:rsidRPr="008F3406" w:rsidRDefault="00A4449F" w:rsidP="00A4449F">
      <w:pPr>
        <w:pStyle w:val="SingleTxtG"/>
        <w:rPr>
          <w:b/>
          <w:sz w:val="24"/>
          <w:szCs w:val="24"/>
        </w:rPr>
      </w:pPr>
      <w:r>
        <w:t>1.</w:t>
      </w:r>
      <w:r>
        <w:tab/>
      </w:r>
      <w:r w:rsidRPr="00F57414">
        <w:t xml:space="preserve">This informal </w:t>
      </w:r>
      <w:r>
        <w:t>document</w:t>
      </w:r>
      <w:r w:rsidRPr="00F57414">
        <w:t xml:space="preserve"> </w:t>
      </w:r>
      <w:r>
        <w:t xml:space="preserve">invites comments on how the Model Regulations should address the carriage requirements for </w:t>
      </w:r>
      <w:r w:rsidRPr="00F57414">
        <w:t>advanced low cost battery materials</w:t>
      </w:r>
      <w:r>
        <w:t xml:space="preserve"> based on</w:t>
      </w:r>
      <w:r w:rsidRPr="00F57414">
        <w:t xml:space="preserve"> sodium-ion technology</w:t>
      </w:r>
      <w:r>
        <w:t>.</w:t>
      </w:r>
    </w:p>
    <w:p w14:paraId="7A254B22" w14:textId="01AFD995" w:rsidR="00A4449F" w:rsidRPr="008F3406" w:rsidRDefault="00A4449F" w:rsidP="00A4449F">
      <w:pPr>
        <w:pStyle w:val="SingleTxtG"/>
        <w:rPr>
          <w:b/>
          <w:sz w:val="24"/>
          <w:szCs w:val="24"/>
        </w:rPr>
      </w:pPr>
      <w:r>
        <w:t>2.</w:t>
      </w:r>
      <w:r>
        <w:tab/>
      </w:r>
      <w:r>
        <w:t xml:space="preserve">The </w:t>
      </w:r>
      <w:r w:rsidRPr="00915AB5">
        <w:t xml:space="preserve">current classification system does not address the particular circumstances of sodium-ion batteries. </w:t>
      </w:r>
      <w:r w:rsidRPr="00B2290A">
        <w:t xml:space="preserve">The existing entry for batteries containing sodium (UN3292) and Special Provision 239 are </w:t>
      </w:r>
      <w:r>
        <w:t>relevant to cell chemistries such as sodium sulphur and sodium metal chloride which contain metallic sodium, but do not recognise the lesser risk posed by</w:t>
      </w:r>
      <w:r w:rsidRPr="00B2290A">
        <w:t xml:space="preserve"> sodium-ion </w:t>
      </w:r>
      <w:r>
        <w:t>cell chemistry. This raises the question as to how they should be classified.</w:t>
      </w:r>
    </w:p>
    <w:p w14:paraId="3E455614" w14:textId="06B2929C" w:rsidR="00A4449F" w:rsidRPr="007E67BE" w:rsidRDefault="00A4449F" w:rsidP="00A4449F">
      <w:pPr>
        <w:pStyle w:val="HChG"/>
        <w:rPr>
          <w:b w:val="0"/>
          <w:sz w:val="24"/>
          <w:szCs w:val="24"/>
        </w:rPr>
      </w:pPr>
      <w:r>
        <w:tab/>
      </w:r>
      <w:r>
        <w:tab/>
      </w:r>
      <w:r w:rsidRPr="00A4449F">
        <w:t>Background</w:t>
      </w:r>
      <w:r>
        <w:tab/>
      </w:r>
    </w:p>
    <w:p w14:paraId="0715B6B9" w14:textId="6BD662BE" w:rsidR="00A4449F" w:rsidRPr="00735725" w:rsidRDefault="00A4449F" w:rsidP="00A4449F">
      <w:pPr>
        <w:pStyle w:val="SingleTxtG"/>
      </w:pPr>
      <w:r>
        <w:t>3.</w:t>
      </w:r>
      <w:r>
        <w:tab/>
      </w:r>
      <w:r w:rsidRPr="00735725">
        <w:t>Sodium-ion technology</w:t>
      </w:r>
      <w:r>
        <w:t xml:space="preserve"> has the potential to be </w:t>
      </w:r>
      <w:r w:rsidRPr="00735725">
        <w:t xml:space="preserve">a low cost alternative to and a direct replacement for established lithium-ion battery cells. </w:t>
      </w:r>
      <w:r>
        <w:t>S</w:t>
      </w:r>
      <w:r w:rsidRPr="00735725">
        <w:t>odium-ion technology offers comparable energy density and performance to lithium-ion.</w:t>
      </w:r>
    </w:p>
    <w:p w14:paraId="57E9A888" w14:textId="1A9707FD" w:rsidR="00A4449F" w:rsidRPr="00735725" w:rsidRDefault="00A4449F" w:rsidP="00A4449F">
      <w:pPr>
        <w:pStyle w:val="SingleTxtG"/>
      </w:pPr>
      <w:r>
        <w:t>4.</w:t>
      </w:r>
      <w:r>
        <w:tab/>
      </w:r>
      <w:r w:rsidRPr="00735725">
        <w:t xml:space="preserve">The sodium salts used to prepare sodium-ion batteries </w:t>
      </w:r>
      <w:r>
        <w:t>are</w:t>
      </w:r>
      <w:r w:rsidRPr="00735725">
        <w:t xml:space="preserve"> highly abundant in the earth’s crust; approximately 2.6% for sodium and 0.005% for lithium</w:t>
      </w:r>
      <w:r>
        <w:t>.</w:t>
      </w:r>
      <w:r w:rsidRPr="00735725">
        <w:t xml:space="preserve"> </w:t>
      </w:r>
      <w:r>
        <w:t>S</w:t>
      </w:r>
      <w:r w:rsidRPr="00735725">
        <w:t>odium salts generally com</w:t>
      </w:r>
      <w:r>
        <w:t>e</w:t>
      </w:r>
      <w:r w:rsidRPr="00735725">
        <w:t xml:space="preserve"> from sodium chloride which can be extracted </w:t>
      </w:r>
      <w:r>
        <w:t xml:space="preserve">relatively cheaply </w:t>
      </w:r>
      <w:r w:rsidRPr="00735725">
        <w:t>from seawater.</w:t>
      </w:r>
    </w:p>
    <w:p w14:paraId="482A8E3C" w14:textId="2F1A3D38" w:rsidR="00A4449F" w:rsidRDefault="00A4449F" w:rsidP="00A4449F">
      <w:pPr>
        <w:pStyle w:val="SingleTxtG"/>
      </w:pPr>
      <w:r>
        <w:t>5.</w:t>
      </w:r>
      <w:r>
        <w:tab/>
      </w:r>
      <w:r w:rsidRPr="00735725">
        <w:t xml:space="preserve">The key </w:t>
      </w:r>
      <w:r>
        <w:t xml:space="preserve">operational </w:t>
      </w:r>
      <w:r w:rsidRPr="00735725">
        <w:t>difference</w:t>
      </w:r>
      <w:r>
        <w:t xml:space="preserve"> between </w:t>
      </w:r>
      <w:r w:rsidRPr="00735725">
        <w:t xml:space="preserve">sodium-ion and lithium technology is that </w:t>
      </w:r>
      <w:r w:rsidRPr="00C84A2E">
        <w:t>sodium-ion technology can be discharged to 0 volts</w:t>
      </w:r>
      <w:r>
        <w:t>,</w:t>
      </w:r>
      <w:r w:rsidRPr="00735725">
        <w:t xml:space="preserve"> without affecting the performance of the cell. </w:t>
      </w:r>
    </w:p>
    <w:p w14:paraId="3640B7C2" w14:textId="1CAB4BB0" w:rsidR="00A4449F" w:rsidRPr="00127869" w:rsidRDefault="00A4449F" w:rsidP="00A4449F">
      <w:pPr>
        <w:pStyle w:val="SingleTxtG"/>
      </w:pPr>
      <w:r>
        <w:t>6.</w:t>
      </w:r>
      <w:r>
        <w:tab/>
      </w:r>
      <w:r w:rsidRPr="00735725">
        <w:t xml:space="preserve">Batteries using sodium-ion technology can therefore be stored and transported in a </w:t>
      </w:r>
      <w:r w:rsidRPr="00862820">
        <w:t>completely discharged state, with terminals shorted if required</w:t>
      </w:r>
      <w:r>
        <w:t xml:space="preserve">.  In this state </w:t>
      </w:r>
      <w:r w:rsidRPr="00862820">
        <w:t xml:space="preserve">they pose no risk from stored electro-chemical energy. </w:t>
      </w:r>
    </w:p>
    <w:p w14:paraId="33B575E7" w14:textId="5378FD40" w:rsidR="00A4449F" w:rsidRPr="00735725" w:rsidRDefault="00A4449F" w:rsidP="00A4449F">
      <w:pPr>
        <w:pStyle w:val="SingleTxtG"/>
      </w:pPr>
      <w:r>
        <w:t>7.</w:t>
      </w:r>
      <w:r>
        <w:tab/>
      </w:r>
      <w:r w:rsidRPr="00735725">
        <w:t xml:space="preserve">Sodium-ion is </w:t>
      </w:r>
      <w:r>
        <w:t xml:space="preserve">also intrinsically </w:t>
      </w:r>
      <w:r w:rsidRPr="00735725">
        <w:t>safer than lithium-ion technology</w:t>
      </w:r>
      <w:r>
        <w:t xml:space="preserve"> because there is:</w:t>
      </w:r>
    </w:p>
    <w:p w14:paraId="6AB5E8A2" w14:textId="5FAA738E" w:rsidR="00A4449F" w:rsidRPr="00735725" w:rsidRDefault="00A4449F" w:rsidP="00A4449F">
      <w:pPr>
        <w:pStyle w:val="SingleTxtG"/>
        <w:ind w:left="1701"/>
      </w:pPr>
      <w:r>
        <w:t>(a)</w:t>
      </w:r>
      <w:r>
        <w:tab/>
      </w:r>
      <w:r w:rsidRPr="00735725">
        <w:t xml:space="preserve">A more </w:t>
      </w:r>
      <w:r>
        <w:t xml:space="preserve">stable </w:t>
      </w:r>
      <w:r w:rsidRPr="00735725">
        <w:t>solid electrolyte interface (SEI) layer</w:t>
      </w:r>
      <w:r>
        <w:t>.</w:t>
      </w:r>
    </w:p>
    <w:p w14:paraId="48DC66FE" w14:textId="77777777" w:rsidR="00A4449F" w:rsidRDefault="00A4449F" w:rsidP="00A4449F">
      <w:pPr>
        <w:pStyle w:val="SingleTxtG"/>
        <w:ind w:left="2268"/>
      </w:pPr>
      <w:r w:rsidRPr="00735725">
        <w:lastRenderedPageBreak/>
        <w:t xml:space="preserve">This is a layer formed on the negative electrode </w:t>
      </w:r>
      <w:r>
        <w:t>in</w:t>
      </w:r>
      <w:r w:rsidRPr="00735725">
        <w:t xml:space="preserve"> </w:t>
      </w:r>
      <w:r>
        <w:t xml:space="preserve">both lithium-ion and Sodium-ion </w:t>
      </w:r>
      <w:r w:rsidRPr="00735725">
        <w:t xml:space="preserve">cells during the first charge (which is performed by the cell manufacturer). The SEI layer provides a stable interface between the negative electrode and the electrolyte. If this breaks down, an exothermic reaction can occur, so a more stable SEI layer </w:t>
      </w:r>
      <w:r>
        <w:t xml:space="preserve">found in sodium-ion cells </w:t>
      </w:r>
      <w:r w:rsidRPr="00735725">
        <w:t>means a safer battery</w:t>
      </w:r>
      <w:r>
        <w:t>.</w:t>
      </w:r>
    </w:p>
    <w:p w14:paraId="4F565C09" w14:textId="3F15A854" w:rsidR="00A4449F" w:rsidRPr="00735725" w:rsidRDefault="00A4449F" w:rsidP="00A4449F">
      <w:pPr>
        <w:pStyle w:val="SingleTxtG"/>
        <w:ind w:left="1701"/>
      </w:pPr>
      <w:r>
        <w:t>(b)</w:t>
      </w:r>
      <w:r>
        <w:tab/>
      </w:r>
      <w:r>
        <w:t>A r</w:t>
      </w:r>
      <w:r w:rsidRPr="00735725">
        <w:t>educed level of labile oxygen</w:t>
      </w:r>
      <w:r>
        <w:t>.</w:t>
      </w:r>
    </w:p>
    <w:p w14:paraId="15717EB6" w14:textId="77777777" w:rsidR="00A4449F" w:rsidRDefault="00A4449F" w:rsidP="00A4449F">
      <w:pPr>
        <w:pStyle w:val="SingleTxtG"/>
        <w:ind w:left="2268"/>
      </w:pPr>
      <w:r w:rsidRPr="00735725">
        <w:t xml:space="preserve">Labile oxygen is oxygen from the cathode which is easily released. As oxygen is an oxidant and flammable if released near </w:t>
      </w:r>
      <w:r>
        <w:t xml:space="preserve">the </w:t>
      </w:r>
      <w:r w:rsidRPr="00735725">
        <w:t xml:space="preserve">electrolyte solvent, the lower the oxygen </w:t>
      </w:r>
      <w:proofErr w:type="spellStart"/>
      <w:r w:rsidRPr="00735725">
        <w:t>lability</w:t>
      </w:r>
      <w:proofErr w:type="spellEnd"/>
      <w:r w:rsidRPr="00735725">
        <w:t xml:space="preserve"> the better</w:t>
      </w:r>
      <w:r>
        <w:t>.</w:t>
      </w:r>
    </w:p>
    <w:p w14:paraId="094B2132" w14:textId="460E3D8F" w:rsidR="00A4449F" w:rsidRPr="00735725" w:rsidRDefault="00A4449F" w:rsidP="00A4449F">
      <w:pPr>
        <w:pStyle w:val="SingleTxtG"/>
        <w:ind w:left="1701"/>
      </w:pPr>
      <w:r>
        <w:t>(c)</w:t>
      </w:r>
      <w:r>
        <w:tab/>
      </w:r>
      <w:r>
        <w:t>A l</w:t>
      </w:r>
      <w:r w:rsidRPr="00735725">
        <w:t>ower volatility electrolyte</w:t>
      </w:r>
      <w:r>
        <w:t>.</w:t>
      </w:r>
    </w:p>
    <w:p w14:paraId="156B1B08" w14:textId="77777777" w:rsidR="00A4449F" w:rsidRPr="005D6179" w:rsidRDefault="00A4449F" w:rsidP="00A4449F">
      <w:pPr>
        <w:pStyle w:val="SingleTxtG"/>
        <w:ind w:left="2268"/>
      </w:pPr>
      <w:r w:rsidRPr="00735725">
        <w:t xml:space="preserve">This means the battery is less </w:t>
      </w:r>
      <w:r>
        <w:t>likely to catch fire.</w:t>
      </w:r>
    </w:p>
    <w:p w14:paraId="08506268" w14:textId="0EDBE6EF" w:rsidR="00A4449F" w:rsidRPr="00735725" w:rsidRDefault="00A4449F" w:rsidP="00A4449F">
      <w:pPr>
        <w:pStyle w:val="SingleTxtG"/>
        <w:ind w:left="1701"/>
      </w:pPr>
      <w:r>
        <w:t>(</w:t>
      </w:r>
      <w:proofErr w:type="gramStart"/>
      <w:r>
        <w:t>d</w:t>
      </w:r>
      <w:proofErr w:type="gramEnd"/>
      <w:r>
        <w:t>)</w:t>
      </w:r>
      <w:r>
        <w:tab/>
      </w:r>
      <w:r w:rsidRPr="00735725">
        <w:t>Reduced self-heating</w:t>
      </w:r>
      <w:r>
        <w:t>.</w:t>
      </w:r>
    </w:p>
    <w:p w14:paraId="4AF9FA56" w14:textId="77777777" w:rsidR="00A4449F" w:rsidRPr="00735725" w:rsidRDefault="00A4449F" w:rsidP="00A4449F">
      <w:pPr>
        <w:pStyle w:val="SingleTxtG"/>
        <w:ind w:left="2268"/>
      </w:pPr>
      <w:r>
        <w:t>S</w:t>
      </w:r>
      <w:r w:rsidRPr="00735725">
        <w:t>afety testing data on sodium-ion cells</w:t>
      </w:r>
      <w:r>
        <w:t xml:space="preserve">, using accelerating rate </w:t>
      </w:r>
      <w:proofErr w:type="spellStart"/>
      <w:r>
        <w:t>calorimetry</w:t>
      </w:r>
      <w:proofErr w:type="spellEnd"/>
      <w:r>
        <w:t>,</w:t>
      </w:r>
      <w:r w:rsidRPr="00735725">
        <w:t xml:space="preserve"> shows that they hav</w:t>
      </w:r>
      <w:r>
        <w:t>e greater</w:t>
      </w:r>
      <w:r w:rsidRPr="00735725">
        <w:t xml:space="preserve"> thermal stability and </w:t>
      </w:r>
      <w:r>
        <w:t xml:space="preserve">a lower rate of </w:t>
      </w:r>
      <w:r w:rsidRPr="00735725">
        <w:t>energy releas</w:t>
      </w:r>
      <w:r>
        <w:t>e</w:t>
      </w:r>
      <w:r w:rsidRPr="00735725">
        <w:t xml:space="preserve"> than </w:t>
      </w:r>
      <w:r>
        <w:t xml:space="preserve">equivalent </w:t>
      </w:r>
      <w:r w:rsidRPr="00735725">
        <w:t>lithium-ion cells currently on the market</w:t>
      </w:r>
      <w:r>
        <w:t xml:space="preserve"> (</w:t>
      </w:r>
      <w:r w:rsidRPr="00735725">
        <w:t>i.e. lithium cobalt oxide and lithium iron phosphate</w:t>
      </w:r>
      <w:r>
        <w:t>).</w:t>
      </w:r>
      <w:r w:rsidRPr="00735725">
        <w:t xml:space="preserve"> </w:t>
      </w:r>
      <w:r>
        <w:t xml:space="preserve">They are consequently less likely to enter thermal runaway </w:t>
      </w:r>
      <w:r w:rsidRPr="00735725">
        <w:t>when exposed to extreme temperatures</w:t>
      </w:r>
      <w:r>
        <w:t>.</w:t>
      </w:r>
    </w:p>
    <w:p w14:paraId="040B8D51" w14:textId="2014E1EB" w:rsidR="00A4449F" w:rsidRDefault="00A4449F" w:rsidP="00A4449F">
      <w:pPr>
        <w:pStyle w:val="SingleTxtG"/>
      </w:pPr>
      <w:r>
        <w:t>8.</w:t>
      </w:r>
      <w:r>
        <w:tab/>
      </w:r>
      <w:r>
        <w:t xml:space="preserve">Despite some consumer markets requiring batteries to be transported containing charge so they can be used immediately, there will </w:t>
      </w:r>
      <w:r w:rsidRPr="00EC1DC7">
        <w:t>be</w:t>
      </w:r>
      <w:r>
        <w:t xml:space="preserve"> significant segments where the supply of a battery in an uncharged state will be perfectly acceptable. Batteries for the important market of energy storage can be supplied uncharged and batteries for other markets can be charged by a local agent if required.</w:t>
      </w:r>
    </w:p>
    <w:p w14:paraId="4A391D8A" w14:textId="5C2BB45C" w:rsidR="00A4449F" w:rsidRPr="00735725" w:rsidRDefault="00A4449F" w:rsidP="00A4449F">
      <w:pPr>
        <w:pStyle w:val="SingleTxtG"/>
      </w:pPr>
      <w:r>
        <w:t>9.</w:t>
      </w:r>
      <w:r>
        <w:tab/>
      </w:r>
      <w:r>
        <w:t>T</w:t>
      </w:r>
      <w:r w:rsidRPr="00735725">
        <w:t>he increased conductivity of sodium-ion electrolytes, which allow</w:t>
      </w:r>
      <w:r>
        <w:t>s</w:t>
      </w:r>
      <w:r w:rsidRPr="00735725">
        <w:t xml:space="preserve"> the use of lower concentrations of electrolyte salts, </w:t>
      </w:r>
      <w:r>
        <w:t xml:space="preserve">contributes to reducing the cost. Furthermore, </w:t>
      </w:r>
      <w:r w:rsidRPr="00735725">
        <w:t xml:space="preserve">lithium-ion cells </w:t>
      </w:r>
      <w:r>
        <w:t>need to use</w:t>
      </w:r>
      <w:r w:rsidRPr="00735725">
        <w:t xml:space="preserve"> copper foil</w:t>
      </w:r>
      <w:r>
        <w:t xml:space="preserve"> current collectors</w:t>
      </w:r>
      <w:r w:rsidRPr="00735725">
        <w:t xml:space="preserve">, which </w:t>
      </w:r>
      <w:r>
        <w:t>are</w:t>
      </w:r>
      <w:r w:rsidRPr="00735725">
        <w:t xml:space="preserve"> both heavy and expensive. In sodium-ion cells, this can be replaced with aluminium foil, which is lighter and less expensive.</w:t>
      </w:r>
    </w:p>
    <w:p w14:paraId="03C7DC5A" w14:textId="13B30BE9" w:rsidR="00A4449F" w:rsidRPr="00735725" w:rsidRDefault="00A4449F" w:rsidP="00A4449F">
      <w:pPr>
        <w:pStyle w:val="SingleTxtG"/>
      </w:pPr>
      <w:r>
        <w:t>10.</w:t>
      </w:r>
      <w:r>
        <w:tab/>
      </w:r>
      <w:r w:rsidRPr="00735725">
        <w:t xml:space="preserve">The significant cost reduction </w:t>
      </w:r>
      <w:r>
        <w:t>may accelerate the take up of</w:t>
      </w:r>
      <w:r w:rsidRPr="00735725">
        <w:t xml:space="preserve"> applications </w:t>
      </w:r>
      <w:r>
        <w:t xml:space="preserve">that are </w:t>
      </w:r>
      <w:r w:rsidRPr="00735725">
        <w:t xml:space="preserve">currently too expensive to market </w:t>
      </w:r>
      <w:r>
        <w:t>widely,</w:t>
      </w:r>
      <w:r w:rsidRPr="00735725">
        <w:t xml:space="preserve"> such as stationary energy storage and electric vehicles.</w:t>
      </w:r>
    </w:p>
    <w:p w14:paraId="7D095871" w14:textId="56DC9EFE" w:rsidR="00A4449F" w:rsidRPr="000E5185" w:rsidRDefault="00A4449F" w:rsidP="00A4449F">
      <w:pPr>
        <w:pStyle w:val="SingleTxtG"/>
      </w:pPr>
      <w:r>
        <w:t>11.</w:t>
      </w:r>
      <w:r>
        <w:tab/>
      </w:r>
      <w:r w:rsidRPr="00915AB5">
        <w:t xml:space="preserve">The current classification system does not address the particular circumstances of sodium-ion batteries. </w:t>
      </w:r>
      <w:r w:rsidRPr="00B2290A">
        <w:t xml:space="preserve">The existing entry for batteries containing sodium (UN3292) and Special Provision 239 are </w:t>
      </w:r>
      <w:r>
        <w:t>relevant to cell chemistries such as sodium sulphur and sodium metal chloride which contain metallic sodium, but do not recognise the lesser risk posed by</w:t>
      </w:r>
      <w:r w:rsidRPr="00B2290A">
        <w:t xml:space="preserve"> sodium-ion </w:t>
      </w:r>
      <w:r>
        <w:t>cell chemistry. This situation is akin to that of lithium batteries (UN 3090) prior to the sub-committee’s decision to recognise lithium-ion cells and batteries as being substantially different from lithium metal</w:t>
      </w:r>
      <w:r w:rsidRPr="00B2290A">
        <w:t xml:space="preserve"> </w:t>
      </w:r>
      <w:r>
        <w:t>types. Like their lithium counterparts, sodium-ion cells contain sodium salts, NOT sodium metal.</w:t>
      </w:r>
    </w:p>
    <w:p w14:paraId="030D247C" w14:textId="070ACE5F" w:rsidR="00A4449F" w:rsidRPr="00735725" w:rsidRDefault="00A4449F" w:rsidP="00A4449F">
      <w:pPr>
        <w:pStyle w:val="HChG"/>
      </w:pPr>
      <w:r>
        <w:tab/>
      </w:r>
      <w:r>
        <w:tab/>
      </w:r>
      <w:r w:rsidRPr="00A4449F">
        <w:t>Proposal</w:t>
      </w:r>
      <w:r>
        <w:tab/>
      </w:r>
      <w:r>
        <w:tab/>
      </w:r>
    </w:p>
    <w:p w14:paraId="070FB2FC" w14:textId="41507B3D" w:rsidR="00A4449F" w:rsidRPr="00A4449F" w:rsidRDefault="00A4449F" w:rsidP="00A4449F">
      <w:pPr>
        <w:pStyle w:val="SingleTxtG"/>
      </w:pPr>
      <w:r>
        <w:t>12.</w:t>
      </w:r>
      <w:r>
        <w:tab/>
      </w:r>
      <w:r w:rsidRPr="00A4449F">
        <w:t>The Sub-Committee is invited to consider the information presented in this paper and offer opinions on how sodium-ion batteries could be classified for carriage. For example, would requirements similar to those for asymmetric capacitors (UN 3508) be appropriate?</w:t>
      </w:r>
    </w:p>
    <w:p w14:paraId="005216FD" w14:textId="77777777" w:rsidR="00A4449F" w:rsidRPr="00A4449F" w:rsidRDefault="00A4449F" w:rsidP="00A4449F">
      <w:pPr>
        <w:pStyle w:val="SingleTxtG"/>
      </w:pPr>
    </w:p>
    <w:p w14:paraId="6848862E" w14:textId="4794A3EF" w:rsidR="00A4449F" w:rsidRPr="00A4449F" w:rsidRDefault="00A4449F" w:rsidP="00A4449F">
      <w:pPr>
        <w:pStyle w:val="SingleTxtG"/>
      </w:pPr>
      <w:r>
        <w:lastRenderedPageBreak/>
        <w:t>13.</w:t>
      </w:r>
      <w:r>
        <w:tab/>
      </w:r>
      <w:r w:rsidRPr="00A4449F">
        <w:t>If the Sub-Committee is interested in pursuing this work, the United Kingdom would be willing to develop a formal paper containing detailed proposals for consideration at a future session.</w:t>
      </w:r>
    </w:p>
    <w:p w14:paraId="0BC24BC3" w14:textId="5FEDFC97" w:rsidR="004624AF" w:rsidRPr="00A4449F" w:rsidRDefault="00A4449F" w:rsidP="00A4449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4624AF" w:rsidRPr="00A4449F" w:rsidSect="0005570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3CDC2" w14:textId="77777777" w:rsidR="00EF051D" w:rsidRDefault="00EF051D"/>
  </w:endnote>
  <w:endnote w:type="continuationSeparator" w:id="0">
    <w:p w14:paraId="365964EB" w14:textId="77777777" w:rsidR="00EF051D" w:rsidRDefault="00EF051D"/>
  </w:endnote>
  <w:endnote w:type="continuationNotice" w:id="1">
    <w:p w14:paraId="64346460" w14:textId="77777777" w:rsidR="00EF051D" w:rsidRDefault="00EF0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8DEBA" w14:textId="77777777" w:rsidR="00EF051D" w:rsidRPr="00796B95" w:rsidRDefault="00EF051D" w:rsidP="00796B95">
    <w:pPr>
      <w:pStyle w:val="Footer"/>
      <w:rPr>
        <w:b/>
        <w:sz w:val="18"/>
      </w:rPr>
    </w:pPr>
    <w:r w:rsidRPr="002264E0">
      <w:rPr>
        <w:b/>
        <w:sz w:val="18"/>
      </w:rPr>
      <w:fldChar w:fldCharType="begin"/>
    </w:r>
    <w:r w:rsidRPr="002264E0">
      <w:rPr>
        <w:b/>
        <w:sz w:val="18"/>
      </w:rPr>
      <w:instrText xml:space="preserve"> PAGE   \* MERGEFORMAT </w:instrText>
    </w:r>
    <w:r w:rsidRPr="002264E0">
      <w:rPr>
        <w:b/>
        <w:sz w:val="18"/>
      </w:rPr>
      <w:fldChar w:fldCharType="separate"/>
    </w:r>
    <w:r w:rsidR="00A4449F">
      <w:rPr>
        <w:b/>
        <w:noProof/>
        <w:sz w:val="18"/>
      </w:rPr>
      <w:t>2</w:t>
    </w:r>
    <w:r w:rsidRPr="002264E0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F5A54" w14:textId="77777777" w:rsidR="00EF051D" w:rsidRPr="0005570C" w:rsidRDefault="00EF051D" w:rsidP="0005570C">
    <w:pPr>
      <w:pStyle w:val="Footer"/>
      <w:tabs>
        <w:tab w:val="right" w:pos="9598"/>
      </w:tabs>
      <w:rPr>
        <w:b/>
        <w:sz w:val="18"/>
      </w:rPr>
    </w:pPr>
    <w:r>
      <w:tab/>
    </w:r>
    <w:r w:rsidRPr="0005570C">
      <w:rPr>
        <w:b/>
        <w:sz w:val="18"/>
      </w:rPr>
      <w:fldChar w:fldCharType="begin"/>
    </w:r>
    <w:r w:rsidRPr="0005570C">
      <w:rPr>
        <w:b/>
        <w:sz w:val="18"/>
      </w:rPr>
      <w:instrText xml:space="preserve"> PAGE  \* MERGEFORMAT </w:instrText>
    </w:r>
    <w:r w:rsidRPr="0005570C">
      <w:rPr>
        <w:b/>
        <w:sz w:val="18"/>
      </w:rPr>
      <w:fldChar w:fldCharType="separate"/>
    </w:r>
    <w:r w:rsidR="00A4449F">
      <w:rPr>
        <w:b/>
        <w:noProof/>
        <w:sz w:val="18"/>
      </w:rPr>
      <w:t>3</w:t>
    </w:r>
    <w:r w:rsidRPr="0005570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C8F8F" w14:textId="003FA6B0" w:rsidR="00EF051D" w:rsidRDefault="00EF051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 wp14:anchorId="237C77AA" wp14:editId="7907677B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02FBA" w14:textId="77777777" w:rsidR="00EF051D" w:rsidRPr="000B175B" w:rsidRDefault="00EF051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717A2C" w14:textId="77777777" w:rsidR="00EF051D" w:rsidRPr="00FC68B7" w:rsidRDefault="00EF051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75F2A30" w14:textId="77777777" w:rsidR="00EF051D" w:rsidRDefault="00EF05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7F5D6" w14:textId="7E9A54C6" w:rsidR="00EF051D" w:rsidRPr="00F54DDA" w:rsidRDefault="00EF051D" w:rsidP="00F54DDA">
    <w:pPr>
      <w:pStyle w:val="Header"/>
    </w:pPr>
    <w:r w:rsidRPr="00F54DDA">
      <w:rPr>
        <w:noProof/>
      </w:rPr>
      <w:t>UN/SCETDG/4</w:t>
    </w:r>
    <w:r w:rsidR="00A4449F">
      <w:rPr>
        <w:noProof/>
      </w:rPr>
      <w:t>8/INF.6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5ED5F" w14:textId="5B50D810" w:rsidR="00EF051D" w:rsidRPr="0005570C" w:rsidRDefault="00EF051D" w:rsidP="0005570C">
    <w:pPr>
      <w:pStyle w:val="Header"/>
      <w:jc w:val="right"/>
    </w:pPr>
    <w:r w:rsidRPr="00F54DDA">
      <w:t>UN/SCETDG/4</w:t>
    </w:r>
    <w:r>
      <w:t>8</w:t>
    </w:r>
    <w:r w:rsidRPr="00F54DDA">
      <w:t>/INF.</w:t>
    </w:r>
    <w:r w:rsidR="00A4449F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D006861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11A56BF"/>
    <w:multiLevelType w:val="hybridMultilevel"/>
    <w:tmpl w:val="B3EAC734"/>
    <w:lvl w:ilvl="0" w:tplc="87EC08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96614F3"/>
    <w:multiLevelType w:val="hybridMultilevel"/>
    <w:tmpl w:val="DAC44DB4"/>
    <w:lvl w:ilvl="0" w:tplc="01FEB2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9B85BD5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1A667145"/>
    <w:multiLevelType w:val="hybridMultilevel"/>
    <w:tmpl w:val="32FA10A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A97A4A"/>
    <w:multiLevelType w:val="hybridMultilevel"/>
    <w:tmpl w:val="5216A528"/>
    <w:lvl w:ilvl="0" w:tplc="97E6B682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AD178B"/>
    <w:multiLevelType w:val="hybridMultilevel"/>
    <w:tmpl w:val="EAEC2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C792C04"/>
    <w:multiLevelType w:val="hybridMultilevel"/>
    <w:tmpl w:val="F8AC8536"/>
    <w:lvl w:ilvl="0" w:tplc="BE58C10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5D23ED5"/>
    <w:multiLevelType w:val="hybridMultilevel"/>
    <w:tmpl w:val="3728893A"/>
    <w:lvl w:ilvl="0" w:tplc="F8C2E92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6950D66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5">
    <w:nsid w:val="49D07149"/>
    <w:multiLevelType w:val="hybridMultilevel"/>
    <w:tmpl w:val="2BDE4FEE"/>
    <w:lvl w:ilvl="0" w:tplc="72720BC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>
    <w:nsid w:val="57760DB2"/>
    <w:multiLevelType w:val="hybridMultilevel"/>
    <w:tmpl w:val="BA5E469C"/>
    <w:lvl w:ilvl="0" w:tplc="08090017">
      <w:start w:val="2"/>
      <w:numFmt w:val="lowerLetter"/>
      <w:lvlText w:val="%1)"/>
      <w:lvlJc w:val="left"/>
      <w:pPr>
        <w:ind w:left="5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6" w:hanging="360"/>
      </w:pPr>
    </w:lvl>
    <w:lvl w:ilvl="2" w:tplc="0809001B" w:tentative="1">
      <w:start w:val="1"/>
      <w:numFmt w:val="lowerRoman"/>
      <w:lvlText w:val="%3."/>
      <w:lvlJc w:val="right"/>
      <w:pPr>
        <w:ind w:left="1956" w:hanging="180"/>
      </w:pPr>
    </w:lvl>
    <w:lvl w:ilvl="3" w:tplc="0809000F" w:tentative="1">
      <w:start w:val="1"/>
      <w:numFmt w:val="decimal"/>
      <w:lvlText w:val="%4."/>
      <w:lvlJc w:val="left"/>
      <w:pPr>
        <w:ind w:left="2676" w:hanging="360"/>
      </w:pPr>
    </w:lvl>
    <w:lvl w:ilvl="4" w:tplc="08090019" w:tentative="1">
      <w:start w:val="1"/>
      <w:numFmt w:val="lowerLetter"/>
      <w:lvlText w:val="%5."/>
      <w:lvlJc w:val="left"/>
      <w:pPr>
        <w:ind w:left="3396" w:hanging="360"/>
      </w:pPr>
    </w:lvl>
    <w:lvl w:ilvl="5" w:tplc="0809001B" w:tentative="1">
      <w:start w:val="1"/>
      <w:numFmt w:val="lowerRoman"/>
      <w:lvlText w:val="%6."/>
      <w:lvlJc w:val="right"/>
      <w:pPr>
        <w:ind w:left="4116" w:hanging="180"/>
      </w:pPr>
    </w:lvl>
    <w:lvl w:ilvl="6" w:tplc="0809000F" w:tentative="1">
      <w:start w:val="1"/>
      <w:numFmt w:val="decimal"/>
      <w:lvlText w:val="%7."/>
      <w:lvlJc w:val="left"/>
      <w:pPr>
        <w:ind w:left="4836" w:hanging="360"/>
      </w:pPr>
    </w:lvl>
    <w:lvl w:ilvl="7" w:tplc="08090019" w:tentative="1">
      <w:start w:val="1"/>
      <w:numFmt w:val="lowerLetter"/>
      <w:lvlText w:val="%8."/>
      <w:lvlJc w:val="left"/>
      <w:pPr>
        <w:ind w:left="5556" w:hanging="360"/>
      </w:pPr>
    </w:lvl>
    <w:lvl w:ilvl="8" w:tplc="08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7377697B"/>
    <w:multiLevelType w:val="hybridMultilevel"/>
    <w:tmpl w:val="2EE681CA"/>
    <w:lvl w:ilvl="0" w:tplc="0A92C09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58D78F2"/>
    <w:multiLevelType w:val="hybridMultilevel"/>
    <w:tmpl w:val="0FCEB126"/>
    <w:lvl w:ilvl="0" w:tplc="816210BC">
      <w:start w:val="1"/>
      <w:numFmt w:val="decimal"/>
      <w:lvlText w:val="%1."/>
      <w:lvlJc w:val="left"/>
      <w:pPr>
        <w:ind w:left="0" w:hanging="36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7D2A1773"/>
    <w:multiLevelType w:val="hybridMultilevel"/>
    <w:tmpl w:val="A518F4BE"/>
    <w:lvl w:ilvl="0" w:tplc="DDAA6D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8"/>
  </w:num>
  <w:num w:numId="13">
    <w:abstractNumId w:val="10"/>
  </w:num>
  <w:num w:numId="14">
    <w:abstractNumId w:val="27"/>
  </w:num>
  <w:num w:numId="15">
    <w:abstractNumId w:val="14"/>
  </w:num>
  <w:num w:numId="16">
    <w:abstractNumId w:val="11"/>
  </w:num>
  <w:num w:numId="17">
    <w:abstractNumId w:val="28"/>
  </w:num>
  <w:num w:numId="18">
    <w:abstractNumId w:val="21"/>
  </w:num>
  <w:num w:numId="19">
    <w:abstractNumId w:val="12"/>
  </w:num>
  <w:num w:numId="20">
    <w:abstractNumId w:val="24"/>
  </w:num>
  <w:num w:numId="21">
    <w:abstractNumId w:val="16"/>
  </w:num>
  <w:num w:numId="22">
    <w:abstractNumId w:val="13"/>
  </w:num>
  <w:num w:numId="23">
    <w:abstractNumId w:val="15"/>
  </w:num>
  <w:num w:numId="24">
    <w:abstractNumId w:val="23"/>
  </w:num>
  <w:num w:numId="25">
    <w:abstractNumId w:val="25"/>
  </w:num>
  <w:num w:numId="26">
    <w:abstractNumId w:val="26"/>
  </w:num>
  <w:num w:numId="27">
    <w:abstractNumId w:val="30"/>
  </w:num>
  <w:num w:numId="28">
    <w:abstractNumId w:val="22"/>
  </w:num>
  <w:num w:numId="29">
    <w:abstractNumId w:val="19"/>
  </w:num>
  <w:num w:numId="30">
    <w:abstractNumId w:val="29"/>
  </w:num>
  <w:num w:numId="31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B2"/>
    <w:rsid w:val="00006600"/>
    <w:rsid w:val="000105B7"/>
    <w:rsid w:val="00010DB3"/>
    <w:rsid w:val="00015A1E"/>
    <w:rsid w:val="00027F2A"/>
    <w:rsid w:val="0003260B"/>
    <w:rsid w:val="00044167"/>
    <w:rsid w:val="000458D9"/>
    <w:rsid w:val="00050F6B"/>
    <w:rsid w:val="0005111B"/>
    <w:rsid w:val="0005570C"/>
    <w:rsid w:val="00064F24"/>
    <w:rsid w:val="00067C1A"/>
    <w:rsid w:val="00071BC5"/>
    <w:rsid w:val="000726F2"/>
    <w:rsid w:val="00072C8C"/>
    <w:rsid w:val="000732CC"/>
    <w:rsid w:val="00073E97"/>
    <w:rsid w:val="0007718E"/>
    <w:rsid w:val="000814A8"/>
    <w:rsid w:val="000869B4"/>
    <w:rsid w:val="00086BA4"/>
    <w:rsid w:val="00091419"/>
    <w:rsid w:val="00092DE4"/>
    <w:rsid w:val="000931C0"/>
    <w:rsid w:val="00097A34"/>
    <w:rsid w:val="000A0405"/>
    <w:rsid w:val="000A3ADF"/>
    <w:rsid w:val="000A4318"/>
    <w:rsid w:val="000A607C"/>
    <w:rsid w:val="000B175B"/>
    <w:rsid w:val="000B2276"/>
    <w:rsid w:val="000B265A"/>
    <w:rsid w:val="000B3A0F"/>
    <w:rsid w:val="000B3B18"/>
    <w:rsid w:val="000B4BFA"/>
    <w:rsid w:val="000B4E5A"/>
    <w:rsid w:val="000B5ECB"/>
    <w:rsid w:val="000B7325"/>
    <w:rsid w:val="000D43C8"/>
    <w:rsid w:val="000E0415"/>
    <w:rsid w:val="000E572A"/>
    <w:rsid w:val="000F0909"/>
    <w:rsid w:val="000F143A"/>
    <w:rsid w:val="000F5FF7"/>
    <w:rsid w:val="00103C0E"/>
    <w:rsid w:val="00114E72"/>
    <w:rsid w:val="00117787"/>
    <w:rsid w:val="00120F5D"/>
    <w:rsid w:val="00125758"/>
    <w:rsid w:val="00125775"/>
    <w:rsid w:val="001266BA"/>
    <w:rsid w:val="00131D42"/>
    <w:rsid w:val="00144FC4"/>
    <w:rsid w:val="0016063F"/>
    <w:rsid w:val="00160BC1"/>
    <w:rsid w:val="001633FB"/>
    <w:rsid w:val="00166B07"/>
    <w:rsid w:val="00177434"/>
    <w:rsid w:val="00187869"/>
    <w:rsid w:val="00190361"/>
    <w:rsid w:val="00191BE2"/>
    <w:rsid w:val="001967AB"/>
    <w:rsid w:val="001A6691"/>
    <w:rsid w:val="001B0DDE"/>
    <w:rsid w:val="001B4B04"/>
    <w:rsid w:val="001B574E"/>
    <w:rsid w:val="001C6663"/>
    <w:rsid w:val="001C7895"/>
    <w:rsid w:val="001D0C12"/>
    <w:rsid w:val="001D26DF"/>
    <w:rsid w:val="001D2FDC"/>
    <w:rsid w:val="001D2FE8"/>
    <w:rsid w:val="001F1227"/>
    <w:rsid w:val="001F57B4"/>
    <w:rsid w:val="00211CD6"/>
    <w:rsid w:val="00211E0B"/>
    <w:rsid w:val="002264E0"/>
    <w:rsid w:val="002309A7"/>
    <w:rsid w:val="00233CFA"/>
    <w:rsid w:val="002350D2"/>
    <w:rsid w:val="002370D0"/>
    <w:rsid w:val="00237785"/>
    <w:rsid w:val="00241466"/>
    <w:rsid w:val="00247A0C"/>
    <w:rsid w:val="00266C11"/>
    <w:rsid w:val="002722E5"/>
    <w:rsid w:val="002725CA"/>
    <w:rsid w:val="00274700"/>
    <w:rsid w:val="00280D2B"/>
    <w:rsid w:val="00280EB7"/>
    <w:rsid w:val="002817F4"/>
    <w:rsid w:val="00281BE2"/>
    <w:rsid w:val="002A2560"/>
    <w:rsid w:val="002A7532"/>
    <w:rsid w:val="002B082F"/>
    <w:rsid w:val="002B1CDA"/>
    <w:rsid w:val="002B2EA7"/>
    <w:rsid w:val="002B521D"/>
    <w:rsid w:val="002B79CF"/>
    <w:rsid w:val="002B7D6F"/>
    <w:rsid w:val="002C54A4"/>
    <w:rsid w:val="002C7649"/>
    <w:rsid w:val="002D7530"/>
    <w:rsid w:val="002E7C35"/>
    <w:rsid w:val="002F0918"/>
    <w:rsid w:val="002F1234"/>
    <w:rsid w:val="00302963"/>
    <w:rsid w:val="00303816"/>
    <w:rsid w:val="003107FA"/>
    <w:rsid w:val="00310B32"/>
    <w:rsid w:val="00316C13"/>
    <w:rsid w:val="00320A76"/>
    <w:rsid w:val="003229D8"/>
    <w:rsid w:val="00322F52"/>
    <w:rsid w:val="00323BE7"/>
    <w:rsid w:val="003311AD"/>
    <w:rsid w:val="003323B3"/>
    <w:rsid w:val="00333732"/>
    <w:rsid w:val="0034522A"/>
    <w:rsid w:val="00347184"/>
    <w:rsid w:val="00372BDC"/>
    <w:rsid w:val="00373815"/>
    <w:rsid w:val="00374763"/>
    <w:rsid w:val="00381262"/>
    <w:rsid w:val="0039277A"/>
    <w:rsid w:val="00396C00"/>
    <w:rsid w:val="003972E0"/>
    <w:rsid w:val="003A358E"/>
    <w:rsid w:val="003B4359"/>
    <w:rsid w:val="003B47CC"/>
    <w:rsid w:val="003C2CC4"/>
    <w:rsid w:val="003D4B23"/>
    <w:rsid w:val="003E1C5A"/>
    <w:rsid w:val="003E5413"/>
    <w:rsid w:val="003F0697"/>
    <w:rsid w:val="003F3F40"/>
    <w:rsid w:val="003F40C8"/>
    <w:rsid w:val="0040291E"/>
    <w:rsid w:val="0040320D"/>
    <w:rsid w:val="00404FD4"/>
    <w:rsid w:val="0041741B"/>
    <w:rsid w:val="004179D7"/>
    <w:rsid w:val="004325CB"/>
    <w:rsid w:val="00437F3F"/>
    <w:rsid w:val="0044017E"/>
    <w:rsid w:val="0044679E"/>
    <w:rsid w:val="00446C28"/>
    <w:rsid w:val="00446DE4"/>
    <w:rsid w:val="004479B5"/>
    <w:rsid w:val="00450B3A"/>
    <w:rsid w:val="00451CCB"/>
    <w:rsid w:val="004522E0"/>
    <w:rsid w:val="004624AF"/>
    <w:rsid w:val="00464C2B"/>
    <w:rsid w:val="0047319B"/>
    <w:rsid w:val="004735FB"/>
    <w:rsid w:val="00475444"/>
    <w:rsid w:val="0049309D"/>
    <w:rsid w:val="00494D24"/>
    <w:rsid w:val="004969ED"/>
    <w:rsid w:val="00497FF3"/>
    <w:rsid w:val="004A2BD1"/>
    <w:rsid w:val="004B163A"/>
    <w:rsid w:val="004B2C9D"/>
    <w:rsid w:val="004B49FD"/>
    <w:rsid w:val="004B6475"/>
    <w:rsid w:val="004E4DCE"/>
    <w:rsid w:val="00500DCD"/>
    <w:rsid w:val="00512574"/>
    <w:rsid w:val="005149A9"/>
    <w:rsid w:val="00515763"/>
    <w:rsid w:val="0051609A"/>
    <w:rsid w:val="005206A2"/>
    <w:rsid w:val="005248FF"/>
    <w:rsid w:val="00527910"/>
    <w:rsid w:val="00532A62"/>
    <w:rsid w:val="005335B1"/>
    <w:rsid w:val="0053786F"/>
    <w:rsid w:val="005414F5"/>
    <w:rsid w:val="005420F2"/>
    <w:rsid w:val="00543B03"/>
    <w:rsid w:val="00552C5F"/>
    <w:rsid w:val="005553A2"/>
    <w:rsid w:val="005557E8"/>
    <w:rsid w:val="005627FA"/>
    <w:rsid w:val="00566392"/>
    <w:rsid w:val="00566B77"/>
    <w:rsid w:val="005676D5"/>
    <w:rsid w:val="0057509F"/>
    <w:rsid w:val="00581B62"/>
    <w:rsid w:val="00581C11"/>
    <w:rsid w:val="00590144"/>
    <w:rsid w:val="005A1FEB"/>
    <w:rsid w:val="005A37A2"/>
    <w:rsid w:val="005B2C26"/>
    <w:rsid w:val="005B3614"/>
    <w:rsid w:val="005B3DB3"/>
    <w:rsid w:val="005B6EC0"/>
    <w:rsid w:val="005B6FA9"/>
    <w:rsid w:val="005D1C0C"/>
    <w:rsid w:val="005D407C"/>
    <w:rsid w:val="005E29AE"/>
    <w:rsid w:val="005E6C20"/>
    <w:rsid w:val="00611FC4"/>
    <w:rsid w:val="0061401C"/>
    <w:rsid w:val="006176FB"/>
    <w:rsid w:val="0063330C"/>
    <w:rsid w:val="00633C10"/>
    <w:rsid w:val="0063419C"/>
    <w:rsid w:val="00640B26"/>
    <w:rsid w:val="00641876"/>
    <w:rsid w:val="00650267"/>
    <w:rsid w:val="00664F8E"/>
    <w:rsid w:val="00682466"/>
    <w:rsid w:val="0068393D"/>
    <w:rsid w:val="006A0AE9"/>
    <w:rsid w:val="006A7392"/>
    <w:rsid w:val="006B3590"/>
    <w:rsid w:val="006B7406"/>
    <w:rsid w:val="006B79A2"/>
    <w:rsid w:val="006C0D34"/>
    <w:rsid w:val="006C1C4A"/>
    <w:rsid w:val="006D7899"/>
    <w:rsid w:val="006D7D5F"/>
    <w:rsid w:val="006E564B"/>
    <w:rsid w:val="006E7B3F"/>
    <w:rsid w:val="00707A67"/>
    <w:rsid w:val="0071233A"/>
    <w:rsid w:val="00716D0F"/>
    <w:rsid w:val="00725764"/>
    <w:rsid w:val="0072632A"/>
    <w:rsid w:val="007428A0"/>
    <w:rsid w:val="0075177E"/>
    <w:rsid w:val="00757A17"/>
    <w:rsid w:val="00790791"/>
    <w:rsid w:val="007909EA"/>
    <w:rsid w:val="00795779"/>
    <w:rsid w:val="007965B5"/>
    <w:rsid w:val="00796B95"/>
    <w:rsid w:val="007B6BA5"/>
    <w:rsid w:val="007B6BE5"/>
    <w:rsid w:val="007C3390"/>
    <w:rsid w:val="007C3416"/>
    <w:rsid w:val="007C3658"/>
    <w:rsid w:val="007C455E"/>
    <w:rsid w:val="007C4F4B"/>
    <w:rsid w:val="007D3266"/>
    <w:rsid w:val="007E3F55"/>
    <w:rsid w:val="007F3C74"/>
    <w:rsid w:val="007F42B1"/>
    <w:rsid w:val="007F52A6"/>
    <w:rsid w:val="007F6611"/>
    <w:rsid w:val="00803636"/>
    <w:rsid w:val="008138E4"/>
    <w:rsid w:val="008175E9"/>
    <w:rsid w:val="00820DBE"/>
    <w:rsid w:val="008242D7"/>
    <w:rsid w:val="00832905"/>
    <w:rsid w:val="00842FAF"/>
    <w:rsid w:val="00844A23"/>
    <w:rsid w:val="008553AE"/>
    <w:rsid w:val="008566E6"/>
    <w:rsid w:val="008616E6"/>
    <w:rsid w:val="00871FD5"/>
    <w:rsid w:val="008749E1"/>
    <w:rsid w:val="008900F3"/>
    <w:rsid w:val="0089467C"/>
    <w:rsid w:val="008979B1"/>
    <w:rsid w:val="008A2299"/>
    <w:rsid w:val="008A6B25"/>
    <w:rsid w:val="008A6C4F"/>
    <w:rsid w:val="008A7362"/>
    <w:rsid w:val="008B0C07"/>
    <w:rsid w:val="008C1535"/>
    <w:rsid w:val="008D44E2"/>
    <w:rsid w:val="008E0E46"/>
    <w:rsid w:val="008E1D4C"/>
    <w:rsid w:val="008F36A7"/>
    <w:rsid w:val="008F42F2"/>
    <w:rsid w:val="00905AEA"/>
    <w:rsid w:val="00910229"/>
    <w:rsid w:val="00910E37"/>
    <w:rsid w:val="00915E24"/>
    <w:rsid w:val="009174F9"/>
    <w:rsid w:val="009178F6"/>
    <w:rsid w:val="00920726"/>
    <w:rsid w:val="00924330"/>
    <w:rsid w:val="0093457E"/>
    <w:rsid w:val="00945A5D"/>
    <w:rsid w:val="0094761C"/>
    <w:rsid w:val="00963CBA"/>
    <w:rsid w:val="00965ACC"/>
    <w:rsid w:val="00970D90"/>
    <w:rsid w:val="0097150D"/>
    <w:rsid w:val="00971B0B"/>
    <w:rsid w:val="00972131"/>
    <w:rsid w:val="00977813"/>
    <w:rsid w:val="009863A7"/>
    <w:rsid w:val="00986BF1"/>
    <w:rsid w:val="0099124E"/>
    <w:rsid w:val="00991261"/>
    <w:rsid w:val="00994010"/>
    <w:rsid w:val="00994014"/>
    <w:rsid w:val="009A37C7"/>
    <w:rsid w:val="009B1829"/>
    <w:rsid w:val="009B2FB7"/>
    <w:rsid w:val="009B3CC1"/>
    <w:rsid w:val="009B6F46"/>
    <w:rsid w:val="009D7741"/>
    <w:rsid w:val="009E2874"/>
    <w:rsid w:val="009E35FF"/>
    <w:rsid w:val="009E587B"/>
    <w:rsid w:val="00A12267"/>
    <w:rsid w:val="00A1427D"/>
    <w:rsid w:val="00A22441"/>
    <w:rsid w:val="00A24E0D"/>
    <w:rsid w:val="00A25434"/>
    <w:rsid w:val="00A27584"/>
    <w:rsid w:val="00A3317D"/>
    <w:rsid w:val="00A3734E"/>
    <w:rsid w:val="00A40281"/>
    <w:rsid w:val="00A4449F"/>
    <w:rsid w:val="00A475B8"/>
    <w:rsid w:val="00A549AB"/>
    <w:rsid w:val="00A6043B"/>
    <w:rsid w:val="00A64ED3"/>
    <w:rsid w:val="00A66610"/>
    <w:rsid w:val="00A679F9"/>
    <w:rsid w:val="00A72F22"/>
    <w:rsid w:val="00A748A6"/>
    <w:rsid w:val="00A7523F"/>
    <w:rsid w:val="00A75EC9"/>
    <w:rsid w:val="00A76B37"/>
    <w:rsid w:val="00A81CD3"/>
    <w:rsid w:val="00A879A4"/>
    <w:rsid w:val="00AA022C"/>
    <w:rsid w:val="00AA2DB2"/>
    <w:rsid w:val="00AB390A"/>
    <w:rsid w:val="00AC0EEF"/>
    <w:rsid w:val="00AC1F60"/>
    <w:rsid w:val="00AC3364"/>
    <w:rsid w:val="00AC38F2"/>
    <w:rsid w:val="00AC7451"/>
    <w:rsid w:val="00AD4C3F"/>
    <w:rsid w:val="00AE2BC1"/>
    <w:rsid w:val="00AE313E"/>
    <w:rsid w:val="00AF1489"/>
    <w:rsid w:val="00AF248C"/>
    <w:rsid w:val="00B02079"/>
    <w:rsid w:val="00B05614"/>
    <w:rsid w:val="00B2292E"/>
    <w:rsid w:val="00B30179"/>
    <w:rsid w:val="00B32399"/>
    <w:rsid w:val="00B3317B"/>
    <w:rsid w:val="00B34A94"/>
    <w:rsid w:val="00B35770"/>
    <w:rsid w:val="00B45379"/>
    <w:rsid w:val="00B62799"/>
    <w:rsid w:val="00B65BD4"/>
    <w:rsid w:val="00B742AE"/>
    <w:rsid w:val="00B7575E"/>
    <w:rsid w:val="00B76D98"/>
    <w:rsid w:val="00B80DD3"/>
    <w:rsid w:val="00B81E12"/>
    <w:rsid w:val="00B8308C"/>
    <w:rsid w:val="00B84410"/>
    <w:rsid w:val="00B90984"/>
    <w:rsid w:val="00B910C6"/>
    <w:rsid w:val="00B93068"/>
    <w:rsid w:val="00B96106"/>
    <w:rsid w:val="00BA4AAC"/>
    <w:rsid w:val="00BA611E"/>
    <w:rsid w:val="00BB6685"/>
    <w:rsid w:val="00BC4804"/>
    <w:rsid w:val="00BC553A"/>
    <w:rsid w:val="00BC5CF4"/>
    <w:rsid w:val="00BC74E9"/>
    <w:rsid w:val="00BD42B2"/>
    <w:rsid w:val="00BE618E"/>
    <w:rsid w:val="00C12FE8"/>
    <w:rsid w:val="00C17582"/>
    <w:rsid w:val="00C20E3D"/>
    <w:rsid w:val="00C23226"/>
    <w:rsid w:val="00C3461F"/>
    <w:rsid w:val="00C4186E"/>
    <w:rsid w:val="00C463DD"/>
    <w:rsid w:val="00C46E2A"/>
    <w:rsid w:val="00C60DCD"/>
    <w:rsid w:val="00C626EA"/>
    <w:rsid w:val="00C62F76"/>
    <w:rsid w:val="00C64CF9"/>
    <w:rsid w:val="00C67F22"/>
    <w:rsid w:val="00C72209"/>
    <w:rsid w:val="00C745C3"/>
    <w:rsid w:val="00C835F0"/>
    <w:rsid w:val="00CA1406"/>
    <w:rsid w:val="00CA5C02"/>
    <w:rsid w:val="00CB4C9D"/>
    <w:rsid w:val="00CC18B3"/>
    <w:rsid w:val="00CC23F0"/>
    <w:rsid w:val="00CD42C3"/>
    <w:rsid w:val="00CD68B3"/>
    <w:rsid w:val="00CE4A8F"/>
    <w:rsid w:val="00CE58B6"/>
    <w:rsid w:val="00CE5C4D"/>
    <w:rsid w:val="00CE7E5D"/>
    <w:rsid w:val="00CF6553"/>
    <w:rsid w:val="00CF7C69"/>
    <w:rsid w:val="00CF7FCE"/>
    <w:rsid w:val="00D00E69"/>
    <w:rsid w:val="00D01ACC"/>
    <w:rsid w:val="00D02365"/>
    <w:rsid w:val="00D04934"/>
    <w:rsid w:val="00D0609D"/>
    <w:rsid w:val="00D11828"/>
    <w:rsid w:val="00D2031B"/>
    <w:rsid w:val="00D2387E"/>
    <w:rsid w:val="00D25FE2"/>
    <w:rsid w:val="00D37949"/>
    <w:rsid w:val="00D42146"/>
    <w:rsid w:val="00D43252"/>
    <w:rsid w:val="00D44AE0"/>
    <w:rsid w:val="00D44EFC"/>
    <w:rsid w:val="00D5171D"/>
    <w:rsid w:val="00D606BB"/>
    <w:rsid w:val="00D625F5"/>
    <w:rsid w:val="00D668CA"/>
    <w:rsid w:val="00D72869"/>
    <w:rsid w:val="00D753D8"/>
    <w:rsid w:val="00D84DB1"/>
    <w:rsid w:val="00D95849"/>
    <w:rsid w:val="00D96CC5"/>
    <w:rsid w:val="00D978C6"/>
    <w:rsid w:val="00DA67AD"/>
    <w:rsid w:val="00DB0284"/>
    <w:rsid w:val="00DB281B"/>
    <w:rsid w:val="00DB4C88"/>
    <w:rsid w:val="00DC16B9"/>
    <w:rsid w:val="00DC1797"/>
    <w:rsid w:val="00DD70B8"/>
    <w:rsid w:val="00DE19A0"/>
    <w:rsid w:val="00DE4184"/>
    <w:rsid w:val="00DF0081"/>
    <w:rsid w:val="00DF7129"/>
    <w:rsid w:val="00E049CA"/>
    <w:rsid w:val="00E130AB"/>
    <w:rsid w:val="00E154D5"/>
    <w:rsid w:val="00E15862"/>
    <w:rsid w:val="00E21A5F"/>
    <w:rsid w:val="00E24107"/>
    <w:rsid w:val="00E274C0"/>
    <w:rsid w:val="00E305E0"/>
    <w:rsid w:val="00E35BAA"/>
    <w:rsid w:val="00E40163"/>
    <w:rsid w:val="00E4194D"/>
    <w:rsid w:val="00E450F1"/>
    <w:rsid w:val="00E45DE2"/>
    <w:rsid w:val="00E5126A"/>
    <w:rsid w:val="00E5317F"/>
    <w:rsid w:val="00E5644E"/>
    <w:rsid w:val="00E62EE3"/>
    <w:rsid w:val="00E66AF1"/>
    <w:rsid w:val="00E7260F"/>
    <w:rsid w:val="00E8535A"/>
    <w:rsid w:val="00E92301"/>
    <w:rsid w:val="00E96630"/>
    <w:rsid w:val="00EB6541"/>
    <w:rsid w:val="00EB6832"/>
    <w:rsid w:val="00EC42EA"/>
    <w:rsid w:val="00EC5D78"/>
    <w:rsid w:val="00ED4EB3"/>
    <w:rsid w:val="00ED67DB"/>
    <w:rsid w:val="00ED7A2A"/>
    <w:rsid w:val="00EE18BF"/>
    <w:rsid w:val="00EE32E6"/>
    <w:rsid w:val="00EE6D6E"/>
    <w:rsid w:val="00EE7FF7"/>
    <w:rsid w:val="00EF051D"/>
    <w:rsid w:val="00EF1393"/>
    <w:rsid w:val="00EF1D7F"/>
    <w:rsid w:val="00EF3923"/>
    <w:rsid w:val="00F01117"/>
    <w:rsid w:val="00F01716"/>
    <w:rsid w:val="00F0351B"/>
    <w:rsid w:val="00F054AD"/>
    <w:rsid w:val="00F11A87"/>
    <w:rsid w:val="00F14001"/>
    <w:rsid w:val="00F14936"/>
    <w:rsid w:val="00F40E75"/>
    <w:rsid w:val="00F416AA"/>
    <w:rsid w:val="00F45C14"/>
    <w:rsid w:val="00F45D1A"/>
    <w:rsid w:val="00F475EB"/>
    <w:rsid w:val="00F5272A"/>
    <w:rsid w:val="00F54674"/>
    <w:rsid w:val="00F54DDA"/>
    <w:rsid w:val="00F6331D"/>
    <w:rsid w:val="00F660F2"/>
    <w:rsid w:val="00F72912"/>
    <w:rsid w:val="00F73E3B"/>
    <w:rsid w:val="00F74124"/>
    <w:rsid w:val="00F85D7A"/>
    <w:rsid w:val="00F873E7"/>
    <w:rsid w:val="00F93B34"/>
    <w:rsid w:val="00F957FD"/>
    <w:rsid w:val="00FA54B1"/>
    <w:rsid w:val="00FB6DCF"/>
    <w:rsid w:val="00FB7905"/>
    <w:rsid w:val="00FC3415"/>
    <w:rsid w:val="00FC68B7"/>
    <w:rsid w:val="00FD2AAF"/>
    <w:rsid w:val="00FD6B2B"/>
    <w:rsid w:val="00FE0B49"/>
    <w:rsid w:val="00FE4A81"/>
    <w:rsid w:val="00FE752E"/>
    <w:rsid w:val="00FF03BB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69D8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semiHidden/>
    <w:rsid w:val="00396C00"/>
    <w:rPr>
      <w:lang w:eastAsia="en-US"/>
    </w:rPr>
  </w:style>
  <w:style w:type="character" w:customStyle="1" w:styleId="SingleTxtGCar">
    <w:name w:val="_ Single Txt_G Car"/>
    <w:rsid w:val="00125758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A44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semiHidden/>
    <w:rsid w:val="00396C00"/>
    <w:rPr>
      <w:lang w:eastAsia="en-US"/>
    </w:rPr>
  </w:style>
  <w:style w:type="character" w:customStyle="1" w:styleId="SingleTxtGCar">
    <w:name w:val="_ Single Txt_G Car"/>
    <w:rsid w:val="00125758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A44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8FC89-3BFA-45C8-BD5E-72E9DB61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1321580</vt:lpstr>
    </vt:vector>
  </TitlesOfParts>
  <Company>CSD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1321580</dc:title>
  <dc:subject>ST/SG/AC.10/C.3/2013/36</dc:subject>
  <dc:creator>cg</dc:creator>
  <dc:description>Final</dc:description>
  <cp:lastModifiedBy>Laurence Berthet</cp:lastModifiedBy>
  <cp:revision>3</cp:revision>
  <cp:lastPrinted>2015-10-23T14:41:00Z</cp:lastPrinted>
  <dcterms:created xsi:type="dcterms:W3CDTF">2015-10-23T14:34:00Z</dcterms:created>
  <dcterms:modified xsi:type="dcterms:W3CDTF">2015-10-23T14:46:00Z</dcterms:modified>
</cp:coreProperties>
</file>