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6B1E6C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="007315A6">
              <w:rPr>
                <w:b/>
                <w:sz w:val="40"/>
                <w:szCs w:val="40"/>
              </w:rPr>
              <w:t>/INF</w:t>
            </w:r>
            <w:r w:rsidR="00C360ED">
              <w:rPr>
                <w:b/>
                <w:sz w:val="40"/>
                <w:szCs w:val="40"/>
              </w:rPr>
              <w:t>.4</w:t>
            </w:r>
            <w:r w:rsidR="006B1E6C">
              <w:rPr>
                <w:b/>
                <w:sz w:val="40"/>
                <w:szCs w:val="40"/>
              </w:rPr>
              <w:t>6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C53B42" w:rsidP="00C53B42">
            <w:pPr>
              <w:spacing w:after="240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0729A7" w:rsidRPr="000729A7" w:rsidRDefault="000729A7" w:rsidP="000729A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000D61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000D61" w:rsidRDefault="00280D2B" w:rsidP="00000D61">
            <w:pPr>
              <w:tabs>
                <w:tab w:val="right" w:pos="9214"/>
              </w:tabs>
            </w:pPr>
            <w:r w:rsidRPr="00000D61">
              <w:rPr>
                <w:b/>
                <w:sz w:val="24"/>
                <w:szCs w:val="24"/>
              </w:rPr>
              <w:t>Committee of Experts on the Transport of Dangerous Goods</w:t>
            </w:r>
            <w:r w:rsidRPr="00000D61">
              <w:rPr>
                <w:b/>
                <w:sz w:val="24"/>
                <w:szCs w:val="24"/>
              </w:rPr>
              <w:tab/>
            </w:r>
            <w:r w:rsidRPr="00000D61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00D61">
              <w:rPr>
                <w:b/>
                <w:sz w:val="24"/>
                <w:szCs w:val="24"/>
              </w:rPr>
              <w:br/>
              <w:t>and Labelling of Chemicals</w:t>
            </w:r>
            <w:r w:rsidRPr="00000D61">
              <w:rPr>
                <w:b/>
              </w:rPr>
              <w:tab/>
            </w:r>
            <w:r w:rsidR="006B1E6C">
              <w:rPr>
                <w:b/>
              </w:rPr>
              <w:t>19</w:t>
            </w:r>
            <w:r w:rsidR="005A37A2" w:rsidRPr="00000D61">
              <w:rPr>
                <w:b/>
                <w:sz w:val="18"/>
                <w:szCs w:val="24"/>
              </w:rPr>
              <w:t xml:space="preserve"> </w:t>
            </w:r>
            <w:r w:rsidR="0053515F" w:rsidRPr="00000D61">
              <w:rPr>
                <w:b/>
                <w:sz w:val="18"/>
                <w:szCs w:val="24"/>
              </w:rPr>
              <w:t>June</w:t>
            </w:r>
            <w:r w:rsidR="005A37A2" w:rsidRPr="00000D61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8F72E9" w:rsidRDefault="00280D2B" w:rsidP="00F54DDA">
            <w:pPr>
              <w:spacing w:before="120"/>
              <w:ind w:left="34" w:hanging="34"/>
            </w:pPr>
            <w:r w:rsidRPr="008F72E9">
              <w:t>Geneva, 22 – 26 June 2015</w:t>
            </w:r>
          </w:p>
          <w:p w:rsidR="006B1E6C" w:rsidRPr="00D86F81" w:rsidRDefault="006B1E6C" w:rsidP="006B1E6C">
            <w:pPr>
              <w:rPr>
                <w:b/>
              </w:rPr>
            </w:pPr>
            <w:r>
              <w:t>Item 6 (d) of the provisional agenda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D86F81">
              <w:rPr>
                <w:b/>
              </w:rPr>
              <w:t xml:space="preserve">Miscellaneous proposals for amendments to the Model Regulations </w:t>
            </w:r>
            <w:r w:rsidRPr="00D86F81">
              <w:rPr>
                <w:b/>
              </w:rPr>
              <w:br/>
              <w:t xml:space="preserve">on the Transport of Dangerous Goods: </w:t>
            </w:r>
            <w:proofErr w:type="spellStart"/>
            <w:r w:rsidRPr="00D86F81">
              <w:rPr>
                <w:b/>
              </w:rPr>
              <w:t>packagings</w:t>
            </w:r>
            <w:proofErr w:type="spellEnd"/>
          </w:p>
          <w:p w:rsidR="00280D2B" w:rsidRPr="00093FAC" w:rsidRDefault="00280D2B" w:rsidP="00156369">
            <w:pPr>
              <w:rPr>
                <w:b/>
              </w:rPr>
            </w:pP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6B1E6C" w:rsidRPr="00977526" w:rsidRDefault="006B1E6C" w:rsidP="006B1E6C">
      <w:pPr>
        <w:pStyle w:val="HChG"/>
        <w:keepNext w:val="0"/>
        <w:keepLines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77526">
        <w:rPr>
          <w:lang w:val="en-US"/>
        </w:rPr>
        <w:t xml:space="preserve">Comments on document ST/SG/AC.1/C.3/2015/15 </w:t>
      </w:r>
    </w:p>
    <w:p w:rsidR="006B1E6C" w:rsidRPr="004061CF" w:rsidRDefault="006B1E6C" w:rsidP="006B1E6C">
      <w:pPr>
        <w:pStyle w:val="H1G"/>
        <w:keepNext w:val="0"/>
        <w:keepLines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061CF">
        <w:rPr>
          <w:lang w:val="en-US"/>
        </w:rPr>
        <w:t>Transmitted by the expert from Norway</w:t>
      </w:r>
    </w:p>
    <w:p w:rsidR="00C313F5" w:rsidRDefault="006B1E6C" w:rsidP="006B1E6C">
      <w:pPr>
        <w:pStyle w:val="HChG"/>
        <w:keepNext w:val="0"/>
        <w:keepLines w:val="0"/>
        <w:rPr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4061CF">
        <w:rPr>
          <w:bCs/>
          <w:lang w:val="en-US"/>
        </w:rPr>
        <w:t xml:space="preserve">Reference document: </w:t>
      </w:r>
      <w:r w:rsidRPr="004061CF">
        <w:rPr>
          <w:lang w:val="en-US"/>
        </w:rPr>
        <w:t>ST/SG/AC. 1/C.3/</w:t>
      </w:r>
      <w:r w:rsidRPr="006B1E6C">
        <w:t>2015</w:t>
      </w:r>
      <w:r w:rsidRPr="004061CF">
        <w:rPr>
          <w:lang w:val="en-US"/>
        </w:rPr>
        <w:t>/15</w:t>
      </w:r>
    </w:p>
    <w:p w:rsidR="006B1E6C" w:rsidRPr="004061CF" w:rsidRDefault="006B1E6C" w:rsidP="006B1E6C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4061CF">
        <w:rPr>
          <w:lang w:val="en-US"/>
        </w:rPr>
        <w:t>Norway welcomes the proposal from Germany concerning the temperature of the water used in the internal pressure (hydraulic) test for plastic packaging and IBC’s.</w:t>
      </w:r>
    </w:p>
    <w:p w:rsidR="006B1E6C" w:rsidRPr="004061CF" w:rsidRDefault="006B1E6C" w:rsidP="006B1E6C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4061CF">
        <w:rPr>
          <w:lang w:val="en-US"/>
        </w:rPr>
        <w:t xml:space="preserve">However, after consultation with our </w:t>
      </w:r>
      <w:proofErr w:type="spellStart"/>
      <w:r w:rsidRPr="004061CF">
        <w:rPr>
          <w:lang w:val="en-US"/>
        </w:rPr>
        <w:t>sertification</w:t>
      </w:r>
      <w:proofErr w:type="spellEnd"/>
      <w:r w:rsidRPr="004061CF">
        <w:rPr>
          <w:lang w:val="en-US"/>
        </w:rPr>
        <w:t xml:space="preserve"> body for </w:t>
      </w:r>
      <w:proofErr w:type="spellStart"/>
      <w:r w:rsidRPr="004061CF">
        <w:rPr>
          <w:lang w:val="en-US"/>
        </w:rPr>
        <w:t>packagings</w:t>
      </w:r>
      <w:proofErr w:type="spellEnd"/>
      <w:r w:rsidRPr="004061CF">
        <w:rPr>
          <w:lang w:val="en-US"/>
        </w:rPr>
        <w:t xml:space="preserve"> and IBCs we have some remarks:</w:t>
      </w:r>
    </w:p>
    <w:p w:rsidR="006B1E6C" w:rsidRPr="004061CF" w:rsidRDefault="006B1E6C" w:rsidP="006B1E6C">
      <w:pPr>
        <w:pStyle w:val="SingleTxtG"/>
        <w:ind w:left="1701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Pr="004061CF">
        <w:rPr>
          <w:lang w:val="en-US"/>
        </w:rPr>
        <w:t xml:space="preserve">Composite </w:t>
      </w:r>
      <w:proofErr w:type="spellStart"/>
      <w:r w:rsidRPr="004061CF">
        <w:rPr>
          <w:lang w:val="en-US"/>
        </w:rPr>
        <w:t>packagings</w:t>
      </w:r>
      <w:proofErr w:type="spellEnd"/>
      <w:r w:rsidRPr="004061CF">
        <w:rPr>
          <w:lang w:val="en-US"/>
        </w:rPr>
        <w:t xml:space="preserve"> and composite IBCs with inner plastics receptacles should be included in the amendments. </w:t>
      </w:r>
    </w:p>
    <w:p w:rsidR="006B1E6C" w:rsidRDefault="006B1E6C" w:rsidP="006B1E6C">
      <w:pPr>
        <w:pStyle w:val="SingleTxtG"/>
        <w:ind w:left="1701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>
        <w:rPr>
          <w:lang w:val="en-US"/>
        </w:rPr>
        <w:t>We believe i</w:t>
      </w:r>
      <w:r w:rsidRPr="004061CF">
        <w:rPr>
          <w:lang w:val="en-US"/>
        </w:rPr>
        <w:t>t is the temperature</w:t>
      </w:r>
      <w:r>
        <w:rPr>
          <w:lang w:val="en-US"/>
        </w:rPr>
        <w:t xml:space="preserve"> of the water that shall be minimum 12 °C, and that the temperature shall be documented when the test sample is ready for testing. The temperature shall not be measured during the test</w:t>
      </w:r>
      <w:r w:rsidRPr="004061CF">
        <w:rPr>
          <w:lang w:val="en-US"/>
        </w:rPr>
        <w:t>. Thus, to avoid confusion we think the text should be made clearer on that.</w:t>
      </w:r>
    </w:p>
    <w:p w:rsidR="006B1E6C" w:rsidRPr="00D57550" w:rsidRDefault="006B1E6C" w:rsidP="006B1E6C">
      <w:pPr>
        <w:pStyle w:val="SingleTxtG"/>
        <w:ind w:left="1701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Pr="004061CF">
        <w:rPr>
          <w:lang w:val="en-US"/>
        </w:rPr>
        <w:t xml:space="preserve">Test labs should be allowed (voluntary) to use a correction factor for the pressure when the water temperature is measured </w:t>
      </w:r>
      <w:r w:rsidRPr="00D57550">
        <w:rPr>
          <w:u w:val="single"/>
          <w:lang w:val="en-US"/>
        </w:rPr>
        <w:t>above</w:t>
      </w:r>
      <w:r w:rsidRPr="004061CF">
        <w:rPr>
          <w:lang w:val="en-US"/>
        </w:rPr>
        <w:t xml:space="preserve"> 12</w:t>
      </w:r>
      <w:r>
        <w:rPr>
          <w:lang w:val="en-US"/>
        </w:rPr>
        <w:t xml:space="preserve"> </w:t>
      </w:r>
      <w:r w:rsidRPr="004061CF">
        <w:rPr>
          <w:lang w:val="en-US"/>
        </w:rPr>
        <w:t xml:space="preserve">°C. This would make the pressure test results even more comparable between test labs. On the other hand, without a correction factor, an IBC might fail at 20 °C but pass at 12 °C. Reference can be given to the </w:t>
      </w:r>
      <w:r w:rsidRPr="004061CF">
        <w:rPr>
          <w:i/>
          <w:lang w:val="en-US"/>
        </w:rPr>
        <w:t>Hydraulic pressure test</w:t>
      </w:r>
      <w:r w:rsidRPr="004061CF">
        <w:rPr>
          <w:lang w:val="en-US"/>
        </w:rPr>
        <w:t xml:space="preserve"> as described in ISO 16495:2013 </w:t>
      </w:r>
      <w:r w:rsidRPr="004061CF">
        <w:rPr>
          <w:bCs/>
          <w:i/>
          <w:lang w:val="en-US"/>
        </w:rPr>
        <w:t xml:space="preserve">Packaging — Transport packaging for dangerous goods — Test methods. </w:t>
      </w:r>
    </w:p>
    <w:p w:rsidR="006B1E6C" w:rsidRPr="004061CF" w:rsidRDefault="006B1E6C" w:rsidP="006B1E6C">
      <w:pPr>
        <w:pStyle w:val="HChG"/>
      </w:pPr>
      <w:r>
        <w:tab/>
      </w:r>
      <w:r>
        <w:tab/>
      </w:r>
      <w:r w:rsidRPr="006B1E6C">
        <w:t>Proposal</w:t>
      </w:r>
    </w:p>
    <w:p w:rsidR="006B1E6C" w:rsidRPr="006B1E6C" w:rsidRDefault="006B1E6C" w:rsidP="006B1E6C">
      <w:pPr>
        <w:pStyle w:val="SingleTxtG"/>
      </w:pPr>
      <w:r w:rsidRPr="006B1E6C">
        <w:t>Amend 6.1.5.5.3 to read as follows (new added text underlined):</w:t>
      </w:r>
    </w:p>
    <w:p w:rsidR="006B1E6C" w:rsidRPr="006B1E6C" w:rsidRDefault="006B1E6C" w:rsidP="006B1E6C">
      <w:pPr>
        <w:pStyle w:val="SingleTxtG"/>
        <w:ind w:left="1701"/>
      </w:pPr>
      <w:r w:rsidRPr="006B1E6C">
        <w:t>“</w:t>
      </w:r>
      <w:r w:rsidRPr="006B1E6C">
        <w:rPr>
          <w:i/>
        </w:rPr>
        <w:t xml:space="preserve">Special preparation of </w:t>
      </w:r>
      <w:proofErr w:type="spellStart"/>
      <w:r w:rsidRPr="006B1E6C">
        <w:rPr>
          <w:i/>
        </w:rPr>
        <w:t>packagings</w:t>
      </w:r>
      <w:proofErr w:type="spellEnd"/>
      <w:r w:rsidRPr="006B1E6C">
        <w:rPr>
          <w:i/>
        </w:rPr>
        <w:t xml:space="preserve"> for testing</w:t>
      </w:r>
      <w:r w:rsidRPr="006B1E6C">
        <w:t xml:space="preserve">: either vented closures shall be replaced by similar non-vented closures or the vent shall be sealed. </w:t>
      </w:r>
    </w:p>
    <w:p w:rsidR="006B1E6C" w:rsidRPr="00E2745B" w:rsidRDefault="006B1E6C" w:rsidP="006B1E6C">
      <w:pPr>
        <w:pStyle w:val="SingleTxtG"/>
        <w:ind w:left="1701"/>
        <w:rPr>
          <w:i/>
        </w:rPr>
      </w:pPr>
      <w:r w:rsidRPr="00E2745B">
        <w:rPr>
          <w:u w:val="single"/>
        </w:rPr>
        <w:t>For plastics packaging and composite packaging (plastic materials) the temperature of the water shall not be below 12 °C. The water temperature shall be documented for the t</w:t>
      </w:r>
      <w:r>
        <w:rPr>
          <w:u w:val="single"/>
        </w:rPr>
        <w:t xml:space="preserve">est sample </w:t>
      </w:r>
      <w:r w:rsidRPr="00E2745B">
        <w:rPr>
          <w:u w:val="single"/>
        </w:rPr>
        <w:t>before the test is carried out.</w:t>
      </w:r>
      <w:r w:rsidRPr="00E2745B">
        <w:t xml:space="preserve"> </w:t>
      </w:r>
      <w:r w:rsidRPr="00E2745B">
        <w:rPr>
          <w:u w:val="single"/>
        </w:rPr>
        <w:t xml:space="preserve">When the temperature is measured above 12 °C the internal pressure to be applied may be reduced with a correction </w:t>
      </w:r>
      <w:r w:rsidRPr="00E2745B">
        <w:rPr>
          <w:u w:val="single"/>
        </w:rPr>
        <w:lastRenderedPageBreak/>
        <w:t xml:space="preserve">factor according to </w:t>
      </w:r>
      <w:r w:rsidRPr="00E2745B">
        <w:rPr>
          <w:u w:val="single"/>
          <w:lang w:val="en-US"/>
        </w:rPr>
        <w:t xml:space="preserve">ISO 16495:2013 </w:t>
      </w:r>
      <w:r w:rsidRPr="00E2745B">
        <w:rPr>
          <w:bCs/>
          <w:i/>
          <w:u w:val="single"/>
          <w:lang w:val="en-US"/>
        </w:rPr>
        <w:t>Packaging — Transport packaging for dangerous goods — Test methods</w:t>
      </w:r>
      <w:r w:rsidRPr="00E2745B">
        <w:rPr>
          <w:u w:val="single"/>
        </w:rPr>
        <w:t>”.</w:t>
      </w:r>
    </w:p>
    <w:p w:rsidR="006B1E6C" w:rsidRPr="00E2745B" w:rsidRDefault="006B1E6C" w:rsidP="006B1E6C">
      <w:pPr>
        <w:pStyle w:val="SingleTxtG"/>
      </w:pPr>
      <w:r w:rsidRPr="00E2745B">
        <w:t>Amend 6.5.6.8.2 to read as follows:</w:t>
      </w:r>
    </w:p>
    <w:p w:rsidR="006B1E6C" w:rsidRPr="006B1E6C" w:rsidRDefault="006B1E6C" w:rsidP="006B1E6C">
      <w:pPr>
        <w:pStyle w:val="SingleTxtG"/>
        <w:rPr>
          <w:i/>
        </w:rPr>
      </w:pPr>
      <w:r w:rsidRPr="006B1E6C">
        <w:rPr>
          <w:i/>
        </w:rPr>
        <w:t>“Preparation of the IBC for test</w:t>
      </w:r>
    </w:p>
    <w:p w:rsidR="006B1E6C" w:rsidRDefault="006B1E6C" w:rsidP="006B1E6C">
      <w:pPr>
        <w:pStyle w:val="SingleTxtG"/>
      </w:pPr>
      <w:r w:rsidRPr="00E2745B">
        <w:t xml:space="preserve">The test shall be carried out before the fitting of any thermal insulation equipment. Pressure-relief devices shall be removed and their apertures plugged, or shall be rendered inoperative. </w:t>
      </w:r>
    </w:p>
    <w:p w:rsidR="006B1E6C" w:rsidRPr="00E2745B" w:rsidRDefault="006B1E6C" w:rsidP="006B1E6C">
      <w:pPr>
        <w:pStyle w:val="SingleTxtG"/>
      </w:pPr>
      <w:r w:rsidRPr="00E2745B">
        <w:rPr>
          <w:u w:val="single"/>
        </w:rPr>
        <w:t xml:space="preserve">For rigid plastics IBC and composite IBCs the temperature of the water shall not be below 12 °C. The water temperature shall be documented for the test sample before the test is carried out. When the temperature is measured above 12 °C the internal pressure to be applied may be reduced with a correction factor according to </w:t>
      </w:r>
      <w:r w:rsidRPr="00E2745B">
        <w:rPr>
          <w:u w:val="single"/>
          <w:lang w:val="en-US"/>
        </w:rPr>
        <w:t xml:space="preserve">ISO 16495:2013 </w:t>
      </w:r>
      <w:r w:rsidRPr="00E2745B">
        <w:rPr>
          <w:bCs/>
          <w:i/>
          <w:u w:val="single"/>
          <w:lang w:val="en-US"/>
        </w:rPr>
        <w:t>Packaging — Transport packaging for dangerous goods — Test methods</w:t>
      </w:r>
      <w:r w:rsidRPr="00E2745B">
        <w:rPr>
          <w:u w:val="single"/>
        </w:rPr>
        <w:t>”.</w:t>
      </w:r>
    </w:p>
    <w:p w:rsidR="006B1E6C" w:rsidRPr="006B1E6C" w:rsidRDefault="006B1E6C" w:rsidP="006B1E6C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B1E6C" w:rsidRDefault="006B1E6C" w:rsidP="006B1E6C">
      <w:pPr>
        <w:rPr>
          <w:lang w:val="en-US"/>
        </w:rPr>
      </w:pPr>
    </w:p>
    <w:p w:rsidR="006B1E6C" w:rsidRPr="006B1E6C" w:rsidRDefault="006B1E6C" w:rsidP="006B1E6C">
      <w:pPr>
        <w:pStyle w:val="SingleTxtG"/>
        <w:rPr>
          <w:lang w:val="en-US"/>
        </w:rPr>
      </w:pPr>
      <w:bookmarkStart w:id="0" w:name="_GoBack"/>
      <w:bookmarkEnd w:id="0"/>
    </w:p>
    <w:sectPr w:rsidR="006B1E6C" w:rsidRPr="006B1E6C" w:rsidSect="002006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0" w:rsidRDefault="006D6B10"/>
  </w:endnote>
  <w:endnote w:type="continuationSeparator" w:id="0">
    <w:p w:rsidR="006D6B10" w:rsidRDefault="006D6B10"/>
  </w:endnote>
  <w:endnote w:type="continuationNotice" w:id="1">
    <w:p w:rsidR="006D6B10" w:rsidRDefault="006D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2264E0" w:rsidRDefault="00C72739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176792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6B1E6C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176792" w:rsidRPr="0005570C" w:rsidRDefault="00176792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C72739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C72739" w:rsidRPr="0005570C">
      <w:rPr>
        <w:b/>
        <w:sz w:val="18"/>
      </w:rPr>
      <w:fldChar w:fldCharType="separate"/>
    </w:r>
    <w:r w:rsidR="002D24E1">
      <w:rPr>
        <w:b/>
        <w:noProof/>
        <w:sz w:val="18"/>
      </w:rPr>
      <w:t>3</w:t>
    </w:r>
    <w:r w:rsidR="00C72739"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Default="002055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0" w:rsidRPr="000B175B" w:rsidRDefault="006D6B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6B10" w:rsidRPr="00FC68B7" w:rsidRDefault="006D6B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6B10" w:rsidRDefault="006D6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F54DDA" w:rsidRDefault="00176792" w:rsidP="00F54DDA">
    <w:pPr>
      <w:pStyle w:val="Header"/>
    </w:pPr>
    <w:r w:rsidRPr="00F54DDA">
      <w:rPr>
        <w:noProof/>
      </w:rPr>
      <w:t>UN/SCETDG/4</w:t>
    </w:r>
    <w:r w:rsidR="006B1E6C">
      <w:rPr>
        <w:noProof/>
      </w:rPr>
      <w:t>7/INF.46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D539A"/>
    <w:multiLevelType w:val="hybridMultilevel"/>
    <w:tmpl w:val="1200D1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BAA3980"/>
    <w:multiLevelType w:val="hybridMultilevel"/>
    <w:tmpl w:val="571AE50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11"/>
  </w:num>
  <w:num w:numId="17">
    <w:abstractNumId w:val="24"/>
  </w:num>
  <w:num w:numId="18">
    <w:abstractNumId w:val="18"/>
  </w:num>
  <w:num w:numId="19">
    <w:abstractNumId w:val="12"/>
  </w:num>
  <w:num w:numId="20">
    <w:abstractNumId w:val="19"/>
  </w:num>
  <w:num w:numId="21">
    <w:abstractNumId w:val="14"/>
  </w:num>
  <w:num w:numId="22">
    <w:abstractNumId w:val="20"/>
  </w:num>
  <w:num w:numId="23">
    <w:abstractNumId w:val="25"/>
  </w:num>
  <w:num w:numId="24">
    <w:abstractNumId w:val="21"/>
  </w:num>
  <w:num w:numId="25">
    <w:abstractNumId w:val="23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0D61"/>
    <w:rsid w:val="0000660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64F24"/>
    <w:rsid w:val="000669D9"/>
    <w:rsid w:val="00067C1A"/>
    <w:rsid w:val="00071BC5"/>
    <w:rsid w:val="000729A7"/>
    <w:rsid w:val="00072C8C"/>
    <w:rsid w:val="000732CC"/>
    <w:rsid w:val="00073E97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56369"/>
    <w:rsid w:val="0016063F"/>
    <w:rsid w:val="001633FB"/>
    <w:rsid w:val="00166B07"/>
    <w:rsid w:val="00176792"/>
    <w:rsid w:val="00177434"/>
    <w:rsid w:val="00182A05"/>
    <w:rsid w:val="00187869"/>
    <w:rsid w:val="00191BE2"/>
    <w:rsid w:val="001948D6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00662"/>
    <w:rsid w:val="00201CC1"/>
    <w:rsid w:val="00204C35"/>
    <w:rsid w:val="002055B0"/>
    <w:rsid w:val="00206EA3"/>
    <w:rsid w:val="002102C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2FA0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1A70"/>
    <w:rsid w:val="002A2560"/>
    <w:rsid w:val="002A4877"/>
    <w:rsid w:val="002A7532"/>
    <w:rsid w:val="002B1CDA"/>
    <w:rsid w:val="002B2EA7"/>
    <w:rsid w:val="002B521D"/>
    <w:rsid w:val="002B79CF"/>
    <w:rsid w:val="002B7D6F"/>
    <w:rsid w:val="002C54A4"/>
    <w:rsid w:val="002C5EAE"/>
    <w:rsid w:val="002C7649"/>
    <w:rsid w:val="002D24E1"/>
    <w:rsid w:val="002D7530"/>
    <w:rsid w:val="002E0239"/>
    <w:rsid w:val="002E7C35"/>
    <w:rsid w:val="002F0918"/>
    <w:rsid w:val="002F143F"/>
    <w:rsid w:val="002F279C"/>
    <w:rsid w:val="00302963"/>
    <w:rsid w:val="00303816"/>
    <w:rsid w:val="003107FA"/>
    <w:rsid w:val="00316C13"/>
    <w:rsid w:val="00320A76"/>
    <w:rsid w:val="00321714"/>
    <w:rsid w:val="003229D8"/>
    <w:rsid w:val="00322F52"/>
    <w:rsid w:val="003311AD"/>
    <w:rsid w:val="003323B3"/>
    <w:rsid w:val="00333732"/>
    <w:rsid w:val="0034522A"/>
    <w:rsid w:val="00347184"/>
    <w:rsid w:val="0037024C"/>
    <w:rsid w:val="00372BDC"/>
    <w:rsid w:val="00373815"/>
    <w:rsid w:val="00374763"/>
    <w:rsid w:val="00381262"/>
    <w:rsid w:val="00384416"/>
    <w:rsid w:val="0038676A"/>
    <w:rsid w:val="0039277A"/>
    <w:rsid w:val="00392C6B"/>
    <w:rsid w:val="003972E0"/>
    <w:rsid w:val="003B4359"/>
    <w:rsid w:val="003B47CC"/>
    <w:rsid w:val="003C2CC4"/>
    <w:rsid w:val="003D4B23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9309D"/>
    <w:rsid w:val="00494D24"/>
    <w:rsid w:val="00495B9D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5763"/>
    <w:rsid w:val="005206A2"/>
    <w:rsid w:val="005248FF"/>
    <w:rsid w:val="00527910"/>
    <w:rsid w:val="00532A62"/>
    <w:rsid w:val="005335B1"/>
    <w:rsid w:val="0053515F"/>
    <w:rsid w:val="0053786F"/>
    <w:rsid w:val="005420F2"/>
    <w:rsid w:val="00543B03"/>
    <w:rsid w:val="00551E96"/>
    <w:rsid w:val="00552C5F"/>
    <w:rsid w:val="005553A2"/>
    <w:rsid w:val="005557E8"/>
    <w:rsid w:val="00564293"/>
    <w:rsid w:val="00566392"/>
    <w:rsid w:val="00566B77"/>
    <w:rsid w:val="005676D5"/>
    <w:rsid w:val="005732BE"/>
    <w:rsid w:val="0057509F"/>
    <w:rsid w:val="00581B62"/>
    <w:rsid w:val="00581C11"/>
    <w:rsid w:val="00587940"/>
    <w:rsid w:val="00590144"/>
    <w:rsid w:val="005940E3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6C20"/>
    <w:rsid w:val="005E7D3B"/>
    <w:rsid w:val="005E7EA4"/>
    <w:rsid w:val="005F5444"/>
    <w:rsid w:val="006071AF"/>
    <w:rsid w:val="00611FC4"/>
    <w:rsid w:val="00613E48"/>
    <w:rsid w:val="0061401C"/>
    <w:rsid w:val="006176FB"/>
    <w:rsid w:val="0063330C"/>
    <w:rsid w:val="00633C10"/>
    <w:rsid w:val="0063419C"/>
    <w:rsid w:val="00640B26"/>
    <w:rsid w:val="00641876"/>
    <w:rsid w:val="00650267"/>
    <w:rsid w:val="00664630"/>
    <w:rsid w:val="00664F8E"/>
    <w:rsid w:val="00682466"/>
    <w:rsid w:val="006835C6"/>
    <w:rsid w:val="0068393D"/>
    <w:rsid w:val="00684CAE"/>
    <w:rsid w:val="00687A76"/>
    <w:rsid w:val="006A0AE9"/>
    <w:rsid w:val="006A17B4"/>
    <w:rsid w:val="006A7392"/>
    <w:rsid w:val="006B1E6C"/>
    <w:rsid w:val="006B31D3"/>
    <w:rsid w:val="006B3590"/>
    <w:rsid w:val="006B7406"/>
    <w:rsid w:val="006B79A2"/>
    <w:rsid w:val="006C0D34"/>
    <w:rsid w:val="006C1C4A"/>
    <w:rsid w:val="006C4DB3"/>
    <w:rsid w:val="006D6B10"/>
    <w:rsid w:val="006E21A6"/>
    <w:rsid w:val="006E564B"/>
    <w:rsid w:val="007018BB"/>
    <w:rsid w:val="00707A67"/>
    <w:rsid w:val="0071233A"/>
    <w:rsid w:val="00716D0F"/>
    <w:rsid w:val="00725764"/>
    <w:rsid w:val="0072632A"/>
    <w:rsid w:val="007315A6"/>
    <w:rsid w:val="007428A0"/>
    <w:rsid w:val="0075177E"/>
    <w:rsid w:val="00757A17"/>
    <w:rsid w:val="0076711B"/>
    <w:rsid w:val="007726D4"/>
    <w:rsid w:val="00782216"/>
    <w:rsid w:val="00790258"/>
    <w:rsid w:val="00790791"/>
    <w:rsid w:val="007909EA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0548"/>
    <w:rsid w:val="007D1E30"/>
    <w:rsid w:val="007D3266"/>
    <w:rsid w:val="007D5B34"/>
    <w:rsid w:val="007D75E7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24416"/>
    <w:rsid w:val="0082570E"/>
    <w:rsid w:val="00826E4F"/>
    <w:rsid w:val="00832905"/>
    <w:rsid w:val="008337CE"/>
    <w:rsid w:val="00842FAF"/>
    <w:rsid w:val="00844A23"/>
    <w:rsid w:val="008553AE"/>
    <w:rsid w:val="008566E6"/>
    <w:rsid w:val="008610C5"/>
    <w:rsid w:val="00871FD5"/>
    <w:rsid w:val="008749E1"/>
    <w:rsid w:val="008900F3"/>
    <w:rsid w:val="0089467C"/>
    <w:rsid w:val="008979B1"/>
    <w:rsid w:val="008A6B25"/>
    <w:rsid w:val="008A6C4F"/>
    <w:rsid w:val="008A7362"/>
    <w:rsid w:val="008B0C07"/>
    <w:rsid w:val="008C0642"/>
    <w:rsid w:val="008C6D48"/>
    <w:rsid w:val="008D0E8A"/>
    <w:rsid w:val="008D44E2"/>
    <w:rsid w:val="008E0E46"/>
    <w:rsid w:val="008E1D4C"/>
    <w:rsid w:val="008E2AC7"/>
    <w:rsid w:val="008F36A7"/>
    <w:rsid w:val="008F42F2"/>
    <w:rsid w:val="008F6816"/>
    <w:rsid w:val="008F72E9"/>
    <w:rsid w:val="00905AEA"/>
    <w:rsid w:val="00910E37"/>
    <w:rsid w:val="0091450E"/>
    <w:rsid w:val="00915E24"/>
    <w:rsid w:val="009174F9"/>
    <w:rsid w:val="009178F6"/>
    <w:rsid w:val="00920103"/>
    <w:rsid w:val="00922076"/>
    <w:rsid w:val="00922603"/>
    <w:rsid w:val="00924330"/>
    <w:rsid w:val="0093457E"/>
    <w:rsid w:val="00940136"/>
    <w:rsid w:val="00945A5D"/>
    <w:rsid w:val="0094761C"/>
    <w:rsid w:val="00963CBA"/>
    <w:rsid w:val="00964960"/>
    <w:rsid w:val="00965ACC"/>
    <w:rsid w:val="00970D90"/>
    <w:rsid w:val="0097150D"/>
    <w:rsid w:val="00971B0B"/>
    <w:rsid w:val="00972131"/>
    <w:rsid w:val="00977813"/>
    <w:rsid w:val="009863A7"/>
    <w:rsid w:val="00986848"/>
    <w:rsid w:val="0099124E"/>
    <w:rsid w:val="00991261"/>
    <w:rsid w:val="00994010"/>
    <w:rsid w:val="00994014"/>
    <w:rsid w:val="009959A4"/>
    <w:rsid w:val="009A37C7"/>
    <w:rsid w:val="009B2FB7"/>
    <w:rsid w:val="009B3CC1"/>
    <w:rsid w:val="009B5318"/>
    <w:rsid w:val="009B6F46"/>
    <w:rsid w:val="009C2E92"/>
    <w:rsid w:val="009C3949"/>
    <w:rsid w:val="009E2874"/>
    <w:rsid w:val="009E35FF"/>
    <w:rsid w:val="009E587B"/>
    <w:rsid w:val="009F339D"/>
    <w:rsid w:val="00A12267"/>
    <w:rsid w:val="00A1427D"/>
    <w:rsid w:val="00A209A0"/>
    <w:rsid w:val="00A22354"/>
    <w:rsid w:val="00A22441"/>
    <w:rsid w:val="00A24E0D"/>
    <w:rsid w:val="00A25434"/>
    <w:rsid w:val="00A27584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BF2DFE"/>
    <w:rsid w:val="00BF4225"/>
    <w:rsid w:val="00C13C02"/>
    <w:rsid w:val="00C14CEE"/>
    <w:rsid w:val="00C17582"/>
    <w:rsid w:val="00C17CC7"/>
    <w:rsid w:val="00C20E3D"/>
    <w:rsid w:val="00C23226"/>
    <w:rsid w:val="00C248EF"/>
    <w:rsid w:val="00C313F5"/>
    <w:rsid w:val="00C3461F"/>
    <w:rsid w:val="00C360ED"/>
    <w:rsid w:val="00C3713C"/>
    <w:rsid w:val="00C40BAB"/>
    <w:rsid w:val="00C4186E"/>
    <w:rsid w:val="00C463DD"/>
    <w:rsid w:val="00C53B42"/>
    <w:rsid w:val="00C56883"/>
    <w:rsid w:val="00C60DCD"/>
    <w:rsid w:val="00C626EA"/>
    <w:rsid w:val="00C62F76"/>
    <w:rsid w:val="00C64CF9"/>
    <w:rsid w:val="00C67F22"/>
    <w:rsid w:val="00C72209"/>
    <w:rsid w:val="00C72739"/>
    <w:rsid w:val="00C745C3"/>
    <w:rsid w:val="00C835F0"/>
    <w:rsid w:val="00CA1406"/>
    <w:rsid w:val="00CA5C02"/>
    <w:rsid w:val="00CB3BCA"/>
    <w:rsid w:val="00CB4C9D"/>
    <w:rsid w:val="00CC23F0"/>
    <w:rsid w:val="00CD42C3"/>
    <w:rsid w:val="00CD68B3"/>
    <w:rsid w:val="00CE4A8F"/>
    <w:rsid w:val="00CE58B6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1548"/>
    <w:rsid w:val="00D2387E"/>
    <w:rsid w:val="00D23B3C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4D80"/>
    <w:rsid w:val="00D753D8"/>
    <w:rsid w:val="00D84DB1"/>
    <w:rsid w:val="00D9170E"/>
    <w:rsid w:val="00D95849"/>
    <w:rsid w:val="00D96CC5"/>
    <w:rsid w:val="00D978C6"/>
    <w:rsid w:val="00DA67AD"/>
    <w:rsid w:val="00DB0284"/>
    <w:rsid w:val="00DB281B"/>
    <w:rsid w:val="00DC16B9"/>
    <w:rsid w:val="00DC1797"/>
    <w:rsid w:val="00DD3B66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305E0"/>
    <w:rsid w:val="00E40163"/>
    <w:rsid w:val="00E4194D"/>
    <w:rsid w:val="00E44EEF"/>
    <w:rsid w:val="00E450F1"/>
    <w:rsid w:val="00E45DE2"/>
    <w:rsid w:val="00E5126A"/>
    <w:rsid w:val="00E5317F"/>
    <w:rsid w:val="00E5644E"/>
    <w:rsid w:val="00E62EE3"/>
    <w:rsid w:val="00E66AF1"/>
    <w:rsid w:val="00E7260F"/>
    <w:rsid w:val="00E81252"/>
    <w:rsid w:val="00E84EAD"/>
    <w:rsid w:val="00E8535A"/>
    <w:rsid w:val="00E85B9F"/>
    <w:rsid w:val="00E90EE6"/>
    <w:rsid w:val="00E92301"/>
    <w:rsid w:val="00E96630"/>
    <w:rsid w:val="00EA2878"/>
    <w:rsid w:val="00EB6541"/>
    <w:rsid w:val="00EB6832"/>
    <w:rsid w:val="00EC42EA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D7F"/>
    <w:rsid w:val="00F01117"/>
    <w:rsid w:val="00F01716"/>
    <w:rsid w:val="00F03012"/>
    <w:rsid w:val="00F054AD"/>
    <w:rsid w:val="00F10B6C"/>
    <w:rsid w:val="00F14001"/>
    <w:rsid w:val="00F148ED"/>
    <w:rsid w:val="00F14936"/>
    <w:rsid w:val="00F200A6"/>
    <w:rsid w:val="00F24697"/>
    <w:rsid w:val="00F40E75"/>
    <w:rsid w:val="00F416AA"/>
    <w:rsid w:val="00F45C14"/>
    <w:rsid w:val="00F45D1A"/>
    <w:rsid w:val="00F475EB"/>
    <w:rsid w:val="00F51F72"/>
    <w:rsid w:val="00F54674"/>
    <w:rsid w:val="00F54DDA"/>
    <w:rsid w:val="00F6331D"/>
    <w:rsid w:val="00F660F2"/>
    <w:rsid w:val="00F72912"/>
    <w:rsid w:val="00F8385D"/>
    <w:rsid w:val="00F85D7A"/>
    <w:rsid w:val="00F873E7"/>
    <w:rsid w:val="00F93B34"/>
    <w:rsid w:val="00FA54B1"/>
    <w:rsid w:val="00FB7905"/>
    <w:rsid w:val="00FC68B7"/>
    <w:rsid w:val="00FD6B2B"/>
    <w:rsid w:val="00FE43ED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1E6C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B1E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1E6C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B1E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0EB5-6972-4559-B288-E3F83934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1321580</vt:lpstr>
    </vt:vector>
  </TitlesOfParts>
  <Company>CSD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AUFAUVRE</dc:creator>
  <cp:lastModifiedBy>Laurence Berthet</cp:lastModifiedBy>
  <cp:revision>3</cp:revision>
  <cp:lastPrinted>2015-06-19T12:13:00Z</cp:lastPrinted>
  <dcterms:created xsi:type="dcterms:W3CDTF">2015-06-19T12:08:00Z</dcterms:created>
  <dcterms:modified xsi:type="dcterms:W3CDTF">2015-06-19T12:14:00Z</dcterms:modified>
</cp:coreProperties>
</file>