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B09" w:rsidRDefault="00A45B09" w:rsidP="00A45B09">
      <w:pPr>
        <w:spacing w:line="240" w:lineRule="auto"/>
        <w:rPr>
          <w:sz w:val="2"/>
        </w:rPr>
        <w:sectPr w:rsidR="00A45B09" w:rsidSect="00A45B09">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r>
        <w:rPr>
          <w:rStyle w:val="CommentReference"/>
        </w:rPr>
        <w:commentReference w:id="0"/>
      </w:r>
    </w:p>
    <w:p w:rsidR="00667F4F" w:rsidRDefault="00667F4F" w:rsidP="00667F4F">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667F4F">
        <w:rPr>
          <w:lang w:val="fr-FR"/>
        </w:rPr>
        <w:lastRenderedPageBreak/>
        <w:t xml:space="preserve">Comité d’experts du transport des marchandises </w:t>
      </w:r>
      <w:r>
        <w:rPr>
          <w:lang w:val="fr-FR"/>
        </w:rPr>
        <w:br/>
      </w:r>
      <w:r w:rsidRPr="00667F4F">
        <w:rPr>
          <w:lang w:val="fr-FR"/>
        </w:rPr>
        <w:t xml:space="preserve">dangereuses et du Système général harmonisé </w:t>
      </w:r>
      <w:r>
        <w:rPr>
          <w:lang w:val="fr-FR"/>
        </w:rPr>
        <w:br/>
      </w:r>
      <w:r w:rsidRPr="00667F4F">
        <w:rPr>
          <w:lang w:val="fr-FR"/>
        </w:rPr>
        <w:t>de classification et d’étiquetage des produits chimiques</w:t>
      </w:r>
    </w:p>
    <w:p w:rsidR="00667F4F" w:rsidRPr="00667F4F" w:rsidRDefault="00667F4F" w:rsidP="00667F4F">
      <w:pPr>
        <w:spacing w:line="120" w:lineRule="exact"/>
        <w:rPr>
          <w:sz w:val="10"/>
          <w:lang w:val="fr-FR"/>
        </w:rPr>
      </w:pPr>
    </w:p>
    <w:p w:rsidR="00667F4F" w:rsidRDefault="00667F4F" w:rsidP="00667F4F">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667F4F">
        <w:rPr>
          <w:lang w:val="fr-FR"/>
        </w:rPr>
        <w:t>Sous-Comit</w:t>
      </w:r>
      <w:bookmarkStart w:id="1" w:name="insstart"/>
      <w:bookmarkEnd w:id="1"/>
      <w:r w:rsidRPr="00667F4F">
        <w:rPr>
          <w:lang w:val="fr-FR"/>
        </w:rPr>
        <w:t xml:space="preserve">é d’experts du transport </w:t>
      </w:r>
      <w:r>
        <w:rPr>
          <w:lang w:val="fr-FR"/>
        </w:rPr>
        <w:br/>
      </w:r>
      <w:r w:rsidRPr="00667F4F">
        <w:rPr>
          <w:lang w:val="fr-FR"/>
        </w:rPr>
        <w:t>des marchandises dangereuses</w:t>
      </w:r>
    </w:p>
    <w:p w:rsidR="00667F4F" w:rsidRPr="00667F4F" w:rsidRDefault="00667F4F" w:rsidP="00667F4F">
      <w:pPr>
        <w:spacing w:line="120" w:lineRule="exact"/>
        <w:rPr>
          <w:sz w:val="10"/>
          <w:lang w:val="fr-FR"/>
        </w:rPr>
      </w:pPr>
    </w:p>
    <w:p w:rsidR="00667F4F" w:rsidRPr="00667F4F" w:rsidRDefault="00667F4F" w:rsidP="00667F4F">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667F4F">
        <w:rPr>
          <w:lang w:val="fr-FR"/>
        </w:rPr>
        <w:t>Quarante-huitième session</w:t>
      </w:r>
    </w:p>
    <w:p w:rsidR="00667F4F" w:rsidRPr="00667F4F" w:rsidRDefault="00667F4F" w:rsidP="00667F4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Pr>
          <w:lang w:val="fr-FR"/>
        </w:rPr>
        <w:t>Genève, 30 novembre-9 </w:t>
      </w:r>
      <w:r w:rsidRPr="00667F4F">
        <w:rPr>
          <w:lang w:val="fr-FR"/>
        </w:rPr>
        <w:t>décembre 2015</w:t>
      </w:r>
    </w:p>
    <w:p w:rsidR="00667F4F" w:rsidRPr="00667F4F" w:rsidRDefault="00667F4F" w:rsidP="00667F4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667F4F">
        <w:rPr>
          <w:lang w:val="fr-FR"/>
        </w:rPr>
        <w:t>Point 4 d) de l’ordre du jour provisoire</w:t>
      </w:r>
    </w:p>
    <w:p w:rsidR="00667F4F" w:rsidRDefault="00667F4F" w:rsidP="00667F4F">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667F4F">
        <w:rPr>
          <w:lang w:val="fr-FR"/>
        </w:rPr>
        <w:t>Systèmes de stockage de l’électricité</w:t>
      </w:r>
      <w:r>
        <w:rPr>
          <w:lang w:val="fr-FR"/>
        </w:rPr>
        <w:t> </w:t>
      </w:r>
      <w:r w:rsidRPr="00667F4F">
        <w:rPr>
          <w:lang w:val="fr-FR"/>
        </w:rPr>
        <w:t>: questions diverses</w:t>
      </w:r>
    </w:p>
    <w:p w:rsidR="00667F4F" w:rsidRPr="00667F4F" w:rsidRDefault="00667F4F" w:rsidP="00667F4F">
      <w:pPr>
        <w:spacing w:line="120" w:lineRule="exact"/>
        <w:rPr>
          <w:sz w:val="10"/>
          <w:lang w:val="fr-FR"/>
        </w:rPr>
      </w:pPr>
    </w:p>
    <w:p w:rsidR="00667F4F" w:rsidRPr="00667F4F" w:rsidRDefault="00667F4F" w:rsidP="00667F4F">
      <w:pPr>
        <w:spacing w:line="120" w:lineRule="exact"/>
        <w:rPr>
          <w:sz w:val="10"/>
          <w:lang w:val="fr-FR"/>
        </w:rPr>
      </w:pPr>
    </w:p>
    <w:p w:rsidR="00667F4F" w:rsidRPr="00667F4F" w:rsidRDefault="00667F4F" w:rsidP="00667F4F">
      <w:pPr>
        <w:spacing w:line="120" w:lineRule="exact"/>
        <w:rPr>
          <w:sz w:val="10"/>
          <w:lang w:val="fr-FR"/>
        </w:rPr>
      </w:pPr>
    </w:p>
    <w:p w:rsidR="00667F4F" w:rsidRDefault="00667F4F" w:rsidP="00667F4F">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hanging="1267"/>
        <w:rPr>
          <w:lang w:val="fr-FR"/>
        </w:rPr>
      </w:pPr>
      <w:r>
        <w:rPr>
          <w:lang w:val="fr-FR"/>
        </w:rPr>
        <w:tab/>
      </w:r>
      <w:r>
        <w:rPr>
          <w:lang w:val="fr-FR"/>
        </w:rPr>
        <w:tab/>
      </w:r>
      <w:bookmarkStart w:id="2" w:name="_GoBack"/>
      <w:r w:rsidRPr="00667F4F">
        <w:rPr>
          <w:lang w:val="fr-FR"/>
        </w:rPr>
        <w:t xml:space="preserve">Dispositions relatives aux batteries au lithium </w:t>
      </w:r>
      <w:r>
        <w:rPr>
          <w:lang w:val="fr-FR"/>
        </w:rPr>
        <w:br/>
      </w:r>
      <w:r w:rsidRPr="00667F4F">
        <w:rPr>
          <w:lang w:val="fr-FR"/>
        </w:rPr>
        <w:t>équipant des engins de transport fermés</w:t>
      </w:r>
      <w:bookmarkEnd w:id="2"/>
    </w:p>
    <w:p w:rsidR="00667F4F" w:rsidRPr="00667F4F" w:rsidRDefault="00667F4F" w:rsidP="00667F4F">
      <w:pPr>
        <w:spacing w:line="120" w:lineRule="exact"/>
        <w:rPr>
          <w:sz w:val="10"/>
          <w:lang w:val="fr-FR"/>
        </w:rPr>
      </w:pPr>
    </w:p>
    <w:p w:rsidR="00667F4F" w:rsidRPr="00667F4F" w:rsidRDefault="00667F4F" w:rsidP="00667F4F">
      <w:pPr>
        <w:spacing w:line="120" w:lineRule="exact"/>
        <w:rPr>
          <w:sz w:val="10"/>
          <w:lang w:val="fr-FR"/>
        </w:rPr>
      </w:pPr>
    </w:p>
    <w:p w:rsidR="00667F4F" w:rsidRDefault="00667F4F" w:rsidP="00667F4F">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Pr>
          <w:lang w:val="fr-FR"/>
        </w:rPr>
        <w:tab/>
      </w:r>
      <w:r>
        <w:rPr>
          <w:lang w:val="fr-FR"/>
        </w:rPr>
        <w:tab/>
      </w:r>
      <w:r w:rsidRPr="00667F4F">
        <w:rPr>
          <w:lang w:val="fr-FR"/>
        </w:rPr>
        <w:t xml:space="preserve">Communication de la Rechargeable </w:t>
      </w:r>
      <w:proofErr w:type="spellStart"/>
      <w:r w:rsidRPr="00667F4F">
        <w:rPr>
          <w:lang w:val="fr-FR"/>
        </w:rPr>
        <w:t>Battery</w:t>
      </w:r>
      <w:proofErr w:type="spellEnd"/>
      <w:r w:rsidRPr="00667F4F">
        <w:rPr>
          <w:lang w:val="fr-FR"/>
        </w:rPr>
        <w:t xml:space="preserve"> Association (PRBA)</w:t>
      </w:r>
      <w:r w:rsidRPr="00667F4F">
        <w:rPr>
          <w:rStyle w:val="FootnoteReference"/>
          <w:b w:val="0"/>
          <w:sz w:val="20"/>
          <w:szCs w:val="20"/>
          <w:lang w:val="fr-FR"/>
        </w:rPr>
        <w:footnoteReference w:id="1"/>
      </w:r>
    </w:p>
    <w:p w:rsidR="00667F4F" w:rsidRPr="00667F4F" w:rsidRDefault="00667F4F" w:rsidP="00667F4F">
      <w:pPr>
        <w:spacing w:line="120" w:lineRule="exact"/>
        <w:rPr>
          <w:sz w:val="10"/>
          <w:lang w:val="fr-FR"/>
        </w:rPr>
      </w:pPr>
    </w:p>
    <w:p w:rsidR="00667F4F" w:rsidRPr="00667F4F" w:rsidRDefault="00667F4F" w:rsidP="00667F4F">
      <w:pPr>
        <w:spacing w:line="120" w:lineRule="exact"/>
        <w:rPr>
          <w:sz w:val="10"/>
          <w:lang w:val="fr-FR"/>
        </w:rPr>
      </w:pPr>
    </w:p>
    <w:p w:rsidR="00667F4F" w:rsidRPr="00667F4F" w:rsidRDefault="00667F4F" w:rsidP="00667F4F">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US"/>
        </w:rPr>
      </w:pPr>
      <w:r w:rsidRPr="00667F4F">
        <w:rPr>
          <w:lang w:val="fr-FR"/>
        </w:rPr>
        <w:tab/>
      </w:r>
      <w:r w:rsidRPr="00667F4F">
        <w:rPr>
          <w:lang w:val="fr-FR"/>
        </w:rPr>
        <w:tab/>
        <w:t>Introduction</w:t>
      </w:r>
    </w:p>
    <w:p w:rsidR="00A45B09" w:rsidRPr="00A075E4" w:rsidRDefault="00A45B09" w:rsidP="00A075E4">
      <w:pPr>
        <w:pStyle w:val="SingleTxt"/>
        <w:spacing w:after="0" w:line="120" w:lineRule="exact"/>
        <w:rPr>
          <w:sz w:val="10"/>
        </w:rPr>
      </w:pPr>
    </w:p>
    <w:p w:rsidR="00A075E4" w:rsidRPr="00A075E4" w:rsidRDefault="00A075E4" w:rsidP="00A075E4">
      <w:pPr>
        <w:pStyle w:val="SingleTxt"/>
        <w:spacing w:after="0" w:line="120" w:lineRule="exact"/>
        <w:rPr>
          <w:sz w:val="10"/>
        </w:rPr>
      </w:pPr>
    </w:p>
    <w:p w:rsidR="00A075E4" w:rsidRPr="00A075E4" w:rsidRDefault="00A075E4" w:rsidP="00A075E4">
      <w:pPr>
        <w:pStyle w:val="SingleTxt"/>
        <w:numPr>
          <w:ilvl w:val="0"/>
          <w:numId w:val="8"/>
        </w:numPr>
        <w:tabs>
          <w:tab w:val="clear" w:pos="1735"/>
          <w:tab w:val="num" w:pos="1742"/>
        </w:tabs>
        <w:ind w:left="1267"/>
        <w:rPr>
          <w:lang w:val="fr-FR"/>
        </w:rPr>
      </w:pPr>
      <w:r w:rsidRPr="00A075E4">
        <w:rPr>
          <w:lang w:val="fr-FR"/>
        </w:rPr>
        <w:t>La fabrication et le transport des batteries d’accumulateurs au lithium-ion de très grande taille sont aujourd’hui choses courantes. Ces batteries sont en général des rangées d’accumulateurs au lithium-ion reliés électriquement et munis des systèmes de gestion nécessaires. Ces accumulateurs sont arrimés sur des étagères, des rayonnages d’armoires ou des structures similaires. Ces structures sont elles-mêmes fixées à l’intérieur d’engins de transport fermés, par exemple des conteneurs et des véhicules de transport de marchandises. L’engin de transport fermé est de ce fait le contenant d’une batterie d’accumulateurs au lithium-ion de très grande taille. Ces batteries d’accumulateurs sont utilisées dans toute une série de réseaux électriques et d’applications similaires, par exemple pour la conservation de l’énergie produite par des parcs de grandes éoliennes.</w:t>
      </w:r>
    </w:p>
    <w:p w:rsidR="00A075E4" w:rsidRPr="00A075E4" w:rsidRDefault="00A075E4" w:rsidP="00A075E4">
      <w:pPr>
        <w:pStyle w:val="SingleTxt"/>
        <w:numPr>
          <w:ilvl w:val="0"/>
          <w:numId w:val="8"/>
        </w:numPr>
        <w:ind w:left="1267"/>
        <w:rPr>
          <w:lang w:val="fr-FR"/>
        </w:rPr>
      </w:pPr>
      <w:r w:rsidRPr="00A075E4">
        <w:rPr>
          <w:lang w:val="fr-FR"/>
        </w:rPr>
        <w:t xml:space="preserve">Ces grands ensembles sont souvent équipés d’extincteurs fixes et de systèmes de réfrigération internes qui sont eux-mêmes, dans la mesure où ils sont remplis de gaz liquéfiés, des marchandises dangereuses. À l’heure actuelle, le Règlement type ne s’intéresse pas explicitement au transport de grandes batteries d’accumulateurs au lithium dont le boîtier est susceptible de contenir d’autres matières dangereuses utiles au niveau de la sécurité ou du fonctionnement (par exemple pour la réfrigération). On ne sait donc pas très bien, pour le transport de ces batteries d’accumulateurs au lithium-ion de grande taille, quelles marques, étiquettes et plaques-étiquettes apposer ni quelles mentions faire figurer sur les documents de transport. Afin de dissiper ces </w:t>
      </w:r>
      <w:r w:rsidRPr="00A075E4">
        <w:rPr>
          <w:lang w:val="fr-FR"/>
        </w:rPr>
        <w:lastRenderedPageBreak/>
        <w:t>doutes, il est proposé d’ajouter certaines dispositions relatives aux grandes batteries d’accumulateurs au lithium équipant des engins de transport fermés (tels que des conteneurs et des véhicules de transport de marchandises), notamment lorsqu’ils sont également pourvus d’extincteurs ou de systèmes de réfrigération.</w:t>
      </w:r>
    </w:p>
    <w:p w:rsidR="00A075E4" w:rsidRPr="00A075E4" w:rsidRDefault="00A075E4" w:rsidP="00A075E4">
      <w:pPr>
        <w:pStyle w:val="SingleTxt"/>
        <w:numPr>
          <w:ilvl w:val="0"/>
          <w:numId w:val="8"/>
        </w:numPr>
        <w:ind w:left="1267"/>
        <w:rPr>
          <w:lang w:val="fr-FR"/>
        </w:rPr>
      </w:pPr>
      <w:r w:rsidRPr="00A075E4">
        <w:rPr>
          <w:lang w:val="fr-FR"/>
        </w:rPr>
        <w:t>Pour ce qui est de l’emballage, les modalités de transport des batteries au lithium dans des engins de transport fermés sont généralement conformes aux prescriptions de l’instruction d’emballage P903(2), étant donné que l’unité de transport offre elle-même une protection supplémentaire pendant le transport. En outre, le transport des extincteurs (ONU</w:t>
      </w:r>
      <w:r>
        <w:rPr>
          <w:lang w:val="fr-FR"/>
        </w:rPr>
        <w:t> </w:t>
      </w:r>
      <w:r w:rsidRPr="00A075E4">
        <w:rPr>
          <w:lang w:val="fr-FR"/>
        </w:rPr>
        <w:t>1044) et des systèmes de réfrigération (ONU</w:t>
      </w:r>
      <w:r>
        <w:rPr>
          <w:lang w:val="fr-FR"/>
        </w:rPr>
        <w:t> </w:t>
      </w:r>
      <w:r w:rsidRPr="00A075E4">
        <w:rPr>
          <w:lang w:val="fr-FR"/>
        </w:rPr>
        <w:t xml:space="preserve">2857) est autorisé lorsqu’ils sont placés dans des </w:t>
      </w:r>
      <w:r>
        <w:rPr>
          <w:lang w:val="fr-FR"/>
        </w:rPr>
        <w:t>« </w:t>
      </w:r>
      <w:r w:rsidRPr="00A075E4">
        <w:rPr>
          <w:lang w:val="fr-FR"/>
        </w:rPr>
        <w:t>emballages extérieurs appropriés</w:t>
      </w:r>
      <w:r>
        <w:rPr>
          <w:lang w:val="fr-FR"/>
        </w:rPr>
        <w:t> »</w:t>
      </w:r>
      <w:r w:rsidRPr="00A075E4">
        <w:rPr>
          <w:lang w:val="fr-FR"/>
        </w:rPr>
        <w:t xml:space="preserve"> qui ne satisfont pas aux prescriptions du 4.1.1.3, comme il est indiqué dans l’instruction d’emballage P003. Lorsque ces extincteurs et ces systèmes de réfrigération sont solidement fixés à l’intérieur de l’engin de transport fermé, on considère que la carrosserie de l’engin de transport offre un niveau de protection équivalent à celui des emballages autorisés par l’instruction d’emballage P903. Toutefois, dans le cas des extincteurs, et en conformité avec les prescriptions de la disposition spéciale 225, il est proposé que le récipient à pression de l’extincteur fixe satisfasse aux prescriptions du chapitre</w:t>
      </w:r>
      <w:r>
        <w:rPr>
          <w:lang w:val="fr-FR"/>
        </w:rPr>
        <w:t> </w:t>
      </w:r>
      <w:r w:rsidRPr="00A075E4">
        <w:rPr>
          <w:lang w:val="fr-FR"/>
        </w:rPr>
        <w:t>6.2.</w:t>
      </w:r>
    </w:p>
    <w:p w:rsidR="00A075E4" w:rsidRDefault="00A075E4" w:rsidP="00A075E4">
      <w:pPr>
        <w:pStyle w:val="SingleTxt"/>
        <w:numPr>
          <w:ilvl w:val="0"/>
          <w:numId w:val="8"/>
        </w:numPr>
        <w:ind w:left="1267"/>
        <w:rPr>
          <w:lang w:val="fr-FR"/>
        </w:rPr>
      </w:pPr>
      <w:r w:rsidRPr="00A075E4">
        <w:rPr>
          <w:lang w:val="fr-FR"/>
        </w:rPr>
        <w:t>Lorsque l’extincteur et le système de réfrigération sont installés à l’intérieur d’un engin de transport fermé ou en font partie intégrante et ne doivent pas être chargés ou manutentionnés séparément pendant le transport, le marquage et l’étiquetage prescrits pour ces objets au chapitre</w:t>
      </w:r>
      <w:r>
        <w:rPr>
          <w:lang w:val="fr-FR"/>
        </w:rPr>
        <w:t> </w:t>
      </w:r>
      <w:r w:rsidRPr="00A075E4">
        <w:rPr>
          <w:lang w:val="fr-FR"/>
        </w:rPr>
        <w:t xml:space="preserve">5.2 sont jugés inutiles. C’est pourquoi, dans le projet de disposition spéciale XXX, les prescriptions du chapitre 5.2 ne s’appliquent pas à ces objets. En outre, étant donné que l’on ne sait pas très bien comment ces derniers doivent être décrits dans le document de transport lorsqu’ils sont à l’intérieur d’un autre objet, en l’occurrence une grande batterie au lithium (par exemple, pour déterminer le nombre et le type de colis), il est proposé que les prescriptions en matière de documents de transport pour les marchandises dangereuses ne s’appliquent pas à l’extincteur et au système de réfrigération et que d’autres mesures soient prises, comme il est proposé dans la disposition spéciale XXX, pour signaler la présence de ces objets et le danger qu’ils présentent pour les entreprises de transport et leur personnel, ainsi que pour les services d’intervention d’urgence. En outre, à cet égard, en sus de la plaque-étiquette </w:t>
      </w:r>
      <w:r>
        <w:rPr>
          <w:lang w:val="fr-FR"/>
        </w:rPr>
        <w:t>« </w:t>
      </w:r>
      <w:r w:rsidRPr="00A075E4">
        <w:rPr>
          <w:lang w:val="fr-FR"/>
        </w:rPr>
        <w:t>Classe 9</w:t>
      </w:r>
      <w:r>
        <w:rPr>
          <w:lang w:val="fr-FR"/>
        </w:rPr>
        <w:t> »</w:t>
      </w:r>
      <w:r w:rsidRPr="00A075E4">
        <w:rPr>
          <w:lang w:val="fr-FR"/>
        </w:rPr>
        <w:t>, l’engin de transport fermé devrait arborer la plaque-étiquette de la division 2.2 ainsi que le prescrit le 5.3.1.1.4. Cependant, les systèmes de réfrigération contenant moins de 12</w:t>
      </w:r>
      <w:r>
        <w:rPr>
          <w:lang w:val="fr-FR"/>
        </w:rPr>
        <w:t> </w:t>
      </w:r>
      <w:r w:rsidRPr="00A075E4">
        <w:rPr>
          <w:lang w:val="fr-FR"/>
        </w:rPr>
        <w:t>kg de gaz de la division</w:t>
      </w:r>
      <w:r>
        <w:rPr>
          <w:lang w:val="fr-FR"/>
        </w:rPr>
        <w:t> </w:t>
      </w:r>
      <w:r w:rsidRPr="00A075E4">
        <w:rPr>
          <w:lang w:val="fr-FR"/>
        </w:rPr>
        <w:t>2.2 n’étant pas soumis, conformément à la disposition spéciale 119, aux dispositions du Règlement type, les prescriptions de substitution relatives aux documents et au placardage ne seraient applicables qu’à un système de réfrigération installé contenant au moins 12</w:t>
      </w:r>
      <w:r>
        <w:rPr>
          <w:lang w:val="fr-FR"/>
        </w:rPr>
        <w:t> </w:t>
      </w:r>
      <w:r w:rsidRPr="00A075E4">
        <w:rPr>
          <w:lang w:val="fr-FR"/>
        </w:rPr>
        <w:t>kg de gaz de la division 2.2.</w:t>
      </w:r>
    </w:p>
    <w:p w:rsidR="00A075E4" w:rsidRPr="00A075E4" w:rsidRDefault="00A075E4" w:rsidP="00A075E4">
      <w:pPr>
        <w:pStyle w:val="SingleTxt"/>
        <w:spacing w:after="0" w:line="120" w:lineRule="exact"/>
        <w:rPr>
          <w:sz w:val="10"/>
          <w:lang w:val="fr-FR"/>
        </w:rPr>
      </w:pPr>
    </w:p>
    <w:p w:rsidR="00A075E4" w:rsidRPr="00A075E4" w:rsidRDefault="00A075E4" w:rsidP="00A075E4">
      <w:pPr>
        <w:pStyle w:val="SingleTxt"/>
        <w:spacing w:after="0" w:line="120" w:lineRule="exact"/>
        <w:rPr>
          <w:sz w:val="10"/>
          <w:lang w:val="fr-FR"/>
        </w:rPr>
      </w:pPr>
    </w:p>
    <w:p w:rsidR="00A075E4" w:rsidRDefault="00A075E4" w:rsidP="00A075E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075E4">
        <w:rPr>
          <w:lang w:val="fr-FR"/>
        </w:rPr>
        <w:tab/>
      </w:r>
      <w:r w:rsidRPr="00A075E4">
        <w:rPr>
          <w:lang w:val="fr-FR"/>
        </w:rPr>
        <w:tab/>
        <w:t>Proposition</w:t>
      </w:r>
    </w:p>
    <w:p w:rsidR="00A075E4" w:rsidRPr="00A075E4" w:rsidRDefault="00A075E4" w:rsidP="00A075E4">
      <w:pPr>
        <w:pStyle w:val="SingleTxt"/>
        <w:spacing w:after="0" w:line="120" w:lineRule="exact"/>
        <w:rPr>
          <w:sz w:val="10"/>
          <w:lang w:val="fr-FR"/>
        </w:rPr>
      </w:pPr>
    </w:p>
    <w:p w:rsidR="00A075E4" w:rsidRPr="00A075E4" w:rsidRDefault="00A075E4" w:rsidP="00A075E4">
      <w:pPr>
        <w:pStyle w:val="SingleTxt"/>
        <w:spacing w:after="0" w:line="120" w:lineRule="exact"/>
        <w:rPr>
          <w:sz w:val="10"/>
          <w:lang w:val="fr-FR"/>
        </w:rPr>
      </w:pPr>
    </w:p>
    <w:p w:rsidR="00A075E4" w:rsidRPr="00A075E4" w:rsidRDefault="00A075E4" w:rsidP="00A075E4">
      <w:pPr>
        <w:pStyle w:val="SingleTxt"/>
        <w:numPr>
          <w:ilvl w:val="0"/>
          <w:numId w:val="8"/>
        </w:numPr>
        <w:ind w:left="1267"/>
        <w:rPr>
          <w:lang w:val="fr-FR"/>
        </w:rPr>
      </w:pPr>
      <w:r w:rsidRPr="00A075E4">
        <w:rPr>
          <w:lang w:val="fr-FR"/>
        </w:rPr>
        <w:t>Dans la Liste des marchandises dangereuse</w:t>
      </w:r>
      <w:r w:rsidR="00415EBB">
        <w:rPr>
          <w:lang w:val="fr-FR"/>
        </w:rPr>
        <w:t>s</w:t>
      </w:r>
      <w:r w:rsidRPr="00A075E4">
        <w:rPr>
          <w:lang w:val="fr-FR"/>
        </w:rPr>
        <w:t xml:space="preserve"> du chapitre 3.2, pour les numéros ONU</w:t>
      </w:r>
      <w:r w:rsidR="00EE31CE">
        <w:rPr>
          <w:lang w:val="fr-FR"/>
        </w:rPr>
        <w:t> </w:t>
      </w:r>
      <w:r w:rsidRPr="00A075E4">
        <w:rPr>
          <w:lang w:val="fr-FR"/>
        </w:rPr>
        <w:t xml:space="preserve">3090 et 3480, ajouter la disposition spéciale </w:t>
      </w:r>
      <w:r w:rsidR="00EE31CE">
        <w:rPr>
          <w:lang w:val="fr-FR"/>
        </w:rPr>
        <w:t>« </w:t>
      </w:r>
      <w:r w:rsidRPr="00A075E4">
        <w:rPr>
          <w:lang w:val="fr-FR"/>
        </w:rPr>
        <w:t>XXX</w:t>
      </w:r>
      <w:r w:rsidR="00EE31CE">
        <w:rPr>
          <w:lang w:val="fr-FR"/>
        </w:rPr>
        <w:t> »</w:t>
      </w:r>
      <w:r w:rsidRPr="00A075E4">
        <w:rPr>
          <w:lang w:val="fr-FR"/>
        </w:rPr>
        <w:t xml:space="preserve"> dans la colonne (6) et l’instruction d’emballage </w:t>
      </w:r>
      <w:r w:rsidR="00EE31CE">
        <w:rPr>
          <w:lang w:val="fr-FR"/>
        </w:rPr>
        <w:t>« </w:t>
      </w:r>
      <w:r w:rsidRPr="00A075E4">
        <w:rPr>
          <w:lang w:val="fr-FR"/>
        </w:rPr>
        <w:t>P911</w:t>
      </w:r>
      <w:r w:rsidR="00EE31CE">
        <w:rPr>
          <w:lang w:val="fr-FR"/>
        </w:rPr>
        <w:t> »</w:t>
      </w:r>
      <w:r w:rsidRPr="00A075E4">
        <w:rPr>
          <w:lang w:val="fr-FR"/>
        </w:rPr>
        <w:t xml:space="preserve"> dans la colonne (8).</w:t>
      </w:r>
    </w:p>
    <w:p w:rsidR="00A075E4" w:rsidRPr="00A075E4" w:rsidRDefault="00A075E4" w:rsidP="00A075E4">
      <w:pPr>
        <w:pStyle w:val="SingleTxt"/>
        <w:numPr>
          <w:ilvl w:val="0"/>
          <w:numId w:val="8"/>
        </w:numPr>
        <w:ind w:left="1267"/>
        <w:rPr>
          <w:lang w:val="fr-FR"/>
        </w:rPr>
      </w:pPr>
      <w:r w:rsidRPr="00A075E4">
        <w:rPr>
          <w:lang w:val="fr-FR"/>
        </w:rPr>
        <w:t>Au chapitre 3.3, ajouter la nouvelle disposition spéciale XXX, ainsi libellée</w:t>
      </w:r>
      <w:r w:rsidR="00EE31CE">
        <w:rPr>
          <w:lang w:val="fr-FR"/>
        </w:rPr>
        <w:t> </w:t>
      </w:r>
      <w:r w:rsidRPr="00A075E4">
        <w:rPr>
          <w:lang w:val="fr-FR"/>
        </w:rPr>
        <w:t>:</w:t>
      </w:r>
    </w:p>
    <w:p w:rsidR="00A075E4" w:rsidRPr="00A075E4" w:rsidRDefault="00EE31CE" w:rsidP="00EE31CE">
      <w:pPr>
        <w:pStyle w:val="SingleTxt"/>
        <w:ind w:left="1742" w:hanging="475"/>
        <w:rPr>
          <w:lang w:val="fr-FR"/>
        </w:rPr>
      </w:pPr>
      <w:r>
        <w:rPr>
          <w:lang w:val="fr-FR"/>
        </w:rPr>
        <w:tab/>
        <w:t>« </w:t>
      </w:r>
      <w:r w:rsidR="00A075E4" w:rsidRPr="00A075E4">
        <w:rPr>
          <w:lang w:val="fr-FR"/>
        </w:rPr>
        <w:t>XXX</w:t>
      </w:r>
      <w:r>
        <w:rPr>
          <w:lang w:val="fr-FR"/>
        </w:rPr>
        <w:tab/>
      </w:r>
      <w:r w:rsidR="00A075E4" w:rsidRPr="00A075E4">
        <w:rPr>
          <w:lang w:val="fr-FR"/>
        </w:rPr>
        <w:t>Lorsque des batteries d’accumulateurs au lithium-ion ou au lithium-métal équipant un engin de transport fermé ou faisant partie intégrante de l’engin sont transportées conformément aux dispositions de l’instruction d’emballage P911 du 4.1.4.1, le document de transport doit porter la mention</w:t>
      </w:r>
      <w:r>
        <w:rPr>
          <w:lang w:val="fr-FR"/>
        </w:rPr>
        <w:t> </w:t>
      </w:r>
      <w:r w:rsidR="00A075E4" w:rsidRPr="00A075E4">
        <w:rPr>
          <w:lang w:val="fr-FR"/>
        </w:rPr>
        <w:t xml:space="preserve">: “Transport selon la disposition spéciale XXX et l’instruction d’emballage P911”. Les extincteurs et les systèmes de réfrigération équipant également l’engin de </w:t>
      </w:r>
      <w:r w:rsidR="00A075E4" w:rsidRPr="00A075E4">
        <w:rPr>
          <w:lang w:val="fr-FR"/>
        </w:rPr>
        <w:lastRenderedPageBreak/>
        <w:t>transport fermé en question ne sont pas soumis aux prescrip</w:t>
      </w:r>
      <w:r>
        <w:rPr>
          <w:lang w:val="fr-FR"/>
        </w:rPr>
        <w:t>tions des chapitres </w:t>
      </w:r>
      <w:r w:rsidR="00A075E4" w:rsidRPr="00A075E4">
        <w:rPr>
          <w:lang w:val="fr-FR"/>
        </w:rPr>
        <w:t>5.2, 5.3 et 5.4 du présent Règlement, à condition que</w:t>
      </w:r>
      <w:r>
        <w:rPr>
          <w:lang w:val="fr-FR"/>
        </w:rPr>
        <w:t> </w:t>
      </w:r>
      <w:r w:rsidR="00A075E4" w:rsidRPr="00A075E4">
        <w:rPr>
          <w:lang w:val="fr-FR"/>
        </w:rPr>
        <w:t>:</w:t>
      </w:r>
    </w:p>
    <w:p w:rsidR="00A075E4" w:rsidRPr="00A075E4" w:rsidRDefault="00A075E4" w:rsidP="00EE31CE">
      <w:pPr>
        <w:pStyle w:val="SingleTxt"/>
        <w:ind w:left="1742" w:hanging="475"/>
        <w:rPr>
          <w:lang w:val="fr-FR"/>
        </w:rPr>
      </w:pPr>
      <w:r>
        <w:rPr>
          <w:lang w:val="fr-FR"/>
        </w:rPr>
        <w:tab/>
      </w:r>
      <w:r w:rsidR="009F0CA8">
        <w:rPr>
          <w:lang w:val="fr-FR"/>
        </w:rPr>
        <w:tab/>
      </w:r>
      <w:r w:rsidRPr="00A075E4">
        <w:rPr>
          <w:lang w:val="fr-FR"/>
        </w:rPr>
        <w:t>a)</w:t>
      </w:r>
      <w:r w:rsidRPr="00A075E4">
        <w:rPr>
          <w:lang w:val="fr-FR"/>
        </w:rPr>
        <w:tab/>
        <w:t>Dans le cas d’un extincteur, le document de transport porte la mention “Engin équipé d’un extincteur fixe utilisant un gaz de la division 2.2</w:t>
      </w:r>
      <w:r w:rsidR="00D9238C">
        <w:rPr>
          <w:lang w:val="fr-FR"/>
        </w:rPr>
        <w:t> </w:t>
      </w:r>
      <w:r w:rsidRPr="00A075E4">
        <w:rPr>
          <w:lang w:val="fr-FR"/>
        </w:rPr>
        <w:t>:”, suivie du numéro ONU, de la désignation officielle de transport (y compris le nom technique, s’il y a lieu) et du volume total de gaz. En outre, une plaque-étiquette de la division 2.2 doit être apposée sur l’engin de transport fermé conformément aux dispositions du 5.3.1.1.4.</w:t>
      </w:r>
    </w:p>
    <w:p w:rsidR="00A075E4" w:rsidRPr="00A075E4" w:rsidRDefault="00A075E4" w:rsidP="00EE31CE">
      <w:pPr>
        <w:pStyle w:val="SingleTxt"/>
        <w:ind w:left="1742" w:hanging="475"/>
        <w:rPr>
          <w:lang w:val="fr-FR"/>
        </w:rPr>
      </w:pPr>
      <w:r>
        <w:rPr>
          <w:lang w:val="fr-FR"/>
        </w:rPr>
        <w:tab/>
      </w:r>
      <w:r w:rsidR="009F0CA8">
        <w:rPr>
          <w:lang w:val="fr-FR"/>
        </w:rPr>
        <w:tab/>
      </w:r>
      <w:r w:rsidRPr="00A075E4">
        <w:rPr>
          <w:lang w:val="fr-FR"/>
        </w:rPr>
        <w:t>b)</w:t>
      </w:r>
      <w:r w:rsidRPr="00A075E4">
        <w:rPr>
          <w:lang w:val="fr-FR"/>
        </w:rPr>
        <w:tab/>
        <w:t>Dans le cas d’un système de réfrigération contenant au moins 12 kg de gaz réfrigérant, le document de transport porte la mention “Engin équipé d’un système de réfrigération</w:t>
      </w:r>
      <w:r w:rsidRPr="00A075E4">
        <w:rPr>
          <w:lang w:val="fr-CH"/>
        </w:rPr>
        <w:t xml:space="preserve"> </w:t>
      </w:r>
      <w:r w:rsidRPr="00A075E4">
        <w:rPr>
          <w:lang w:val="fr-FR"/>
        </w:rPr>
        <w:t>utilisant un gaz de la division 2.2</w:t>
      </w:r>
      <w:r w:rsidR="00D9238C">
        <w:rPr>
          <w:lang w:val="fr-FR"/>
        </w:rPr>
        <w:t> </w:t>
      </w:r>
      <w:r w:rsidRPr="00A075E4">
        <w:rPr>
          <w:lang w:val="fr-FR"/>
        </w:rPr>
        <w:t xml:space="preserve">:”, suivie du numéro ONU, de la désignation officielle de transport (y compris le nom technique, s’il y a lieu) et du volume total de gaz. En outre, une </w:t>
      </w:r>
      <w:r w:rsidR="00EE31CE">
        <w:rPr>
          <w:lang w:val="fr-FR"/>
        </w:rPr>
        <w:t>plaque-étiquette de la division </w:t>
      </w:r>
      <w:r w:rsidRPr="00A075E4">
        <w:rPr>
          <w:lang w:val="fr-FR"/>
        </w:rPr>
        <w:t>2.2 doit être apposée sur l’engin de transport fermé conformément aux dispositions du 5.3.1.1.4.</w:t>
      </w:r>
      <w:r w:rsidR="00EE31CE">
        <w:rPr>
          <w:lang w:val="fr-FR"/>
        </w:rPr>
        <w:t> »</w:t>
      </w:r>
      <w:r w:rsidRPr="00A075E4">
        <w:rPr>
          <w:lang w:val="fr-FR"/>
        </w:rPr>
        <w:t>.</w:t>
      </w:r>
    </w:p>
    <w:p w:rsidR="00A075E4" w:rsidRDefault="00A075E4" w:rsidP="00A075E4">
      <w:pPr>
        <w:pStyle w:val="SingleTxt"/>
        <w:numPr>
          <w:ilvl w:val="0"/>
          <w:numId w:val="8"/>
        </w:numPr>
        <w:ind w:left="1267"/>
        <w:rPr>
          <w:lang w:val="fr-FR"/>
        </w:rPr>
      </w:pPr>
      <w:r w:rsidRPr="00A075E4">
        <w:rPr>
          <w:lang w:val="fr-FR"/>
        </w:rPr>
        <w:t>Au 4.1.4.1, ajouter une nouvelle instruction d’emballage P911 ainsi libellée</w:t>
      </w:r>
      <w:r>
        <w:rPr>
          <w:lang w:val="fr-FR"/>
        </w:rPr>
        <w:t> </w:t>
      </w:r>
      <w:r w:rsidRPr="00A075E4">
        <w:rPr>
          <w:lang w:val="fr-FR"/>
        </w:rPr>
        <w:t>:</w:t>
      </w:r>
    </w:p>
    <w:p w:rsidR="00D73B54" w:rsidRPr="00D73B54" w:rsidRDefault="00D73B54" w:rsidP="00D73B54">
      <w:pPr>
        <w:pStyle w:val="SingleTxt"/>
        <w:spacing w:after="0" w:line="120" w:lineRule="exact"/>
        <w:rPr>
          <w:sz w:val="10"/>
          <w:lang w:val="fr-FR"/>
        </w:rPr>
      </w:pPr>
    </w:p>
    <w:tbl>
      <w:tblPr>
        <w:tblW w:w="0" w:type="auto"/>
        <w:tblInd w:w="126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021"/>
        <w:gridCol w:w="4752"/>
        <w:gridCol w:w="715"/>
      </w:tblGrid>
      <w:tr w:rsidR="00EF1C52" w:rsidRPr="007F1459" w:rsidTr="007F1459">
        <w:trPr>
          <w:tblHeader/>
        </w:trPr>
        <w:tc>
          <w:tcPr>
            <w:tcW w:w="2021" w:type="dxa"/>
            <w:tcBorders>
              <w:top w:val="single" w:sz="4" w:space="0" w:color="auto"/>
              <w:bottom w:val="single" w:sz="4" w:space="0" w:color="auto"/>
            </w:tcBorders>
            <w:shd w:val="clear" w:color="auto" w:fill="auto"/>
            <w:vAlign w:val="bottom"/>
          </w:tcPr>
          <w:p w:rsidR="00827B6E" w:rsidRPr="007F1459" w:rsidRDefault="00827B6E" w:rsidP="007142A3">
            <w:pPr>
              <w:tabs>
                <w:tab w:val="left" w:pos="288"/>
                <w:tab w:val="left" w:pos="576"/>
                <w:tab w:val="left" w:pos="864"/>
                <w:tab w:val="left" w:pos="1152"/>
              </w:tabs>
              <w:suppressAutoHyphens/>
              <w:spacing w:before="80" w:after="80"/>
              <w:ind w:left="115" w:right="115"/>
              <w:jc w:val="both"/>
              <w:rPr>
                <w:b/>
                <w:lang w:val="fr-FR"/>
              </w:rPr>
            </w:pPr>
            <w:r w:rsidRPr="007F1459">
              <w:rPr>
                <w:b/>
                <w:lang w:val="fr-FR"/>
              </w:rPr>
              <w:t>P911</w:t>
            </w:r>
          </w:p>
        </w:tc>
        <w:tc>
          <w:tcPr>
            <w:tcW w:w="4752" w:type="dxa"/>
            <w:tcBorders>
              <w:top w:val="single" w:sz="4" w:space="0" w:color="auto"/>
              <w:bottom w:val="single" w:sz="4" w:space="0" w:color="auto"/>
            </w:tcBorders>
          </w:tcPr>
          <w:p w:rsidR="00827B6E" w:rsidRPr="007F1459" w:rsidRDefault="00827B6E" w:rsidP="007142A3">
            <w:pPr>
              <w:tabs>
                <w:tab w:val="left" w:pos="288"/>
                <w:tab w:val="left" w:pos="576"/>
                <w:tab w:val="left" w:pos="864"/>
                <w:tab w:val="left" w:pos="1152"/>
              </w:tabs>
              <w:suppressAutoHyphens/>
              <w:spacing w:before="80" w:after="80"/>
              <w:ind w:left="115" w:right="115"/>
              <w:jc w:val="both"/>
              <w:rPr>
                <w:b/>
                <w:lang w:val="fr-FR"/>
              </w:rPr>
            </w:pPr>
            <w:r w:rsidRPr="007F1459">
              <w:rPr>
                <w:b/>
                <w:lang w:val="fr-FR"/>
              </w:rPr>
              <w:t>INSTRUCTION D’EMBALLAGE</w:t>
            </w:r>
          </w:p>
        </w:tc>
        <w:tc>
          <w:tcPr>
            <w:tcW w:w="715" w:type="dxa"/>
            <w:tcBorders>
              <w:top w:val="single" w:sz="4" w:space="0" w:color="auto"/>
              <w:bottom w:val="single" w:sz="4" w:space="0" w:color="auto"/>
            </w:tcBorders>
          </w:tcPr>
          <w:p w:rsidR="00827B6E" w:rsidRPr="007F1459" w:rsidRDefault="00827B6E" w:rsidP="007142A3">
            <w:pPr>
              <w:tabs>
                <w:tab w:val="left" w:pos="288"/>
                <w:tab w:val="left" w:pos="576"/>
                <w:tab w:val="left" w:pos="864"/>
                <w:tab w:val="left" w:pos="1152"/>
              </w:tabs>
              <w:suppressAutoHyphens/>
              <w:spacing w:before="80" w:after="80"/>
              <w:ind w:left="115" w:right="115"/>
              <w:jc w:val="both"/>
              <w:rPr>
                <w:b/>
                <w:lang w:val="fr-FR"/>
              </w:rPr>
            </w:pPr>
            <w:r w:rsidRPr="007F1459">
              <w:rPr>
                <w:b/>
                <w:lang w:val="fr-FR"/>
              </w:rPr>
              <w:t>P911</w:t>
            </w:r>
          </w:p>
        </w:tc>
      </w:tr>
      <w:tr w:rsidR="008E46DF" w:rsidRPr="00D73B54" w:rsidTr="00E76997">
        <w:tc>
          <w:tcPr>
            <w:tcW w:w="7488" w:type="dxa"/>
            <w:gridSpan w:val="3"/>
            <w:tcBorders>
              <w:top w:val="single" w:sz="4" w:space="0" w:color="auto"/>
              <w:bottom w:val="single" w:sz="4" w:space="0" w:color="auto"/>
            </w:tcBorders>
            <w:shd w:val="clear" w:color="auto" w:fill="auto"/>
          </w:tcPr>
          <w:p w:rsidR="008E46DF" w:rsidRDefault="008E46DF" w:rsidP="00EF1C52">
            <w:pPr>
              <w:tabs>
                <w:tab w:val="left" w:pos="288"/>
                <w:tab w:val="left" w:pos="576"/>
                <w:tab w:val="left" w:pos="864"/>
                <w:tab w:val="left" w:pos="1152"/>
              </w:tabs>
              <w:suppressAutoHyphens/>
              <w:spacing w:before="40" w:after="80"/>
              <w:ind w:left="115" w:right="115"/>
              <w:jc w:val="both"/>
              <w:rPr>
                <w:lang w:val="fr-FR"/>
              </w:rPr>
            </w:pPr>
            <w:r>
              <w:rPr>
                <w:lang w:val="fr-FR"/>
              </w:rPr>
              <w:t>Cette instruction s’applique aux accumulateurs au lithium-ion et au lithium-métal (numéros ONU 3480 et 3090) équipant un engin de transport fermé.</w:t>
            </w:r>
          </w:p>
        </w:tc>
      </w:tr>
      <w:tr w:rsidR="00827B6E" w:rsidRPr="00D73B54" w:rsidTr="008E46DF">
        <w:tc>
          <w:tcPr>
            <w:tcW w:w="7488" w:type="dxa"/>
            <w:gridSpan w:val="3"/>
            <w:tcBorders>
              <w:top w:val="single" w:sz="4" w:space="0" w:color="auto"/>
            </w:tcBorders>
            <w:shd w:val="clear" w:color="auto" w:fill="auto"/>
          </w:tcPr>
          <w:p w:rsidR="00827B6E" w:rsidRDefault="009F0CA8" w:rsidP="00EF1C52">
            <w:pPr>
              <w:tabs>
                <w:tab w:val="left" w:pos="288"/>
                <w:tab w:val="left" w:pos="576"/>
                <w:tab w:val="left" w:pos="864"/>
                <w:tab w:val="left" w:pos="1152"/>
              </w:tabs>
              <w:suppressAutoHyphens/>
              <w:spacing w:before="40" w:after="80"/>
              <w:ind w:left="115" w:right="115"/>
              <w:jc w:val="both"/>
              <w:rPr>
                <w:lang w:val="fr-FR"/>
              </w:rPr>
            </w:pPr>
            <w:r>
              <w:rPr>
                <w:lang w:val="fr-FR"/>
              </w:rPr>
              <w:tab/>
            </w:r>
            <w:r w:rsidR="00827B6E">
              <w:rPr>
                <w:lang w:val="fr-FR"/>
              </w:rPr>
              <w:t>Le transport des accumulateurs au lithium-ion et au lithium-métal est autorisé lorsqu’ils sont installés dans un engin de transport fermé (par exemple, un conteneur ou un véhicule de transport de marchandises) à condition que les conditions ci-après soient remplies :</w:t>
            </w:r>
          </w:p>
          <w:p w:rsidR="00827B6E" w:rsidRDefault="009F0CA8" w:rsidP="00EF1C52">
            <w:pPr>
              <w:tabs>
                <w:tab w:val="left" w:pos="288"/>
                <w:tab w:val="left" w:pos="576"/>
                <w:tab w:val="left" w:pos="864"/>
                <w:tab w:val="left" w:pos="1152"/>
              </w:tabs>
              <w:suppressAutoHyphens/>
              <w:spacing w:before="40" w:after="80"/>
              <w:ind w:left="115" w:right="115"/>
              <w:jc w:val="both"/>
              <w:rPr>
                <w:lang w:val="fr-FR"/>
              </w:rPr>
            </w:pPr>
            <w:r>
              <w:rPr>
                <w:lang w:val="fr-FR"/>
              </w:rPr>
              <w:tab/>
            </w:r>
            <w:r w:rsidR="0074621F" w:rsidRPr="0074621F">
              <w:rPr>
                <w:lang w:val="fr-FR"/>
              </w:rPr>
              <w:t>À l’intérieur de l’engin de transport fermé, les batteries d’accumulateurs et les accumulateurs qui les composent doivent être arrimés (par exemple sur des étagères ou dans des armoires) de manière à empêcher tout court-circuit, tout fonctionnement accidentel ou tout mouvement appréciable lorsque l’engin de transport fermé subit des chocs, est manutentionné, ou est soumis à des vibrations inhérentes au transport.</w:t>
            </w:r>
          </w:p>
          <w:p w:rsidR="0074621F" w:rsidRDefault="009F0CA8" w:rsidP="00EF1C52">
            <w:pPr>
              <w:tabs>
                <w:tab w:val="left" w:pos="288"/>
                <w:tab w:val="left" w:pos="576"/>
                <w:tab w:val="left" w:pos="864"/>
                <w:tab w:val="left" w:pos="1152"/>
              </w:tabs>
              <w:suppressAutoHyphens/>
              <w:spacing w:before="40" w:after="80"/>
              <w:ind w:left="115" w:right="115"/>
              <w:jc w:val="both"/>
              <w:rPr>
                <w:lang w:val="fr-FR"/>
              </w:rPr>
            </w:pPr>
            <w:r>
              <w:rPr>
                <w:lang w:val="fr-FR"/>
              </w:rPr>
              <w:tab/>
            </w:r>
            <w:r w:rsidR="0074621F" w:rsidRPr="0074621F">
              <w:rPr>
                <w:lang w:val="fr-FR"/>
              </w:rPr>
              <w:t>L’engin de transport fermé peut être équipé d’un extincteur fixe utilisant un gaz de la division 2.2 sous réserve que le récipient à pression contenant le gaz satisfasse aux prescriptions du chapitre 6.2 et que le récipient à pression et les autres composantes du système soient arrimés, de manière à éviter tout mouvement appréciable lorsque l’engin de transport fermé subit des chocs, est manutentionné, ou est soumis à des vibrations inhérentes au transport. Les récipients à pression peuvent rester raccordés à l’extincteur et le système peut rester actif pendant le transport. Les prescriptions de l’instruction d’emballage P003 ne s’appliquent pas à cet extincteur fixe.</w:t>
            </w:r>
          </w:p>
          <w:p w:rsidR="0074621F" w:rsidRPr="00D73B54" w:rsidRDefault="009F0CA8" w:rsidP="00EF1C52">
            <w:pPr>
              <w:tabs>
                <w:tab w:val="left" w:pos="288"/>
                <w:tab w:val="left" w:pos="576"/>
                <w:tab w:val="left" w:pos="864"/>
                <w:tab w:val="left" w:pos="1152"/>
              </w:tabs>
              <w:suppressAutoHyphens/>
              <w:spacing w:before="40" w:after="80"/>
              <w:ind w:left="115" w:right="115"/>
              <w:jc w:val="both"/>
              <w:rPr>
                <w:lang w:val="fr-FR"/>
              </w:rPr>
            </w:pPr>
            <w:r>
              <w:rPr>
                <w:lang w:val="fr-FR"/>
              </w:rPr>
              <w:tab/>
            </w:r>
            <w:r w:rsidR="0074621F" w:rsidRPr="0074621F">
              <w:rPr>
                <w:lang w:val="fr-FR"/>
              </w:rPr>
              <w:t>L’engin de transport fermé peut aussi être équipé d’un système de réfrigération utilisant un gaz frigorifique de la division 2.2 pourvu que ce système soit arrimé de façon à éviter tout mouvement appréciable lorsque l’engin de transport fermé subit des chocs, est manutentionné, ou est soumis à des vibrations inhérentes au transport. Les prescriptions de l’instruction d’emballage P003 ne s’appliquent pas à ce système de réfrigération fixe.</w:t>
            </w:r>
          </w:p>
        </w:tc>
      </w:tr>
    </w:tbl>
    <w:p w:rsidR="00D73B54" w:rsidRPr="0074621F" w:rsidRDefault="0074621F" w:rsidP="0074621F">
      <w:pPr>
        <w:pStyle w:val="SingleTxt"/>
        <w:spacing w:after="0" w:line="240" w:lineRule="auto"/>
        <w:rPr>
          <w:lang w:val="fr-FR"/>
        </w:rPr>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D73B54" w:rsidRPr="0074621F" w:rsidSect="00A45B09">
      <w:endnotePr>
        <w:numFmt w:val="decimal"/>
      </w:endnotePr>
      <w:type w:val="continuous"/>
      <w:pgSz w:w="11909" w:h="16834"/>
      <w:pgMar w:top="1742" w:right="936" w:bottom="1898" w:left="936"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11-25T11:03:00Z" w:initials="Start">
    <w:p w:rsidR="00A45B09" w:rsidRDefault="00A45B0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NO&gt;&gt;N1520499F&lt;&lt;ODS JOB NO&gt;&gt;</w:t>
      </w:r>
    </w:p>
    <w:p w:rsidR="00A45B09" w:rsidRDefault="00A45B09">
      <w:pPr>
        <w:pStyle w:val="CommentText"/>
      </w:pPr>
      <w:r>
        <w:t>&lt;&lt;ODS DOC SYMBOL1&gt;&gt;ST/SG/AC.10/C.3/2015/56&lt;&lt;ODS DOC SYMBOL1&gt;&gt;</w:t>
      </w:r>
    </w:p>
    <w:p w:rsidR="00A45B09" w:rsidRDefault="00A45B09">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8E8" w:rsidRDefault="00F038E8" w:rsidP="00F3330B">
      <w:pPr>
        <w:spacing w:line="240" w:lineRule="auto"/>
      </w:pPr>
      <w:r>
        <w:separator/>
      </w:r>
    </w:p>
  </w:endnote>
  <w:endnote w:type="continuationSeparator" w:id="0">
    <w:p w:rsidR="00F038E8" w:rsidRDefault="00F038E8"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A45B09" w:rsidTr="00A45B09">
      <w:trPr>
        <w:jc w:val="center"/>
      </w:trPr>
      <w:tc>
        <w:tcPr>
          <w:tcW w:w="5126" w:type="dxa"/>
          <w:shd w:val="clear" w:color="auto" w:fill="auto"/>
        </w:tcPr>
        <w:p w:rsidR="00A45B09" w:rsidRPr="00A45B09" w:rsidRDefault="00A45B09" w:rsidP="00A45B09">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A17C5">
            <w:rPr>
              <w:b w:val="0"/>
              <w:w w:val="103"/>
              <w:sz w:val="14"/>
            </w:rPr>
            <w:t>GE.15-15231</w:t>
          </w:r>
          <w:r>
            <w:rPr>
              <w:b w:val="0"/>
              <w:w w:val="103"/>
              <w:sz w:val="14"/>
            </w:rPr>
            <w:fldChar w:fldCharType="end"/>
          </w:r>
        </w:p>
      </w:tc>
      <w:tc>
        <w:tcPr>
          <w:tcW w:w="5127" w:type="dxa"/>
          <w:shd w:val="clear" w:color="auto" w:fill="auto"/>
        </w:tcPr>
        <w:p w:rsidR="00A45B09" w:rsidRPr="00A45B09" w:rsidRDefault="00A45B09" w:rsidP="00A45B09">
          <w:pPr>
            <w:pStyle w:val="Footer"/>
            <w:rPr>
              <w:w w:val="103"/>
            </w:rPr>
          </w:pPr>
          <w:r>
            <w:rPr>
              <w:w w:val="103"/>
            </w:rPr>
            <w:fldChar w:fldCharType="begin"/>
          </w:r>
          <w:r>
            <w:rPr>
              <w:w w:val="103"/>
            </w:rPr>
            <w:instrText xml:space="preserve"> PAGE  \* Arabic  \* MERGEFORMAT </w:instrText>
          </w:r>
          <w:r>
            <w:rPr>
              <w:w w:val="103"/>
            </w:rPr>
            <w:fldChar w:fldCharType="separate"/>
          </w:r>
          <w:r w:rsidR="003A17C5">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3A17C5">
            <w:rPr>
              <w:noProof/>
              <w:w w:val="103"/>
            </w:rPr>
            <w:t>3</w:t>
          </w:r>
          <w:r>
            <w:rPr>
              <w:w w:val="103"/>
            </w:rPr>
            <w:fldChar w:fldCharType="end"/>
          </w:r>
        </w:p>
      </w:tc>
    </w:tr>
  </w:tbl>
  <w:p w:rsidR="00A45B09" w:rsidRPr="00A45B09" w:rsidRDefault="00A45B09" w:rsidP="00A45B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A45B09" w:rsidTr="00A45B09">
      <w:trPr>
        <w:jc w:val="center"/>
      </w:trPr>
      <w:tc>
        <w:tcPr>
          <w:tcW w:w="5126" w:type="dxa"/>
          <w:shd w:val="clear" w:color="auto" w:fill="auto"/>
        </w:tcPr>
        <w:p w:rsidR="00A45B09" w:rsidRPr="00A45B09" w:rsidRDefault="00A45B09" w:rsidP="00A45B09">
          <w:pPr>
            <w:pStyle w:val="Footer"/>
            <w:jc w:val="right"/>
            <w:rPr>
              <w:w w:val="103"/>
            </w:rPr>
          </w:pPr>
          <w:r>
            <w:rPr>
              <w:w w:val="103"/>
            </w:rPr>
            <w:fldChar w:fldCharType="begin"/>
          </w:r>
          <w:r>
            <w:rPr>
              <w:w w:val="103"/>
            </w:rPr>
            <w:instrText xml:space="preserve"> PAGE  \* Arabic  \* MERGEFORMAT </w:instrText>
          </w:r>
          <w:r>
            <w:rPr>
              <w:w w:val="103"/>
            </w:rPr>
            <w:fldChar w:fldCharType="separate"/>
          </w:r>
          <w:r w:rsidR="003A17C5">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3A17C5">
            <w:rPr>
              <w:noProof/>
              <w:w w:val="103"/>
            </w:rPr>
            <w:t>3</w:t>
          </w:r>
          <w:r>
            <w:rPr>
              <w:w w:val="103"/>
            </w:rPr>
            <w:fldChar w:fldCharType="end"/>
          </w:r>
        </w:p>
      </w:tc>
      <w:tc>
        <w:tcPr>
          <w:tcW w:w="5127" w:type="dxa"/>
          <w:shd w:val="clear" w:color="auto" w:fill="auto"/>
        </w:tcPr>
        <w:p w:rsidR="00A45B09" w:rsidRPr="00A45B09" w:rsidRDefault="00A45B09" w:rsidP="00A45B09">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A17C5">
            <w:rPr>
              <w:b w:val="0"/>
              <w:w w:val="103"/>
              <w:sz w:val="14"/>
            </w:rPr>
            <w:t>GE.15-15231</w:t>
          </w:r>
          <w:r>
            <w:rPr>
              <w:b w:val="0"/>
              <w:w w:val="103"/>
              <w:sz w:val="14"/>
            </w:rPr>
            <w:fldChar w:fldCharType="end"/>
          </w:r>
        </w:p>
      </w:tc>
    </w:tr>
  </w:tbl>
  <w:p w:rsidR="00A45B09" w:rsidRPr="00A45B09" w:rsidRDefault="00A45B09" w:rsidP="00A45B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B09" w:rsidRDefault="00A45B09">
    <w:pPr>
      <w:pStyle w:val="Footer"/>
    </w:pPr>
    <w:r>
      <w:rPr>
        <w:noProof/>
        <w:lang w:val="en-GB" w:eastAsia="en-GB"/>
      </w:rPr>
      <w:drawing>
        <wp:anchor distT="0" distB="0" distL="114300" distR="114300" simplePos="0" relativeHeight="251658240" behindDoc="0" locked="0" layoutInCell="1" allowOverlap="1" wp14:anchorId="5F3B9904" wp14:editId="0C6A21D9">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ST/SG/AC.10/C.3/2015/56&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ST/SG/AC.10/C.3/2015/56&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A45B09" w:rsidTr="00A45B09">
      <w:tc>
        <w:tcPr>
          <w:tcW w:w="3859" w:type="dxa"/>
        </w:tcPr>
        <w:p w:rsidR="00A45B09" w:rsidRDefault="00A45B09" w:rsidP="00A45B09">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3A17C5">
            <w:rPr>
              <w:b w:val="0"/>
              <w:sz w:val="20"/>
            </w:rPr>
            <w:t>GE.15-15231 (F)</w:t>
          </w:r>
          <w:r>
            <w:rPr>
              <w:b w:val="0"/>
              <w:sz w:val="20"/>
            </w:rPr>
            <w:fldChar w:fldCharType="end"/>
          </w:r>
          <w:r>
            <w:rPr>
              <w:b w:val="0"/>
              <w:sz w:val="20"/>
            </w:rPr>
            <w:t xml:space="preserve">    251115    251115</w:t>
          </w:r>
        </w:p>
        <w:p w:rsidR="00A45B09" w:rsidRPr="00A45B09" w:rsidRDefault="00A45B09" w:rsidP="00A45B09">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3A17C5">
            <w:rPr>
              <w:rFonts w:ascii="Barcode 3 of 9 by request" w:hAnsi="Barcode 3 of 9 by request"/>
              <w:b w:val="0"/>
              <w:spacing w:val="0"/>
              <w:w w:val="100"/>
              <w:sz w:val="24"/>
            </w:rPr>
            <w:t>*1515231*</w:t>
          </w:r>
          <w:r>
            <w:rPr>
              <w:rFonts w:ascii="Barcode 3 of 9 by request" w:hAnsi="Barcode 3 of 9 by request"/>
              <w:b w:val="0"/>
              <w:spacing w:val="0"/>
              <w:w w:val="100"/>
              <w:sz w:val="24"/>
            </w:rPr>
            <w:fldChar w:fldCharType="end"/>
          </w:r>
        </w:p>
      </w:tc>
      <w:tc>
        <w:tcPr>
          <w:tcW w:w="5127" w:type="dxa"/>
        </w:tcPr>
        <w:p w:rsidR="00A45B09" w:rsidRDefault="00A45B09" w:rsidP="00A45B09">
          <w:pPr>
            <w:pStyle w:val="Footer"/>
            <w:spacing w:line="240" w:lineRule="atLeast"/>
            <w:jc w:val="right"/>
            <w:rPr>
              <w:b w:val="0"/>
              <w:sz w:val="20"/>
            </w:rPr>
          </w:pPr>
          <w:r>
            <w:rPr>
              <w:b w:val="0"/>
              <w:noProof/>
              <w:sz w:val="20"/>
              <w:lang w:val="en-GB" w:eastAsia="en-GB"/>
            </w:rPr>
            <w:drawing>
              <wp:inline distT="0" distB="0" distL="0" distR="0" wp14:anchorId="5EA12AD1" wp14:editId="67F47B79">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A45B09" w:rsidRPr="00A45B09" w:rsidRDefault="00A45B09" w:rsidP="00A45B09">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8E8" w:rsidRPr="00667F4F" w:rsidRDefault="00667F4F" w:rsidP="00667F4F">
      <w:pPr>
        <w:pStyle w:val="Footer"/>
        <w:spacing w:after="80"/>
        <w:ind w:left="792"/>
        <w:rPr>
          <w:sz w:val="16"/>
        </w:rPr>
      </w:pPr>
      <w:r w:rsidRPr="00667F4F">
        <w:rPr>
          <w:sz w:val="16"/>
        </w:rPr>
        <w:t>__________________</w:t>
      </w:r>
    </w:p>
  </w:footnote>
  <w:footnote w:type="continuationSeparator" w:id="0">
    <w:p w:rsidR="00F038E8" w:rsidRPr="00667F4F" w:rsidRDefault="00667F4F" w:rsidP="00667F4F">
      <w:pPr>
        <w:pStyle w:val="Footer"/>
        <w:spacing w:after="80"/>
        <w:ind w:left="792"/>
        <w:rPr>
          <w:sz w:val="16"/>
        </w:rPr>
      </w:pPr>
      <w:r w:rsidRPr="00667F4F">
        <w:rPr>
          <w:sz w:val="16"/>
        </w:rPr>
        <w:t>__________________</w:t>
      </w:r>
    </w:p>
  </w:footnote>
  <w:footnote w:id="1">
    <w:p w:rsidR="00667F4F" w:rsidRPr="00667F4F" w:rsidRDefault="00667F4F" w:rsidP="00667F4F">
      <w:pPr>
        <w:pStyle w:val="FootnoteText"/>
        <w:tabs>
          <w:tab w:val="right" w:pos="1195"/>
          <w:tab w:val="left" w:pos="1267"/>
          <w:tab w:val="left" w:pos="1742"/>
          <w:tab w:val="left" w:pos="2218"/>
          <w:tab w:val="left" w:pos="2693"/>
        </w:tabs>
        <w:ind w:left="1267" w:right="1260" w:hanging="432"/>
        <w:rPr>
          <w:spacing w:val="5"/>
          <w:w w:val="104"/>
          <w:lang w:val="fr-CH"/>
        </w:rPr>
      </w:pPr>
      <w:r>
        <w:tab/>
      </w:r>
      <w:r>
        <w:rPr>
          <w:rStyle w:val="FootnoteReference"/>
        </w:rPr>
        <w:footnoteRef/>
      </w:r>
      <w:r>
        <w:t xml:space="preserve"> </w:t>
      </w:r>
      <w:r>
        <w:tab/>
      </w:r>
      <w:r w:rsidRPr="00667F4F">
        <w:rPr>
          <w:szCs w:val="17"/>
          <w:lang w:val="fr-FR"/>
        </w:rPr>
        <w:t>Conformément au programme de travail du Sous-Comité pour la période 2015</w:t>
      </w:r>
      <w:r>
        <w:rPr>
          <w:szCs w:val="17"/>
          <w:lang w:val="fr-FR"/>
        </w:rPr>
        <w:t>-2016 adopté par le </w:t>
      </w:r>
      <w:r w:rsidRPr="00667F4F">
        <w:rPr>
          <w:szCs w:val="17"/>
          <w:lang w:val="fr-FR"/>
        </w:rPr>
        <w:t>Comité à sa septième session (voir ST/SG/AC.10/C.3/92, par.</w:t>
      </w:r>
      <w:r>
        <w:rPr>
          <w:szCs w:val="17"/>
          <w:lang w:val="fr-FR"/>
        </w:rPr>
        <w:t> </w:t>
      </w:r>
      <w:r w:rsidRPr="00667F4F">
        <w:rPr>
          <w:szCs w:val="17"/>
          <w:lang w:val="fr-FR"/>
        </w:rPr>
        <w:t>95, et ST/SG/AC.10/42, par.</w:t>
      </w:r>
      <w:r>
        <w:rPr>
          <w:szCs w:val="17"/>
          <w:lang w:val="fr-FR"/>
        </w:rPr>
        <w:t> </w:t>
      </w:r>
      <w:r w:rsidRPr="00667F4F">
        <w:rPr>
          <w:szCs w:val="17"/>
          <w:lang w:val="fr-FR"/>
        </w:rPr>
        <w:t>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A45B09" w:rsidTr="00A45B09">
      <w:trPr>
        <w:trHeight w:hRule="exact" w:val="864"/>
        <w:jc w:val="center"/>
      </w:trPr>
      <w:tc>
        <w:tcPr>
          <w:tcW w:w="4882" w:type="dxa"/>
          <w:shd w:val="clear" w:color="auto" w:fill="auto"/>
          <w:vAlign w:val="bottom"/>
        </w:tcPr>
        <w:p w:rsidR="00A45B09" w:rsidRPr="00A45B09" w:rsidRDefault="00A45B09" w:rsidP="00A45B09">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3A17C5">
            <w:rPr>
              <w:b/>
              <w:color w:val="000000"/>
            </w:rPr>
            <w:t>ST/SG/AC.10/C.3/2015/56</w:t>
          </w:r>
          <w:r>
            <w:rPr>
              <w:b/>
              <w:color w:val="000000"/>
            </w:rPr>
            <w:fldChar w:fldCharType="end"/>
          </w:r>
        </w:p>
      </w:tc>
      <w:tc>
        <w:tcPr>
          <w:tcW w:w="5127" w:type="dxa"/>
          <w:shd w:val="clear" w:color="auto" w:fill="auto"/>
          <w:vAlign w:val="bottom"/>
        </w:tcPr>
        <w:p w:rsidR="00A45B09" w:rsidRDefault="00A45B09" w:rsidP="00A45B09">
          <w:pPr>
            <w:pStyle w:val="Header"/>
          </w:pPr>
        </w:p>
      </w:tc>
    </w:tr>
  </w:tbl>
  <w:p w:rsidR="00A45B09" w:rsidRPr="00A45B09" w:rsidRDefault="00A45B09" w:rsidP="00A45B09">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A45B09" w:rsidTr="00A45B09">
      <w:trPr>
        <w:trHeight w:hRule="exact" w:val="864"/>
        <w:jc w:val="center"/>
      </w:trPr>
      <w:tc>
        <w:tcPr>
          <w:tcW w:w="4882" w:type="dxa"/>
          <w:shd w:val="clear" w:color="auto" w:fill="auto"/>
          <w:vAlign w:val="bottom"/>
        </w:tcPr>
        <w:p w:rsidR="00A45B09" w:rsidRDefault="00A45B09" w:rsidP="00A45B09">
          <w:pPr>
            <w:pStyle w:val="Header"/>
          </w:pPr>
        </w:p>
      </w:tc>
      <w:tc>
        <w:tcPr>
          <w:tcW w:w="5127" w:type="dxa"/>
          <w:shd w:val="clear" w:color="auto" w:fill="auto"/>
          <w:vAlign w:val="bottom"/>
        </w:tcPr>
        <w:p w:rsidR="00A45B09" w:rsidRPr="00A45B09" w:rsidRDefault="00A45B09" w:rsidP="00A45B09">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3A17C5">
            <w:rPr>
              <w:b/>
              <w:color w:val="000000"/>
            </w:rPr>
            <w:t>ST/SG/AC.10/C.3/2015/56</w:t>
          </w:r>
          <w:r>
            <w:rPr>
              <w:b/>
              <w:color w:val="000000"/>
            </w:rPr>
            <w:fldChar w:fldCharType="end"/>
          </w:r>
        </w:p>
      </w:tc>
    </w:tr>
  </w:tbl>
  <w:p w:rsidR="00A45B09" w:rsidRPr="00A45B09" w:rsidRDefault="00A45B09" w:rsidP="00A45B09">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A45B09" w:rsidTr="00A45B09">
      <w:trPr>
        <w:trHeight w:hRule="exact" w:val="864"/>
      </w:trPr>
      <w:tc>
        <w:tcPr>
          <w:tcW w:w="1267" w:type="dxa"/>
          <w:tcBorders>
            <w:bottom w:val="single" w:sz="4" w:space="0" w:color="auto"/>
          </w:tcBorders>
          <w:shd w:val="clear" w:color="auto" w:fill="auto"/>
          <w:vAlign w:val="bottom"/>
        </w:tcPr>
        <w:p w:rsidR="00A45B09" w:rsidRDefault="00A45B09" w:rsidP="00A45B09">
          <w:pPr>
            <w:pStyle w:val="Header"/>
            <w:spacing w:after="120"/>
          </w:pPr>
        </w:p>
      </w:tc>
      <w:tc>
        <w:tcPr>
          <w:tcW w:w="2059" w:type="dxa"/>
          <w:tcBorders>
            <w:bottom w:val="single" w:sz="4" w:space="0" w:color="auto"/>
          </w:tcBorders>
          <w:shd w:val="clear" w:color="auto" w:fill="auto"/>
          <w:vAlign w:val="bottom"/>
        </w:tcPr>
        <w:p w:rsidR="00A45B09" w:rsidRPr="00A45B09" w:rsidRDefault="00A45B09" w:rsidP="00A45B09">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A45B09" w:rsidRDefault="00A45B09" w:rsidP="00A45B09">
          <w:pPr>
            <w:pStyle w:val="Header"/>
            <w:spacing w:after="120"/>
          </w:pPr>
        </w:p>
      </w:tc>
      <w:tc>
        <w:tcPr>
          <w:tcW w:w="6653" w:type="dxa"/>
          <w:gridSpan w:val="4"/>
          <w:tcBorders>
            <w:bottom w:val="single" w:sz="4" w:space="0" w:color="auto"/>
          </w:tcBorders>
          <w:shd w:val="clear" w:color="auto" w:fill="auto"/>
          <w:vAlign w:val="bottom"/>
        </w:tcPr>
        <w:p w:rsidR="00A45B09" w:rsidRPr="00A45B09" w:rsidRDefault="00A45B09" w:rsidP="00A45B09">
          <w:pPr>
            <w:spacing w:after="80" w:line="240" w:lineRule="auto"/>
            <w:jc w:val="right"/>
            <w:rPr>
              <w:position w:val="-4"/>
            </w:rPr>
          </w:pPr>
          <w:r>
            <w:rPr>
              <w:position w:val="-4"/>
              <w:sz w:val="40"/>
            </w:rPr>
            <w:t>ST</w:t>
          </w:r>
          <w:r>
            <w:rPr>
              <w:position w:val="-4"/>
            </w:rPr>
            <w:t>/SG/AC.10/C.3/2015/56</w:t>
          </w:r>
        </w:p>
      </w:tc>
    </w:tr>
    <w:tr w:rsidR="00A45B09" w:rsidRPr="00A45B09" w:rsidTr="00A45B09">
      <w:trPr>
        <w:gridAfter w:val="1"/>
        <w:wAfter w:w="18" w:type="dxa"/>
        <w:trHeight w:hRule="exact" w:val="2880"/>
      </w:trPr>
      <w:tc>
        <w:tcPr>
          <w:tcW w:w="1267" w:type="dxa"/>
          <w:tcBorders>
            <w:top w:val="single" w:sz="4" w:space="0" w:color="auto"/>
            <w:bottom w:val="single" w:sz="12" w:space="0" w:color="auto"/>
          </w:tcBorders>
          <w:shd w:val="clear" w:color="auto" w:fill="auto"/>
        </w:tcPr>
        <w:p w:rsidR="00A45B09" w:rsidRPr="00A45B09" w:rsidRDefault="00A45B09" w:rsidP="00667F4F">
          <w:pPr>
            <w:pStyle w:val="Header"/>
            <w:spacing w:before="120" w:line="240" w:lineRule="auto"/>
            <w:ind w:left="-72"/>
            <w:jc w:val="center"/>
          </w:pPr>
          <w:r>
            <w:rPr>
              <w:noProof/>
              <w:lang w:val="en-GB" w:eastAsia="en-GB"/>
            </w:rPr>
            <w:drawing>
              <wp:inline distT="0" distB="0" distL="0" distR="0" wp14:anchorId="065B0215" wp14:editId="6C6B8DEF">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A45B09" w:rsidRPr="00A45B09" w:rsidRDefault="00A45B09" w:rsidP="00A45B09">
          <w:pPr>
            <w:pStyle w:val="XLarge"/>
            <w:spacing w:before="109"/>
          </w:pPr>
          <w:r>
            <w:t>Secrétariat</w:t>
          </w:r>
        </w:p>
      </w:tc>
      <w:tc>
        <w:tcPr>
          <w:tcW w:w="245" w:type="dxa"/>
          <w:tcBorders>
            <w:top w:val="single" w:sz="4" w:space="0" w:color="auto"/>
            <w:bottom w:val="single" w:sz="12" w:space="0" w:color="auto"/>
          </w:tcBorders>
          <w:shd w:val="clear" w:color="auto" w:fill="auto"/>
        </w:tcPr>
        <w:p w:rsidR="00A45B09" w:rsidRPr="00A45B09" w:rsidRDefault="00A45B09" w:rsidP="00A45B09">
          <w:pPr>
            <w:pStyle w:val="Header"/>
            <w:spacing w:before="109"/>
          </w:pPr>
        </w:p>
      </w:tc>
      <w:tc>
        <w:tcPr>
          <w:tcW w:w="3280" w:type="dxa"/>
          <w:tcBorders>
            <w:top w:val="single" w:sz="4" w:space="0" w:color="auto"/>
            <w:bottom w:val="single" w:sz="12" w:space="0" w:color="auto"/>
          </w:tcBorders>
          <w:shd w:val="clear" w:color="auto" w:fill="auto"/>
        </w:tcPr>
        <w:p w:rsidR="00A45B09" w:rsidRDefault="00A45B09" w:rsidP="00A45B09">
          <w:pPr>
            <w:pStyle w:val="Distribution"/>
            <w:rPr>
              <w:color w:val="000000"/>
            </w:rPr>
          </w:pPr>
          <w:r>
            <w:rPr>
              <w:color w:val="000000"/>
            </w:rPr>
            <w:t xml:space="preserve">Distr. </w:t>
          </w:r>
          <w:proofErr w:type="spellStart"/>
          <w:r>
            <w:rPr>
              <w:color w:val="000000"/>
            </w:rPr>
            <w:t>générale</w:t>
          </w:r>
          <w:proofErr w:type="spellEnd"/>
        </w:p>
        <w:p w:rsidR="00A45B09" w:rsidRDefault="00A45B09" w:rsidP="00A45B09">
          <w:pPr>
            <w:pStyle w:val="Publication"/>
            <w:rPr>
              <w:color w:val="000000"/>
            </w:rPr>
          </w:pPr>
          <w:r>
            <w:rPr>
              <w:color w:val="000000"/>
            </w:rPr>
            <w:t xml:space="preserve">8 </w:t>
          </w:r>
          <w:proofErr w:type="spellStart"/>
          <w:r>
            <w:rPr>
              <w:color w:val="000000"/>
            </w:rPr>
            <w:t>septembre</w:t>
          </w:r>
          <w:proofErr w:type="spellEnd"/>
          <w:r>
            <w:rPr>
              <w:color w:val="000000"/>
            </w:rPr>
            <w:t xml:space="preserve"> 2015</w:t>
          </w:r>
        </w:p>
        <w:p w:rsidR="00A45B09" w:rsidRDefault="00A45B09" w:rsidP="00A45B09">
          <w:pPr>
            <w:rPr>
              <w:lang w:val="en-US"/>
            </w:rPr>
          </w:pPr>
          <w:proofErr w:type="spellStart"/>
          <w:r>
            <w:rPr>
              <w:lang w:val="en-US"/>
            </w:rPr>
            <w:t>Français</w:t>
          </w:r>
          <w:proofErr w:type="spellEnd"/>
        </w:p>
        <w:p w:rsidR="00A45B09" w:rsidRPr="00A45B09" w:rsidRDefault="00A45B09" w:rsidP="00A45B09">
          <w:pPr>
            <w:pStyle w:val="Original"/>
            <w:rPr>
              <w:color w:val="000000"/>
            </w:rPr>
          </w:pPr>
          <w:r>
            <w:rPr>
              <w:color w:val="000000"/>
            </w:rPr>
            <w:t xml:space="preserve">Original : </w:t>
          </w:r>
          <w:proofErr w:type="spellStart"/>
          <w:r>
            <w:rPr>
              <w:color w:val="000000"/>
            </w:rPr>
            <w:t>anglais</w:t>
          </w:r>
          <w:proofErr w:type="spellEnd"/>
        </w:p>
      </w:tc>
    </w:tr>
  </w:tbl>
  <w:p w:rsidR="00A45B09" w:rsidRPr="00A45B09" w:rsidRDefault="00A45B09" w:rsidP="00A45B09">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7E3C08"/>
    <w:multiLevelType w:val="hybridMultilevel"/>
    <w:tmpl w:val="AED4A49A"/>
    <w:lvl w:ilvl="0" w:tplc="A42218E6">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5">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94651B"/>
    <w:multiLevelType w:val="singleLevel"/>
    <w:tmpl w:val="04381526"/>
    <w:lvl w:ilvl="0">
      <w:start w:val="1"/>
      <w:numFmt w:val="decimal"/>
      <w:lvlRestart w:val="0"/>
      <w:lvlText w:val="%1."/>
      <w:lvlJc w:val="left"/>
      <w:pPr>
        <w:tabs>
          <w:tab w:val="num" w:pos="475"/>
        </w:tabs>
        <w:ind w:left="0" w:firstLine="0"/>
      </w:pPr>
      <w:rPr>
        <w:w w:val="100"/>
      </w:rPr>
    </w:lvl>
  </w:abstractNum>
  <w:abstractNum w:abstractNumId="7">
    <w:nsid w:val="76E33CC0"/>
    <w:multiLevelType w:val="singleLevel"/>
    <w:tmpl w:val="04381526"/>
    <w:lvl w:ilvl="0">
      <w:start w:val="1"/>
      <w:numFmt w:val="decimal"/>
      <w:lvlRestart w:val="0"/>
      <w:lvlText w:val="%1."/>
      <w:lvlJc w:val="left"/>
      <w:pPr>
        <w:tabs>
          <w:tab w:val="num" w:pos="1735"/>
        </w:tabs>
        <w:ind w:left="1260" w:firstLine="0"/>
      </w:pPr>
      <w:rPr>
        <w:w w:val="100"/>
      </w:rPr>
    </w:lvl>
  </w:abstractNum>
  <w:num w:numId="1">
    <w:abstractNumId w:val="2"/>
  </w:num>
  <w:num w:numId="2">
    <w:abstractNumId w:val="1"/>
  </w:num>
  <w:num w:numId="3">
    <w:abstractNumId w:val="3"/>
  </w:num>
  <w:num w:numId="4">
    <w:abstractNumId w:val="5"/>
  </w:num>
  <w:num w:numId="5">
    <w:abstractNumId w:val="0"/>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SortMethod w:val="0003"/>
  <w:revisionView w:markup="0"/>
  <w:defaultTabStop w:val="475"/>
  <w:doNotHyphenateCaps/>
  <w:evenAndOddHeaders/>
  <w:characterSpacingControl w:val="doNotCompress"/>
  <w:hdrShapeDefaults>
    <o:shapedefaults v:ext="edit" spidmax="10241"/>
  </w:hdrShapeDefaults>
  <w:footnotePr>
    <w:footnote w:id="-1"/>
    <w:footnote w:id="0"/>
  </w:footnotePr>
  <w:endnotePr>
    <w:pos w:val="sectEnd"/>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5231*"/>
    <w:docVar w:name="CreationDt" w:val="11/25/2015 11:03 AM"/>
    <w:docVar w:name="DocCategory" w:val="Doc"/>
    <w:docVar w:name="DocType" w:val="Final"/>
    <w:docVar w:name="DutyStation" w:val="Geneva"/>
    <w:docVar w:name="FooterJN" w:val="GE.15-15231"/>
    <w:docVar w:name="jobn" w:val="GE.15-15231 (F)"/>
    <w:docVar w:name="jobnDT" w:val="GE.15-15231 (F)   251115"/>
    <w:docVar w:name="jobnDTDT" w:val="GE.15-15231 (F)   251115   251115"/>
    <w:docVar w:name="JobNo" w:val="GE.1515231F"/>
    <w:docVar w:name="JobNo2" w:val="GE.1520499F"/>
    <w:docVar w:name="LocalDrive" w:val="0"/>
    <w:docVar w:name="OandT" w:val="M. Deschamps"/>
    <w:docVar w:name="PaperSize" w:val="A4"/>
    <w:docVar w:name="sss1" w:val="ST/SG/AC.10/C.3/2015/56"/>
    <w:docVar w:name="sss2" w:val="-"/>
    <w:docVar w:name="Symbol1" w:val="ST/SG/AC.10/C.3/2015/56"/>
    <w:docVar w:name="Symbol2" w:val="-"/>
  </w:docVars>
  <w:rsids>
    <w:rsidRoot w:val="00F038E8"/>
    <w:rsid w:val="000015B8"/>
    <w:rsid w:val="000046A5"/>
    <w:rsid w:val="000055FB"/>
    <w:rsid w:val="00010C97"/>
    <w:rsid w:val="00016483"/>
    <w:rsid w:val="00022173"/>
    <w:rsid w:val="00022206"/>
    <w:rsid w:val="0002226F"/>
    <w:rsid w:val="00022B4A"/>
    <w:rsid w:val="00023E37"/>
    <w:rsid w:val="000249FF"/>
    <w:rsid w:val="00025DE5"/>
    <w:rsid w:val="000274C2"/>
    <w:rsid w:val="00033DC9"/>
    <w:rsid w:val="000378DE"/>
    <w:rsid w:val="00040497"/>
    <w:rsid w:val="00041ABD"/>
    <w:rsid w:val="00046145"/>
    <w:rsid w:val="00050D9C"/>
    <w:rsid w:val="00054482"/>
    <w:rsid w:val="0005669A"/>
    <w:rsid w:val="00057151"/>
    <w:rsid w:val="000571B5"/>
    <w:rsid w:val="00061455"/>
    <w:rsid w:val="000616D7"/>
    <w:rsid w:val="000636D2"/>
    <w:rsid w:val="00063B2D"/>
    <w:rsid w:val="000643C1"/>
    <w:rsid w:val="000658A4"/>
    <w:rsid w:val="00065BD4"/>
    <w:rsid w:val="000675CF"/>
    <w:rsid w:val="00071173"/>
    <w:rsid w:val="0007246F"/>
    <w:rsid w:val="000746A5"/>
    <w:rsid w:val="00074EA0"/>
    <w:rsid w:val="000776CA"/>
    <w:rsid w:val="00077CC4"/>
    <w:rsid w:val="00083D89"/>
    <w:rsid w:val="00085112"/>
    <w:rsid w:val="0008708F"/>
    <w:rsid w:val="00091BC1"/>
    <w:rsid w:val="00091DBD"/>
    <w:rsid w:val="00096B3C"/>
    <w:rsid w:val="000A18B6"/>
    <w:rsid w:val="000A24DE"/>
    <w:rsid w:val="000A2612"/>
    <w:rsid w:val="000A2DFB"/>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0242"/>
    <w:rsid w:val="0011255C"/>
    <w:rsid w:val="001126A7"/>
    <w:rsid w:val="0011277A"/>
    <w:rsid w:val="00112FE9"/>
    <w:rsid w:val="0011497A"/>
    <w:rsid w:val="00114B31"/>
    <w:rsid w:val="001156F7"/>
    <w:rsid w:val="00116149"/>
    <w:rsid w:val="00123812"/>
    <w:rsid w:val="001256F6"/>
    <w:rsid w:val="001262BA"/>
    <w:rsid w:val="00126FB2"/>
    <w:rsid w:val="00127266"/>
    <w:rsid w:val="0013186C"/>
    <w:rsid w:val="00132A45"/>
    <w:rsid w:val="001359FA"/>
    <w:rsid w:val="0013714F"/>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77D83"/>
    <w:rsid w:val="00180387"/>
    <w:rsid w:val="001818CC"/>
    <w:rsid w:val="00183EBF"/>
    <w:rsid w:val="00186793"/>
    <w:rsid w:val="0019082C"/>
    <w:rsid w:val="00192D05"/>
    <w:rsid w:val="00193A8C"/>
    <w:rsid w:val="001A2E2D"/>
    <w:rsid w:val="001A4BAA"/>
    <w:rsid w:val="001A4F4E"/>
    <w:rsid w:val="001A5D31"/>
    <w:rsid w:val="001A76F3"/>
    <w:rsid w:val="001B5583"/>
    <w:rsid w:val="001B5A24"/>
    <w:rsid w:val="001C0599"/>
    <w:rsid w:val="001C3C57"/>
    <w:rsid w:val="001C4664"/>
    <w:rsid w:val="001C4EBE"/>
    <w:rsid w:val="001C5B90"/>
    <w:rsid w:val="001D040C"/>
    <w:rsid w:val="001D0E60"/>
    <w:rsid w:val="001D272D"/>
    <w:rsid w:val="001D280C"/>
    <w:rsid w:val="001D294E"/>
    <w:rsid w:val="001D688B"/>
    <w:rsid w:val="001E2D50"/>
    <w:rsid w:val="001E44F3"/>
    <w:rsid w:val="001F053A"/>
    <w:rsid w:val="001F2DA6"/>
    <w:rsid w:val="001F4DBE"/>
    <w:rsid w:val="001F62AF"/>
    <w:rsid w:val="001F793D"/>
    <w:rsid w:val="001F7E9D"/>
    <w:rsid w:val="002021E9"/>
    <w:rsid w:val="00202789"/>
    <w:rsid w:val="00202F1F"/>
    <w:rsid w:val="00205199"/>
    <w:rsid w:val="0020521E"/>
    <w:rsid w:val="00206598"/>
    <w:rsid w:val="00207655"/>
    <w:rsid w:val="00207CAA"/>
    <w:rsid w:val="0021168F"/>
    <w:rsid w:val="002178A7"/>
    <w:rsid w:val="002220FF"/>
    <w:rsid w:val="00237D01"/>
    <w:rsid w:val="00240F64"/>
    <w:rsid w:val="002410E3"/>
    <w:rsid w:val="00241F29"/>
    <w:rsid w:val="00243D1C"/>
    <w:rsid w:val="00245B48"/>
    <w:rsid w:val="00246425"/>
    <w:rsid w:val="002515C7"/>
    <w:rsid w:val="002523F6"/>
    <w:rsid w:val="00252402"/>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A07EF"/>
    <w:rsid w:val="002A2122"/>
    <w:rsid w:val="002A27E5"/>
    <w:rsid w:val="002A530D"/>
    <w:rsid w:val="002A69DB"/>
    <w:rsid w:val="002A6A15"/>
    <w:rsid w:val="002B037D"/>
    <w:rsid w:val="002B1D15"/>
    <w:rsid w:val="002B4A7F"/>
    <w:rsid w:val="002B5449"/>
    <w:rsid w:val="002B5928"/>
    <w:rsid w:val="002C3640"/>
    <w:rsid w:val="002C3FD3"/>
    <w:rsid w:val="002C419A"/>
    <w:rsid w:val="002C472D"/>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8EE"/>
    <w:rsid w:val="002F1E33"/>
    <w:rsid w:val="002F5482"/>
    <w:rsid w:val="002F5972"/>
    <w:rsid w:val="00303A3C"/>
    <w:rsid w:val="00303D82"/>
    <w:rsid w:val="00303E4E"/>
    <w:rsid w:val="003047D2"/>
    <w:rsid w:val="00306DE1"/>
    <w:rsid w:val="0030788D"/>
    <w:rsid w:val="00316628"/>
    <w:rsid w:val="00316B58"/>
    <w:rsid w:val="003235C7"/>
    <w:rsid w:val="00326270"/>
    <w:rsid w:val="0032685C"/>
    <w:rsid w:val="0032728E"/>
    <w:rsid w:val="00332A87"/>
    <w:rsid w:val="00333703"/>
    <w:rsid w:val="0033386C"/>
    <w:rsid w:val="003342DF"/>
    <w:rsid w:val="00334FEB"/>
    <w:rsid w:val="00337015"/>
    <w:rsid w:val="003406CA"/>
    <w:rsid w:val="00340736"/>
    <w:rsid w:val="00343F8A"/>
    <w:rsid w:val="003441A5"/>
    <w:rsid w:val="00344969"/>
    <w:rsid w:val="00347E5F"/>
    <w:rsid w:val="003506F1"/>
    <w:rsid w:val="003555DE"/>
    <w:rsid w:val="00355810"/>
    <w:rsid w:val="003559A7"/>
    <w:rsid w:val="0035691F"/>
    <w:rsid w:val="00356B67"/>
    <w:rsid w:val="003616BD"/>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66F"/>
    <w:rsid w:val="003936F7"/>
    <w:rsid w:val="00393A67"/>
    <w:rsid w:val="00393C9F"/>
    <w:rsid w:val="003942F1"/>
    <w:rsid w:val="00395031"/>
    <w:rsid w:val="00395EB8"/>
    <w:rsid w:val="003968AB"/>
    <w:rsid w:val="00396ABF"/>
    <w:rsid w:val="00397343"/>
    <w:rsid w:val="003A17C5"/>
    <w:rsid w:val="003A2037"/>
    <w:rsid w:val="003A4ED6"/>
    <w:rsid w:val="003A56DC"/>
    <w:rsid w:val="003B411E"/>
    <w:rsid w:val="003B445F"/>
    <w:rsid w:val="003B4698"/>
    <w:rsid w:val="003B49BF"/>
    <w:rsid w:val="003B60DA"/>
    <w:rsid w:val="003B60EE"/>
    <w:rsid w:val="003B668A"/>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1243"/>
    <w:rsid w:val="003F27A0"/>
    <w:rsid w:val="003F34C6"/>
    <w:rsid w:val="003F57D1"/>
    <w:rsid w:val="00401219"/>
    <w:rsid w:val="004039C7"/>
    <w:rsid w:val="004065B7"/>
    <w:rsid w:val="004066EB"/>
    <w:rsid w:val="00406E1E"/>
    <w:rsid w:val="00414C9D"/>
    <w:rsid w:val="004159B5"/>
    <w:rsid w:val="00415A2B"/>
    <w:rsid w:val="00415EBB"/>
    <w:rsid w:val="00416293"/>
    <w:rsid w:val="004204AE"/>
    <w:rsid w:val="004216F7"/>
    <w:rsid w:val="0042753D"/>
    <w:rsid w:val="004309B5"/>
    <w:rsid w:val="0043103D"/>
    <w:rsid w:val="00432662"/>
    <w:rsid w:val="00433AB0"/>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1788"/>
    <w:rsid w:val="004627F7"/>
    <w:rsid w:val="00462FE3"/>
    <w:rsid w:val="004638A8"/>
    <w:rsid w:val="00464787"/>
    <w:rsid w:val="004669E9"/>
    <w:rsid w:val="00472794"/>
    <w:rsid w:val="00475F9F"/>
    <w:rsid w:val="00476698"/>
    <w:rsid w:val="00477592"/>
    <w:rsid w:val="004814BB"/>
    <w:rsid w:val="00481634"/>
    <w:rsid w:val="00487428"/>
    <w:rsid w:val="00490D73"/>
    <w:rsid w:val="00491CD5"/>
    <w:rsid w:val="00492510"/>
    <w:rsid w:val="00492DC3"/>
    <w:rsid w:val="004939DE"/>
    <w:rsid w:val="004973EC"/>
    <w:rsid w:val="004A0AA6"/>
    <w:rsid w:val="004A1763"/>
    <w:rsid w:val="004A186E"/>
    <w:rsid w:val="004A2319"/>
    <w:rsid w:val="004A2455"/>
    <w:rsid w:val="004A698E"/>
    <w:rsid w:val="004A7606"/>
    <w:rsid w:val="004B1DBB"/>
    <w:rsid w:val="004B56C6"/>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238"/>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1F7B"/>
    <w:rsid w:val="00522110"/>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5536F"/>
    <w:rsid w:val="005669CA"/>
    <w:rsid w:val="00575199"/>
    <w:rsid w:val="005770F6"/>
    <w:rsid w:val="00577899"/>
    <w:rsid w:val="00577BDD"/>
    <w:rsid w:val="005811A3"/>
    <w:rsid w:val="00583566"/>
    <w:rsid w:val="00584E7A"/>
    <w:rsid w:val="00585CA8"/>
    <w:rsid w:val="00585DEA"/>
    <w:rsid w:val="0058795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33A4"/>
    <w:rsid w:val="005B3C4C"/>
    <w:rsid w:val="005B5D99"/>
    <w:rsid w:val="005B74B8"/>
    <w:rsid w:val="005C1353"/>
    <w:rsid w:val="005C1587"/>
    <w:rsid w:val="005C3A63"/>
    <w:rsid w:val="005C65C2"/>
    <w:rsid w:val="005C765D"/>
    <w:rsid w:val="005C7B4D"/>
    <w:rsid w:val="005D7CA9"/>
    <w:rsid w:val="005E0F5F"/>
    <w:rsid w:val="005F12E0"/>
    <w:rsid w:val="005F2726"/>
    <w:rsid w:val="005F2A30"/>
    <w:rsid w:val="005F2FA6"/>
    <w:rsid w:val="005F34E5"/>
    <w:rsid w:val="005F35C5"/>
    <w:rsid w:val="005F43E1"/>
    <w:rsid w:val="005F47D4"/>
    <w:rsid w:val="005F6A9F"/>
    <w:rsid w:val="005F6E3F"/>
    <w:rsid w:val="0060033F"/>
    <w:rsid w:val="00603211"/>
    <w:rsid w:val="0060375B"/>
    <w:rsid w:val="00606A0C"/>
    <w:rsid w:val="00607448"/>
    <w:rsid w:val="0060792E"/>
    <w:rsid w:val="00611860"/>
    <w:rsid w:val="00611DA0"/>
    <w:rsid w:val="00612407"/>
    <w:rsid w:val="006125AC"/>
    <w:rsid w:val="00616984"/>
    <w:rsid w:val="00616E84"/>
    <w:rsid w:val="00617EBE"/>
    <w:rsid w:val="0062117B"/>
    <w:rsid w:val="00622055"/>
    <w:rsid w:val="00632332"/>
    <w:rsid w:val="00633E85"/>
    <w:rsid w:val="006361EE"/>
    <w:rsid w:val="0063657E"/>
    <w:rsid w:val="00636EB6"/>
    <w:rsid w:val="006407EF"/>
    <w:rsid w:val="0064115E"/>
    <w:rsid w:val="006423E0"/>
    <w:rsid w:val="00642B02"/>
    <w:rsid w:val="00646F60"/>
    <w:rsid w:val="0064762B"/>
    <w:rsid w:val="00650623"/>
    <w:rsid w:val="0065129E"/>
    <w:rsid w:val="006512C8"/>
    <w:rsid w:val="00653CD3"/>
    <w:rsid w:val="00656E62"/>
    <w:rsid w:val="006573FC"/>
    <w:rsid w:val="00660D00"/>
    <w:rsid w:val="00662686"/>
    <w:rsid w:val="00665605"/>
    <w:rsid w:val="00665692"/>
    <w:rsid w:val="006660B5"/>
    <w:rsid w:val="00667F4F"/>
    <w:rsid w:val="00671687"/>
    <w:rsid w:val="00673F2C"/>
    <w:rsid w:val="00674277"/>
    <w:rsid w:val="00675A53"/>
    <w:rsid w:val="006770E8"/>
    <w:rsid w:val="006803F5"/>
    <w:rsid w:val="006817AB"/>
    <w:rsid w:val="00683C7E"/>
    <w:rsid w:val="006853D8"/>
    <w:rsid w:val="006866E8"/>
    <w:rsid w:val="00687FB1"/>
    <w:rsid w:val="0069608C"/>
    <w:rsid w:val="00697952"/>
    <w:rsid w:val="006A04E6"/>
    <w:rsid w:val="006A0B3D"/>
    <w:rsid w:val="006A2F71"/>
    <w:rsid w:val="006A5910"/>
    <w:rsid w:val="006B1ABC"/>
    <w:rsid w:val="006B2934"/>
    <w:rsid w:val="006B2CC8"/>
    <w:rsid w:val="006B64BE"/>
    <w:rsid w:val="006B6669"/>
    <w:rsid w:val="006C1A92"/>
    <w:rsid w:val="006C3BDD"/>
    <w:rsid w:val="006C449D"/>
    <w:rsid w:val="006D0C9B"/>
    <w:rsid w:val="006D1115"/>
    <w:rsid w:val="006D138E"/>
    <w:rsid w:val="006D1B76"/>
    <w:rsid w:val="006D5832"/>
    <w:rsid w:val="006E215F"/>
    <w:rsid w:val="006E3D5C"/>
    <w:rsid w:val="006E4078"/>
    <w:rsid w:val="006E4E12"/>
    <w:rsid w:val="006E4EFA"/>
    <w:rsid w:val="006E5649"/>
    <w:rsid w:val="006E5953"/>
    <w:rsid w:val="006F41DD"/>
    <w:rsid w:val="006F5A33"/>
    <w:rsid w:val="006F6787"/>
    <w:rsid w:val="006F6EDD"/>
    <w:rsid w:val="006F79A5"/>
    <w:rsid w:val="007033D2"/>
    <w:rsid w:val="00704AF5"/>
    <w:rsid w:val="0070555E"/>
    <w:rsid w:val="00707DF8"/>
    <w:rsid w:val="00711F00"/>
    <w:rsid w:val="0071328D"/>
    <w:rsid w:val="007142A3"/>
    <w:rsid w:val="00717865"/>
    <w:rsid w:val="00721866"/>
    <w:rsid w:val="0072436A"/>
    <w:rsid w:val="00735F3A"/>
    <w:rsid w:val="00735FB1"/>
    <w:rsid w:val="007367E1"/>
    <w:rsid w:val="007379A0"/>
    <w:rsid w:val="00743131"/>
    <w:rsid w:val="0074339E"/>
    <w:rsid w:val="00744BE5"/>
    <w:rsid w:val="00744D58"/>
    <w:rsid w:val="00745376"/>
    <w:rsid w:val="0074587F"/>
    <w:rsid w:val="0074621F"/>
    <w:rsid w:val="007476BA"/>
    <w:rsid w:val="00750C8F"/>
    <w:rsid w:val="0075110B"/>
    <w:rsid w:val="007517F6"/>
    <w:rsid w:val="007531C9"/>
    <w:rsid w:val="007537B8"/>
    <w:rsid w:val="00754913"/>
    <w:rsid w:val="00755393"/>
    <w:rsid w:val="007553FC"/>
    <w:rsid w:val="00756346"/>
    <w:rsid w:val="007609C3"/>
    <w:rsid w:val="00760F66"/>
    <w:rsid w:val="00761561"/>
    <w:rsid w:val="00762F97"/>
    <w:rsid w:val="0076382E"/>
    <w:rsid w:val="00763AE4"/>
    <w:rsid w:val="00765152"/>
    <w:rsid w:val="00767FBE"/>
    <w:rsid w:val="00770DEF"/>
    <w:rsid w:val="00770EB4"/>
    <w:rsid w:val="00772106"/>
    <w:rsid w:val="0077228A"/>
    <w:rsid w:val="00772CF6"/>
    <w:rsid w:val="00772EB1"/>
    <w:rsid w:val="00774368"/>
    <w:rsid w:val="0077589C"/>
    <w:rsid w:val="00775BFD"/>
    <w:rsid w:val="007769D2"/>
    <w:rsid w:val="00780058"/>
    <w:rsid w:val="007804F4"/>
    <w:rsid w:val="00781004"/>
    <w:rsid w:val="00781F43"/>
    <w:rsid w:val="0078227E"/>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3D35"/>
    <w:rsid w:val="007A78C2"/>
    <w:rsid w:val="007B05E9"/>
    <w:rsid w:val="007B148E"/>
    <w:rsid w:val="007B1E17"/>
    <w:rsid w:val="007B4C73"/>
    <w:rsid w:val="007C0C1F"/>
    <w:rsid w:val="007C206E"/>
    <w:rsid w:val="007C2936"/>
    <w:rsid w:val="007C662A"/>
    <w:rsid w:val="007C7D7F"/>
    <w:rsid w:val="007D33BA"/>
    <w:rsid w:val="007D385A"/>
    <w:rsid w:val="007D6FCB"/>
    <w:rsid w:val="007D7FD4"/>
    <w:rsid w:val="007E2FEB"/>
    <w:rsid w:val="007E3CF9"/>
    <w:rsid w:val="007E74E9"/>
    <w:rsid w:val="007F0ED6"/>
    <w:rsid w:val="007F1459"/>
    <w:rsid w:val="007F1AB9"/>
    <w:rsid w:val="007F3DCC"/>
    <w:rsid w:val="007F49BD"/>
    <w:rsid w:val="007F6F95"/>
    <w:rsid w:val="007F77CB"/>
    <w:rsid w:val="00800903"/>
    <w:rsid w:val="008040BA"/>
    <w:rsid w:val="00804131"/>
    <w:rsid w:val="00804565"/>
    <w:rsid w:val="00806A3B"/>
    <w:rsid w:val="00807CA4"/>
    <w:rsid w:val="008100FD"/>
    <w:rsid w:val="008114C3"/>
    <w:rsid w:val="00814C2A"/>
    <w:rsid w:val="00816ECE"/>
    <w:rsid w:val="008173CF"/>
    <w:rsid w:val="00817884"/>
    <w:rsid w:val="0082537E"/>
    <w:rsid w:val="00825C31"/>
    <w:rsid w:val="00827B6E"/>
    <w:rsid w:val="00831BD0"/>
    <w:rsid w:val="00833A79"/>
    <w:rsid w:val="00833BFF"/>
    <w:rsid w:val="0083677A"/>
    <w:rsid w:val="00837284"/>
    <w:rsid w:val="0083731D"/>
    <w:rsid w:val="00837549"/>
    <w:rsid w:val="008415FE"/>
    <w:rsid w:val="00842319"/>
    <w:rsid w:val="008435C2"/>
    <w:rsid w:val="00844B5C"/>
    <w:rsid w:val="00845C9F"/>
    <w:rsid w:val="00846431"/>
    <w:rsid w:val="00850A6F"/>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84F"/>
    <w:rsid w:val="00891ADA"/>
    <w:rsid w:val="008962D4"/>
    <w:rsid w:val="008A3ABC"/>
    <w:rsid w:val="008A4C0E"/>
    <w:rsid w:val="008A5334"/>
    <w:rsid w:val="008A630B"/>
    <w:rsid w:val="008A734B"/>
    <w:rsid w:val="008B24ED"/>
    <w:rsid w:val="008B5932"/>
    <w:rsid w:val="008C1225"/>
    <w:rsid w:val="008C1646"/>
    <w:rsid w:val="008C189A"/>
    <w:rsid w:val="008C1E51"/>
    <w:rsid w:val="008C2C0E"/>
    <w:rsid w:val="008C5E6B"/>
    <w:rsid w:val="008C6672"/>
    <w:rsid w:val="008D2DCF"/>
    <w:rsid w:val="008D3043"/>
    <w:rsid w:val="008D3318"/>
    <w:rsid w:val="008D4C00"/>
    <w:rsid w:val="008D52CD"/>
    <w:rsid w:val="008D5C5F"/>
    <w:rsid w:val="008D613D"/>
    <w:rsid w:val="008D756B"/>
    <w:rsid w:val="008E07B5"/>
    <w:rsid w:val="008E1E88"/>
    <w:rsid w:val="008E46DF"/>
    <w:rsid w:val="008E4FFA"/>
    <w:rsid w:val="008E5CC1"/>
    <w:rsid w:val="008E6532"/>
    <w:rsid w:val="008E7FF5"/>
    <w:rsid w:val="008F125F"/>
    <w:rsid w:val="008F2C00"/>
    <w:rsid w:val="008F3DAE"/>
    <w:rsid w:val="008F6630"/>
    <w:rsid w:val="008F7622"/>
    <w:rsid w:val="0090311E"/>
    <w:rsid w:val="0090438E"/>
    <w:rsid w:val="00906110"/>
    <w:rsid w:val="0090704E"/>
    <w:rsid w:val="0091108F"/>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48D"/>
    <w:rsid w:val="009419AD"/>
    <w:rsid w:val="0095064A"/>
    <w:rsid w:val="00951A0B"/>
    <w:rsid w:val="009535B3"/>
    <w:rsid w:val="00953A36"/>
    <w:rsid w:val="00953F33"/>
    <w:rsid w:val="00955DBA"/>
    <w:rsid w:val="00957244"/>
    <w:rsid w:val="00962CAC"/>
    <w:rsid w:val="00964BDE"/>
    <w:rsid w:val="009676D3"/>
    <w:rsid w:val="00970A5C"/>
    <w:rsid w:val="00971E24"/>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193C"/>
    <w:rsid w:val="009A325B"/>
    <w:rsid w:val="009A3FE3"/>
    <w:rsid w:val="009A4787"/>
    <w:rsid w:val="009A7DEC"/>
    <w:rsid w:val="009B0AF7"/>
    <w:rsid w:val="009B0BFB"/>
    <w:rsid w:val="009B4398"/>
    <w:rsid w:val="009B4EEC"/>
    <w:rsid w:val="009C1815"/>
    <w:rsid w:val="009C5249"/>
    <w:rsid w:val="009C622D"/>
    <w:rsid w:val="009C70D0"/>
    <w:rsid w:val="009C7F1B"/>
    <w:rsid w:val="009D5A2E"/>
    <w:rsid w:val="009D702B"/>
    <w:rsid w:val="009E0573"/>
    <w:rsid w:val="009E06DE"/>
    <w:rsid w:val="009E09FA"/>
    <w:rsid w:val="009E246F"/>
    <w:rsid w:val="009E76A1"/>
    <w:rsid w:val="009F004A"/>
    <w:rsid w:val="009F0CA8"/>
    <w:rsid w:val="009F235E"/>
    <w:rsid w:val="009F29EB"/>
    <w:rsid w:val="009F2D3B"/>
    <w:rsid w:val="009F3C78"/>
    <w:rsid w:val="009F5ACE"/>
    <w:rsid w:val="009F7FE9"/>
    <w:rsid w:val="00A00A92"/>
    <w:rsid w:val="00A02426"/>
    <w:rsid w:val="00A0589C"/>
    <w:rsid w:val="00A06CAB"/>
    <w:rsid w:val="00A075E4"/>
    <w:rsid w:val="00A12A69"/>
    <w:rsid w:val="00A12DBB"/>
    <w:rsid w:val="00A150A7"/>
    <w:rsid w:val="00A151B8"/>
    <w:rsid w:val="00A157E7"/>
    <w:rsid w:val="00A15C29"/>
    <w:rsid w:val="00A210DD"/>
    <w:rsid w:val="00A21443"/>
    <w:rsid w:val="00A22ED0"/>
    <w:rsid w:val="00A23006"/>
    <w:rsid w:val="00A24099"/>
    <w:rsid w:val="00A264B0"/>
    <w:rsid w:val="00A2768E"/>
    <w:rsid w:val="00A329BC"/>
    <w:rsid w:val="00A33E3C"/>
    <w:rsid w:val="00A3426E"/>
    <w:rsid w:val="00A353ED"/>
    <w:rsid w:val="00A375D9"/>
    <w:rsid w:val="00A37FBB"/>
    <w:rsid w:val="00A4236C"/>
    <w:rsid w:val="00A43CAC"/>
    <w:rsid w:val="00A45B09"/>
    <w:rsid w:val="00A45E20"/>
    <w:rsid w:val="00A46DB8"/>
    <w:rsid w:val="00A52DF2"/>
    <w:rsid w:val="00A54A5E"/>
    <w:rsid w:val="00A55810"/>
    <w:rsid w:val="00A56CDD"/>
    <w:rsid w:val="00A56E3B"/>
    <w:rsid w:val="00A57C5A"/>
    <w:rsid w:val="00A64AD2"/>
    <w:rsid w:val="00A72C1F"/>
    <w:rsid w:val="00A72F5E"/>
    <w:rsid w:val="00A75482"/>
    <w:rsid w:val="00A761B5"/>
    <w:rsid w:val="00A83E5E"/>
    <w:rsid w:val="00A84C12"/>
    <w:rsid w:val="00A85CA4"/>
    <w:rsid w:val="00A85D04"/>
    <w:rsid w:val="00A85DB4"/>
    <w:rsid w:val="00A86044"/>
    <w:rsid w:val="00A90002"/>
    <w:rsid w:val="00A96709"/>
    <w:rsid w:val="00A97EBD"/>
    <w:rsid w:val="00AA260F"/>
    <w:rsid w:val="00AA5F19"/>
    <w:rsid w:val="00AA750A"/>
    <w:rsid w:val="00AB001C"/>
    <w:rsid w:val="00AB37EB"/>
    <w:rsid w:val="00AB39C5"/>
    <w:rsid w:val="00AB4438"/>
    <w:rsid w:val="00AB4466"/>
    <w:rsid w:val="00AB50E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1C7"/>
    <w:rsid w:val="00AE164F"/>
    <w:rsid w:val="00AE2D40"/>
    <w:rsid w:val="00AE458E"/>
    <w:rsid w:val="00AE73A1"/>
    <w:rsid w:val="00AE7F88"/>
    <w:rsid w:val="00AF4648"/>
    <w:rsid w:val="00AF4DD3"/>
    <w:rsid w:val="00AF6B78"/>
    <w:rsid w:val="00B01631"/>
    <w:rsid w:val="00B01D80"/>
    <w:rsid w:val="00B05198"/>
    <w:rsid w:val="00B0544B"/>
    <w:rsid w:val="00B06C4C"/>
    <w:rsid w:val="00B078C6"/>
    <w:rsid w:val="00B10BF5"/>
    <w:rsid w:val="00B145B5"/>
    <w:rsid w:val="00B152AC"/>
    <w:rsid w:val="00B16C8B"/>
    <w:rsid w:val="00B20969"/>
    <w:rsid w:val="00B22BE8"/>
    <w:rsid w:val="00B2331A"/>
    <w:rsid w:val="00B2356B"/>
    <w:rsid w:val="00B249F3"/>
    <w:rsid w:val="00B25B74"/>
    <w:rsid w:val="00B26A4A"/>
    <w:rsid w:val="00B26B93"/>
    <w:rsid w:val="00B26C0B"/>
    <w:rsid w:val="00B27126"/>
    <w:rsid w:val="00B27CAC"/>
    <w:rsid w:val="00B32CDE"/>
    <w:rsid w:val="00B34479"/>
    <w:rsid w:val="00B34D72"/>
    <w:rsid w:val="00B362BE"/>
    <w:rsid w:val="00B363A2"/>
    <w:rsid w:val="00B37213"/>
    <w:rsid w:val="00B41711"/>
    <w:rsid w:val="00B44EB6"/>
    <w:rsid w:val="00B503F3"/>
    <w:rsid w:val="00B504C9"/>
    <w:rsid w:val="00B52A47"/>
    <w:rsid w:val="00B53FB4"/>
    <w:rsid w:val="00B541C6"/>
    <w:rsid w:val="00B556DD"/>
    <w:rsid w:val="00B5798F"/>
    <w:rsid w:val="00B57EB0"/>
    <w:rsid w:val="00B61107"/>
    <w:rsid w:val="00B61CB4"/>
    <w:rsid w:val="00B65DB9"/>
    <w:rsid w:val="00B66644"/>
    <w:rsid w:val="00B67756"/>
    <w:rsid w:val="00B70DA9"/>
    <w:rsid w:val="00B712B0"/>
    <w:rsid w:val="00B71478"/>
    <w:rsid w:val="00B71802"/>
    <w:rsid w:val="00B7200B"/>
    <w:rsid w:val="00B76414"/>
    <w:rsid w:val="00B77EB8"/>
    <w:rsid w:val="00B81A2A"/>
    <w:rsid w:val="00B82E95"/>
    <w:rsid w:val="00B84109"/>
    <w:rsid w:val="00B85BDA"/>
    <w:rsid w:val="00B870D6"/>
    <w:rsid w:val="00B874A9"/>
    <w:rsid w:val="00B932C8"/>
    <w:rsid w:val="00B93B31"/>
    <w:rsid w:val="00B9457F"/>
    <w:rsid w:val="00B965BF"/>
    <w:rsid w:val="00BA06B1"/>
    <w:rsid w:val="00BA3125"/>
    <w:rsid w:val="00BA3654"/>
    <w:rsid w:val="00BA600B"/>
    <w:rsid w:val="00BC05C8"/>
    <w:rsid w:val="00BC0F9A"/>
    <w:rsid w:val="00BC3D5F"/>
    <w:rsid w:val="00BC43E2"/>
    <w:rsid w:val="00BD0917"/>
    <w:rsid w:val="00BD1607"/>
    <w:rsid w:val="00BD45A0"/>
    <w:rsid w:val="00BD45BA"/>
    <w:rsid w:val="00BE1D55"/>
    <w:rsid w:val="00BE2F51"/>
    <w:rsid w:val="00BE3214"/>
    <w:rsid w:val="00BE5325"/>
    <w:rsid w:val="00BE5439"/>
    <w:rsid w:val="00BE62DB"/>
    <w:rsid w:val="00BE7E1A"/>
    <w:rsid w:val="00BF041C"/>
    <w:rsid w:val="00BF055A"/>
    <w:rsid w:val="00BF0B13"/>
    <w:rsid w:val="00BF4E69"/>
    <w:rsid w:val="00BF651C"/>
    <w:rsid w:val="00BF734B"/>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2E3"/>
    <w:rsid w:val="00C47E57"/>
    <w:rsid w:val="00C55B02"/>
    <w:rsid w:val="00C56142"/>
    <w:rsid w:val="00C56B3A"/>
    <w:rsid w:val="00C56EFE"/>
    <w:rsid w:val="00C57F00"/>
    <w:rsid w:val="00C60C0B"/>
    <w:rsid w:val="00C66382"/>
    <w:rsid w:val="00C67F09"/>
    <w:rsid w:val="00C72788"/>
    <w:rsid w:val="00C75398"/>
    <w:rsid w:val="00C75F9C"/>
    <w:rsid w:val="00C76A5E"/>
    <w:rsid w:val="00C770FD"/>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E1548"/>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11FE5"/>
    <w:rsid w:val="00D12150"/>
    <w:rsid w:val="00D12CFB"/>
    <w:rsid w:val="00D1326C"/>
    <w:rsid w:val="00D1431B"/>
    <w:rsid w:val="00D14690"/>
    <w:rsid w:val="00D15BBA"/>
    <w:rsid w:val="00D16823"/>
    <w:rsid w:val="00D16F48"/>
    <w:rsid w:val="00D17215"/>
    <w:rsid w:val="00D250AB"/>
    <w:rsid w:val="00D265B2"/>
    <w:rsid w:val="00D26BA6"/>
    <w:rsid w:val="00D27D4B"/>
    <w:rsid w:val="00D301BE"/>
    <w:rsid w:val="00D320C3"/>
    <w:rsid w:val="00D33B40"/>
    <w:rsid w:val="00D35146"/>
    <w:rsid w:val="00D3596F"/>
    <w:rsid w:val="00D42F04"/>
    <w:rsid w:val="00D447E5"/>
    <w:rsid w:val="00D457D0"/>
    <w:rsid w:val="00D45FC2"/>
    <w:rsid w:val="00D463A4"/>
    <w:rsid w:val="00D4699C"/>
    <w:rsid w:val="00D47877"/>
    <w:rsid w:val="00D513A1"/>
    <w:rsid w:val="00D57D07"/>
    <w:rsid w:val="00D618E7"/>
    <w:rsid w:val="00D619A2"/>
    <w:rsid w:val="00D6375A"/>
    <w:rsid w:val="00D64A77"/>
    <w:rsid w:val="00D66AB5"/>
    <w:rsid w:val="00D67265"/>
    <w:rsid w:val="00D676A0"/>
    <w:rsid w:val="00D70856"/>
    <w:rsid w:val="00D73117"/>
    <w:rsid w:val="00D73B54"/>
    <w:rsid w:val="00D73D86"/>
    <w:rsid w:val="00D8335C"/>
    <w:rsid w:val="00D9068D"/>
    <w:rsid w:val="00D9238C"/>
    <w:rsid w:val="00D92B16"/>
    <w:rsid w:val="00D93862"/>
    <w:rsid w:val="00D93CC2"/>
    <w:rsid w:val="00D9629E"/>
    <w:rsid w:val="00D97633"/>
    <w:rsid w:val="00DA2106"/>
    <w:rsid w:val="00DA23EB"/>
    <w:rsid w:val="00DA4ECD"/>
    <w:rsid w:val="00DB02EF"/>
    <w:rsid w:val="00DB0A56"/>
    <w:rsid w:val="00DB1007"/>
    <w:rsid w:val="00DB1699"/>
    <w:rsid w:val="00DB3DC8"/>
    <w:rsid w:val="00DB5115"/>
    <w:rsid w:val="00DB5177"/>
    <w:rsid w:val="00DB5C75"/>
    <w:rsid w:val="00DB66E6"/>
    <w:rsid w:val="00DC23FE"/>
    <w:rsid w:val="00DC38B9"/>
    <w:rsid w:val="00DC5B37"/>
    <w:rsid w:val="00DC5DDD"/>
    <w:rsid w:val="00DD309E"/>
    <w:rsid w:val="00DD7C73"/>
    <w:rsid w:val="00DE01B6"/>
    <w:rsid w:val="00DE1304"/>
    <w:rsid w:val="00DE1DD3"/>
    <w:rsid w:val="00DE1FBD"/>
    <w:rsid w:val="00DE4677"/>
    <w:rsid w:val="00DE64ED"/>
    <w:rsid w:val="00DF064D"/>
    <w:rsid w:val="00DF0CBF"/>
    <w:rsid w:val="00DF5407"/>
    <w:rsid w:val="00E00127"/>
    <w:rsid w:val="00E003D9"/>
    <w:rsid w:val="00E00C20"/>
    <w:rsid w:val="00E028F6"/>
    <w:rsid w:val="00E036CD"/>
    <w:rsid w:val="00E0543E"/>
    <w:rsid w:val="00E0753F"/>
    <w:rsid w:val="00E10BF1"/>
    <w:rsid w:val="00E11B5C"/>
    <w:rsid w:val="00E13E2B"/>
    <w:rsid w:val="00E22DB7"/>
    <w:rsid w:val="00E23C1B"/>
    <w:rsid w:val="00E24D2B"/>
    <w:rsid w:val="00E25DDC"/>
    <w:rsid w:val="00E345BF"/>
    <w:rsid w:val="00E34D59"/>
    <w:rsid w:val="00E35C78"/>
    <w:rsid w:val="00E405EA"/>
    <w:rsid w:val="00E40877"/>
    <w:rsid w:val="00E474F9"/>
    <w:rsid w:val="00E51F8B"/>
    <w:rsid w:val="00E51FCF"/>
    <w:rsid w:val="00E529D4"/>
    <w:rsid w:val="00E53839"/>
    <w:rsid w:val="00E53A73"/>
    <w:rsid w:val="00E53C18"/>
    <w:rsid w:val="00E53F41"/>
    <w:rsid w:val="00E54488"/>
    <w:rsid w:val="00E5638A"/>
    <w:rsid w:val="00E56D2F"/>
    <w:rsid w:val="00E635B9"/>
    <w:rsid w:val="00E6363C"/>
    <w:rsid w:val="00E66700"/>
    <w:rsid w:val="00E66AD7"/>
    <w:rsid w:val="00E67B0A"/>
    <w:rsid w:val="00E71BAD"/>
    <w:rsid w:val="00E733FF"/>
    <w:rsid w:val="00E74106"/>
    <w:rsid w:val="00E74864"/>
    <w:rsid w:val="00E754E8"/>
    <w:rsid w:val="00E75EF4"/>
    <w:rsid w:val="00E76997"/>
    <w:rsid w:val="00E82FD8"/>
    <w:rsid w:val="00E834E7"/>
    <w:rsid w:val="00E83ABA"/>
    <w:rsid w:val="00E83E70"/>
    <w:rsid w:val="00E86286"/>
    <w:rsid w:val="00E878FF"/>
    <w:rsid w:val="00E91E16"/>
    <w:rsid w:val="00E952EF"/>
    <w:rsid w:val="00E96437"/>
    <w:rsid w:val="00E968A0"/>
    <w:rsid w:val="00E97145"/>
    <w:rsid w:val="00EA4196"/>
    <w:rsid w:val="00EB0BAE"/>
    <w:rsid w:val="00EB0F20"/>
    <w:rsid w:val="00EB1632"/>
    <w:rsid w:val="00EB377B"/>
    <w:rsid w:val="00EB4086"/>
    <w:rsid w:val="00EB4EB6"/>
    <w:rsid w:val="00EB535D"/>
    <w:rsid w:val="00EB5CD2"/>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31CE"/>
    <w:rsid w:val="00EE5F6D"/>
    <w:rsid w:val="00EF0701"/>
    <w:rsid w:val="00EF11F2"/>
    <w:rsid w:val="00EF1C52"/>
    <w:rsid w:val="00EF236F"/>
    <w:rsid w:val="00EF3067"/>
    <w:rsid w:val="00F038E8"/>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05BB"/>
    <w:rsid w:val="00F4328A"/>
    <w:rsid w:val="00F44706"/>
    <w:rsid w:val="00F44A91"/>
    <w:rsid w:val="00F45420"/>
    <w:rsid w:val="00F51EF7"/>
    <w:rsid w:val="00F5253C"/>
    <w:rsid w:val="00F52A72"/>
    <w:rsid w:val="00F52EDF"/>
    <w:rsid w:val="00F54C59"/>
    <w:rsid w:val="00F6067A"/>
    <w:rsid w:val="00F609CB"/>
    <w:rsid w:val="00F60FB9"/>
    <w:rsid w:val="00F64004"/>
    <w:rsid w:val="00F642D3"/>
    <w:rsid w:val="00F64DDA"/>
    <w:rsid w:val="00F65F73"/>
    <w:rsid w:val="00F6631A"/>
    <w:rsid w:val="00F66E3F"/>
    <w:rsid w:val="00F70436"/>
    <w:rsid w:val="00F713DB"/>
    <w:rsid w:val="00F730A9"/>
    <w:rsid w:val="00F735FC"/>
    <w:rsid w:val="00F738D2"/>
    <w:rsid w:val="00F73A7C"/>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B82E95"/>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A45B09"/>
    <w:rPr>
      <w:sz w:val="16"/>
      <w:szCs w:val="16"/>
    </w:rPr>
  </w:style>
  <w:style w:type="paragraph" w:styleId="CommentText">
    <w:name w:val="annotation text"/>
    <w:basedOn w:val="Normal"/>
    <w:link w:val="CommentTextChar"/>
    <w:uiPriority w:val="99"/>
    <w:semiHidden/>
    <w:unhideWhenUsed/>
    <w:rsid w:val="00A45B09"/>
    <w:pPr>
      <w:spacing w:line="240" w:lineRule="auto"/>
    </w:pPr>
    <w:rPr>
      <w:szCs w:val="20"/>
    </w:rPr>
  </w:style>
  <w:style w:type="character" w:customStyle="1" w:styleId="CommentTextChar">
    <w:name w:val="Comment Text Char"/>
    <w:basedOn w:val="DefaultParagraphFont"/>
    <w:link w:val="CommentText"/>
    <w:uiPriority w:val="99"/>
    <w:semiHidden/>
    <w:rsid w:val="00A45B09"/>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A45B09"/>
    <w:rPr>
      <w:b/>
      <w:bCs/>
    </w:rPr>
  </w:style>
  <w:style w:type="character" w:customStyle="1" w:styleId="CommentSubjectChar">
    <w:name w:val="Comment Subject Char"/>
    <w:basedOn w:val="CommentTextChar"/>
    <w:link w:val="CommentSubject"/>
    <w:uiPriority w:val="99"/>
    <w:semiHidden/>
    <w:rsid w:val="00A45B09"/>
    <w:rPr>
      <w:rFonts w:ascii="Times New Roman" w:hAnsi="Times New Roman"/>
      <w:b/>
      <w:bCs/>
      <w:spacing w:val="4"/>
      <w:w w:val="103"/>
      <w:kern w:val="14"/>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B82E95"/>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A45B09"/>
    <w:rPr>
      <w:sz w:val="16"/>
      <w:szCs w:val="16"/>
    </w:rPr>
  </w:style>
  <w:style w:type="paragraph" w:styleId="CommentText">
    <w:name w:val="annotation text"/>
    <w:basedOn w:val="Normal"/>
    <w:link w:val="CommentTextChar"/>
    <w:uiPriority w:val="99"/>
    <w:semiHidden/>
    <w:unhideWhenUsed/>
    <w:rsid w:val="00A45B09"/>
    <w:pPr>
      <w:spacing w:line="240" w:lineRule="auto"/>
    </w:pPr>
    <w:rPr>
      <w:szCs w:val="20"/>
    </w:rPr>
  </w:style>
  <w:style w:type="character" w:customStyle="1" w:styleId="CommentTextChar">
    <w:name w:val="Comment Text Char"/>
    <w:basedOn w:val="DefaultParagraphFont"/>
    <w:link w:val="CommentText"/>
    <w:uiPriority w:val="99"/>
    <w:semiHidden/>
    <w:rsid w:val="00A45B09"/>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A45B09"/>
    <w:rPr>
      <w:b/>
      <w:bCs/>
    </w:rPr>
  </w:style>
  <w:style w:type="character" w:customStyle="1" w:styleId="CommentSubjectChar">
    <w:name w:val="Comment Subject Char"/>
    <w:basedOn w:val="CommentTextChar"/>
    <w:link w:val="CommentSubject"/>
    <w:uiPriority w:val="99"/>
    <w:semiHidden/>
    <w:rsid w:val="00A45B09"/>
    <w:rPr>
      <w:rFonts w:ascii="Times New Roman" w:hAnsi="Times New Roman"/>
      <w:b/>
      <w:bCs/>
      <w:spacing w:val="4"/>
      <w:w w:val="103"/>
      <w:kern w:val="1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00262">
      <w:bodyDiv w:val="1"/>
      <w:marLeft w:val="0"/>
      <w:marRight w:val="0"/>
      <w:marTop w:val="0"/>
      <w:marBottom w:val="0"/>
      <w:divBdr>
        <w:top w:val="none" w:sz="0" w:space="0" w:color="auto"/>
        <w:left w:val="none" w:sz="0" w:space="0" w:color="auto"/>
        <w:bottom w:val="none" w:sz="0" w:space="0" w:color="auto"/>
        <w:right w:val="none" w:sz="0" w:space="0" w:color="auto"/>
      </w:divBdr>
    </w:div>
    <w:div w:id="140302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16678-6CC7-4259-8DD9-352B51641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1382</Words>
  <Characters>7884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9248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Temporaire</dc:creator>
  <cp:lastModifiedBy>Laurence Berthet</cp:lastModifiedBy>
  <cp:revision>3</cp:revision>
  <cp:lastPrinted>2015-11-25T14:11:00Z</cp:lastPrinted>
  <dcterms:created xsi:type="dcterms:W3CDTF">2015-11-25T14:11:00Z</dcterms:created>
  <dcterms:modified xsi:type="dcterms:W3CDTF">2015-11-25T14:11:00Z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1515231F</vt:lpwstr>
  </property>
  <property fmtid="{D5CDD505-2E9C-101B-9397-08002B2CF9AE}" pid="3" name="ODSRefJobNo">
    <vt:lpwstr>1520499F</vt:lpwstr>
  </property>
  <property fmtid="{D5CDD505-2E9C-101B-9397-08002B2CF9AE}" pid="4" name="Symbol1">
    <vt:lpwstr>ST/SG/AC.10/C.3/2015/56</vt:lpwstr>
  </property>
  <property fmtid="{D5CDD505-2E9C-101B-9397-08002B2CF9AE}" pid="5" name="Symbol2">
    <vt:lpwstr/>
  </property>
  <property fmtid="{D5CDD505-2E9C-101B-9397-08002B2CF9AE}" pid="6" name="Translator">
    <vt:lpwstr/>
  </property>
  <property fmtid="{D5CDD505-2E9C-101B-9397-08002B2CF9AE}" pid="7" name="Operator">
    <vt:lpwstr>M. Deschamps</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8 septembre 2015</vt:lpwstr>
  </property>
  <property fmtid="{D5CDD505-2E9C-101B-9397-08002B2CF9AE}" pid="12" name="Original">
    <vt:lpwstr>anglais</vt:lpwstr>
  </property>
  <property fmtid="{D5CDD505-2E9C-101B-9397-08002B2CF9AE}" pid="13" name="Release Date">
    <vt:lpwstr>251115</vt:lpwstr>
  </property>
</Properties>
</file>