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C56" w:rsidRDefault="00AC0C56" w:rsidP="00AC0C56">
      <w:pPr>
        <w:spacing w:line="240" w:lineRule="auto"/>
        <w:rPr>
          <w:sz w:val="2"/>
        </w:rPr>
        <w:sectPr w:rsidR="00AC0C56" w:rsidSect="00AC0C56">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Pr>
          <w:rStyle w:val="CommentReference"/>
        </w:rPr>
        <w:commentReference w:id="1"/>
      </w:r>
    </w:p>
    <w:p w:rsidR="00AC0C56" w:rsidRDefault="008B062C" w:rsidP="00C118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8B062C">
        <w:lastRenderedPageBreak/>
        <w:t xml:space="preserve">Comité d’experts du transport des marchandises </w:t>
      </w:r>
      <w:r w:rsidR="00C1188D">
        <w:br/>
      </w:r>
      <w:r w:rsidRPr="008B062C">
        <w:t xml:space="preserve">dangereuses et du Système général harmonisé </w:t>
      </w:r>
      <w:r w:rsidR="00C1188D">
        <w:br/>
      </w:r>
      <w:r w:rsidRPr="008B062C">
        <w:t>de classification et d’étiquetage des produits chimiques</w:t>
      </w:r>
    </w:p>
    <w:p w:rsidR="008B062C" w:rsidRPr="00C1188D" w:rsidRDefault="008B062C" w:rsidP="00C1188D">
      <w:pPr>
        <w:pStyle w:val="SingleTxt"/>
        <w:spacing w:after="0" w:line="120" w:lineRule="exact"/>
        <w:rPr>
          <w:b/>
          <w:sz w:val="10"/>
        </w:rPr>
      </w:pPr>
    </w:p>
    <w:p w:rsidR="008B062C" w:rsidRDefault="008B062C" w:rsidP="00C1188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8B062C">
        <w:t xml:space="preserve">Sous-Comité d’experts du transport </w:t>
      </w:r>
      <w:r w:rsidR="00C1188D">
        <w:br/>
      </w:r>
      <w:r w:rsidRPr="008B062C">
        <w:t>des marchandises dangereuses</w:t>
      </w:r>
    </w:p>
    <w:p w:rsidR="00C1188D" w:rsidRPr="00C1188D" w:rsidRDefault="00C1188D" w:rsidP="00C1188D">
      <w:pPr>
        <w:spacing w:line="120" w:lineRule="exact"/>
        <w:rPr>
          <w:sz w:val="10"/>
        </w:rPr>
      </w:pPr>
    </w:p>
    <w:p w:rsidR="008B062C" w:rsidRDefault="008B062C" w:rsidP="00C1188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8B062C">
        <w:t>Quarante-huitième session</w:t>
      </w:r>
    </w:p>
    <w:p w:rsidR="008B062C" w:rsidRPr="008B062C" w:rsidRDefault="008B062C" w:rsidP="00C1188D">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8B062C">
        <w:t>Genève, 30 novembre</w:t>
      </w:r>
      <w:r w:rsidR="00C1188D">
        <w:t>-</w:t>
      </w:r>
      <w:r w:rsidRPr="008B062C">
        <w:t>9</w:t>
      </w:r>
      <w:r w:rsidR="00C1188D">
        <w:t> </w:t>
      </w:r>
      <w:r w:rsidRPr="008B062C">
        <w:t>décembre 2015</w:t>
      </w:r>
    </w:p>
    <w:p w:rsidR="008B062C" w:rsidRPr="008B062C" w:rsidRDefault="008B062C" w:rsidP="00C1188D">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8B062C">
        <w:t>Point 7 de l’ordre du jour provisoire</w:t>
      </w:r>
    </w:p>
    <w:p w:rsidR="008B062C" w:rsidRDefault="008B062C" w:rsidP="00C1188D">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rPr>
      </w:pPr>
      <w:r w:rsidRPr="008B062C">
        <w:rPr>
          <w:b/>
        </w:rPr>
        <w:t xml:space="preserve">Harmonisation générale des règlements de transport </w:t>
      </w:r>
      <w:r w:rsidR="00D30189">
        <w:rPr>
          <w:b/>
        </w:rPr>
        <w:br/>
      </w:r>
      <w:r w:rsidRPr="008B062C">
        <w:rPr>
          <w:b/>
        </w:rPr>
        <w:t>des marchandises</w:t>
      </w:r>
      <w:r>
        <w:rPr>
          <w:b/>
        </w:rPr>
        <w:t xml:space="preserve"> dangereuses avec le Règlement type</w:t>
      </w:r>
    </w:p>
    <w:p w:rsidR="008B062C" w:rsidRPr="00C1188D" w:rsidRDefault="008B062C" w:rsidP="00C1188D">
      <w:pPr>
        <w:pStyle w:val="SingleTxt"/>
        <w:spacing w:after="0" w:line="120" w:lineRule="exact"/>
        <w:rPr>
          <w:b/>
          <w:sz w:val="10"/>
        </w:rPr>
      </w:pPr>
    </w:p>
    <w:p w:rsidR="00C1188D" w:rsidRPr="00C1188D" w:rsidRDefault="00C1188D" w:rsidP="00C1188D">
      <w:pPr>
        <w:pStyle w:val="SingleTxt"/>
        <w:spacing w:after="0" w:line="120" w:lineRule="exact"/>
        <w:rPr>
          <w:b/>
          <w:sz w:val="10"/>
        </w:rPr>
      </w:pPr>
    </w:p>
    <w:p w:rsidR="00C1188D" w:rsidRPr="00C1188D" w:rsidRDefault="00C1188D" w:rsidP="00C1188D">
      <w:pPr>
        <w:pStyle w:val="SingleTxt"/>
        <w:spacing w:after="0" w:line="120" w:lineRule="exact"/>
        <w:rPr>
          <w:b/>
          <w:sz w:val="10"/>
        </w:rPr>
      </w:pPr>
    </w:p>
    <w:p w:rsidR="008B062C" w:rsidRDefault="00C1188D" w:rsidP="00C1188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B062C" w:rsidRPr="008B062C">
        <w:tab/>
      </w:r>
      <w:r w:rsidR="008B062C" w:rsidRPr="00E32597">
        <w:rPr>
          <w:spacing w:val="-4"/>
        </w:rPr>
        <w:t>Proposition tendant à ajouter la définition de l’acier doux</w:t>
      </w:r>
      <w:r w:rsidR="008B062C" w:rsidRPr="008B062C">
        <w:t xml:space="preserve"> </w:t>
      </w:r>
      <w:r w:rsidR="00F6209B">
        <w:br/>
      </w:r>
      <w:r w:rsidR="008B062C" w:rsidRPr="008B062C">
        <w:t>dans la sect</w:t>
      </w:r>
      <w:bookmarkStart w:id="2" w:name="insstart"/>
      <w:bookmarkEnd w:id="2"/>
      <w:r>
        <w:t>ion 1.2.1 du Règlement type</w:t>
      </w:r>
    </w:p>
    <w:p w:rsidR="00C1188D" w:rsidRPr="00C1188D" w:rsidRDefault="00C1188D" w:rsidP="00C1188D">
      <w:pPr>
        <w:pStyle w:val="SingleTxt"/>
        <w:spacing w:after="0" w:line="120" w:lineRule="exact"/>
        <w:rPr>
          <w:sz w:val="10"/>
        </w:rPr>
      </w:pPr>
    </w:p>
    <w:p w:rsidR="00C1188D" w:rsidRPr="00C1188D" w:rsidRDefault="00C1188D" w:rsidP="00C1188D">
      <w:pPr>
        <w:pStyle w:val="SingleTxt"/>
        <w:spacing w:after="0" w:line="120" w:lineRule="exact"/>
        <w:rPr>
          <w:sz w:val="10"/>
        </w:rPr>
      </w:pPr>
    </w:p>
    <w:p w:rsidR="008B062C" w:rsidRDefault="00C1188D" w:rsidP="00C118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B062C" w:rsidRPr="008B062C">
        <w:t>Communication de l’observateur de la Roumanie</w:t>
      </w:r>
      <w:r w:rsidRPr="00C1188D">
        <w:rPr>
          <w:rStyle w:val="FootnoteReference"/>
          <w:b w:val="0"/>
          <w:sz w:val="20"/>
          <w:szCs w:val="20"/>
        </w:rPr>
        <w:footnoteReference w:id="1"/>
      </w:r>
    </w:p>
    <w:p w:rsidR="00C1188D" w:rsidRPr="00C1188D" w:rsidRDefault="00C1188D" w:rsidP="00C1188D">
      <w:pPr>
        <w:pStyle w:val="SingleTxt"/>
        <w:spacing w:after="0" w:line="120" w:lineRule="exact"/>
        <w:rPr>
          <w:sz w:val="10"/>
        </w:rPr>
      </w:pPr>
    </w:p>
    <w:p w:rsidR="00C1188D" w:rsidRPr="00C1188D" w:rsidRDefault="00C1188D" w:rsidP="00C1188D">
      <w:pPr>
        <w:pStyle w:val="SingleTxt"/>
        <w:spacing w:after="0" w:line="120" w:lineRule="exact"/>
        <w:rPr>
          <w:sz w:val="10"/>
        </w:rPr>
      </w:pPr>
    </w:p>
    <w:p w:rsidR="008B062C" w:rsidRDefault="008B062C" w:rsidP="00C1188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062C">
        <w:tab/>
      </w:r>
      <w:r w:rsidRPr="008B062C">
        <w:tab/>
        <w:t>Introduction</w:t>
      </w:r>
    </w:p>
    <w:p w:rsidR="00C1188D" w:rsidRPr="00C1188D" w:rsidRDefault="00C1188D" w:rsidP="00C1188D">
      <w:pPr>
        <w:pStyle w:val="SingleTxt"/>
        <w:spacing w:after="0" w:line="120" w:lineRule="exact"/>
        <w:rPr>
          <w:sz w:val="10"/>
        </w:rPr>
      </w:pPr>
    </w:p>
    <w:p w:rsidR="00C1188D" w:rsidRPr="00C1188D" w:rsidRDefault="00C1188D" w:rsidP="00C1188D">
      <w:pPr>
        <w:pStyle w:val="SingleTxt"/>
        <w:spacing w:after="0" w:line="120" w:lineRule="exact"/>
        <w:rPr>
          <w:sz w:val="10"/>
        </w:rPr>
      </w:pPr>
    </w:p>
    <w:p w:rsidR="008B062C" w:rsidRPr="008B062C" w:rsidRDefault="008B062C" w:rsidP="005F5614">
      <w:pPr>
        <w:pStyle w:val="SingleTxt"/>
        <w:numPr>
          <w:ilvl w:val="0"/>
          <w:numId w:val="8"/>
        </w:numPr>
        <w:tabs>
          <w:tab w:val="clear" w:pos="475"/>
          <w:tab w:val="num" w:pos="1742"/>
        </w:tabs>
        <w:ind w:left="1267"/>
      </w:pPr>
      <w:r w:rsidRPr="008B062C">
        <w:t>À la quarante-septième session du Sous-Comité d’experts du transport des marchandises dangereuses, tenue en juin</w:t>
      </w:r>
      <w:r w:rsidR="00C1188D">
        <w:t xml:space="preserve"> </w:t>
      </w:r>
      <w:r w:rsidRPr="008B062C">
        <w:t>2015, l’observateur de la Roumanie a proposé, dans le document sans cote INF.30, de supprimer des par</w:t>
      </w:r>
      <w:r w:rsidR="00C1188D">
        <w:t>agraphes </w:t>
      </w:r>
      <w:r w:rsidRPr="008B062C">
        <w:t xml:space="preserve">6.7.2.1, 6.7.3.1 et 6.7.4.1 la définition </w:t>
      </w:r>
      <w:r w:rsidR="00ED0E63">
        <w:t>de l’</w:t>
      </w:r>
      <w:r w:rsidRPr="008B062C">
        <w:t>acier de référence et de renvoyer</w:t>
      </w:r>
      <w:r w:rsidR="00ED0E63">
        <w:t xml:space="preserve"> systématiquement </w:t>
      </w:r>
      <w:r w:rsidRPr="008B062C">
        <w:t>au 1.2.1. Cette proposition est de n</w:t>
      </w:r>
      <w:r w:rsidR="00C1188D">
        <w:t xml:space="preserve">ouveau avancée dans le document </w:t>
      </w:r>
      <w:r w:rsidRPr="008B062C">
        <w:t xml:space="preserve">ST/SG/AC.10/C.3/2015/44, soumis </w:t>
      </w:r>
      <w:r w:rsidR="00ED0E63">
        <w:t>à la présente session</w:t>
      </w:r>
      <w:r w:rsidRPr="008B062C">
        <w:t>.</w:t>
      </w:r>
    </w:p>
    <w:p w:rsidR="008B062C" w:rsidRPr="008B062C" w:rsidRDefault="008B062C" w:rsidP="005F5614">
      <w:pPr>
        <w:pStyle w:val="SingleTxt"/>
        <w:numPr>
          <w:ilvl w:val="0"/>
          <w:numId w:val="8"/>
        </w:numPr>
        <w:tabs>
          <w:tab w:val="clear" w:pos="475"/>
          <w:tab w:val="num" w:pos="1742"/>
        </w:tabs>
        <w:ind w:left="1267"/>
      </w:pPr>
      <w:r w:rsidRPr="008B062C">
        <w:t>En toute logique, il devrait en être de même de la définition de l’acier doux, ce que les experts de la quarante-septième session ont confirmé.</w:t>
      </w:r>
    </w:p>
    <w:p w:rsidR="008B062C" w:rsidRPr="008B062C" w:rsidRDefault="008B062C" w:rsidP="005F5614">
      <w:pPr>
        <w:pStyle w:val="SingleTxt"/>
        <w:numPr>
          <w:ilvl w:val="0"/>
          <w:numId w:val="8"/>
        </w:numPr>
        <w:tabs>
          <w:tab w:val="clear" w:pos="475"/>
          <w:tab w:val="num" w:pos="1742"/>
        </w:tabs>
        <w:ind w:left="1267"/>
      </w:pPr>
      <w:r w:rsidRPr="008B062C">
        <w:t>La définition de l’acier doux pourrait être supprimée des par</w:t>
      </w:r>
      <w:r w:rsidR="00C1188D">
        <w:t>agraphes </w:t>
      </w:r>
      <w:r w:rsidR="00854439">
        <w:t>6.7.2.1 et </w:t>
      </w:r>
      <w:r w:rsidRPr="008B062C">
        <w:t>6.7.3.1 et ajoutée dans la section 1.2.1 (Définitions), ce qui la rendrait applicable à l’ensemble du Règlement.</w:t>
      </w:r>
    </w:p>
    <w:p w:rsidR="008B062C" w:rsidRPr="008B062C" w:rsidRDefault="008B062C" w:rsidP="005F5614">
      <w:pPr>
        <w:pStyle w:val="SingleTxt"/>
        <w:numPr>
          <w:ilvl w:val="0"/>
          <w:numId w:val="8"/>
        </w:numPr>
        <w:tabs>
          <w:tab w:val="clear" w:pos="475"/>
          <w:tab w:val="num" w:pos="1742"/>
        </w:tabs>
        <w:ind w:left="1267"/>
      </w:pPr>
      <w:r w:rsidRPr="008B062C">
        <w:t xml:space="preserve">Du point de vue de la construction du texte, la solution proposée couvre tous les éléments, étant donné que la dénomination </w:t>
      </w:r>
      <w:r w:rsidR="00C1188D">
        <w:t>« </w:t>
      </w:r>
      <w:r w:rsidRPr="008B062C">
        <w:t>acier doux</w:t>
      </w:r>
      <w:r w:rsidR="00C1188D">
        <w:t> »</w:t>
      </w:r>
      <w:r w:rsidRPr="008B062C">
        <w:t xml:space="preserve"> est employée à plusieurs </w:t>
      </w:r>
      <w:r w:rsidRPr="00C1188D">
        <w:rPr>
          <w:spacing w:val="3"/>
        </w:rPr>
        <w:t>reprises aux par</w:t>
      </w:r>
      <w:r w:rsidR="00C1188D" w:rsidRPr="00C1188D">
        <w:rPr>
          <w:spacing w:val="3"/>
        </w:rPr>
        <w:t>agraphes </w:t>
      </w:r>
      <w:r w:rsidRPr="00C1188D">
        <w:rPr>
          <w:spacing w:val="3"/>
        </w:rPr>
        <w:t>2.7.2.3.3.5, 6.4.17.2, 6.4.20.2, 6.7.2.4.7, 6.7.2.4.9 et 6.7.3.4.6.</w:t>
      </w:r>
    </w:p>
    <w:p w:rsidR="008B062C" w:rsidRPr="008B062C" w:rsidRDefault="008B062C" w:rsidP="005F5614">
      <w:pPr>
        <w:pStyle w:val="SingleTxt"/>
        <w:numPr>
          <w:ilvl w:val="0"/>
          <w:numId w:val="8"/>
        </w:numPr>
        <w:tabs>
          <w:tab w:val="clear" w:pos="475"/>
          <w:tab w:val="num" w:pos="1742"/>
        </w:tabs>
        <w:ind w:left="1267"/>
      </w:pPr>
      <w:r w:rsidRPr="008B062C">
        <w:t>La présente proposition est conforme aux Principes directeurs concernant le chapitre 1.2 (Définitions et unités de mesure), qui disposent ce qui suit</w:t>
      </w:r>
      <w:r w:rsidR="00C1188D">
        <w:t> </w:t>
      </w:r>
      <w:r w:rsidRPr="008B062C">
        <w:t>:</w:t>
      </w:r>
      <w:r w:rsidR="00C1188D">
        <w:t xml:space="preserve"> « </w:t>
      </w:r>
      <w:r w:rsidRPr="008B062C">
        <w:rPr>
          <w:i/>
        </w:rPr>
        <w:t xml:space="preserve">Ce chapitre contient les définitions et unités de mesures d’application générale utilisées dans l’ensemble du Règlement type. Cependant, certaines définitions supplémentaires qui </w:t>
      </w:r>
      <w:r w:rsidRPr="008B062C">
        <w:rPr>
          <w:i/>
        </w:rPr>
        <w:lastRenderedPageBreak/>
        <w:t>se rapportent à des chapitres particuliers du Règlement type figurent au début des chapitres concernés (par exemple, la définition de</w:t>
      </w:r>
      <w:r w:rsidR="00C1188D">
        <w:rPr>
          <w:i/>
        </w:rPr>
        <w:t xml:space="preserve"> “s</w:t>
      </w:r>
      <w:r w:rsidRPr="008B062C">
        <w:rPr>
          <w:i/>
        </w:rPr>
        <w:t>ûreté” donnée au N</w:t>
      </w:r>
      <w:r w:rsidR="00ED0E63">
        <w:rPr>
          <w:i/>
        </w:rPr>
        <w:t>OTA</w:t>
      </w:r>
      <w:r w:rsidR="00C1188D">
        <w:rPr>
          <w:i/>
        </w:rPr>
        <w:t> </w:t>
      </w:r>
      <w:r w:rsidRPr="008B062C">
        <w:rPr>
          <w:i/>
        </w:rPr>
        <w:t>2 du chapitre</w:t>
      </w:r>
      <w:r w:rsidR="00C1188D">
        <w:rPr>
          <w:i/>
        </w:rPr>
        <w:t> </w:t>
      </w:r>
      <w:r w:rsidRPr="008B062C">
        <w:rPr>
          <w:i/>
        </w:rPr>
        <w:t>1.4).</w:t>
      </w:r>
      <w:r w:rsidRPr="008B062C">
        <w:t> ».</w:t>
      </w:r>
    </w:p>
    <w:p w:rsidR="008B062C" w:rsidRPr="008B062C" w:rsidRDefault="008B062C" w:rsidP="005F5614">
      <w:pPr>
        <w:pStyle w:val="SingleTxt"/>
        <w:numPr>
          <w:ilvl w:val="0"/>
          <w:numId w:val="8"/>
        </w:numPr>
        <w:tabs>
          <w:tab w:val="clear" w:pos="475"/>
          <w:tab w:val="num" w:pos="1742"/>
        </w:tabs>
        <w:ind w:left="1267"/>
      </w:pPr>
      <w:r w:rsidRPr="008B062C">
        <w:t>Dans les sous-paragraphes 6.7.2.1 et 6.7.3.1 sous leur forme actuelle, les définitions suivantes sont données de l’acier doux</w:t>
      </w:r>
      <w:r w:rsidR="00C1188D">
        <w:t> </w:t>
      </w:r>
      <w:r w:rsidRPr="008B062C">
        <w:t>:</w:t>
      </w:r>
    </w:p>
    <w:p w:rsidR="008B062C" w:rsidRPr="008B062C" w:rsidRDefault="00C1188D" w:rsidP="00C1188D">
      <w:pPr>
        <w:pStyle w:val="SingleTxt"/>
        <w:ind w:left="1742" w:hanging="475"/>
      </w:pPr>
      <w:r>
        <w:rPr>
          <w:i/>
        </w:rPr>
        <w:tab/>
      </w:r>
      <w:r w:rsidR="008B062C" w:rsidRPr="008B062C">
        <w:rPr>
          <w:i/>
        </w:rPr>
        <w:t>Acier doux</w:t>
      </w:r>
      <w:r w:rsidR="008B062C" w:rsidRPr="008B062C">
        <w:t>, un acier ayant une résistance à l</w:t>
      </w:r>
      <w:r>
        <w:t>a traction minimale garantie de </w:t>
      </w:r>
      <w:r w:rsidR="008B062C" w:rsidRPr="008B062C">
        <w:t>360 N/mm</w:t>
      </w:r>
      <w:r w:rsidR="008B062C" w:rsidRPr="008B062C">
        <w:rPr>
          <w:vertAlign w:val="superscript"/>
        </w:rPr>
        <w:t>2</w:t>
      </w:r>
      <w:r w:rsidR="008B062C" w:rsidRPr="008B062C">
        <w:t xml:space="preserve"> à 440 N/mm</w:t>
      </w:r>
      <w:r w:rsidR="008B062C" w:rsidRPr="008B062C">
        <w:rPr>
          <w:vertAlign w:val="superscript"/>
        </w:rPr>
        <w:t>2</w:t>
      </w:r>
      <w:r w:rsidR="008B062C" w:rsidRPr="008B062C">
        <w:t xml:space="preserve"> et un allongement à la rupture minimal garanti conforme au 6.7.2.3.3.3;</w:t>
      </w:r>
    </w:p>
    <w:p w:rsidR="008B062C" w:rsidRPr="00ED0E63" w:rsidRDefault="00C1188D" w:rsidP="00C1188D">
      <w:pPr>
        <w:pStyle w:val="SingleTxt"/>
        <w:ind w:left="1742" w:hanging="475"/>
        <w:rPr>
          <w:spacing w:val="-2"/>
        </w:rPr>
      </w:pPr>
      <w:r>
        <w:rPr>
          <w:i/>
        </w:rPr>
        <w:tab/>
      </w:r>
      <w:r w:rsidR="008B062C" w:rsidRPr="00ED0E63">
        <w:rPr>
          <w:i/>
          <w:spacing w:val="-2"/>
        </w:rPr>
        <w:t>Acier doux</w:t>
      </w:r>
      <w:r w:rsidR="008B062C" w:rsidRPr="00ED0E63">
        <w:rPr>
          <w:spacing w:val="-2"/>
        </w:rPr>
        <w:t>, un acier ayant une résistance minimal</w:t>
      </w:r>
      <w:r w:rsidRPr="00ED0E63">
        <w:rPr>
          <w:spacing w:val="-2"/>
        </w:rPr>
        <w:t>e à la traction garantie de 360</w:t>
      </w:r>
      <w:r w:rsidR="00ED0E63" w:rsidRPr="00ED0E63">
        <w:rPr>
          <w:spacing w:val="-2"/>
        </w:rPr>
        <w:t xml:space="preserve"> à </w:t>
      </w:r>
      <w:r w:rsidR="008B062C" w:rsidRPr="00ED0E63">
        <w:rPr>
          <w:spacing w:val="-2"/>
        </w:rPr>
        <w:t>440</w:t>
      </w:r>
      <w:r w:rsidRPr="00ED0E63">
        <w:rPr>
          <w:spacing w:val="-2"/>
        </w:rPr>
        <w:t> </w:t>
      </w:r>
      <w:r w:rsidR="008B062C" w:rsidRPr="00ED0E63">
        <w:rPr>
          <w:spacing w:val="-2"/>
        </w:rPr>
        <w:t>N/mm</w:t>
      </w:r>
      <w:r w:rsidR="008B062C" w:rsidRPr="00ED0E63">
        <w:rPr>
          <w:spacing w:val="-2"/>
          <w:vertAlign w:val="superscript"/>
        </w:rPr>
        <w:t>2</w:t>
      </w:r>
      <w:r w:rsidR="008B062C" w:rsidRPr="00ED0E63">
        <w:rPr>
          <w:spacing w:val="-2"/>
        </w:rPr>
        <w:t xml:space="preserve"> et un allongement à la rupture minimal garanti conforme au 6.7.3.3.3.3.</w:t>
      </w:r>
    </w:p>
    <w:p w:rsidR="008B062C" w:rsidRPr="008B062C" w:rsidRDefault="008B062C" w:rsidP="005F5614">
      <w:pPr>
        <w:pStyle w:val="SingleTxt"/>
        <w:numPr>
          <w:ilvl w:val="0"/>
          <w:numId w:val="8"/>
        </w:numPr>
        <w:tabs>
          <w:tab w:val="clear" w:pos="475"/>
          <w:tab w:val="num" w:pos="1742"/>
        </w:tabs>
        <w:ind w:left="1267"/>
      </w:pPr>
      <w:r w:rsidRPr="008B062C">
        <w:t>L’allongement à la rupture constitue une importante caractéristique de l’acier, qui est définie aux par</w:t>
      </w:r>
      <w:r w:rsidR="00C1188D">
        <w:t xml:space="preserve">agraphes </w:t>
      </w:r>
      <w:r w:rsidRPr="008B062C">
        <w:t xml:space="preserve">6.7.2.3.3.3 et 6.7.3.3.3.3 de la même manière, mais uniquement pour les citernes mobiles et </w:t>
      </w:r>
      <w:r w:rsidR="00ED0E63">
        <w:t>pas</w:t>
      </w:r>
      <w:r w:rsidRPr="008B062C">
        <w:t xml:space="preserve"> aux fins des essais décrits dans les chapitres 2.7 et 6.4. Dans ces conditions, la définition qu’il est proposé d’ajouter dans la section 1.2.1 ne tiendra pas compte de cette caractéristique. Il nous semble que le principe sur lequel se fonde la formule prescrite</w:t>
      </w:r>
      <w:r w:rsidR="00762254">
        <w:t xml:space="preserve"> aux paragraphes 6.7.2.3.3.3 et </w:t>
      </w:r>
      <w:r w:rsidRPr="008B062C">
        <w:t>6.7.3.3.3.3 reste valable sous sa forme actuelle. En outre, la formule permettant de déterminer l’allongement à la rupture est applicable à tous les aciers employés, et pas uniquement aux aciers doux</w:t>
      </w:r>
      <w:r w:rsidR="00C1188D">
        <w:t> </w:t>
      </w:r>
      <w:r w:rsidRPr="008B062C">
        <w:t>:</w:t>
      </w:r>
    </w:p>
    <w:p w:rsidR="008B062C" w:rsidRPr="008B062C" w:rsidRDefault="00C1188D" w:rsidP="00C1188D">
      <w:pPr>
        <w:pStyle w:val="SingleTxt"/>
        <w:ind w:left="1742" w:hanging="475"/>
        <w:rPr>
          <w:i/>
        </w:rPr>
      </w:pPr>
      <w:r w:rsidRPr="00C1188D">
        <w:tab/>
      </w:r>
      <w:r>
        <w:rPr>
          <w:u w:val="single"/>
        </w:rPr>
        <w:t>« </w:t>
      </w:r>
      <w:r w:rsidR="008B062C" w:rsidRPr="008B062C">
        <w:rPr>
          <w:i/>
          <w:u w:val="single"/>
        </w:rPr>
        <w:t>Les aciers utilisés pour la construction des citernes</w:t>
      </w:r>
      <w:r w:rsidR="008B062C" w:rsidRPr="008B062C">
        <w:rPr>
          <w:i/>
        </w:rPr>
        <w:t xml:space="preserve"> doivent avoir un allongement à la rupture, en pourcentage, d’au moins 10</w:t>
      </w:r>
      <w:r>
        <w:rPr>
          <w:i/>
        </w:rPr>
        <w:t> </w:t>
      </w:r>
      <w:r w:rsidR="008B062C" w:rsidRPr="008B062C">
        <w:rPr>
          <w:i/>
        </w:rPr>
        <w:t>000/</w:t>
      </w:r>
      <w:proofErr w:type="spellStart"/>
      <w:r w:rsidR="008B062C" w:rsidRPr="008B062C">
        <w:rPr>
          <w:i/>
        </w:rPr>
        <w:t>Rm</w:t>
      </w:r>
      <w:proofErr w:type="spellEnd"/>
      <w:r w:rsidR="008B062C" w:rsidRPr="008B062C">
        <w:rPr>
          <w:i/>
        </w:rPr>
        <w:t xml:space="preserve"> avec un minimum absolu de 16</w:t>
      </w:r>
      <w:r>
        <w:rPr>
          <w:i/>
        </w:rPr>
        <w:t> </w:t>
      </w:r>
      <w:r w:rsidR="008B062C" w:rsidRPr="008B062C">
        <w:rPr>
          <w:i/>
        </w:rPr>
        <w:t>% pour les aciers à grain fin et de 20</w:t>
      </w:r>
      <w:r>
        <w:rPr>
          <w:i/>
        </w:rPr>
        <w:t> </w:t>
      </w:r>
      <w:r w:rsidR="008B062C" w:rsidRPr="008B062C">
        <w:rPr>
          <w:i/>
        </w:rPr>
        <w:t>% pour les autres aciers.</w:t>
      </w:r>
      <w:r w:rsidR="008B062C" w:rsidRPr="008B062C">
        <w:t> ».</w:t>
      </w:r>
    </w:p>
    <w:p w:rsidR="008B062C" w:rsidRPr="008B062C" w:rsidRDefault="008B062C" w:rsidP="005F5614">
      <w:pPr>
        <w:pStyle w:val="SingleTxt"/>
        <w:numPr>
          <w:ilvl w:val="0"/>
          <w:numId w:val="8"/>
        </w:numPr>
        <w:tabs>
          <w:tab w:val="clear" w:pos="475"/>
          <w:tab w:val="num" w:pos="1742"/>
        </w:tabs>
        <w:ind w:left="1267"/>
      </w:pPr>
      <w:r w:rsidRPr="008B062C">
        <w:t>À titre d’exemple, le texte actuel du RID et de l’ADR comprend, depuis la publication de l’édition de 2001, une définition de l’acier doux ainsi qu’une note qui s’y rapporte, dans la section 1.2.1, ainsi conçues</w:t>
      </w:r>
      <w:r w:rsidR="00C1188D">
        <w:t> </w:t>
      </w:r>
      <w:r w:rsidRPr="008B062C">
        <w:t>:</w:t>
      </w:r>
    </w:p>
    <w:p w:rsidR="008B062C" w:rsidRPr="008B062C" w:rsidRDefault="00C1188D" w:rsidP="00C1188D">
      <w:pPr>
        <w:pStyle w:val="SingleTxt"/>
        <w:ind w:left="1742" w:hanging="475"/>
      </w:pPr>
      <w:r>
        <w:tab/>
        <w:t>« </w:t>
      </w:r>
      <w:r w:rsidRPr="00C1188D">
        <w:rPr>
          <w:i/>
        </w:rPr>
        <w:t>“</w:t>
      </w:r>
      <w:r w:rsidR="008B062C" w:rsidRPr="00C1188D">
        <w:rPr>
          <w:i/>
        </w:rPr>
        <w:t>Acier doux</w:t>
      </w:r>
      <w:r>
        <w:rPr>
          <w:i/>
        </w:rPr>
        <w:t>”</w:t>
      </w:r>
      <w:r w:rsidR="008B062C" w:rsidRPr="008B062C">
        <w:t>, un acier dont la limite minimale de la résistance à la rupture par traction est comprise entre 360 et 440</w:t>
      </w:r>
      <w:r>
        <w:t> </w:t>
      </w:r>
      <w:r w:rsidR="008B062C" w:rsidRPr="008B062C">
        <w:t>N/mm²;</w:t>
      </w:r>
    </w:p>
    <w:p w:rsidR="008B062C" w:rsidRPr="008B062C" w:rsidRDefault="00C1188D" w:rsidP="008B062C">
      <w:pPr>
        <w:pStyle w:val="SingleTxt"/>
      </w:pPr>
      <w:r>
        <w:rPr>
          <w:b/>
          <w:i/>
        </w:rPr>
        <w:tab/>
      </w:r>
      <w:r w:rsidR="008B062C" w:rsidRPr="008B062C">
        <w:rPr>
          <w:b/>
          <w:i/>
        </w:rPr>
        <w:t>NOTA</w:t>
      </w:r>
      <w:r w:rsidRPr="00703C71">
        <w:rPr>
          <w:b/>
          <w:i/>
        </w:rPr>
        <w:t> </w:t>
      </w:r>
      <w:r w:rsidR="008B062C" w:rsidRPr="00703C71">
        <w:rPr>
          <w:i/>
        </w:rPr>
        <w:t>:</w:t>
      </w:r>
      <w:r w:rsidR="008B062C" w:rsidRPr="00C1188D">
        <w:t xml:space="preserve"> </w:t>
      </w:r>
      <w:r w:rsidR="008B062C" w:rsidRPr="008B062C">
        <w:rPr>
          <w:i/>
        </w:rPr>
        <w:t>Pour les citernes mobiles, voir chapitre 6.7.</w:t>
      </w:r>
      <w:r w:rsidR="008B062C" w:rsidRPr="008B062C">
        <w:t> ».</w:t>
      </w:r>
    </w:p>
    <w:p w:rsidR="008B062C" w:rsidRPr="008B062C" w:rsidRDefault="008B062C" w:rsidP="005F5614">
      <w:pPr>
        <w:pStyle w:val="SingleTxt"/>
        <w:numPr>
          <w:ilvl w:val="0"/>
          <w:numId w:val="8"/>
        </w:numPr>
        <w:tabs>
          <w:tab w:val="clear" w:pos="475"/>
          <w:tab w:val="num" w:pos="1742"/>
        </w:tabs>
        <w:ind w:left="1267"/>
      </w:pPr>
      <w:r w:rsidRPr="008B062C">
        <w:t xml:space="preserve">Afin de résoudre les deux différences actuelles, il est suggéré d’utiliser une définition de l’acier doux </w:t>
      </w:r>
      <w:r w:rsidR="00C054D9">
        <w:t xml:space="preserve">à mi-chemin entre </w:t>
      </w:r>
      <w:r w:rsidRPr="008B062C">
        <w:t>les deux solutions présentées ci-dessous</w:t>
      </w:r>
      <w:r w:rsidR="00C1188D">
        <w:t> </w:t>
      </w:r>
      <w:r w:rsidRPr="008B062C">
        <w:t>:</w:t>
      </w:r>
    </w:p>
    <w:p w:rsidR="008B062C" w:rsidRPr="008B062C" w:rsidRDefault="008B062C" w:rsidP="00C1188D">
      <w:pPr>
        <w:pStyle w:val="Bullet1"/>
      </w:pPr>
      <w:r w:rsidRPr="008B062C">
        <w:t xml:space="preserve">La définition donnée au 6.7 emploie la dénomination </w:t>
      </w:r>
      <w:r w:rsidRPr="008B062C">
        <w:rPr>
          <w:i/>
        </w:rPr>
        <w:t>valeur minimale garantie de la résistance</w:t>
      </w:r>
      <w:r w:rsidRPr="008B062C">
        <w:t>, propre aux GRV en mét</w:t>
      </w:r>
      <w:r w:rsidR="00C1188D">
        <w:t>al et aux citernes mobiles;</w:t>
      </w:r>
    </w:p>
    <w:p w:rsidR="008B062C" w:rsidRDefault="008B062C" w:rsidP="00C1188D">
      <w:pPr>
        <w:pStyle w:val="Bullet1"/>
      </w:pPr>
      <w:r w:rsidRPr="008B062C">
        <w:t>La définition donnée dans le RID, l’ADR et l’ADN est une bonne solution qui peut convenir aux chapitres du Règlement autres que les chapitres</w:t>
      </w:r>
      <w:r w:rsidR="00C1188D">
        <w:t> </w:t>
      </w:r>
      <w:r w:rsidRPr="008B062C">
        <w:t xml:space="preserve">6.5 et 6.7 mais, à la différence de l’autre définition, elle n’inclut pas la valeur </w:t>
      </w:r>
      <w:proofErr w:type="gramStart"/>
      <w:r w:rsidR="00C1188D">
        <w:t>plancher</w:t>
      </w:r>
      <w:proofErr w:type="gramEnd"/>
      <w:r w:rsidR="00C1188D">
        <w:t xml:space="preserve"> de </w:t>
      </w:r>
      <w:r w:rsidRPr="008B062C">
        <w:t>360 N/mm² pour l’intervalle minimal de la résistance à la rupture par traction.</w:t>
      </w:r>
    </w:p>
    <w:p w:rsidR="00C1188D" w:rsidRPr="00C1188D" w:rsidRDefault="00C1188D" w:rsidP="00C1188D">
      <w:pPr>
        <w:pStyle w:val="SingleTxt"/>
        <w:spacing w:after="0" w:line="120" w:lineRule="exact"/>
        <w:rPr>
          <w:sz w:val="10"/>
        </w:rPr>
      </w:pPr>
    </w:p>
    <w:p w:rsidR="00C1188D" w:rsidRPr="00C1188D" w:rsidRDefault="00C1188D" w:rsidP="00C1188D">
      <w:pPr>
        <w:pStyle w:val="SingleTxt"/>
        <w:spacing w:after="0" w:line="120" w:lineRule="exact"/>
        <w:rPr>
          <w:sz w:val="10"/>
        </w:rPr>
      </w:pPr>
    </w:p>
    <w:p w:rsidR="008B062C" w:rsidRDefault="008B062C" w:rsidP="00C1188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062C">
        <w:tab/>
      </w:r>
      <w:r w:rsidRPr="008B062C">
        <w:tab/>
        <w:t>Proposition</w:t>
      </w:r>
    </w:p>
    <w:p w:rsidR="00C1188D" w:rsidRPr="00C1188D" w:rsidRDefault="00C1188D" w:rsidP="00C1188D">
      <w:pPr>
        <w:pStyle w:val="SingleTxt"/>
        <w:spacing w:after="0" w:line="120" w:lineRule="exact"/>
        <w:rPr>
          <w:sz w:val="10"/>
        </w:rPr>
      </w:pPr>
    </w:p>
    <w:p w:rsidR="00C1188D" w:rsidRPr="00C1188D" w:rsidRDefault="00C1188D" w:rsidP="00C1188D">
      <w:pPr>
        <w:pStyle w:val="SingleTxt"/>
        <w:spacing w:after="0" w:line="120" w:lineRule="exact"/>
        <w:rPr>
          <w:sz w:val="10"/>
        </w:rPr>
      </w:pPr>
    </w:p>
    <w:p w:rsidR="008B062C" w:rsidRPr="008B062C" w:rsidRDefault="008B062C" w:rsidP="005F5614">
      <w:pPr>
        <w:pStyle w:val="SingleTxt"/>
        <w:numPr>
          <w:ilvl w:val="0"/>
          <w:numId w:val="8"/>
        </w:numPr>
        <w:tabs>
          <w:tab w:val="clear" w:pos="475"/>
          <w:tab w:val="num" w:pos="1742"/>
        </w:tabs>
        <w:ind w:left="1267"/>
      </w:pPr>
      <w:r w:rsidRPr="008B062C">
        <w:t>Ajouter, dans la section 1.2.1 (Définitions), une définition de l’acier doux</w:t>
      </w:r>
      <w:r w:rsidR="00C054D9">
        <w:t>,</w:t>
      </w:r>
      <w:r w:rsidRPr="008B062C">
        <w:t xml:space="preserve"> ainsi conçue</w:t>
      </w:r>
      <w:r w:rsidR="00C1188D">
        <w:t> </w:t>
      </w:r>
      <w:r w:rsidRPr="008B062C">
        <w:t>:</w:t>
      </w:r>
    </w:p>
    <w:p w:rsidR="008B062C" w:rsidRPr="008B062C" w:rsidRDefault="00C1188D" w:rsidP="00C1188D">
      <w:pPr>
        <w:pStyle w:val="SingleTxt"/>
        <w:ind w:left="1742" w:hanging="475"/>
        <w:rPr>
          <w:b/>
        </w:rPr>
      </w:pPr>
      <w:r>
        <w:tab/>
        <w:t>« </w:t>
      </w:r>
      <w:r w:rsidR="008B062C" w:rsidRPr="008B062C">
        <w:t>“</w:t>
      </w:r>
      <w:r w:rsidR="008B062C" w:rsidRPr="008B062C">
        <w:rPr>
          <w:i/>
        </w:rPr>
        <w:t>Acier doux</w:t>
      </w:r>
      <w:r w:rsidR="008B062C" w:rsidRPr="008B062C">
        <w:t>”, un acier dont</w:t>
      </w:r>
      <w:r w:rsidR="00C054D9">
        <w:t xml:space="preserve"> la résistance minimale </w:t>
      </w:r>
      <w:r w:rsidR="008B062C" w:rsidRPr="008B062C">
        <w:t xml:space="preserve">à la rupture par </w:t>
      </w:r>
      <w:r w:rsidR="00C054D9">
        <w:t>traction est comprise entre 360</w:t>
      </w:r>
      <w:r w:rsidR="008B062C" w:rsidRPr="008B062C">
        <w:t xml:space="preserve"> et 440</w:t>
      </w:r>
      <w:r>
        <w:t> </w:t>
      </w:r>
      <w:r w:rsidR="008B062C" w:rsidRPr="008B062C">
        <w:t>N/mm²; ».</w:t>
      </w:r>
    </w:p>
    <w:p w:rsidR="008B062C" w:rsidRDefault="008B062C" w:rsidP="005F5614">
      <w:pPr>
        <w:pStyle w:val="SingleTxt"/>
        <w:numPr>
          <w:ilvl w:val="0"/>
          <w:numId w:val="8"/>
        </w:numPr>
        <w:tabs>
          <w:tab w:val="clear" w:pos="475"/>
          <w:tab w:val="num" w:pos="1742"/>
        </w:tabs>
        <w:ind w:left="1267"/>
      </w:pPr>
      <w:r w:rsidRPr="008B062C">
        <w:t>Supprimer, dans les par</w:t>
      </w:r>
      <w:r w:rsidR="00C1188D">
        <w:t xml:space="preserve">agraphes </w:t>
      </w:r>
      <w:r w:rsidRPr="008B062C">
        <w:t>6.7.2.1 et 6.7.3.1, la définition de l’acier doux.</w:t>
      </w:r>
    </w:p>
    <w:p w:rsidR="00E16F3A" w:rsidRPr="00E16F3A" w:rsidRDefault="00E16F3A" w:rsidP="00E16F3A">
      <w:pPr>
        <w:pStyle w:val="SingleTxt"/>
        <w:tabs>
          <w:tab w:val="clear" w:pos="1742"/>
        </w:tabs>
        <w:spacing w:after="0" w:line="120" w:lineRule="exact"/>
        <w:rPr>
          <w:sz w:val="10"/>
        </w:rPr>
      </w:pPr>
    </w:p>
    <w:p w:rsidR="00E16F3A" w:rsidRPr="00E16F3A" w:rsidRDefault="00E16F3A" w:rsidP="00E16F3A">
      <w:pPr>
        <w:pStyle w:val="SingleTxt"/>
        <w:tabs>
          <w:tab w:val="clear" w:pos="1742"/>
        </w:tabs>
        <w:spacing w:after="0" w:line="120" w:lineRule="exact"/>
        <w:rPr>
          <w:sz w:val="10"/>
        </w:rPr>
      </w:pPr>
    </w:p>
    <w:p w:rsidR="008B062C" w:rsidRDefault="008B062C" w:rsidP="00C1188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062C">
        <w:lastRenderedPageBreak/>
        <w:tab/>
      </w:r>
      <w:r w:rsidRPr="008B062C">
        <w:tab/>
        <w:t>Modifications de conséquence</w:t>
      </w:r>
    </w:p>
    <w:p w:rsidR="00C1188D" w:rsidRPr="00C1188D" w:rsidRDefault="00C1188D" w:rsidP="00C1188D">
      <w:pPr>
        <w:pStyle w:val="SingleTxt"/>
        <w:spacing w:after="0" w:line="120" w:lineRule="exact"/>
        <w:rPr>
          <w:sz w:val="10"/>
        </w:rPr>
      </w:pPr>
    </w:p>
    <w:p w:rsidR="00C1188D" w:rsidRPr="00C1188D" w:rsidRDefault="00C1188D" w:rsidP="00C1188D">
      <w:pPr>
        <w:pStyle w:val="SingleTxt"/>
        <w:spacing w:after="0" w:line="120" w:lineRule="exact"/>
        <w:rPr>
          <w:sz w:val="10"/>
        </w:rPr>
      </w:pPr>
    </w:p>
    <w:p w:rsidR="008B062C" w:rsidRPr="008B062C" w:rsidRDefault="008B062C" w:rsidP="005F5614">
      <w:pPr>
        <w:pStyle w:val="SingleTxt"/>
        <w:numPr>
          <w:ilvl w:val="0"/>
          <w:numId w:val="8"/>
        </w:numPr>
        <w:tabs>
          <w:tab w:val="clear" w:pos="475"/>
          <w:tab w:val="num" w:pos="1742"/>
        </w:tabs>
        <w:ind w:left="1267"/>
      </w:pPr>
      <w:r w:rsidRPr="008B062C">
        <w:t>Supprimer les mentions entre parenthèses dans les paragraphes suivants</w:t>
      </w:r>
      <w:r w:rsidR="00C1188D">
        <w:t> </w:t>
      </w:r>
      <w:r w:rsidRPr="008B062C">
        <w:t>:</w:t>
      </w:r>
    </w:p>
    <w:p w:rsidR="008B062C" w:rsidRPr="008B062C" w:rsidRDefault="00C1188D" w:rsidP="008B062C">
      <w:pPr>
        <w:pStyle w:val="SingleTxt"/>
      </w:pPr>
      <w:r>
        <w:tab/>
      </w:r>
      <w:r w:rsidR="008B062C" w:rsidRPr="008B062C">
        <w:t>a)</w:t>
      </w:r>
      <w:r w:rsidR="008B062C" w:rsidRPr="008B062C">
        <w:tab/>
        <w:t>6.7.2.4.7 et 6.7.2.4.9</w:t>
      </w:r>
      <w:r>
        <w:t> :</w:t>
      </w:r>
      <w:r w:rsidR="008B062C" w:rsidRPr="008B062C">
        <w:tab/>
      </w:r>
      <w:r>
        <w:tab/>
      </w:r>
      <w:r w:rsidR="008B062C" w:rsidRPr="008B062C">
        <w:t>(voir 6.7.2.1), et</w:t>
      </w:r>
    </w:p>
    <w:p w:rsidR="008B062C" w:rsidRDefault="00C1188D" w:rsidP="008B062C">
      <w:pPr>
        <w:pStyle w:val="SingleTxt"/>
        <w:rPr>
          <w:lang w:val="en-US"/>
        </w:rPr>
      </w:pPr>
      <w:r>
        <w:tab/>
      </w:r>
      <w:r w:rsidR="008B062C" w:rsidRPr="008B062C">
        <w:t>b)</w:t>
      </w:r>
      <w:r w:rsidR="008B062C" w:rsidRPr="008B062C">
        <w:tab/>
        <w:t>6.7.3.4.6</w:t>
      </w:r>
      <w:r>
        <w:t> </w:t>
      </w:r>
      <w:r w:rsidR="008B062C" w:rsidRPr="008B062C">
        <w:t xml:space="preserve">: </w:t>
      </w:r>
      <w:r w:rsidR="008B062C" w:rsidRPr="008B062C">
        <w:tab/>
      </w:r>
      <w:r w:rsidR="008B062C" w:rsidRPr="008B062C">
        <w:tab/>
      </w:r>
      <w:r>
        <w:tab/>
      </w:r>
      <w:r w:rsidR="008B062C" w:rsidRPr="008B062C">
        <w:tab/>
        <w:t>(voir 6.7.3.1).</w:t>
      </w:r>
    </w:p>
    <w:p w:rsidR="008B062C" w:rsidRPr="008B062C" w:rsidRDefault="008B062C" w:rsidP="008B062C">
      <w:pPr>
        <w:pStyle w:val="SingleTxt"/>
        <w:spacing w:after="0" w:line="240" w:lineRule="auto"/>
        <w:rPr>
          <w:lang w:val="en-US"/>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8B062C" w:rsidRPr="008B062C" w:rsidSect="00AC0C56">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1-23T14:55:00Z" w:initials="Start">
    <w:p w:rsidR="00AC0C56" w:rsidRDefault="00AC0C5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NO&gt;&gt;N1520095F&lt;&lt;ODS JOB NO&gt;&gt;</w:t>
      </w:r>
    </w:p>
    <w:p w:rsidR="00AC0C56" w:rsidRDefault="00AC0C56">
      <w:pPr>
        <w:pStyle w:val="CommentText"/>
      </w:pPr>
      <w:r>
        <w:t>&lt;&lt;ODS DOC SYMBOL1&gt;&gt;ST/SG/AC.10/C.3/2015/55&lt;&lt;ODS DOC SYMBOL1&gt;&gt;</w:t>
      </w:r>
    </w:p>
    <w:p w:rsidR="00AC0C56" w:rsidRDefault="00AC0C5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A56" w:rsidRDefault="00964A56" w:rsidP="00F3330B">
      <w:pPr>
        <w:spacing w:line="240" w:lineRule="auto"/>
      </w:pPr>
      <w:r>
        <w:separator/>
      </w:r>
    </w:p>
  </w:endnote>
  <w:endnote w:type="continuationSeparator" w:id="0">
    <w:p w:rsidR="00964A56" w:rsidRDefault="00964A56"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C0C56" w:rsidTr="00AC0C56">
      <w:trPr>
        <w:jc w:val="center"/>
      </w:trPr>
      <w:tc>
        <w:tcPr>
          <w:tcW w:w="5126" w:type="dxa"/>
          <w:shd w:val="clear" w:color="auto" w:fill="auto"/>
        </w:tcPr>
        <w:p w:rsidR="00AC0C56" w:rsidRPr="00AC0C56" w:rsidRDefault="00AC0C56" w:rsidP="00AC0C5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95168">
            <w:rPr>
              <w:b w:val="0"/>
              <w:w w:val="103"/>
              <w:sz w:val="14"/>
            </w:rPr>
            <w:t>GE.15-15109</w:t>
          </w:r>
          <w:r>
            <w:rPr>
              <w:b w:val="0"/>
              <w:w w:val="103"/>
              <w:sz w:val="14"/>
            </w:rPr>
            <w:fldChar w:fldCharType="end"/>
          </w:r>
        </w:p>
      </w:tc>
      <w:tc>
        <w:tcPr>
          <w:tcW w:w="5127" w:type="dxa"/>
          <w:shd w:val="clear" w:color="auto" w:fill="auto"/>
        </w:tcPr>
        <w:p w:rsidR="00AC0C56" w:rsidRPr="00AC0C56" w:rsidRDefault="00AC0C56" w:rsidP="00AC0C56">
          <w:pPr>
            <w:pStyle w:val="Footer"/>
            <w:rPr>
              <w:w w:val="103"/>
            </w:rPr>
          </w:pPr>
          <w:r>
            <w:rPr>
              <w:w w:val="103"/>
            </w:rPr>
            <w:fldChar w:fldCharType="begin"/>
          </w:r>
          <w:r>
            <w:rPr>
              <w:w w:val="103"/>
            </w:rPr>
            <w:instrText xml:space="preserve"> PAGE  \* Arabic  \* MERGEFORMAT </w:instrText>
          </w:r>
          <w:r>
            <w:rPr>
              <w:w w:val="103"/>
            </w:rPr>
            <w:fldChar w:fldCharType="separate"/>
          </w:r>
          <w:r w:rsidR="00195168">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95168">
            <w:rPr>
              <w:noProof/>
              <w:w w:val="103"/>
            </w:rPr>
            <w:t>3</w:t>
          </w:r>
          <w:r>
            <w:rPr>
              <w:w w:val="103"/>
            </w:rPr>
            <w:fldChar w:fldCharType="end"/>
          </w:r>
        </w:p>
      </w:tc>
    </w:tr>
  </w:tbl>
  <w:p w:rsidR="00AC0C56" w:rsidRPr="00AC0C56" w:rsidRDefault="00AC0C56" w:rsidP="00AC0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C0C56" w:rsidTr="00AC0C56">
      <w:trPr>
        <w:jc w:val="center"/>
      </w:trPr>
      <w:tc>
        <w:tcPr>
          <w:tcW w:w="5126" w:type="dxa"/>
          <w:shd w:val="clear" w:color="auto" w:fill="auto"/>
        </w:tcPr>
        <w:p w:rsidR="00AC0C56" w:rsidRPr="00AC0C56" w:rsidRDefault="00AC0C56" w:rsidP="00AC0C5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95168">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95168">
            <w:rPr>
              <w:noProof/>
              <w:w w:val="103"/>
            </w:rPr>
            <w:t>3</w:t>
          </w:r>
          <w:r>
            <w:rPr>
              <w:w w:val="103"/>
            </w:rPr>
            <w:fldChar w:fldCharType="end"/>
          </w:r>
        </w:p>
      </w:tc>
      <w:tc>
        <w:tcPr>
          <w:tcW w:w="5127" w:type="dxa"/>
          <w:shd w:val="clear" w:color="auto" w:fill="auto"/>
        </w:tcPr>
        <w:p w:rsidR="00AC0C56" w:rsidRPr="00AC0C56" w:rsidRDefault="00AC0C56" w:rsidP="00AC0C5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95168">
            <w:rPr>
              <w:b w:val="0"/>
              <w:w w:val="103"/>
              <w:sz w:val="14"/>
            </w:rPr>
            <w:t>GE.15-15109</w:t>
          </w:r>
          <w:r>
            <w:rPr>
              <w:b w:val="0"/>
              <w:w w:val="103"/>
              <w:sz w:val="14"/>
            </w:rPr>
            <w:fldChar w:fldCharType="end"/>
          </w:r>
        </w:p>
      </w:tc>
    </w:tr>
  </w:tbl>
  <w:p w:rsidR="00AC0C56" w:rsidRPr="00AC0C56" w:rsidRDefault="00AC0C56" w:rsidP="00AC0C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56" w:rsidRDefault="00AC0C56">
    <w:pPr>
      <w:pStyle w:val="Footer"/>
    </w:pPr>
    <w:r>
      <w:rPr>
        <w:noProof/>
        <w:lang w:val="en-GB" w:eastAsia="en-GB"/>
      </w:rPr>
      <w:drawing>
        <wp:anchor distT="0" distB="0" distL="114300" distR="114300" simplePos="0" relativeHeight="251658240" behindDoc="0" locked="0" layoutInCell="1" allowOverlap="1" wp14:anchorId="39C368CC" wp14:editId="1898317B">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5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5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AC0C56" w:rsidTr="00AC0C56">
      <w:tc>
        <w:tcPr>
          <w:tcW w:w="3859" w:type="dxa"/>
        </w:tcPr>
        <w:p w:rsidR="00AC0C56" w:rsidRDefault="00AC0C56" w:rsidP="00AC0C5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95168">
            <w:rPr>
              <w:b w:val="0"/>
              <w:sz w:val="20"/>
            </w:rPr>
            <w:t>GE.15-15109 (F)</w:t>
          </w:r>
          <w:r>
            <w:rPr>
              <w:b w:val="0"/>
              <w:sz w:val="20"/>
            </w:rPr>
            <w:fldChar w:fldCharType="end"/>
          </w:r>
          <w:r>
            <w:rPr>
              <w:b w:val="0"/>
              <w:sz w:val="20"/>
            </w:rPr>
            <w:t xml:space="preserve">    231115    231115</w:t>
          </w:r>
        </w:p>
        <w:p w:rsidR="00AC0C56" w:rsidRPr="00AC0C56" w:rsidRDefault="00AC0C56" w:rsidP="00AC0C5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95168">
            <w:rPr>
              <w:rFonts w:ascii="Barcode 3 of 9 by request" w:hAnsi="Barcode 3 of 9 by request"/>
              <w:b w:val="0"/>
              <w:spacing w:val="0"/>
              <w:w w:val="100"/>
              <w:sz w:val="24"/>
            </w:rPr>
            <w:t>*1515109*</w:t>
          </w:r>
          <w:r>
            <w:rPr>
              <w:rFonts w:ascii="Barcode 3 of 9 by request" w:hAnsi="Barcode 3 of 9 by request"/>
              <w:b w:val="0"/>
              <w:spacing w:val="0"/>
              <w:w w:val="100"/>
              <w:sz w:val="24"/>
            </w:rPr>
            <w:fldChar w:fldCharType="end"/>
          </w:r>
        </w:p>
      </w:tc>
      <w:tc>
        <w:tcPr>
          <w:tcW w:w="5127" w:type="dxa"/>
        </w:tcPr>
        <w:p w:rsidR="00AC0C56" w:rsidRDefault="00AC0C56" w:rsidP="00AC0C56">
          <w:pPr>
            <w:pStyle w:val="Footer"/>
            <w:spacing w:line="240" w:lineRule="atLeast"/>
            <w:jc w:val="right"/>
            <w:rPr>
              <w:b w:val="0"/>
              <w:sz w:val="20"/>
            </w:rPr>
          </w:pPr>
          <w:r>
            <w:rPr>
              <w:b w:val="0"/>
              <w:noProof/>
              <w:sz w:val="20"/>
              <w:lang w:val="en-GB" w:eastAsia="en-GB"/>
            </w:rPr>
            <w:drawing>
              <wp:inline distT="0" distB="0" distL="0" distR="0" wp14:anchorId="21AEFE39" wp14:editId="515B8F9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C0C56" w:rsidRPr="00AC0C56" w:rsidRDefault="00AC0C56" w:rsidP="00AC0C5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A56" w:rsidRPr="00C1188D" w:rsidRDefault="00C1188D" w:rsidP="00C1188D">
      <w:pPr>
        <w:pStyle w:val="Footer"/>
        <w:spacing w:after="80"/>
        <w:ind w:left="792"/>
        <w:rPr>
          <w:sz w:val="16"/>
        </w:rPr>
      </w:pPr>
      <w:r w:rsidRPr="00C1188D">
        <w:rPr>
          <w:sz w:val="16"/>
        </w:rPr>
        <w:t>__________________</w:t>
      </w:r>
    </w:p>
  </w:footnote>
  <w:footnote w:type="continuationSeparator" w:id="0">
    <w:p w:rsidR="00964A56" w:rsidRPr="00C1188D" w:rsidRDefault="00C1188D" w:rsidP="00C1188D">
      <w:pPr>
        <w:pStyle w:val="Footer"/>
        <w:spacing w:after="80"/>
        <w:ind w:left="792"/>
        <w:rPr>
          <w:sz w:val="16"/>
        </w:rPr>
      </w:pPr>
      <w:r w:rsidRPr="00C1188D">
        <w:rPr>
          <w:sz w:val="16"/>
        </w:rPr>
        <w:t>__________________</w:t>
      </w:r>
    </w:p>
  </w:footnote>
  <w:footnote w:id="1">
    <w:p w:rsidR="00C1188D" w:rsidRPr="00C1188D" w:rsidRDefault="00C1188D" w:rsidP="00C1188D">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sidRPr="00C1188D">
        <w:rPr>
          <w:spacing w:val="5"/>
          <w:w w:val="104"/>
        </w:rPr>
        <w:t>Conformément au programme de travail du Sous-Comité pour la période 2015-2016, adopté par le</w:t>
      </w:r>
      <w:r>
        <w:rPr>
          <w:spacing w:val="5"/>
          <w:w w:val="104"/>
        </w:rPr>
        <w:t> </w:t>
      </w:r>
      <w:r w:rsidRPr="00C1188D">
        <w:rPr>
          <w:spacing w:val="5"/>
          <w:w w:val="104"/>
        </w:rPr>
        <w:t>Comité 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C0C56" w:rsidTr="00AC0C56">
      <w:trPr>
        <w:trHeight w:hRule="exact" w:val="864"/>
        <w:jc w:val="center"/>
      </w:trPr>
      <w:tc>
        <w:tcPr>
          <w:tcW w:w="4882" w:type="dxa"/>
          <w:shd w:val="clear" w:color="auto" w:fill="auto"/>
          <w:vAlign w:val="bottom"/>
        </w:tcPr>
        <w:p w:rsidR="00AC0C56" w:rsidRPr="00AC0C56" w:rsidRDefault="00AC0C56" w:rsidP="00AC0C5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95168">
            <w:rPr>
              <w:b/>
              <w:color w:val="000000"/>
            </w:rPr>
            <w:t>ST/SG/AC.10/C.3/2015/55</w:t>
          </w:r>
          <w:r>
            <w:rPr>
              <w:b/>
              <w:color w:val="000000"/>
            </w:rPr>
            <w:fldChar w:fldCharType="end"/>
          </w:r>
        </w:p>
      </w:tc>
      <w:tc>
        <w:tcPr>
          <w:tcW w:w="5127" w:type="dxa"/>
          <w:shd w:val="clear" w:color="auto" w:fill="auto"/>
          <w:vAlign w:val="bottom"/>
        </w:tcPr>
        <w:p w:rsidR="00AC0C56" w:rsidRDefault="00AC0C56" w:rsidP="00AC0C56">
          <w:pPr>
            <w:pStyle w:val="Header"/>
          </w:pPr>
        </w:p>
      </w:tc>
    </w:tr>
  </w:tbl>
  <w:p w:rsidR="00AC0C56" w:rsidRPr="00AC0C56" w:rsidRDefault="00AC0C56" w:rsidP="00AC0C5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C0C56" w:rsidTr="00AC0C56">
      <w:trPr>
        <w:trHeight w:hRule="exact" w:val="864"/>
        <w:jc w:val="center"/>
      </w:trPr>
      <w:tc>
        <w:tcPr>
          <w:tcW w:w="4882" w:type="dxa"/>
          <w:shd w:val="clear" w:color="auto" w:fill="auto"/>
          <w:vAlign w:val="bottom"/>
        </w:tcPr>
        <w:p w:rsidR="00AC0C56" w:rsidRDefault="00AC0C56" w:rsidP="00AC0C56">
          <w:pPr>
            <w:pStyle w:val="Header"/>
          </w:pPr>
        </w:p>
      </w:tc>
      <w:tc>
        <w:tcPr>
          <w:tcW w:w="5127" w:type="dxa"/>
          <w:shd w:val="clear" w:color="auto" w:fill="auto"/>
          <w:vAlign w:val="bottom"/>
        </w:tcPr>
        <w:p w:rsidR="00AC0C56" w:rsidRPr="00AC0C56" w:rsidRDefault="00AC0C56" w:rsidP="00AC0C5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95168">
            <w:rPr>
              <w:b/>
              <w:color w:val="000000"/>
            </w:rPr>
            <w:t>ST/SG/AC.10/C.3/2015/55</w:t>
          </w:r>
          <w:r>
            <w:rPr>
              <w:b/>
              <w:color w:val="000000"/>
            </w:rPr>
            <w:fldChar w:fldCharType="end"/>
          </w:r>
        </w:p>
      </w:tc>
    </w:tr>
  </w:tbl>
  <w:p w:rsidR="00AC0C56" w:rsidRPr="00AC0C56" w:rsidRDefault="00AC0C56" w:rsidP="00AC0C5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C0C56" w:rsidTr="00AC0C56">
      <w:trPr>
        <w:trHeight w:hRule="exact" w:val="864"/>
      </w:trPr>
      <w:tc>
        <w:tcPr>
          <w:tcW w:w="1267" w:type="dxa"/>
          <w:tcBorders>
            <w:bottom w:val="single" w:sz="4" w:space="0" w:color="auto"/>
          </w:tcBorders>
          <w:shd w:val="clear" w:color="auto" w:fill="auto"/>
          <w:vAlign w:val="bottom"/>
        </w:tcPr>
        <w:p w:rsidR="00AC0C56" w:rsidRDefault="00AC0C56" w:rsidP="00AC0C56">
          <w:pPr>
            <w:pStyle w:val="Header"/>
            <w:spacing w:after="120"/>
          </w:pPr>
        </w:p>
      </w:tc>
      <w:tc>
        <w:tcPr>
          <w:tcW w:w="2059" w:type="dxa"/>
          <w:tcBorders>
            <w:bottom w:val="single" w:sz="4" w:space="0" w:color="auto"/>
          </w:tcBorders>
          <w:shd w:val="clear" w:color="auto" w:fill="auto"/>
          <w:vAlign w:val="bottom"/>
        </w:tcPr>
        <w:p w:rsidR="00AC0C56" w:rsidRPr="00AC0C56" w:rsidRDefault="00AC0C56" w:rsidP="00AC0C5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C0C56" w:rsidRDefault="00AC0C56" w:rsidP="00AC0C56">
          <w:pPr>
            <w:pStyle w:val="Header"/>
            <w:spacing w:after="120"/>
          </w:pPr>
        </w:p>
      </w:tc>
      <w:tc>
        <w:tcPr>
          <w:tcW w:w="6653" w:type="dxa"/>
          <w:gridSpan w:val="4"/>
          <w:tcBorders>
            <w:bottom w:val="single" w:sz="4" w:space="0" w:color="auto"/>
          </w:tcBorders>
          <w:shd w:val="clear" w:color="auto" w:fill="auto"/>
          <w:vAlign w:val="bottom"/>
        </w:tcPr>
        <w:p w:rsidR="00AC0C56" w:rsidRPr="00AC0C56" w:rsidRDefault="00AC0C56" w:rsidP="00AC0C56">
          <w:pPr>
            <w:spacing w:after="80" w:line="240" w:lineRule="auto"/>
            <w:jc w:val="right"/>
            <w:rPr>
              <w:position w:val="-4"/>
            </w:rPr>
          </w:pPr>
          <w:r>
            <w:rPr>
              <w:position w:val="-4"/>
              <w:sz w:val="40"/>
            </w:rPr>
            <w:t>ST</w:t>
          </w:r>
          <w:r>
            <w:rPr>
              <w:position w:val="-4"/>
            </w:rPr>
            <w:t>/SG/AC.10/C.3/2015/55</w:t>
          </w:r>
        </w:p>
      </w:tc>
    </w:tr>
    <w:tr w:rsidR="00AC0C56" w:rsidRPr="00AC0C56" w:rsidTr="00AC0C56">
      <w:trPr>
        <w:gridAfter w:val="1"/>
        <w:wAfter w:w="18" w:type="dxa"/>
        <w:trHeight w:hRule="exact" w:val="2880"/>
      </w:trPr>
      <w:tc>
        <w:tcPr>
          <w:tcW w:w="1267" w:type="dxa"/>
          <w:tcBorders>
            <w:top w:val="single" w:sz="4" w:space="0" w:color="auto"/>
            <w:bottom w:val="single" w:sz="12" w:space="0" w:color="auto"/>
          </w:tcBorders>
          <w:shd w:val="clear" w:color="auto" w:fill="auto"/>
        </w:tcPr>
        <w:p w:rsidR="00AC0C56" w:rsidRPr="00AC0C56" w:rsidRDefault="00AC0C56" w:rsidP="008B062C">
          <w:pPr>
            <w:pStyle w:val="Header"/>
            <w:spacing w:before="120" w:line="240" w:lineRule="auto"/>
            <w:ind w:left="-72"/>
            <w:jc w:val="center"/>
          </w:pPr>
          <w:r>
            <w:rPr>
              <w:noProof/>
              <w:lang w:val="en-GB" w:eastAsia="en-GB"/>
            </w:rPr>
            <w:drawing>
              <wp:inline distT="0" distB="0" distL="0" distR="0" wp14:anchorId="1AA3028A" wp14:editId="7AA537C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C0C56" w:rsidRPr="00AC0C56" w:rsidRDefault="00AC0C56" w:rsidP="00AC0C56">
          <w:pPr>
            <w:pStyle w:val="XLarge"/>
            <w:spacing w:before="109"/>
          </w:pPr>
          <w:r>
            <w:t>Secrétariat</w:t>
          </w:r>
        </w:p>
      </w:tc>
      <w:tc>
        <w:tcPr>
          <w:tcW w:w="245" w:type="dxa"/>
          <w:tcBorders>
            <w:top w:val="single" w:sz="4" w:space="0" w:color="auto"/>
            <w:bottom w:val="single" w:sz="12" w:space="0" w:color="auto"/>
          </w:tcBorders>
          <w:shd w:val="clear" w:color="auto" w:fill="auto"/>
        </w:tcPr>
        <w:p w:rsidR="00AC0C56" w:rsidRPr="00AC0C56" w:rsidRDefault="00AC0C56" w:rsidP="00AC0C56">
          <w:pPr>
            <w:pStyle w:val="Header"/>
            <w:spacing w:before="109"/>
          </w:pPr>
        </w:p>
      </w:tc>
      <w:tc>
        <w:tcPr>
          <w:tcW w:w="3280" w:type="dxa"/>
          <w:tcBorders>
            <w:top w:val="single" w:sz="4" w:space="0" w:color="auto"/>
            <w:bottom w:val="single" w:sz="12" w:space="0" w:color="auto"/>
          </w:tcBorders>
          <w:shd w:val="clear" w:color="auto" w:fill="auto"/>
        </w:tcPr>
        <w:p w:rsidR="00AC0C56" w:rsidRDefault="00AC0C56" w:rsidP="00AC0C56">
          <w:pPr>
            <w:pStyle w:val="Distribution"/>
            <w:rPr>
              <w:color w:val="000000"/>
            </w:rPr>
          </w:pPr>
          <w:r>
            <w:rPr>
              <w:color w:val="000000"/>
            </w:rPr>
            <w:t xml:space="preserve">Distr. </w:t>
          </w:r>
          <w:proofErr w:type="spellStart"/>
          <w:r>
            <w:rPr>
              <w:color w:val="000000"/>
            </w:rPr>
            <w:t>générale</w:t>
          </w:r>
          <w:proofErr w:type="spellEnd"/>
        </w:p>
        <w:p w:rsidR="00AC0C56" w:rsidRDefault="00AC0C56" w:rsidP="00AC0C56">
          <w:pPr>
            <w:pStyle w:val="Publication"/>
            <w:rPr>
              <w:color w:val="000000"/>
            </w:rPr>
          </w:pPr>
          <w:r>
            <w:rPr>
              <w:color w:val="000000"/>
            </w:rPr>
            <w:t xml:space="preserve">7 </w:t>
          </w:r>
          <w:proofErr w:type="spellStart"/>
          <w:r>
            <w:rPr>
              <w:color w:val="000000"/>
            </w:rPr>
            <w:t>septembre</w:t>
          </w:r>
          <w:proofErr w:type="spellEnd"/>
          <w:r>
            <w:rPr>
              <w:color w:val="000000"/>
            </w:rPr>
            <w:t xml:space="preserve"> 2015</w:t>
          </w:r>
        </w:p>
        <w:p w:rsidR="00AC0C56" w:rsidRDefault="00AC0C56" w:rsidP="00AC0C56">
          <w:pPr>
            <w:rPr>
              <w:lang w:val="en-US"/>
            </w:rPr>
          </w:pPr>
          <w:proofErr w:type="spellStart"/>
          <w:r>
            <w:rPr>
              <w:lang w:val="en-US"/>
            </w:rPr>
            <w:t>Français</w:t>
          </w:r>
          <w:proofErr w:type="spellEnd"/>
        </w:p>
        <w:p w:rsidR="00AC0C56" w:rsidRPr="00AC0C56" w:rsidRDefault="00AC0C56" w:rsidP="00AC0C56">
          <w:pPr>
            <w:pStyle w:val="Original"/>
            <w:rPr>
              <w:color w:val="000000"/>
            </w:rPr>
          </w:pPr>
          <w:r>
            <w:rPr>
              <w:color w:val="000000"/>
            </w:rPr>
            <w:t xml:space="preserve">Original : </w:t>
          </w:r>
          <w:proofErr w:type="spellStart"/>
          <w:r>
            <w:rPr>
              <w:color w:val="000000"/>
            </w:rPr>
            <w:t>anglais</w:t>
          </w:r>
          <w:proofErr w:type="spellEnd"/>
        </w:p>
      </w:tc>
    </w:tr>
  </w:tbl>
  <w:p w:rsidR="00AC0C56" w:rsidRPr="00AC0C56" w:rsidRDefault="00AC0C56" w:rsidP="00AC0C56">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C515C"/>
    <w:multiLevelType w:val="hybridMultilevel"/>
    <w:tmpl w:val="0A9094CA"/>
    <w:lvl w:ilvl="0" w:tplc="91F4D24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5E510874"/>
    <w:multiLevelType w:val="singleLevel"/>
    <w:tmpl w:val="5658D668"/>
    <w:lvl w:ilvl="0">
      <w:start w:val="1"/>
      <w:numFmt w:val="decimal"/>
      <w:lvlRestart w:val="0"/>
      <w:lvlText w:val="%1."/>
      <w:lvlJc w:val="left"/>
      <w:pPr>
        <w:tabs>
          <w:tab w:val="num" w:pos="475"/>
        </w:tabs>
        <w:ind w:left="0" w:firstLine="0"/>
      </w:pPr>
      <w:rPr>
        <w:w w:val="100"/>
      </w:rPr>
    </w:lvl>
  </w:abstractNum>
  <w:abstractNum w:abstractNumId="7">
    <w:nsid w:val="779B3691"/>
    <w:multiLevelType w:val="singleLevel"/>
    <w:tmpl w:val="5658D668"/>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109*"/>
    <w:docVar w:name="CreationDt" w:val="11/23/2015 2:55: PM"/>
    <w:docVar w:name="DocCategory" w:val="Doc"/>
    <w:docVar w:name="DocType" w:val="Final"/>
    <w:docVar w:name="DutyStation" w:val="Geneva"/>
    <w:docVar w:name="FooterJN" w:val="GE.15-15109"/>
    <w:docVar w:name="jobn" w:val="GE.15-15109 (F)"/>
    <w:docVar w:name="jobnDT" w:val="GE.15-15109 (F)   231115"/>
    <w:docVar w:name="jobnDTDT" w:val="GE.15-15109 (F)   231115   231115"/>
    <w:docVar w:name="JobNo" w:val="GE.1515109F"/>
    <w:docVar w:name="JobNo2" w:val="GE.1520095F"/>
    <w:docVar w:name="LocalDrive" w:val="0"/>
    <w:docVar w:name="OandT" w:val="M. Deschamps"/>
    <w:docVar w:name="PaperSize" w:val="A4"/>
    <w:docVar w:name="sss1" w:val="ST/SG/AC.10/C.3/2015/55"/>
    <w:docVar w:name="sss2" w:val="-"/>
    <w:docVar w:name="Symbol1" w:val="ST/SG/AC.10/C.3/2015/55"/>
    <w:docVar w:name="Symbol2" w:val="-"/>
  </w:docVars>
  <w:rsids>
    <w:rsidRoot w:val="00964A56"/>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3599"/>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95168"/>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2F61"/>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32A3"/>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7B7"/>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0A4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0698"/>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561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1"/>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3C71"/>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254"/>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399"/>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4439"/>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062C"/>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A56"/>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0C56"/>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25FB"/>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D77BD"/>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54D9"/>
    <w:rsid w:val="00C06025"/>
    <w:rsid w:val="00C067A3"/>
    <w:rsid w:val="00C115C1"/>
    <w:rsid w:val="00C1188D"/>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4E0"/>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52CD"/>
    <w:rsid w:val="00D265B2"/>
    <w:rsid w:val="00D26BA6"/>
    <w:rsid w:val="00D27D4B"/>
    <w:rsid w:val="00D30189"/>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549"/>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16F3A"/>
    <w:rsid w:val="00E22DB7"/>
    <w:rsid w:val="00E23C1B"/>
    <w:rsid w:val="00E24D2B"/>
    <w:rsid w:val="00E25DDC"/>
    <w:rsid w:val="00E32597"/>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0E63"/>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209B"/>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C0C56"/>
    <w:rPr>
      <w:sz w:val="16"/>
      <w:szCs w:val="16"/>
    </w:rPr>
  </w:style>
  <w:style w:type="paragraph" w:styleId="CommentText">
    <w:name w:val="annotation text"/>
    <w:basedOn w:val="Normal"/>
    <w:link w:val="CommentTextChar"/>
    <w:uiPriority w:val="99"/>
    <w:semiHidden/>
    <w:unhideWhenUsed/>
    <w:rsid w:val="00AC0C56"/>
    <w:pPr>
      <w:spacing w:line="240" w:lineRule="auto"/>
    </w:pPr>
    <w:rPr>
      <w:szCs w:val="20"/>
    </w:rPr>
  </w:style>
  <w:style w:type="character" w:customStyle="1" w:styleId="CommentTextChar">
    <w:name w:val="Comment Text Char"/>
    <w:basedOn w:val="DefaultParagraphFont"/>
    <w:link w:val="CommentText"/>
    <w:uiPriority w:val="99"/>
    <w:semiHidden/>
    <w:rsid w:val="00AC0C5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C0C56"/>
    <w:rPr>
      <w:b/>
      <w:bCs/>
    </w:rPr>
  </w:style>
  <w:style w:type="character" w:customStyle="1" w:styleId="CommentSubjectChar">
    <w:name w:val="Comment Subject Char"/>
    <w:basedOn w:val="CommentTextChar"/>
    <w:link w:val="CommentSubject"/>
    <w:uiPriority w:val="99"/>
    <w:semiHidden/>
    <w:rsid w:val="00AC0C56"/>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C0C56"/>
    <w:rPr>
      <w:sz w:val="16"/>
      <w:szCs w:val="16"/>
    </w:rPr>
  </w:style>
  <w:style w:type="paragraph" w:styleId="CommentText">
    <w:name w:val="annotation text"/>
    <w:basedOn w:val="Normal"/>
    <w:link w:val="CommentTextChar"/>
    <w:uiPriority w:val="99"/>
    <w:semiHidden/>
    <w:unhideWhenUsed/>
    <w:rsid w:val="00AC0C56"/>
    <w:pPr>
      <w:spacing w:line="240" w:lineRule="auto"/>
    </w:pPr>
    <w:rPr>
      <w:szCs w:val="20"/>
    </w:rPr>
  </w:style>
  <w:style w:type="character" w:customStyle="1" w:styleId="CommentTextChar">
    <w:name w:val="Comment Text Char"/>
    <w:basedOn w:val="DefaultParagraphFont"/>
    <w:link w:val="CommentText"/>
    <w:uiPriority w:val="99"/>
    <w:semiHidden/>
    <w:rsid w:val="00AC0C5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C0C56"/>
    <w:rPr>
      <w:b/>
      <w:bCs/>
    </w:rPr>
  </w:style>
  <w:style w:type="character" w:customStyle="1" w:styleId="CommentSubjectChar">
    <w:name w:val="Comment Subject Char"/>
    <w:basedOn w:val="CommentTextChar"/>
    <w:link w:val="CommentSubject"/>
    <w:uiPriority w:val="99"/>
    <w:semiHidden/>
    <w:rsid w:val="00AC0C56"/>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7335">
      <w:bodyDiv w:val="1"/>
      <w:marLeft w:val="0"/>
      <w:marRight w:val="0"/>
      <w:marTop w:val="0"/>
      <w:marBottom w:val="0"/>
      <w:divBdr>
        <w:top w:val="none" w:sz="0" w:space="0" w:color="auto"/>
        <w:left w:val="none" w:sz="0" w:space="0" w:color="auto"/>
        <w:bottom w:val="none" w:sz="0" w:space="0" w:color="auto"/>
        <w:right w:val="none" w:sz="0" w:space="0" w:color="auto"/>
      </w:divBdr>
    </w:div>
    <w:div w:id="20138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96042-B8C3-4AB2-BF2F-A8D94F19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Laurence Berthet</cp:lastModifiedBy>
  <cp:revision>3</cp:revision>
  <cp:lastPrinted>2015-11-23T16:19:00Z</cp:lastPrinted>
  <dcterms:created xsi:type="dcterms:W3CDTF">2015-11-23T16:19:00Z</dcterms:created>
  <dcterms:modified xsi:type="dcterms:W3CDTF">2015-11-23T16:19:00Z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1515109F</vt:lpwstr>
  </property>
  <property fmtid="{D5CDD505-2E9C-101B-9397-08002B2CF9AE}" pid="3" name="ODSRefJobNo">
    <vt:lpwstr>1520095F</vt:lpwstr>
  </property>
  <property fmtid="{D5CDD505-2E9C-101B-9397-08002B2CF9AE}" pid="4" name="Symbol1">
    <vt:lpwstr>ST/SG/AC.10/C.3/2015/55</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7 septembre 2015</vt:lpwstr>
  </property>
  <property fmtid="{D5CDD505-2E9C-101B-9397-08002B2CF9AE}" pid="12" name="Original">
    <vt:lpwstr>anglais</vt:lpwstr>
  </property>
  <property fmtid="{D5CDD505-2E9C-101B-9397-08002B2CF9AE}" pid="13" name="Release Date">
    <vt:lpwstr>231115</vt:lpwstr>
  </property>
</Properties>
</file>