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14636EB5" w14:textId="77777777" w:rsidTr="00A32D41">
        <w:trPr>
          <w:trHeight w:val="851"/>
        </w:trPr>
        <w:tc>
          <w:tcPr>
            <w:tcW w:w="1259" w:type="dxa"/>
            <w:tcBorders>
              <w:top w:val="nil"/>
              <w:left w:val="nil"/>
              <w:bottom w:val="single" w:sz="4" w:space="0" w:color="auto"/>
              <w:right w:val="nil"/>
            </w:tcBorders>
          </w:tcPr>
          <w:p w14:paraId="29182B9C" w14:textId="77777777"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14:paraId="1F4DC5A8" w14:textId="77777777"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14:paraId="05A48A89" w14:textId="1FC21161" w:rsidR="00446DE4" w:rsidRPr="006500BA" w:rsidRDefault="009461DD" w:rsidP="007656AE">
            <w:pPr>
              <w:jc w:val="right"/>
            </w:pPr>
            <w:r w:rsidRPr="00A32D41">
              <w:rPr>
                <w:sz w:val="40"/>
              </w:rPr>
              <w:t>ST</w:t>
            </w:r>
            <w:r w:rsidR="003466AC">
              <w:t>/</w:t>
            </w:r>
            <w:r>
              <w:t>SG</w:t>
            </w:r>
            <w:r w:rsidR="003466AC">
              <w:t>/</w:t>
            </w:r>
            <w:r>
              <w:t>AC.10/C</w:t>
            </w:r>
            <w:r w:rsidR="003466AC">
              <w:t>.3/</w:t>
            </w:r>
            <w:r w:rsidR="00BD10E7">
              <w:t>201</w:t>
            </w:r>
            <w:r w:rsidR="00B757DF">
              <w:t>5</w:t>
            </w:r>
            <w:r w:rsidR="003466AC">
              <w:t>/</w:t>
            </w:r>
            <w:r w:rsidR="007656AE">
              <w:t>55</w:t>
            </w:r>
          </w:p>
        </w:tc>
      </w:tr>
      <w:tr w:rsidR="003107FA" w:rsidRPr="006500BA" w14:paraId="37A4879A" w14:textId="77777777" w:rsidTr="00A32D41">
        <w:trPr>
          <w:trHeight w:val="2835"/>
        </w:trPr>
        <w:tc>
          <w:tcPr>
            <w:tcW w:w="1259" w:type="dxa"/>
            <w:tcBorders>
              <w:top w:val="single" w:sz="4" w:space="0" w:color="auto"/>
              <w:left w:val="nil"/>
              <w:bottom w:val="single" w:sz="12" w:space="0" w:color="auto"/>
              <w:right w:val="nil"/>
            </w:tcBorders>
          </w:tcPr>
          <w:p w14:paraId="459ACD6D" w14:textId="77777777"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C7A6DD" w14:textId="77777777"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14:paraId="2C594514" w14:textId="77777777" w:rsidR="003466AC" w:rsidRDefault="003466AC" w:rsidP="00A32D41">
            <w:pPr>
              <w:spacing w:before="240" w:line="240" w:lineRule="exact"/>
            </w:pPr>
            <w:r>
              <w:t>Distr.: General</w:t>
            </w:r>
          </w:p>
          <w:p w14:paraId="77BBCD1B" w14:textId="7BF4BE77" w:rsidR="003466AC" w:rsidRDefault="006524E0" w:rsidP="00A32D41">
            <w:pPr>
              <w:spacing w:line="240" w:lineRule="exact"/>
            </w:pPr>
            <w:r>
              <w:t>7</w:t>
            </w:r>
            <w:r w:rsidR="00D35506">
              <w:t xml:space="preserve"> </w:t>
            </w:r>
            <w:r w:rsidR="00B757DF">
              <w:t xml:space="preserve">September </w:t>
            </w:r>
            <w:r w:rsidR="00230AFE">
              <w:t>201</w:t>
            </w:r>
            <w:r w:rsidR="00D35506">
              <w:t>5</w:t>
            </w:r>
          </w:p>
          <w:p w14:paraId="7AB87187" w14:textId="77777777" w:rsidR="003466AC" w:rsidRDefault="003466AC" w:rsidP="00A32D41">
            <w:pPr>
              <w:spacing w:line="240" w:lineRule="exact"/>
            </w:pPr>
          </w:p>
          <w:p w14:paraId="10E83777" w14:textId="77777777" w:rsidR="003107FA" w:rsidRPr="006500BA" w:rsidRDefault="003466AC" w:rsidP="00A32D41">
            <w:pPr>
              <w:spacing w:line="240" w:lineRule="exact"/>
            </w:pPr>
            <w:r>
              <w:t>Original: English</w:t>
            </w:r>
          </w:p>
        </w:tc>
      </w:tr>
    </w:tbl>
    <w:p w14:paraId="3DF301B4" w14:textId="77777777" w:rsidR="00D35506" w:rsidRDefault="009F0F06" w:rsidP="005176CD">
      <w:pPr>
        <w:spacing w:before="120"/>
        <w:rPr>
          <w:b/>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D35506" w14:paraId="602E66B4" w14:textId="77777777" w:rsidTr="00D35506">
        <w:tc>
          <w:tcPr>
            <w:tcW w:w="4820" w:type="dxa"/>
            <w:shd w:val="clear" w:color="auto" w:fill="auto"/>
          </w:tcPr>
          <w:p w14:paraId="2E95194E" w14:textId="77777777" w:rsidR="00D35506" w:rsidRDefault="00D35506" w:rsidP="00D35506">
            <w:pPr>
              <w:spacing w:before="120"/>
              <w:rPr>
                <w:b/>
              </w:rPr>
            </w:pPr>
            <w:r w:rsidRPr="000216CC">
              <w:rPr>
                <w:b/>
              </w:rPr>
              <w:t xml:space="preserve">Sub-Committee of Experts on the Transport </w:t>
            </w:r>
            <w:r w:rsidRPr="000216CC">
              <w:rPr>
                <w:b/>
              </w:rPr>
              <w:br/>
              <w:t xml:space="preserve">of Dangerous Goods </w:t>
            </w:r>
          </w:p>
          <w:p w14:paraId="28F880AE" w14:textId="77777777" w:rsidR="00EC18CA" w:rsidRPr="000216CC" w:rsidRDefault="00EC18CA" w:rsidP="00D35506">
            <w:pPr>
              <w:spacing w:before="120"/>
              <w:rPr>
                <w:b/>
              </w:rPr>
            </w:pPr>
          </w:p>
        </w:tc>
        <w:tc>
          <w:tcPr>
            <w:tcW w:w="4819" w:type="dxa"/>
            <w:shd w:val="clear" w:color="auto" w:fill="auto"/>
          </w:tcPr>
          <w:p w14:paraId="606D67A7" w14:textId="732169C9" w:rsidR="00D35506" w:rsidRPr="000216CC" w:rsidRDefault="00D35506" w:rsidP="00D35506">
            <w:pPr>
              <w:spacing w:before="120"/>
              <w:rPr>
                <w:b/>
              </w:rPr>
            </w:pPr>
          </w:p>
        </w:tc>
      </w:tr>
      <w:tr w:rsidR="00D35506" w14:paraId="636DFEBE" w14:textId="77777777" w:rsidTr="00D35506">
        <w:tc>
          <w:tcPr>
            <w:tcW w:w="4820" w:type="dxa"/>
            <w:shd w:val="clear" w:color="auto" w:fill="auto"/>
          </w:tcPr>
          <w:p w14:paraId="6F26FCF3" w14:textId="77777777" w:rsidR="00D35506" w:rsidRPr="000216CC" w:rsidRDefault="00EC18CA">
            <w:pPr>
              <w:rPr>
                <w:b/>
              </w:rPr>
            </w:pPr>
            <w:r>
              <w:rPr>
                <w:b/>
              </w:rPr>
              <w:t>Forty-</w:t>
            </w:r>
            <w:r w:rsidR="00B757DF">
              <w:rPr>
                <w:b/>
              </w:rPr>
              <w:t xml:space="preserve">eighth </w:t>
            </w:r>
            <w:r>
              <w:rPr>
                <w:b/>
              </w:rPr>
              <w:t>session</w:t>
            </w:r>
          </w:p>
        </w:tc>
        <w:tc>
          <w:tcPr>
            <w:tcW w:w="4819" w:type="dxa"/>
            <w:shd w:val="clear" w:color="auto" w:fill="auto"/>
          </w:tcPr>
          <w:p w14:paraId="45C2F641" w14:textId="63E44305" w:rsidR="00D35506" w:rsidRPr="000216CC" w:rsidRDefault="00D35506">
            <w:pPr>
              <w:rPr>
                <w:b/>
              </w:rPr>
            </w:pPr>
          </w:p>
        </w:tc>
      </w:tr>
      <w:tr w:rsidR="00D35506" w14:paraId="59FF1944" w14:textId="77777777" w:rsidTr="00D35506">
        <w:tc>
          <w:tcPr>
            <w:tcW w:w="4820" w:type="dxa"/>
            <w:shd w:val="clear" w:color="auto" w:fill="auto"/>
          </w:tcPr>
          <w:p w14:paraId="0DD2A4C8" w14:textId="77777777" w:rsidR="00D35506" w:rsidRDefault="00D35506" w:rsidP="00D35506">
            <w:pPr>
              <w:rPr>
                <w:sz w:val="19"/>
                <w:szCs w:val="19"/>
                <w:lang w:val="en-US"/>
              </w:rPr>
            </w:pPr>
            <w:r>
              <w:rPr>
                <w:sz w:val="19"/>
                <w:szCs w:val="19"/>
                <w:lang w:val="en-US"/>
              </w:rPr>
              <w:t xml:space="preserve">Geneva, </w:t>
            </w:r>
            <w:r w:rsidR="00B757DF">
              <w:rPr>
                <w:sz w:val="19"/>
                <w:szCs w:val="19"/>
                <w:lang w:val="en-US"/>
              </w:rPr>
              <w:t xml:space="preserve">30 November </w:t>
            </w:r>
            <w:r>
              <w:rPr>
                <w:sz w:val="19"/>
                <w:szCs w:val="19"/>
                <w:lang w:val="en-US"/>
              </w:rPr>
              <w:t xml:space="preserve">– </w:t>
            </w:r>
            <w:r w:rsidR="00B757DF">
              <w:rPr>
                <w:sz w:val="19"/>
                <w:szCs w:val="19"/>
                <w:lang w:val="en-US"/>
              </w:rPr>
              <w:t xml:space="preserve">9 December </w:t>
            </w:r>
            <w:r w:rsidR="00EC18CA">
              <w:rPr>
                <w:sz w:val="19"/>
                <w:szCs w:val="19"/>
                <w:lang w:val="en-US"/>
              </w:rPr>
              <w:t>2015</w:t>
            </w:r>
          </w:p>
          <w:p w14:paraId="65083364" w14:textId="04514E78" w:rsidR="00D35506" w:rsidRPr="006500BA" w:rsidRDefault="00D35506" w:rsidP="00D35506">
            <w:r w:rsidRPr="006500BA">
              <w:t xml:space="preserve">Item </w:t>
            </w:r>
            <w:r w:rsidR="007656AE">
              <w:t>7</w:t>
            </w:r>
            <w:r w:rsidR="00B757DF" w:rsidRPr="006500BA">
              <w:t xml:space="preserve"> </w:t>
            </w:r>
            <w:r w:rsidRPr="006500BA">
              <w:t>of the provisional agenda</w:t>
            </w:r>
          </w:p>
          <w:p w14:paraId="0943B029" w14:textId="0545DD51" w:rsidR="00663491" w:rsidRPr="001D40D7" w:rsidRDefault="001D40D7" w:rsidP="006524E0">
            <w:pPr>
              <w:rPr>
                <w:b/>
              </w:rPr>
            </w:pPr>
            <w:r w:rsidRPr="001D40D7">
              <w:rPr>
                <w:b/>
              </w:rPr>
              <w:t>Global harmonization of transport of dangerous go</w:t>
            </w:r>
            <w:r>
              <w:rPr>
                <w:b/>
              </w:rPr>
              <w:t xml:space="preserve">ods regulations with the Model </w:t>
            </w:r>
            <w:r w:rsidRPr="001D40D7">
              <w:rPr>
                <w:b/>
              </w:rPr>
              <w:t>Regulations</w:t>
            </w:r>
          </w:p>
        </w:tc>
        <w:tc>
          <w:tcPr>
            <w:tcW w:w="4819" w:type="dxa"/>
            <w:shd w:val="clear" w:color="auto" w:fill="auto"/>
          </w:tcPr>
          <w:p w14:paraId="6B9F514E" w14:textId="77777777" w:rsidR="00D35506" w:rsidRPr="007B2BA8" w:rsidRDefault="00D35506" w:rsidP="00D35506">
            <w:pPr>
              <w:rPr>
                <w:b/>
              </w:rPr>
            </w:pPr>
          </w:p>
        </w:tc>
      </w:tr>
    </w:tbl>
    <w:p w14:paraId="160596EA" w14:textId="74C8C4DA" w:rsidR="007656AE" w:rsidRPr="002D128B" w:rsidRDefault="007656AE" w:rsidP="007656AE">
      <w:pPr>
        <w:pStyle w:val="HChG"/>
      </w:pPr>
      <w:r w:rsidRPr="002D128B">
        <w:rPr>
          <w:rFonts w:eastAsia="MS Mincho"/>
          <w:lang w:eastAsia="ja-JP"/>
        </w:rPr>
        <w:tab/>
      </w:r>
      <w:r w:rsidRPr="002D128B">
        <w:rPr>
          <w:rFonts w:eastAsia="MS Mincho"/>
          <w:lang w:eastAsia="ja-JP"/>
        </w:rPr>
        <w:tab/>
        <w:t>Proposal to insert the definition “Mild s</w:t>
      </w:r>
      <w:r w:rsidR="001D40D7">
        <w:rPr>
          <w:rFonts w:eastAsia="MS Mincho"/>
          <w:lang w:eastAsia="ja-JP"/>
        </w:rPr>
        <w:t>teel” in section 1.2.1 of the</w:t>
      </w:r>
      <w:r w:rsidRPr="002D128B">
        <w:rPr>
          <w:rFonts w:eastAsia="MS Mincho"/>
          <w:lang w:eastAsia="ja-JP"/>
        </w:rPr>
        <w:t xml:space="preserve"> Model Regulations </w:t>
      </w:r>
    </w:p>
    <w:p w14:paraId="6F7B46C0" w14:textId="71E2E013" w:rsidR="007656AE" w:rsidRPr="002D128B" w:rsidRDefault="007656AE" w:rsidP="007656AE">
      <w:pPr>
        <w:pStyle w:val="H1G"/>
      </w:pPr>
      <w:r w:rsidRPr="002D128B">
        <w:rPr>
          <w:rFonts w:eastAsia="MS Mincho"/>
        </w:rPr>
        <w:tab/>
      </w:r>
      <w:r w:rsidRPr="002D128B">
        <w:rPr>
          <w:rFonts w:eastAsia="MS Mincho"/>
        </w:rPr>
        <w:tab/>
        <w:t>Transmitted by the observer from Romania</w:t>
      </w:r>
      <w:r>
        <w:rPr>
          <w:rStyle w:val="FootnoteReference"/>
          <w:rFonts w:eastAsia="MS Mincho"/>
        </w:rPr>
        <w:footnoteReference w:id="2"/>
      </w:r>
    </w:p>
    <w:p w14:paraId="67563958" w14:textId="77777777" w:rsidR="007656AE" w:rsidRPr="002D128B" w:rsidRDefault="007656AE" w:rsidP="007656AE">
      <w:pPr>
        <w:pStyle w:val="HChG"/>
      </w:pPr>
      <w:r w:rsidRPr="002D128B">
        <w:tab/>
      </w:r>
      <w:r w:rsidRPr="002D128B">
        <w:tab/>
        <w:t>Introduction</w:t>
      </w:r>
    </w:p>
    <w:p w14:paraId="4D4D8950" w14:textId="4DFF69C1" w:rsidR="007656AE" w:rsidRPr="002D128B" w:rsidRDefault="007656AE" w:rsidP="007656AE">
      <w:pPr>
        <w:pStyle w:val="SingleTxtG"/>
        <w:numPr>
          <w:ilvl w:val="0"/>
          <w:numId w:val="35"/>
        </w:numPr>
        <w:ind w:left="1134" w:right="850" w:firstLine="0"/>
      </w:pPr>
      <w:r w:rsidRPr="002D128B">
        <w:t xml:space="preserve">The </w:t>
      </w:r>
      <w:r w:rsidR="001D40D7">
        <w:t>observer from Romania</w:t>
      </w:r>
      <w:r w:rsidRPr="002D128B">
        <w:t xml:space="preserve"> attending the </w:t>
      </w:r>
      <w:r>
        <w:t>forty-seventh</w:t>
      </w:r>
      <w:r w:rsidRPr="002D128B">
        <w:t xml:space="preserve"> session of the Sub-Committee of Experts on the Transport of Dangerous Goods of June 2015, proposed in informal document INF. 30 to delete the definition “</w:t>
      </w:r>
      <w:r w:rsidRPr="002D128B">
        <w:rPr>
          <w:i/>
          <w:iCs/>
        </w:rPr>
        <w:t>Reference steel</w:t>
      </w:r>
      <w:r w:rsidRPr="002D128B">
        <w:t xml:space="preserve">” in 6.7.2.1, 6.7.3.1 and 6.7.4.1 and all references be made to 1.2.1. </w:t>
      </w:r>
      <w:r w:rsidR="001D40D7">
        <w:t>This is proposed again in</w:t>
      </w:r>
      <w:r w:rsidRPr="002D128B">
        <w:t xml:space="preserve"> document </w:t>
      </w:r>
      <w:r w:rsidR="001D40D7">
        <w:t>ST/SG/AC.10/C.3/</w:t>
      </w:r>
      <w:r w:rsidRPr="00084A83">
        <w:t>2015</w:t>
      </w:r>
      <w:r w:rsidRPr="001F5809">
        <w:t>/44</w:t>
      </w:r>
      <w:r w:rsidRPr="002D128B">
        <w:rPr>
          <w:color w:val="FF0000"/>
        </w:rPr>
        <w:t xml:space="preserve"> </w:t>
      </w:r>
      <w:r w:rsidRPr="002D128B">
        <w:t>submitted for the current session.</w:t>
      </w:r>
    </w:p>
    <w:p w14:paraId="329994EF" w14:textId="1DAED633" w:rsidR="007656AE" w:rsidRPr="002D128B" w:rsidRDefault="007656AE" w:rsidP="007656AE">
      <w:pPr>
        <w:pStyle w:val="SingleTxtG"/>
        <w:numPr>
          <w:ilvl w:val="0"/>
          <w:numId w:val="35"/>
        </w:numPr>
        <w:ind w:left="1134" w:right="850" w:firstLine="0"/>
      </w:pPr>
      <w:r w:rsidRPr="002D128B">
        <w:t xml:space="preserve">In the logic of the text, also the definition of the mild steel must be treated in the same way, as confirmed by the experts attending the </w:t>
      </w:r>
      <w:r>
        <w:t>forty-seventh</w:t>
      </w:r>
      <w:r w:rsidRPr="002D128B">
        <w:t xml:space="preserve"> session.</w:t>
      </w:r>
    </w:p>
    <w:p w14:paraId="48F36A9E" w14:textId="086A3A6C" w:rsidR="007656AE" w:rsidRPr="002D128B" w:rsidRDefault="007656AE" w:rsidP="007656AE">
      <w:pPr>
        <w:pStyle w:val="SingleTxtG"/>
        <w:numPr>
          <w:ilvl w:val="0"/>
          <w:numId w:val="35"/>
        </w:numPr>
        <w:ind w:left="1134" w:right="850" w:firstLine="0"/>
      </w:pPr>
      <w:r w:rsidRPr="002D128B">
        <w:t>The definitions of “</w:t>
      </w:r>
      <w:r w:rsidRPr="002D128B">
        <w:rPr>
          <w:i/>
        </w:rPr>
        <w:t>Mild steel</w:t>
      </w:r>
      <w:r w:rsidRPr="002D128B">
        <w:t xml:space="preserve">” in 6.7.2.1 and 6.7.3.1 could be deleted from these paragraphs and the text could be inserted in section 1.2.1 </w:t>
      </w:r>
      <w:r w:rsidR="001D40D7">
        <w:t>“</w:t>
      </w:r>
      <w:r w:rsidRPr="002D128B">
        <w:t>Definitions</w:t>
      </w:r>
      <w:r w:rsidR="001D40D7">
        <w:t>”</w:t>
      </w:r>
      <w:r w:rsidRPr="002D128B">
        <w:t xml:space="preserve">, thus becoming applicable for the whole text of the Regulations. </w:t>
      </w:r>
    </w:p>
    <w:p w14:paraId="3D4E086A" w14:textId="1E0339CD" w:rsidR="007656AE" w:rsidRPr="002D128B" w:rsidRDefault="007656AE" w:rsidP="007656AE">
      <w:pPr>
        <w:pStyle w:val="SingleTxtG"/>
        <w:numPr>
          <w:ilvl w:val="0"/>
          <w:numId w:val="35"/>
        </w:numPr>
        <w:ind w:left="1134" w:right="850" w:firstLine="0"/>
      </w:pPr>
      <w:r w:rsidRPr="002D128B">
        <w:lastRenderedPageBreak/>
        <w:t>From the point of view of text construction, the proposed solution covers all the aspects because the term “</w:t>
      </w:r>
      <w:r w:rsidRPr="002D128B">
        <w:rPr>
          <w:i/>
        </w:rPr>
        <w:t>Mild steel</w:t>
      </w:r>
      <w:r w:rsidRPr="002D128B">
        <w:t xml:space="preserve">” is used several times in paragraphs 2.7.2.3.3.5, 6.4.17.2, 6.4.20.2, 6.7.2.4.7, 6.7.2.4.9 and 6.7.3.4.6. </w:t>
      </w:r>
    </w:p>
    <w:p w14:paraId="75A59C40" w14:textId="77777777" w:rsidR="007656AE" w:rsidRPr="002D128B" w:rsidRDefault="007656AE" w:rsidP="007656AE">
      <w:pPr>
        <w:pStyle w:val="SingleTxtG"/>
        <w:numPr>
          <w:ilvl w:val="0"/>
          <w:numId w:val="35"/>
        </w:numPr>
        <w:ind w:left="1134" w:right="850" w:firstLine="0"/>
      </w:pPr>
      <w:r w:rsidRPr="002D128B">
        <w:t>The proposal is consistent with the Guiding Principles for Chapter 1.2 – definitions and units of measurements which stipulate: “</w:t>
      </w:r>
      <w:r w:rsidRPr="002D128B">
        <w:rPr>
          <w:i/>
        </w:rPr>
        <w:t>Definitions and units of measurements of general applicability used throughout the Model Regulations are listed here. However, some additional definitions that are specific to relevant Chapters of the Model Regulations are found at the beginning of those Chapters (such as the definition of ‘security’ found in Note 2 to Chapter 1.4.).</w:t>
      </w:r>
      <w:proofErr w:type="gramStart"/>
      <w:r w:rsidRPr="002D128B">
        <w:t>”.</w:t>
      </w:r>
      <w:proofErr w:type="gramEnd"/>
    </w:p>
    <w:p w14:paraId="0A677D78" w14:textId="642DFF2E" w:rsidR="007656AE" w:rsidRPr="002D128B" w:rsidRDefault="007656AE" w:rsidP="007656AE">
      <w:pPr>
        <w:pStyle w:val="SingleTxtG"/>
        <w:numPr>
          <w:ilvl w:val="0"/>
          <w:numId w:val="35"/>
        </w:numPr>
        <w:ind w:left="1134" w:right="850" w:firstLine="0"/>
      </w:pPr>
      <w:r w:rsidRPr="002D128B">
        <w:t>The current sub-secti</w:t>
      </w:r>
      <w:r w:rsidR="00FF55B7">
        <w:t>ons 6.7.2.1 and 6.7.3.1 include</w:t>
      </w:r>
      <w:r w:rsidRPr="002D128B">
        <w:t xml:space="preserve"> definitions of “Mild steel”, as follows:</w:t>
      </w:r>
    </w:p>
    <w:p w14:paraId="58F2B9A0" w14:textId="77777777" w:rsidR="007656AE" w:rsidRPr="002D128B" w:rsidRDefault="007656AE" w:rsidP="007656AE">
      <w:pPr>
        <w:pStyle w:val="SingleTxtG"/>
        <w:ind w:left="1701"/>
      </w:pPr>
      <w:r w:rsidRPr="002D128B">
        <w:rPr>
          <w:i/>
        </w:rPr>
        <w:t xml:space="preserve">Mild </w:t>
      </w:r>
      <w:r w:rsidRPr="007656AE">
        <w:t>steel</w:t>
      </w:r>
      <w:r w:rsidRPr="002D128B">
        <w:t xml:space="preserve"> means </w:t>
      </w:r>
      <w:proofErr w:type="gramStart"/>
      <w:r w:rsidRPr="002D128B">
        <w:t>a steel</w:t>
      </w:r>
      <w:proofErr w:type="gramEnd"/>
      <w:r w:rsidRPr="002D128B">
        <w:t xml:space="preserve"> with a guaranteed minimum tensile strength of 360 N/mm</w:t>
      </w:r>
      <w:r w:rsidRPr="002D128B">
        <w:rPr>
          <w:vertAlign w:val="superscript"/>
        </w:rPr>
        <w:t>2</w:t>
      </w:r>
      <w:r w:rsidRPr="002D128B">
        <w:t xml:space="preserve"> to 440 N/mm</w:t>
      </w:r>
      <w:r w:rsidRPr="002D128B">
        <w:rPr>
          <w:vertAlign w:val="superscript"/>
        </w:rPr>
        <w:t>2</w:t>
      </w:r>
      <w:r w:rsidRPr="002D128B">
        <w:t xml:space="preserve"> and a guaranteed minimum elongation at fracture conforming to 6.7.2.3.3.3;</w:t>
      </w:r>
    </w:p>
    <w:p w14:paraId="1BF3EEA8" w14:textId="77777777" w:rsidR="007656AE" w:rsidRPr="002D128B" w:rsidRDefault="007656AE" w:rsidP="007656AE">
      <w:pPr>
        <w:pStyle w:val="SingleTxtG"/>
        <w:ind w:left="1701"/>
      </w:pPr>
      <w:r w:rsidRPr="002D128B">
        <w:rPr>
          <w:i/>
        </w:rPr>
        <w:t>Mild steel</w:t>
      </w:r>
      <w:r w:rsidRPr="002D128B">
        <w:t xml:space="preserve"> means </w:t>
      </w:r>
      <w:proofErr w:type="gramStart"/>
      <w:r w:rsidRPr="002D128B">
        <w:t>a steel</w:t>
      </w:r>
      <w:proofErr w:type="gramEnd"/>
      <w:r w:rsidRPr="002D128B">
        <w:t xml:space="preserve"> with a </w:t>
      </w:r>
      <w:r w:rsidRPr="007656AE">
        <w:t>guaranteed</w:t>
      </w:r>
      <w:r w:rsidRPr="002D128B">
        <w:t xml:space="preserve"> minimum tensile strength of 360 N/mm</w:t>
      </w:r>
      <w:r w:rsidRPr="002D128B">
        <w:rPr>
          <w:vertAlign w:val="superscript"/>
        </w:rPr>
        <w:t>2</w:t>
      </w:r>
      <w:r w:rsidRPr="002D128B">
        <w:t xml:space="preserve"> to 440 N/mm</w:t>
      </w:r>
      <w:r w:rsidRPr="002D128B">
        <w:rPr>
          <w:vertAlign w:val="superscript"/>
        </w:rPr>
        <w:t>2</w:t>
      </w:r>
      <w:r w:rsidRPr="002D128B">
        <w:t xml:space="preserve"> and a guaranteed minimum elongation at fracture conforming to 6.7.3.3.3.3;</w:t>
      </w:r>
    </w:p>
    <w:p w14:paraId="3607A0BD" w14:textId="5DAE4B4D" w:rsidR="007656AE" w:rsidRPr="002D128B" w:rsidRDefault="007656AE" w:rsidP="007656AE">
      <w:pPr>
        <w:pStyle w:val="SingleTxtG"/>
      </w:pPr>
      <w:r>
        <w:t>7.</w:t>
      </w:r>
      <w:r>
        <w:tab/>
      </w:r>
      <w:r w:rsidRPr="002D128B">
        <w:t xml:space="preserve">The elongation at fracture represents an important characteristic of steel. This </w:t>
      </w:r>
      <w:r w:rsidRPr="007656AE">
        <w:t>characteristic</w:t>
      </w:r>
      <w:r w:rsidRPr="002D128B">
        <w:t xml:space="preserve"> is defined in 6.7.2.3.3.3 and 6.7.3.3.3.3 in the same manner, but only for portable tanks not also for the tests established in chapters 2.7 and 6.4. In these conditions the definition proposed for section 1.2.1 will not cover this characteristic. We sustained the principle of the formula prescribed in paragraphs 6.7.2.3.3.3 and 6.7.3.3.3.3 to remains valid for portable tanks as it is and where it is.  More than this, the formula for the determination of the elongation at fracture is valid for all steels used, not only for mild steels:</w:t>
      </w:r>
    </w:p>
    <w:p w14:paraId="41427F20" w14:textId="77777777" w:rsidR="007656AE" w:rsidRPr="007656AE" w:rsidRDefault="007656AE" w:rsidP="007656AE">
      <w:pPr>
        <w:pStyle w:val="SingleTxtG"/>
        <w:ind w:left="1701"/>
        <w:rPr>
          <w:i/>
        </w:rPr>
      </w:pPr>
      <w:r w:rsidRPr="007656AE">
        <w:rPr>
          <w:i/>
        </w:rPr>
        <w:t>"</w:t>
      </w:r>
      <w:r w:rsidRPr="007656AE">
        <w:rPr>
          <w:i/>
          <w:u w:val="single"/>
        </w:rPr>
        <w:t>Steels used in the construction of shells</w:t>
      </w:r>
      <w:r w:rsidRPr="007656AE">
        <w:rPr>
          <w:i/>
        </w:rPr>
        <w:t xml:space="preserve"> shall have an elongation at fracture, in %, of not less than 10 000/Rm with an absolute minimum of 16% for fine grain steels and 20% for other steels.</w:t>
      </w:r>
      <w:proofErr w:type="gramStart"/>
      <w:r w:rsidRPr="007656AE">
        <w:rPr>
          <w:i/>
        </w:rPr>
        <w:t>".</w:t>
      </w:r>
      <w:proofErr w:type="gramEnd"/>
    </w:p>
    <w:p w14:paraId="05D15FBD" w14:textId="4C529A25" w:rsidR="0060709C" w:rsidRPr="002D128B" w:rsidRDefault="0060709C" w:rsidP="0060709C">
      <w:pPr>
        <w:pStyle w:val="SingleTxtG"/>
      </w:pPr>
      <w:r>
        <w:t>8.</w:t>
      </w:r>
      <w:r>
        <w:tab/>
      </w:r>
      <w:r w:rsidRPr="002D128B">
        <w:t xml:space="preserve">For example: the current text of RID/ADR includes since the 2001 edition a definition of “Mild steel” and a related note in section 1.2.1, as follows: </w:t>
      </w:r>
    </w:p>
    <w:p w14:paraId="67715F4F" w14:textId="77777777" w:rsidR="0060709C" w:rsidRPr="002D128B" w:rsidRDefault="0060709C" w:rsidP="0060709C">
      <w:pPr>
        <w:pStyle w:val="SingleTxtG"/>
        <w:ind w:left="1701" w:right="850"/>
      </w:pPr>
      <w:r w:rsidRPr="002D128B">
        <w:rPr>
          <w:i/>
        </w:rPr>
        <w:t>"Mild steel"</w:t>
      </w:r>
      <w:r w:rsidRPr="002D128B">
        <w:t xml:space="preserve"> means </w:t>
      </w:r>
      <w:proofErr w:type="gramStart"/>
      <w:r w:rsidRPr="002D128B">
        <w:t>a steel</w:t>
      </w:r>
      <w:proofErr w:type="gramEnd"/>
      <w:r w:rsidRPr="002D128B">
        <w:t xml:space="preserve"> having a minimum tensile strength between 360 N/mm</w:t>
      </w:r>
      <w:r w:rsidRPr="002D128B">
        <w:rPr>
          <w:vertAlign w:val="superscript"/>
        </w:rPr>
        <w:t>2</w:t>
      </w:r>
      <w:r w:rsidRPr="002D128B">
        <w:t xml:space="preserve"> and 440 N/mm</w:t>
      </w:r>
      <w:r w:rsidRPr="002D128B">
        <w:rPr>
          <w:vertAlign w:val="superscript"/>
        </w:rPr>
        <w:t>2</w:t>
      </w:r>
      <w:r w:rsidRPr="002D128B">
        <w:t>;</w:t>
      </w:r>
    </w:p>
    <w:p w14:paraId="0362521D" w14:textId="002C0F7C" w:rsidR="0060709C" w:rsidRPr="002D128B" w:rsidRDefault="0060709C" w:rsidP="0060709C">
      <w:pPr>
        <w:pStyle w:val="SingleTxtG"/>
        <w:ind w:right="850" w:firstLine="567"/>
      </w:pPr>
      <w:r>
        <w:rPr>
          <w:b/>
          <w:i/>
        </w:rPr>
        <w:t>NOTE:</w:t>
      </w:r>
      <w:r w:rsidRPr="002D128B">
        <w:rPr>
          <w:b/>
          <w:i/>
        </w:rPr>
        <w:t xml:space="preserve"> </w:t>
      </w:r>
      <w:r w:rsidRPr="002D128B">
        <w:rPr>
          <w:i/>
        </w:rPr>
        <w:t>For portable tanks, see Chapter 6.7.</w:t>
      </w:r>
    </w:p>
    <w:p w14:paraId="75826DB8" w14:textId="27B82D06" w:rsidR="0060709C" w:rsidRPr="002D128B" w:rsidRDefault="0060709C" w:rsidP="0060709C">
      <w:pPr>
        <w:pStyle w:val="SingleTxtG"/>
      </w:pPr>
      <w:r>
        <w:t>9.</w:t>
      </w:r>
      <w:r>
        <w:tab/>
      </w:r>
      <w:r w:rsidRPr="002D128B">
        <w:t xml:space="preserve">Our proposal for the definition of mild steel consists in </w:t>
      </w:r>
      <w:r>
        <w:t xml:space="preserve">a hybrid solution between the current </w:t>
      </w:r>
      <w:r w:rsidRPr="0060709C">
        <w:t>definitions</w:t>
      </w:r>
      <w:r>
        <w:t xml:space="preserve"> presented below in order to solve the </w:t>
      </w:r>
      <w:r w:rsidRPr="002D128B">
        <w:t>two differences:</w:t>
      </w:r>
    </w:p>
    <w:p w14:paraId="07F38A79" w14:textId="4879BAC3" w:rsidR="0060709C" w:rsidRPr="002D128B" w:rsidRDefault="0060709C" w:rsidP="0060709C">
      <w:pPr>
        <w:pStyle w:val="SingleTxtG"/>
        <w:numPr>
          <w:ilvl w:val="0"/>
          <w:numId w:val="36"/>
        </w:numPr>
        <w:ind w:right="850"/>
      </w:pPr>
      <w:r>
        <w:t>The definition of 6.7</w:t>
      </w:r>
      <w:r w:rsidRPr="002D128B">
        <w:t xml:space="preserve"> us</w:t>
      </w:r>
      <w:r>
        <w:t>e</w:t>
      </w:r>
      <w:r w:rsidR="00B74EEC">
        <w:t>s</w:t>
      </w:r>
      <w:r>
        <w:t xml:space="preserve"> </w:t>
      </w:r>
      <w:r w:rsidRPr="002D128B">
        <w:t xml:space="preserve">the </w:t>
      </w:r>
      <w:r>
        <w:t xml:space="preserve">specific </w:t>
      </w:r>
      <w:r w:rsidRPr="002D128B">
        <w:t xml:space="preserve">term </w:t>
      </w:r>
      <w:r>
        <w:t xml:space="preserve">for metal IBCs and portable tanks: </w:t>
      </w:r>
      <w:r w:rsidRPr="002D128B">
        <w:rPr>
          <w:i/>
          <w:iCs/>
        </w:rPr>
        <w:t>guaranteed minimum tensile strength</w:t>
      </w:r>
      <w:r w:rsidRPr="002D128B">
        <w:rPr>
          <w:iCs/>
        </w:rPr>
        <w:t>;</w:t>
      </w:r>
    </w:p>
    <w:p w14:paraId="2514084B" w14:textId="670BF4D9" w:rsidR="0060709C" w:rsidRPr="002D128B" w:rsidRDefault="0060709C" w:rsidP="0060709C">
      <w:pPr>
        <w:pStyle w:val="SingleTxtG"/>
        <w:numPr>
          <w:ilvl w:val="0"/>
          <w:numId w:val="36"/>
        </w:numPr>
        <w:ind w:right="850"/>
      </w:pPr>
      <w:r>
        <w:t xml:space="preserve">The definition of RID/ADR/ADN </w:t>
      </w:r>
      <w:r w:rsidRPr="002D128B">
        <w:rPr>
          <w:iCs/>
        </w:rPr>
        <w:t xml:space="preserve">represents a </w:t>
      </w:r>
      <w:r>
        <w:rPr>
          <w:iCs/>
        </w:rPr>
        <w:t xml:space="preserve">flexible </w:t>
      </w:r>
      <w:r w:rsidRPr="002D128B">
        <w:rPr>
          <w:iCs/>
        </w:rPr>
        <w:t xml:space="preserve">solution valid also for </w:t>
      </w:r>
      <w:r>
        <w:rPr>
          <w:iCs/>
        </w:rPr>
        <w:t>chapters</w:t>
      </w:r>
      <w:r w:rsidRPr="002D128B">
        <w:rPr>
          <w:iCs/>
        </w:rPr>
        <w:t xml:space="preserve"> of the Regulations </w:t>
      </w:r>
      <w:r w:rsidR="00B74EEC">
        <w:rPr>
          <w:iCs/>
        </w:rPr>
        <w:t>other</w:t>
      </w:r>
      <w:bookmarkStart w:id="0" w:name="_GoBack"/>
      <w:bookmarkEnd w:id="0"/>
      <w:r w:rsidR="00FF55B7">
        <w:rPr>
          <w:iCs/>
        </w:rPr>
        <w:t xml:space="preserve"> </w:t>
      </w:r>
      <w:r w:rsidRPr="002D128B">
        <w:rPr>
          <w:iCs/>
        </w:rPr>
        <w:t xml:space="preserve">than </w:t>
      </w:r>
      <w:r>
        <w:rPr>
          <w:iCs/>
        </w:rPr>
        <w:t xml:space="preserve">6.5 and </w:t>
      </w:r>
      <w:r w:rsidRPr="002D128B">
        <w:rPr>
          <w:iCs/>
        </w:rPr>
        <w:t xml:space="preserve">6.7 </w:t>
      </w:r>
      <w:r>
        <w:rPr>
          <w:iCs/>
        </w:rPr>
        <w:t>b</w:t>
      </w:r>
      <w:r w:rsidRPr="002D128B">
        <w:rPr>
          <w:iCs/>
        </w:rPr>
        <w:t xml:space="preserve">ut is not including the interval end of the tensile strength </w:t>
      </w:r>
      <w:r>
        <w:rPr>
          <w:iCs/>
        </w:rPr>
        <w:t>of 360</w:t>
      </w:r>
      <w:r w:rsidRPr="002D128B">
        <w:rPr>
          <w:iCs/>
        </w:rPr>
        <w:t xml:space="preserve"> N/mm</w:t>
      </w:r>
      <w:r w:rsidRPr="002D128B">
        <w:rPr>
          <w:iCs/>
          <w:vertAlign w:val="superscript"/>
        </w:rPr>
        <w:t>2</w:t>
      </w:r>
      <w:r w:rsidRPr="002D128B">
        <w:rPr>
          <w:iCs/>
        </w:rPr>
        <w:t xml:space="preserve"> as </w:t>
      </w:r>
      <w:r>
        <w:rPr>
          <w:iCs/>
        </w:rPr>
        <w:t>the other does</w:t>
      </w:r>
      <w:r w:rsidRPr="002D128B">
        <w:rPr>
          <w:iCs/>
        </w:rPr>
        <w:t xml:space="preserve">. </w:t>
      </w:r>
    </w:p>
    <w:p w14:paraId="62E2D76C" w14:textId="77777777" w:rsidR="0060709C" w:rsidRPr="002D128B" w:rsidRDefault="0060709C" w:rsidP="0060709C">
      <w:pPr>
        <w:pStyle w:val="HChG"/>
      </w:pPr>
      <w:r w:rsidRPr="002D128B">
        <w:tab/>
      </w:r>
      <w:r w:rsidRPr="002D128B">
        <w:tab/>
      </w:r>
      <w:r w:rsidRPr="0060709C">
        <w:t>Proposal</w:t>
      </w:r>
    </w:p>
    <w:p w14:paraId="31B844D7" w14:textId="19E8ACB9" w:rsidR="0060709C" w:rsidRPr="002D128B" w:rsidRDefault="0060709C" w:rsidP="0060709C">
      <w:pPr>
        <w:pStyle w:val="SingleTxtG"/>
      </w:pPr>
      <w:r>
        <w:t>10.</w:t>
      </w:r>
      <w:r>
        <w:tab/>
      </w:r>
      <w:r w:rsidRPr="0060709C">
        <w:t>Insert</w:t>
      </w:r>
      <w:r w:rsidRPr="002D128B">
        <w:t xml:space="preserve"> the definition “</w:t>
      </w:r>
      <w:r w:rsidRPr="002D128B">
        <w:rPr>
          <w:i/>
        </w:rPr>
        <w:t>Mild steel</w:t>
      </w:r>
      <w:r w:rsidRPr="002D128B">
        <w:t xml:space="preserve">” in section 1.2.1 Definitions, as follows: </w:t>
      </w:r>
    </w:p>
    <w:p w14:paraId="0535B637" w14:textId="0E36F5A6" w:rsidR="0060709C" w:rsidRPr="002D128B" w:rsidRDefault="0060709C" w:rsidP="0060709C">
      <w:pPr>
        <w:pStyle w:val="SingleTxtG"/>
        <w:ind w:left="1701" w:right="850"/>
        <w:rPr>
          <w:b/>
        </w:rPr>
      </w:pPr>
      <w:r w:rsidRPr="002D128B">
        <w:rPr>
          <w:i/>
        </w:rPr>
        <w:t>"Mild steel</w:t>
      </w:r>
      <w:r w:rsidRPr="002D128B">
        <w:t xml:space="preserve"> means </w:t>
      </w:r>
      <w:proofErr w:type="gramStart"/>
      <w:r w:rsidRPr="002D128B">
        <w:t>a steel</w:t>
      </w:r>
      <w:proofErr w:type="gramEnd"/>
      <w:r w:rsidRPr="002D128B">
        <w:t xml:space="preserve"> ha</w:t>
      </w:r>
      <w:r>
        <w:t xml:space="preserve">ving a minimum tensile strength of </w:t>
      </w:r>
      <w:r w:rsidRPr="002D128B">
        <w:t>360 N/mm</w:t>
      </w:r>
      <w:r w:rsidRPr="002D128B">
        <w:rPr>
          <w:vertAlign w:val="superscript"/>
        </w:rPr>
        <w:t>2</w:t>
      </w:r>
      <w:r w:rsidRPr="002D128B">
        <w:t xml:space="preserve"> </w:t>
      </w:r>
      <w:r>
        <w:t>to</w:t>
      </w:r>
      <w:r w:rsidRPr="002D128B">
        <w:t> 440 N/mm</w:t>
      </w:r>
      <w:r w:rsidRPr="002D128B">
        <w:rPr>
          <w:vertAlign w:val="superscript"/>
        </w:rPr>
        <w:t>2</w:t>
      </w:r>
      <w:r w:rsidRPr="002D128B">
        <w:rPr>
          <w:i/>
        </w:rPr>
        <w:t>"</w:t>
      </w:r>
      <w:r w:rsidRPr="002D128B">
        <w:t>;</w:t>
      </w:r>
    </w:p>
    <w:p w14:paraId="789C01BE" w14:textId="6D7A9CDF" w:rsidR="0060709C" w:rsidRPr="002D128B" w:rsidRDefault="0060709C" w:rsidP="0060709C">
      <w:pPr>
        <w:pStyle w:val="SingleTxtG"/>
      </w:pPr>
      <w:r>
        <w:lastRenderedPageBreak/>
        <w:t>11.</w:t>
      </w:r>
      <w:r>
        <w:tab/>
      </w:r>
      <w:r w:rsidRPr="0060709C">
        <w:t>Delete</w:t>
      </w:r>
      <w:r w:rsidRPr="002D128B">
        <w:t xml:space="preserve"> the definitions of “</w:t>
      </w:r>
      <w:r w:rsidRPr="002D128B">
        <w:rPr>
          <w:i/>
        </w:rPr>
        <w:t>Mild steel</w:t>
      </w:r>
      <w:r w:rsidRPr="002D128B">
        <w:t xml:space="preserve">” from 6.7.2.1 and 6.7.3.1. </w:t>
      </w:r>
    </w:p>
    <w:p w14:paraId="39D7B23F" w14:textId="38ABED9D" w:rsidR="0060709C" w:rsidRPr="002D128B" w:rsidRDefault="0060709C" w:rsidP="0060709C">
      <w:pPr>
        <w:pStyle w:val="HChG"/>
      </w:pPr>
      <w:r>
        <w:tab/>
      </w:r>
      <w:r>
        <w:tab/>
      </w:r>
      <w:r w:rsidRPr="002D128B">
        <w:t>Consequential amendments</w:t>
      </w:r>
    </w:p>
    <w:p w14:paraId="648D88AE" w14:textId="263EBC7D" w:rsidR="0060709C" w:rsidRDefault="0060709C" w:rsidP="0060709C">
      <w:pPr>
        <w:pStyle w:val="SingleTxtG"/>
      </w:pPr>
      <w:r>
        <w:t>12.</w:t>
      </w:r>
      <w:r>
        <w:tab/>
      </w:r>
      <w:r w:rsidRPr="002D128B">
        <w:t>Delete de following parenthesis</w:t>
      </w:r>
      <w:r>
        <w:t xml:space="preserve"> from the paragraphs:</w:t>
      </w:r>
    </w:p>
    <w:p w14:paraId="24C15786" w14:textId="4FD1DDF4" w:rsidR="0060709C" w:rsidRPr="0060709C" w:rsidRDefault="0060709C" w:rsidP="0060709C">
      <w:pPr>
        <w:pStyle w:val="SingleTxtG"/>
        <w:ind w:left="1701"/>
      </w:pPr>
      <w:r>
        <w:t>(a)</w:t>
      </w:r>
      <w:r>
        <w:tab/>
      </w:r>
      <w:r w:rsidRPr="0060709C">
        <w:t xml:space="preserve">6.7.2.4.7 and 6.7.2.4.9: </w:t>
      </w:r>
      <w:r w:rsidRPr="0060709C">
        <w:tab/>
        <w:t>(see 6.7.2.1), and</w:t>
      </w:r>
    </w:p>
    <w:p w14:paraId="28478121" w14:textId="413CAB9D" w:rsidR="0060709C" w:rsidRPr="0060709C" w:rsidRDefault="0060709C" w:rsidP="0060709C">
      <w:pPr>
        <w:pStyle w:val="SingleTxtG"/>
        <w:ind w:left="1701"/>
      </w:pPr>
      <w:r>
        <w:t>(b)</w:t>
      </w:r>
      <w:r>
        <w:tab/>
      </w:r>
      <w:r w:rsidRPr="0060709C">
        <w:t xml:space="preserve">6.7.3.4.6: </w:t>
      </w:r>
      <w:r w:rsidRPr="0060709C">
        <w:tab/>
      </w:r>
      <w:r w:rsidRPr="0060709C">
        <w:tab/>
      </w:r>
      <w:r w:rsidRPr="0060709C">
        <w:tab/>
        <w:t>(see 6.7.3.1).</w:t>
      </w:r>
    </w:p>
    <w:p w14:paraId="3BB2F2D5" w14:textId="4F9074EF" w:rsidR="00845287" w:rsidRPr="0060709C" w:rsidRDefault="0060709C" w:rsidP="0060709C">
      <w:pPr>
        <w:pStyle w:val="SingleTxtG"/>
        <w:spacing w:before="240" w:after="0"/>
        <w:jc w:val="center"/>
        <w:rPr>
          <w:u w:val="single"/>
        </w:rPr>
      </w:pPr>
      <w:r>
        <w:rPr>
          <w:u w:val="single"/>
        </w:rPr>
        <w:tab/>
      </w:r>
      <w:r>
        <w:rPr>
          <w:u w:val="single"/>
        </w:rPr>
        <w:tab/>
      </w:r>
      <w:r>
        <w:rPr>
          <w:u w:val="single"/>
        </w:rPr>
        <w:tab/>
      </w:r>
    </w:p>
    <w:p w14:paraId="72C802D1" w14:textId="77777777" w:rsidR="007656AE" w:rsidRDefault="007656AE" w:rsidP="007656AE">
      <w:pPr>
        <w:pStyle w:val="SingleTxtG"/>
      </w:pPr>
    </w:p>
    <w:p w14:paraId="7E210801" w14:textId="77777777" w:rsidR="007656AE" w:rsidRDefault="007656AE" w:rsidP="007656AE">
      <w:pPr>
        <w:pStyle w:val="SingleTxtG"/>
      </w:pPr>
    </w:p>
    <w:p w14:paraId="543D06C6" w14:textId="77777777" w:rsidR="007656AE" w:rsidRDefault="007656AE" w:rsidP="007656AE">
      <w:pPr>
        <w:pStyle w:val="SingleTxtG"/>
      </w:pPr>
    </w:p>
    <w:p w14:paraId="4439AFDF" w14:textId="77777777" w:rsidR="007656AE" w:rsidRDefault="007656AE" w:rsidP="007656AE">
      <w:pPr>
        <w:pStyle w:val="SingleTxtG"/>
      </w:pPr>
    </w:p>
    <w:p w14:paraId="741CE4F6" w14:textId="77777777" w:rsidR="007656AE" w:rsidRDefault="007656AE" w:rsidP="007656AE">
      <w:pPr>
        <w:pStyle w:val="SingleTxtG"/>
      </w:pPr>
    </w:p>
    <w:p w14:paraId="1388A13D" w14:textId="77777777" w:rsidR="007656AE" w:rsidRDefault="007656AE" w:rsidP="007656AE">
      <w:pPr>
        <w:pStyle w:val="SingleTxtG"/>
      </w:pPr>
    </w:p>
    <w:p w14:paraId="7B9E5BFA" w14:textId="77777777" w:rsidR="007656AE" w:rsidRDefault="007656AE" w:rsidP="007656AE">
      <w:pPr>
        <w:pStyle w:val="SingleTxtG"/>
      </w:pPr>
    </w:p>
    <w:p w14:paraId="053B7637" w14:textId="77777777" w:rsidR="007656AE" w:rsidRPr="00845287" w:rsidRDefault="007656AE" w:rsidP="007656AE">
      <w:pPr>
        <w:pStyle w:val="SingleTxtG"/>
      </w:pPr>
    </w:p>
    <w:sectPr w:rsidR="007656AE" w:rsidRPr="00845287" w:rsidSect="003466A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35C3" w14:textId="77777777" w:rsidR="009B7D51" w:rsidRDefault="009B7D51"/>
  </w:endnote>
  <w:endnote w:type="continuationSeparator" w:id="0">
    <w:p w14:paraId="716CF933" w14:textId="77777777" w:rsidR="009B7D51" w:rsidRDefault="009B7D51"/>
  </w:endnote>
  <w:endnote w:type="continuationNotice" w:id="1">
    <w:p w14:paraId="4BB28943" w14:textId="77777777" w:rsidR="009B7D51" w:rsidRDefault="009B7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FEE3" w14:textId="77777777" w:rsidR="00A24F0D" w:rsidRPr="003466AC" w:rsidRDefault="00A24F0D"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B74EEC">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F656" w14:textId="77777777" w:rsidR="00A24F0D" w:rsidRPr="003466AC" w:rsidRDefault="00A24F0D"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B74EEC">
      <w:rPr>
        <w:b/>
        <w:noProof/>
        <w:sz w:val="18"/>
      </w:rPr>
      <w:t>3</w:t>
    </w:r>
    <w:r w:rsidRPr="003466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EC7F" w14:textId="592A4A2A" w:rsidR="00A24F0D" w:rsidRPr="003466AC" w:rsidRDefault="00A24F0D">
    <w:pPr>
      <w:pStyle w:val="Footer"/>
      <w:rPr>
        <w:sz w:val="20"/>
      </w:rPr>
    </w:pPr>
    <w:r>
      <w:rPr>
        <w:noProof/>
        <w:lang w:eastAsia="en-GB"/>
      </w:rPr>
      <w:drawing>
        <wp:anchor distT="0" distB="0" distL="114300" distR="114300" simplePos="0" relativeHeight="251657728" behindDoc="0" locked="1" layoutInCell="1" allowOverlap="1" wp14:anchorId="37C442EE" wp14:editId="7F487010">
          <wp:simplePos x="0" y="0"/>
          <wp:positionH relativeFrom="column">
            <wp:posOffset>5148580</wp:posOffset>
          </wp:positionH>
          <wp:positionV relativeFrom="paragraph">
            <wp:posOffset>-79375</wp:posOffset>
          </wp:positionV>
          <wp:extent cx="930275" cy="230505"/>
          <wp:effectExtent l="0" t="0" r="952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896">
      <w:rPr>
        <w:sz w:val="20"/>
      </w:rPr>
      <w:t>GE.15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3161" w14:textId="77777777" w:rsidR="009B7D51" w:rsidRPr="000B175B" w:rsidRDefault="009B7D51" w:rsidP="000B175B">
      <w:pPr>
        <w:tabs>
          <w:tab w:val="right" w:pos="2155"/>
        </w:tabs>
        <w:spacing w:after="80"/>
        <w:ind w:left="680"/>
        <w:rPr>
          <w:u w:val="single"/>
        </w:rPr>
      </w:pPr>
      <w:r>
        <w:rPr>
          <w:u w:val="single"/>
        </w:rPr>
        <w:tab/>
      </w:r>
    </w:p>
  </w:footnote>
  <w:footnote w:type="continuationSeparator" w:id="0">
    <w:p w14:paraId="3DE3D211" w14:textId="77777777" w:rsidR="009B7D51" w:rsidRPr="00FC68B7" w:rsidRDefault="009B7D51" w:rsidP="00FC68B7">
      <w:pPr>
        <w:tabs>
          <w:tab w:val="left" w:pos="2155"/>
        </w:tabs>
        <w:spacing w:after="80"/>
        <w:ind w:left="680"/>
        <w:rPr>
          <w:u w:val="single"/>
        </w:rPr>
      </w:pPr>
      <w:r>
        <w:rPr>
          <w:u w:val="single"/>
        </w:rPr>
        <w:tab/>
      </w:r>
    </w:p>
  </w:footnote>
  <w:footnote w:type="continuationNotice" w:id="1">
    <w:p w14:paraId="2E99D34F" w14:textId="77777777" w:rsidR="009B7D51" w:rsidRDefault="009B7D51"/>
  </w:footnote>
  <w:footnote w:id="2">
    <w:p w14:paraId="27BB2374" w14:textId="3E5EBE84" w:rsidR="007656AE" w:rsidRPr="007656AE" w:rsidRDefault="007656AE" w:rsidP="007656AE">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FD61" w14:textId="4BA29F32" w:rsidR="00A24F0D" w:rsidRPr="003466AC" w:rsidRDefault="007656AE">
    <w:pPr>
      <w:pStyle w:val="Header"/>
    </w:pPr>
    <w:r>
      <w:t>ST/SG/AC.10/C.3/2013/55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288B" w14:textId="5685D198" w:rsidR="00A24F0D" w:rsidRPr="004A7B6C" w:rsidRDefault="00005D07" w:rsidP="004A7B6C">
    <w:pPr>
      <w:pStyle w:val="Header"/>
      <w:jc w:val="right"/>
    </w:pPr>
    <w:r>
      <w:t>ST/SG/AC.10/C.3/2013/55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3EC6" w14:textId="77777777" w:rsidR="00005D07" w:rsidRDefault="00005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9">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9"/>
  </w:num>
  <w:num w:numId="12">
    <w:abstractNumId w:val="17"/>
  </w:num>
  <w:num w:numId="13">
    <w:abstractNumId w:val="14"/>
  </w:num>
  <w:num w:numId="14">
    <w:abstractNumId w:val="32"/>
  </w:num>
  <w:num w:numId="15">
    <w:abstractNumId w:val="35"/>
  </w:num>
  <w:num w:numId="16">
    <w:abstractNumId w:val="11"/>
  </w:num>
  <w:num w:numId="17">
    <w:abstractNumId w:val="12"/>
  </w:num>
  <w:num w:numId="18">
    <w:abstractNumId w:val="15"/>
  </w:num>
  <w:num w:numId="19">
    <w:abstractNumId w:val="23"/>
  </w:num>
  <w:num w:numId="20">
    <w:abstractNumId w:val="33"/>
  </w:num>
  <w:num w:numId="21">
    <w:abstractNumId w:val="30"/>
  </w:num>
  <w:num w:numId="22">
    <w:abstractNumId w:val="28"/>
  </w:num>
  <w:num w:numId="23">
    <w:abstractNumId w:val="20"/>
  </w:num>
  <w:num w:numId="24">
    <w:abstractNumId w:val="22"/>
  </w:num>
  <w:num w:numId="25">
    <w:abstractNumId w:val="24"/>
  </w:num>
  <w:num w:numId="26">
    <w:abstractNumId w:val="0"/>
  </w:num>
  <w:num w:numId="27">
    <w:abstractNumId w:val="25"/>
  </w:num>
  <w:num w:numId="28">
    <w:abstractNumId w:val="21"/>
  </w:num>
  <w:num w:numId="29">
    <w:abstractNumId w:val="13"/>
  </w:num>
  <w:num w:numId="30">
    <w:abstractNumId w:val="36"/>
  </w:num>
  <w:num w:numId="31">
    <w:abstractNumId w:val="31"/>
  </w:num>
  <w:num w:numId="32">
    <w:abstractNumId w:val="26"/>
  </w:num>
  <w:num w:numId="33">
    <w:abstractNumId w:val="34"/>
  </w:num>
  <w:num w:numId="34">
    <w:abstractNumId w:val="16"/>
  </w:num>
  <w:num w:numId="35">
    <w:abstractNumId w:val="19"/>
  </w:num>
  <w:num w:numId="36">
    <w:abstractNumId w:val="18"/>
  </w:num>
  <w:num w:numId="37">
    <w:abstractNumId w:val="37"/>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E8E"/>
    <w:rsid w:val="00043A96"/>
    <w:rsid w:val="00043CD1"/>
    <w:rsid w:val="00046C4F"/>
    <w:rsid w:val="00050F6B"/>
    <w:rsid w:val="0005114D"/>
    <w:rsid w:val="000551EC"/>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7AAB"/>
    <w:rsid w:val="000E0415"/>
    <w:rsid w:val="000E6BA2"/>
    <w:rsid w:val="000F38EF"/>
    <w:rsid w:val="000F55F3"/>
    <w:rsid w:val="000F6A97"/>
    <w:rsid w:val="001026FB"/>
    <w:rsid w:val="00113A17"/>
    <w:rsid w:val="0011420F"/>
    <w:rsid w:val="00115106"/>
    <w:rsid w:val="00117787"/>
    <w:rsid w:val="00123FB1"/>
    <w:rsid w:val="001311AD"/>
    <w:rsid w:val="00131D42"/>
    <w:rsid w:val="00133B0D"/>
    <w:rsid w:val="0013619A"/>
    <w:rsid w:val="00144D36"/>
    <w:rsid w:val="00150BD0"/>
    <w:rsid w:val="0015105B"/>
    <w:rsid w:val="0015303B"/>
    <w:rsid w:val="00153FB7"/>
    <w:rsid w:val="001551D6"/>
    <w:rsid w:val="00162B16"/>
    <w:rsid w:val="001633FB"/>
    <w:rsid w:val="00175631"/>
    <w:rsid w:val="001779D9"/>
    <w:rsid w:val="0018094B"/>
    <w:rsid w:val="00180C03"/>
    <w:rsid w:val="00184A9C"/>
    <w:rsid w:val="0019568D"/>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23481"/>
    <w:rsid w:val="002309A7"/>
    <w:rsid w:val="00230AFE"/>
    <w:rsid w:val="00237785"/>
    <w:rsid w:val="00241466"/>
    <w:rsid w:val="00244717"/>
    <w:rsid w:val="00244943"/>
    <w:rsid w:val="00244EF4"/>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4E7D"/>
    <w:rsid w:val="002C6766"/>
    <w:rsid w:val="002D22E5"/>
    <w:rsid w:val="002D503D"/>
    <w:rsid w:val="002D7539"/>
    <w:rsid w:val="002E0746"/>
    <w:rsid w:val="002E4861"/>
    <w:rsid w:val="002E75F6"/>
    <w:rsid w:val="003006DC"/>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BB1"/>
    <w:rsid w:val="00387614"/>
    <w:rsid w:val="00390028"/>
    <w:rsid w:val="0039277A"/>
    <w:rsid w:val="003972E0"/>
    <w:rsid w:val="003A077E"/>
    <w:rsid w:val="003A3F7F"/>
    <w:rsid w:val="003B1D06"/>
    <w:rsid w:val="003C1755"/>
    <w:rsid w:val="003C1832"/>
    <w:rsid w:val="003C2CC4"/>
    <w:rsid w:val="003C750C"/>
    <w:rsid w:val="003D1000"/>
    <w:rsid w:val="003D39F8"/>
    <w:rsid w:val="003D4B23"/>
    <w:rsid w:val="004043B5"/>
    <w:rsid w:val="00423D3D"/>
    <w:rsid w:val="00424EDD"/>
    <w:rsid w:val="004325CB"/>
    <w:rsid w:val="00437F3F"/>
    <w:rsid w:val="00444524"/>
    <w:rsid w:val="00446DE4"/>
    <w:rsid w:val="00454036"/>
    <w:rsid w:val="0045652B"/>
    <w:rsid w:val="0046419A"/>
    <w:rsid w:val="00473948"/>
    <w:rsid w:val="00484E32"/>
    <w:rsid w:val="0049147A"/>
    <w:rsid w:val="00491634"/>
    <w:rsid w:val="004925FF"/>
    <w:rsid w:val="00493BDC"/>
    <w:rsid w:val="0049434E"/>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511C"/>
    <w:rsid w:val="004F5ADD"/>
    <w:rsid w:val="00505080"/>
    <w:rsid w:val="005132B7"/>
    <w:rsid w:val="00513567"/>
    <w:rsid w:val="005176CD"/>
    <w:rsid w:val="00517A3F"/>
    <w:rsid w:val="0052254F"/>
    <w:rsid w:val="00523525"/>
    <w:rsid w:val="00527910"/>
    <w:rsid w:val="005279BF"/>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C8E"/>
    <w:rsid w:val="0060709C"/>
    <w:rsid w:val="00611FC4"/>
    <w:rsid w:val="006176FB"/>
    <w:rsid w:val="006246A3"/>
    <w:rsid w:val="00633B43"/>
    <w:rsid w:val="0063419C"/>
    <w:rsid w:val="00640B26"/>
    <w:rsid w:val="00642EDA"/>
    <w:rsid w:val="00645121"/>
    <w:rsid w:val="00645A1A"/>
    <w:rsid w:val="006500BA"/>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3D21"/>
    <w:rsid w:val="006D6FB3"/>
    <w:rsid w:val="006E4A58"/>
    <w:rsid w:val="006E564B"/>
    <w:rsid w:val="006E603B"/>
    <w:rsid w:val="006E7ABF"/>
    <w:rsid w:val="006F585C"/>
    <w:rsid w:val="0071032E"/>
    <w:rsid w:val="00716EAD"/>
    <w:rsid w:val="0072632A"/>
    <w:rsid w:val="0073035D"/>
    <w:rsid w:val="007321DB"/>
    <w:rsid w:val="00736305"/>
    <w:rsid w:val="00736D0A"/>
    <w:rsid w:val="00736E1D"/>
    <w:rsid w:val="007478B0"/>
    <w:rsid w:val="00750CB8"/>
    <w:rsid w:val="00753561"/>
    <w:rsid w:val="00753641"/>
    <w:rsid w:val="00755DDF"/>
    <w:rsid w:val="0076317E"/>
    <w:rsid w:val="007656AE"/>
    <w:rsid w:val="00767DC6"/>
    <w:rsid w:val="007832B8"/>
    <w:rsid w:val="00790791"/>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1FD5"/>
    <w:rsid w:val="00874585"/>
    <w:rsid w:val="00887592"/>
    <w:rsid w:val="008979B1"/>
    <w:rsid w:val="008A04A8"/>
    <w:rsid w:val="008A12EC"/>
    <w:rsid w:val="008A289B"/>
    <w:rsid w:val="008A2B22"/>
    <w:rsid w:val="008A4052"/>
    <w:rsid w:val="008A5A71"/>
    <w:rsid w:val="008A6B25"/>
    <w:rsid w:val="008A6C4F"/>
    <w:rsid w:val="008C22A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1341E"/>
    <w:rsid w:val="00A1427D"/>
    <w:rsid w:val="00A1568F"/>
    <w:rsid w:val="00A24F0D"/>
    <w:rsid w:val="00A32D41"/>
    <w:rsid w:val="00A40A95"/>
    <w:rsid w:val="00A46896"/>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7B65"/>
    <w:rsid w:val="00BB4145"/>
    <w:rsid w:val="00BB66A8"/>
    <w:rsid w:val="00BC1657"/>
    <w:rsid w:val="00BC309B"/>
    <w:rsid w:val="00BC5E5C"/>
    <w:rsid w:val="00BC74E9"/>
    <w:rsid w:val="00BD10E7"/>
    <w:rsid w:val="00BD21C4"/>
    <w:rsid w:val="00BD60DD"/>
    <w:rsid w:val="00BE618E"/>
    <w:rsid w:val="00C179A3"/>
    <w:rsid w:val="00C414AF"/>
    <w:rsid w:val="00C41B4A"/>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91393"/>
    <w:rsid w:val="00C97310"/>
    <w:rsid w:val="00CA123A"/>
    <w:rsid w:val="00CA12AA"/>
    <w:rsid w:val="00CA46AE"/>
    <w:rsid w:val="00CB4D07"/>
    <w:rsid w:val="00CB6EE8"/>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601F"/>
    <w:rsid w:val="00DE6659"/>
    <w:rsid w:val="00DF1E95"/>
    <w:rsid w:val="00DF40BC"/>
    <w:rsid w:val="00E030E1"/>
    <w:rsid w:val="00E12E23"/>
    <w:rsid w:val="00E130AB"/>
    <w:rsid w:val="00E2294B"/>
    <w:rsid w:val="00E25793"/>
    <w:rsid w:val="00E33A7D"/>
    <w:rsid w:val="00E36504"/>
    <w:rsid w:val="00E50BEB"/>
    <w:rsid w:val="00E5189E"/>
    <w:rsid w:val="00E549AA"/>
    <w:rsid w:val="00E5644E"/>
    <w:rsid w:val="00E57356"/>
    <w:rsid w:val="00E63FF3"/>
    <w:rsid w:val="00E64AEB"/>
    <w:rsid w:val="00E7260F"/>
    <w:rsid w:val="00E845AE"/>
    <w:rsid w:val="00E8535A"/>
    <w:rsid w:val="00E8656C"/>
    <w:rsid w:val="00E86DFE"/>
    <w:rsid w:val="00E877F7"/>
    <w:rsid w:val="00E96630"/>
    <w:rsid w:val="00EA772F"/>
    <w:rsid w:val="00EB0430"/>
    <w:rsid w:val="00EB226B"/>
    <w:rsid w:val="00EB6832"/>
    <w:rsid w:val="00EC1092"/>
    <w:rsid w:val="00EC18CA"/>
    <w:rsid w:val="00EC76A6"/>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31E5"/>
    <w:rsid w:val="00F7684E"/>
    <w:rsid w:val="00F862EF"/>
    <w:rsid w:val="00F871D5"/>
    <w:rsid w:val="00F90E19"/>
    <w:rsid w:val="00F91A6C"/>
    <w:rsid w:val="00F95FC2"/>
    <w:rsid w:val="00FA1207"/>
    <w:rsid w:val="00FA51F0"/>
    <w:rsid w:val="00FB01FC"/>
    <w:rsid w:val="00FB1972"/>
    <w:rsid w:val="00FB57F7"/>
    <w:rsid w:val="00FB6B59"/>
    <w:rsid w:val="00FC0F6F"/>
    <w:rsid w:val="00FC68B7"/>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DF2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72"/>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72"/>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B33D-6DD2-4C22-8478-3F41FDA0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720</Words>
  <Characters>3864</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4574</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7</cp:revision>
  <cp:lastPrinted>2015-09-07T10:17:00Z</cp:lastPrinted>
  <dcterms:created xsi:type="dcterms:W3CDTF">2015-09-07T06:49:00Z</dcterms:created>
  <dcterms:modified xsi:type="dcterms:W3CDTF">2015-09-07T10:18:00Z</dcterms:modified>
</cp:coreProperties>
</file>