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05" w:rsidRPr="00A4135A" w:rsidRDefault="00B74205" w:rsidP="00B74205">
      <w:pPr>
        <w:spacing w:line="240" w:lineRule="auto"/>
        <w:rPr>
          <w:sz w:val="2"/>
          <w:lang w:val="fr-CH"/>
        </w:rPr>
        <w:sectPr w:rsidR="00B74205" w:rsidRPr="00A4135A" w:rsidSect="00B742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  <w:r w:rsidRPr="00A4135A">
        <w:rPr>
          <w:rStyle w:val="CommentReference"/>
          <w:lang w:val="fr-CH"/>
        </w:rPr>
        <w:commentReference w:id="1"/>
      </w:r>
    </w:p>
    <w:p w:rsidR="007477BF" w:rsidRPr="00A4135A" w:rsidRDefault="007477BF" w:rsidP="00EF2F3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4135A">
        <w:rPr>
          <w:lang w:val="fr-CH"/>
        </w:rPr>
        <w:lastRenderedPageBreak/>
        <w:t xml:space="preserve">Comité d’experts du transport des marchandises </w:t>
      </w:r>
      <w:r w:rsidR="00951561" w:rsidRPr="00A4135A">
        <w:rPr>
          <w:lang w:val="fr-CH"/>
        </w:rPr>
        <w:br/>
      </w:r>
      <w:r w:rsidRPr="00A4135A">
        <w:rPr>
          <w:lang w:val="fr-CH"/>
        </w:rPr>
        <w:t xml:space="preserve">dangereuses et du Système général harmonisé de </w:t>
      </w:r>
      <w:r w:rsidR="00EF2F32">
        <w:rPr>
          <w:lang w:val="fr-CH"/>
        </w:rPr>
        <w:br/>
      </w:r>
      <w:r w:rsidRPr="00A4135A">
        <w:rPr>
          <w:lang w:val="fr-CH"/>
        </w:rPr>
        <w:t>classification et d’étiquetage des produits chimiques</w:t>
      </w:r>
      <w:bookmarkStart w:id="2" w:name="insstart"/>
      <w:bookmarkEnd w:id="2"/>
    </w:p>
    <w:p w:rsidR="007477BF" w:rsidRPr="00A4135A" w:rsidRDefault="007477BF" w:rsidP="007477B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7477BF" w:rsidRPr="00A4135A" w:rsidRDefault="007477BF" w:rsidP="007477B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4135A">
        <w:rPr>
          <w:lang w:val="fr-CH"/>
        </w:rPr>
        <w:t xml:space="preserve">Sous-Comité d’experts du transport </w:t>
      </w:r>
      <w:r w:rsidR="00951561" w:rsidRPr="00A4135A">
        <w:rPr>
          <w:lang w:val="fr-CH"/>
        </w:rPr>
        <w:br/>
      </w:r>
      <w:r w:rsidRPr="00A4135A">
        <w:rPr>
          <w:lang w:val="fr-CH"/>
        </w:rPr>
        <w:t>des marchandises dangereuses</w:t>
      </w:r>
    </w:p>
    <w:p w:rsidR="007477BF" w:rsidRPr="00A4135A" w:rsidRDefault="007477BF" w:rsidP="007477B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7477BF" w:rsidRPr="00A4135A" w:rsidRDefault="007477BF" w:rsidP="007477B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4135A">
        <w:rPr>
          <w:lang w:val="fr-CH"/>
        </w:rPr>
        <w:t>Quarante-huitième session</w:t>
      </w:r>
    </w:p>
    <w:p w:rsidR="007477BF" w:rsidRPr="00A4135A" w:rsidRDefault="007477BF" w:rsidP="0095156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A4135A">
        <w:rPr>
          <w:lang w:val="fr-CH"/>
        </w:rPr>
        <w:t>Genève, 30 novembre</w:t>
      </w:r>
      <w:r w:rsidR="00951561" w:rsidRPr="00A4135A">
        <w:rPr>
          <w:lang w:val="fr-CH"/>
        </w:rPr>
        <w:t>-9 </w:t>
      </w:r>
      <w:r w:rsidRPr="00A4135A">
        <w:rPr>
          <w:lang w:val="fr-CH"/>
        </w:rPr>
        <w:t>décembre 2015</w:t>
      </w:r>
    </w:p>
    <w:p w:rsidR="007477BF" w:rsidRPr="00A4135A" w:rsidRDefault="00951561" w:rsidP="007477B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A4135A">
        <w:rPr>
          <w:lang w:val="fr-CH"/>
        </w:rPr>
        <w:t>Point </w:t>
      </w:r>
      <w:r w:rsidR="007477BF" w:rsidRPr="00A4135A">
        <w:rPr>
          <w:lang w:val="fr-CH"/>
        </w:rPr>
        <w:t xml:space="preserve">3 de l’ordre du jour provisoire </w:t>
      </w:r>
    </w:p>
    <w:p w:rsidR="007477BF" w:rsidRPr="00A4135A" w:rsidRDefault="007477BF" w:rsidP="007477B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4135A">
        <w:rPr>
          <w:lang w:val="fr-CH"/>
        </w:rPr>
        <w:t>Inscription, classement et emballage</w:t>
      </w:r>
    </w:p>
    <w:p w:rsidR="007477BF" w:rsidRPr="00A4135A" w:rsidRDefault="007477BF" w:rsidP="007477BF">
      <w:pPr>
        <w:spacing w:line="120" w:lineRule="exact"/>
        <w:rPr>
          <w:sz w:val="10"/>
          <w:lang w:val="fr-CH"/>
        </w:rPr>
      </w:pPr>
    </w:p>
    <w:p w:rsidR="007477BF" w:rsidRPr="00A4135A" w:rsidRDefault="007477BF" w:rsidP="007477BF">
      <w:pPr>
        <w:spacing w:line="120" w:lineRule="exact"/>
        <w:rPr>
          <w:sz w:val="10"/>
          <w:lang w:val="fr-CH"/>
        </w:rPr>
      </w:pPr>
    </w:p>
    <w:p w:rsidR="007477BF" w:rsidRPr="00A4135A" w:rsidRDefault="007477BF" w:rsidP="007477BF">
      <w:pPr>
        <w:spacing w:line="120" w:lineRule="exact"/>
        <w:rPr>
          <w:sz w:val="10"/>
          <w:lang w:val="fr-CH"/>
        </w:rPr>
      </w:pPr>
    </w:p>
    <w:p w:rsidR="007477BF" w:rsidRPr="00A4135A" w:rsidRDefault="007477BF" w:rsidP="007477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4135A">
        <w:rPr>
          <w:lang w:val="fr-CH"/>
        </w:rPr>
        <w:tab/>
      </w:r>
      <w:r w:rsidRPr="00A4135A">
        <w:rPr>
          <w:lang w:val="fr-CH"/>
        </w:rPr>
        <w:tab/>
        <w:t xml:space="preserve">Acceptation des marchandises dangereuses </w:t>
      </w:r>
      <w:r w:rsidRPr="00A4135A">
        <w:rPr>
          <w:lang w:val="fr-CH"/>
        </w:rPr>
        <w:br/>
        <w:t xml:space="preserve">en quantités exceptées dans les trousses chimiques </w:t>
      </w:r>
      <w:r w:rsidRPr="00A4135A">
        <w:rPr>
          <w:lang w:val="fr-CH"/>
        </w:rPr>
        <w:br/>
        <w:t>et trousses de premier secours, disposition spéciale 251</w:t>
      </w:r>
    </w:p>
    <w:p w:rsidR="007477BF" w:rsidRPr="00A4135A" w:rsidRDefault="007477BF" w:rsidP="007477BF">
      <w:pPr>
        <w:pStyle w:val="SingleTxt"/>
        <w:spacing w:after="0" w:line="120" w:lineRule="exact"/>
        <w:rPr>
          <w:sz w:val="10"/>
          <w:lang w:val="fr-CH"/>
        </w:rPr>
      </w:pPr>
    </w:p>
    <w:p w:rsidR="007477BF" w:rsidRPr="00A4135A" w:rsidRDefault="007477BF" w:rsidP="007477BF">
      <w:pPr>
        <w:pStyle w:val="SingleTxt"/>
        <w:spacing w:after="0" w:line="120" w:lineRule="exact"/>
        <w:rPr>
          <w:sz w:val="10"/>
          <w:lang w:val="fr-CH"/>
        </w:rPr>
      </w:pPr>
    </w:p>
    <w:p w:rsidR="007477BF" w:rsidRPr="00A4135A" w:rsidRDefault="007477BF" w:rsidP="0095156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4135A">
        <w:rPr>
          <w:lang w:val="fr-CH"/>
        </w:rPr>
        <w:tab/>
      </w:r>
      <w:r w:rsidRPr="00A4135A">
        <w:rPr>
          <w:lang w:val="fr-CH"/>
        </w:rPr>
        <w:tab/>
        <w:t xml:space="preserve">Communication de l’Association du transport aérien </w:t>
      </w:r>
      <w:r w:rsidRPr="00A4135A">
        <w:rPr>
          <w:lang w:val="fr-CH"/>
        </w:rPr>
        <w:br/>
        <w:t>international (IATA)</w:t>
      </w:r>
      <w:r w:rsidRPr="00A4135A">
        <w:rPr>
          <w:rStyle w:val="FootnoteReference"/>
          <w:b w:val="0"/>
          <w:bCs/>
          <w:sz w:val="20"/>
          <w:szCs w:val="20"/>
          <w:lang w:val="fr-CH"/>
        </w:rPr>
        <w:footnoteReference w:id="1"/>
      </w:r>
    </w:p>
    <w:p w:rsidR="007477BF" w:rsidRPr="00A4135A" w:rsidRDefault="007477BF" w:rsidP="007477BF">
      <w:pPr>
        <w:pStyle w:val="SingleTxt"/>
        <w:spacing w:after="0" w:line="120" w:lineRule="exact"/>
        <w:rPr>
          <w:sz w:val="10"/>
          <w:lang w:val="fr-CH"/>
        </w:rPr>
      </w:pPr>
    </w:p>
    <w:p w:rsidR="007477BF" w:rsidRPr="00A4135A" w:rsidRDefault="007477BF" w:rsidP="007477BF">
      <w:pPr>
        <w:pStyle w:val="SingleTxt"/>
        <w:spacing w:after="0" w:line="120" w:lineRule="exact"/>
        <w:rPr>
          <w:sz w:val="10"/>
          <w:lang w:val="fr-CH"/>
        </w:rPr>
      </w:pPr>
    </w:p>
    <w:p w:rsidR="007477BF" w:rsidRPr="00A4135A" w:rsidRDefault="00A4135A" w:rsidP="00A4135A">
      <w:pPr>
        <w:pStyle w:val="SingleTxt"/>
        <w:numPr>
          <w:ilvl w:val="0"/>
          <w:numId w:val="6"/>
        </w:numPr>
        <w:ind w:left="1267" w:firstLine="0"/>
        <w:rPr>
          <w:lang w:val="fr-CH"/>
        </w:rPr>
      </w:pPr>
      <w:r w:rsidRPr="00A4135A">
        <w:rPr>
          <w:lang w:val="fr-CH"/>
        </w:rPr>
        <w:t>À la quarante-septième session</w:t>
      </w:r>
      <w:r w:rsidR="007477BF" w:rsidRPr="00A4135A">
        <w:rPr>
          <w:lang w:val="fr-CH"/>
        </w:rPr>
        <w:t xml:space="preserve"> du Sous-Comité, l’IATA a soumis </w:t>
      </w:r>
      <w:r w:rsidRPr="00A4135A">
        <w:rPr>
          <w:lang w:val="fr-CH"/>
        </w:rPr>
        <w:t xml:space="preserve">le document sans cote INF.11 </w:t>
      </w:r>
      <w:r w:rsidR="007477BF" w:rsidRPr="00A4135A">
        <w:rPr>
          <w:lang w:val="fr-CH"/>
        </w:rPr>
        <w:t>dans le but de recueillir les vues du Sous-Comité concernant une différence entre le Règlement type et les Instructions techniques de l’OACI, celles-ci permettant le transport de marchandises dangereuses en tant que quantités exceptées et de certains</w:t>
      </w:r>
      <w:r w:rsidRPr="00A4135A">
        <w:rPr>
          <w:lang w:val="fr-CH"/>
        </w:rPr>
        <w:t xml:space="preserve"> produits du Groupe d’emballage </w:t>
      </w:r>
      <w:r w:rsidR="007477BF" w:rsidRPr="00A4135A">
        <w:rPr>
          <w:lang w:val="fr-CH"/>
        </w:rPr>
        <w:t>I.</w:t>
      </w:r>
    </w:p>
    <w:p w:rsidR="007477BF" w:rsidRPr="00A4135A" w:rsidRDefault="007477BF" w:rsidP="00951561">
      <w:pPr>
        <w:pStyle w:val="SingleTxt"/>
        <w:numPr>
          <w:ilvl w:val="0"/>
          <w:numId w:val="6"/>
        </w:numPr>
        <w:ind w:left="1267" w:firstLine="0"/>
        <w:rPr>
          <w:lang w:val="fr-CH"/>
        </w:rPr>
      </w:pPr>
      <w:r w:rsidRPr="00A4135A">
        <w:rPr>
          <w:lang w:val="fr-CH"/>
        </w:rPr>
        <w:t>Les observations formulées par le Sous-Comité à sa quarante-septième session étaient favorables à l’inclusion, dans la disposition spéciale 251, des marchandises dangereuses admises au transport en tant que quantités exceptées et donc à leur affectation au numéro ONU 3316 (TROUSSE CHIMIQUE ou TROUSSE DE PREMIERS SECOURS).</w:t>
      </w:r>
    </w:p>
    <w:p w:rsidR="007477BF" w:rsidRPr="00A4135A" w:rsidRDefault="007477BF" w:rsidP="00A4135A">
      <w:pPr>
        <w:pStyle w:val="SingleTxt"/>
        <w:numPr>
          <w:ilvl w:val="0"/>
          <w:numId w:val="6"/>
        </w:numPr>
        <w:ind w:left="1267" w:firstLine="0"/>
        <w:rPr>
          <w:lang w:val="fr-CH"/>
        </w:rPr>
      </w:pPr>
      <w:r w:rsidRPr="00A4135A">
        <w:rPr>
          <w:lang w:val="fr-CH"/>
        </w:rPr>
        <w:t>Le présent document a pour but de proposer les modifications permettant d’inclure, dans le domaine d’application de la disposition spéciale 251, les marchandises dangereuses en quantité</w:t>
      </w:r>
      <w:r w:rsidR="00A4135A">
        <w:rPr>
          <w:lang w:val="fr-CH"/>
        </w:rPr>
        <w:t>s</w:t>
      </w:r>
      <w:r w:rsidRPr="00A4135A">
        <w:rPr>
          <w:lang w:val="fr-CH"/>
        </w:rPr>
        <w:t xml:space="preserve"> exceptée</w:t>
      </w:r>
      <w:r w:rsidR="00A4135A">
        <w:rPr>
          <w:lang w:val="fr-CH"/>
        </w:rPr>
        <w:t>s</w:t>
      </w:r>
      <w:r w:rsidRPr="00A4135A">
        <w:rPr>
          <w:lang w:val="fr-CH"/>
        </w:rPr>
        <w:t xml:space="preserve"> ainsi que les révisions </w:t>
      </w:r>
      <w:r w:rsidR="00A4135A">
        <w:rPr>
          <w:lang w:val="fr-CH"/>
        </w:rPr>
        <w:t xml:space="preserve">qui en découlent pour </w:t>
      </w:r>
      <w:r w:rsidRPr="00A4135A">
        <w:rPr>
          <w:lang w:val="fr-CH"/>
        </w:rPr>
        <w:t>la liste des marchandises dangereuses.</w:t>
      </w:r>
    </w:p>
    <w:p w:rsidR="007477BF" w:rsidRPr="00A4135A" w:rsidRDefault="007477BF" w:rsidP="00A4135A">
      <w:pPr>
        <w:pStyle w:val="SingleTxt"/>
        <w:numPr>
          <w:ilvl w:val="0"/>
          <w:numId w:val="6"/>
        </w:numPr>
        <w:ind w:left="1267" w:firstLine="0"/>
        <w:rPr>
          <w:lang w:val="fr-CH"/>
        </w:rPr>
      </w:pPr>
      <w:r w:rsidRPr="00A4135A">
        <w:rPr>
          <w:lang w:val="fr-CH"/>
        </w:rPr>
        <w:t xml:space="preserve">Deux options sont avancées en ce qui concerne les modifications </w:t>
      </w:r>
      <w:r w:rsidR="00A4135A">
        <w:rPr>
          <w:lang w:val="fr-CH"/>
        </w:rPr>
        <w:t xml:space="preserve">qui en découlent pour </w:t>
      </w:r>
      <w:r w:rsidRPr="00A4135A">
        <w:rPr>
          <w:lang w:val="fr-CH"/>
        </w:rPr>
        <w:t xml:space="preserve">la liste des marchandises dangereuses. La première consiste à ajouter une ligne supplémentaire afin de prendre </w:t>
      </w:r>
      <w:r w:rsidR="00EF2F32">
        <w:rPr>
          <w:lang w:val="fr-CH"/>
        </w:rPr>
        <w:t>en compte le Groupe d’emballage </w:t>
      </w:r>
      <w:r w:rsidRPr="00A4135A">
        <w:rPr>
          <w:lang w:val="fr-CH"/>
        </w:rPr>
        <w:t xml:space="preserve">I, la </w:t>
      </w:r>
      <w:r w:rsidR="00A4135A">
        <w:rPr>
          <w:lang w:val="fr-CH"/>
        </w:rPr>
        <w:t xml:space="preserve">seconde </w:t>
      </w:r>
      <w:r w:rsidRPr="00A4135A">
        <w:rPr>
          <w:lang w:val="fr-CH"/>
        </w:rPr>
        <w:t xml:space="preserve">à supprimer </w:t>
      </w:r>
      <w:r w:rsidR="00EF2F32">
        <w:rPr>
          <w:lang w:val="fr-CH"/>
        </w:rPr>
        <w:t>le</w:t>
      </w:r>
      <w:r w:rsidR="00A4135A">
        <w:rPr>
          <w:lang w:val="fr-CH"/>
        </w:rPr>
        <w:t xml:space="preserve"> renvoi </w:t>
      </w:r>
      <w:r w:rsidRPr="00A4135A">
        <w:rPr>
          <w:lang w:val="fr-CH"/>
        </w:rPr>
        <w:t xml:space="preserve">au groupe d’emballage et </w:t>
      </w:r>
      <w:r w:rsidR="00A4135A">
        <w:rPr>
          <w:lang w:val="fr-CH"/>
        </w:rPr>
        <w:t xml:space="preserve">à </w:t>
      </w:r>
      <w:r w:rsidRPr="00A4135A">
        <w:rPr>
          <w:lang w:val="fr-CH"/>
        </w:rPr>
        <w:t xml:space="preserve">revenir à une présentation </w:t>
      </w:r>
      <w:r w:rsidR="00A4135A">
        <w:rPr>
          <w:lang w:val="fr-CH"/>
        </w:rPr>
        <w:t xml:space="preserve">sur </w:t>
      </w:r>
      <w:r w:rsidRPr="00A4135A">
        <w:rPr>
          <w:lang w:val="fr-CH"/>
        </w:rPr>
        <w:t xml:space="preserve">une seule ligne, en laissant vide la colonne du groupe d’emballage. La disposition </w:t>
      </w:r>
      <w:r w:rsidRPr="00A4135A">
        <w:rPr>
          <w:lang w:val="fr-CH"/>
        </w:rPr>
        <w:lastRenderedPageBreak/>
        <w:t>spéciale 251 permet de n’indiquer aucun groupe d’emballage dans le document de transport et on juge donc préférable de laisser le soin à l’expéditeur de déterminer précisément le groupe d’emballage.</w:t>
      </w:r>
    </w:p>
    <w:p w:rsidR="007477BF" w:rsidRPr="00A4135A" w:rsidRDefault="007477BF" w:rsidP="007477BF">
      <w:pPr>
        <w:pStyle w:val="SingleTxt"/>
        <w:spacing w:after="0" w:line="120" w:lineRule="exact"/>
        <w:rPr>
          <w:b/>
          <w:sz w:val="10"/>
          <w:lang w:val="fr-CH"/>
        </w:rPr>
      </w:pPr>
    </w:p>
    <w:p w:rsidR="007477BF" w:rsidRPr="00A4135A" w:rsidRDefault="007477BF" w:rsidP="007477BF">
      <w:pPr>
        <w:pStyle w:val="SingleTxt"/>
        <w:spacing w:after="0" w:line="120" w:lineRule="exact"/>
        <w:rPr>
          <w:b/>
          <w:sz w:val="10"/>
          <w:lang w:val="fr-CH"/>
        </w:rPr>
      </w:pPr>
    </w:p>
    <w:p w:rsidR="007477BF" w:rsidRPr="00A4135A" w:rsidRDefault="007477BF" w:rsidP="007477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4135A">
        <w:rPr>
          <w:lang w:val="fr-CH"/>
        </w:rPr>
        <w:tab/>
      </w:r>
      <w:r w:rsidRPr="00A4135A">
        <w:rPr>
          <w:lang w:val="fr-CH"/>
        </w:rPr>
        <w:tab/>
        <w:t>Proposition</w:t>
      </w:r>
    </w:p>
    <w:p w:rsidR="007477BF" w:rsidRPr="00A4135A" w:rsidRDefault="007477BF" w:rsidP="007477BF">
      <w:pPr>
        <w:pStyle w:val="SingleTxt"/>
        <w:spacing w:after="0" w:line="120" w:lineRule="exact"/>
        <w:rPr>
          <w:sz w:val="10"/>
          <w:lang w:val="fr-CH"/>
        </w:rPr>
      </w:pPr>
    </w:p>
    <w:p w:rsidR="007477BF" w:rsidRPr="00A4135A" w:rsidRDefault="007477BF" w:rsidP="007477BF">
      <w:pPr>
        <w:pStyle w:val="SingleTxt"/>
        <w:spacing w:after="0" w:line="120" w:lineRule="exact"/>
        <w:rPr>
          <w:sz w:val="10"/>
          <w:lang w:val="fr-CH"/>
        </w:rPr>
      </w:pPr>
    </w:p>
    <w:p w:rsidR="007477BF" w:rsidRPr="00A4135A" w:rsidRDefault="007477BF" w:rsidP="00951561">
      <w:pPr>
        <w:pStyle w:val="SingleTxt"/>
        <w:numPr>
          <w:ilvl w:val="0"/>
          <w:numId w:val="6"/>
        </w:numPr>
        <w:ind w:left="1267" w:firstLine="0"/>
        <w:rPr>
          <w:lang w:val="fr-CH"/>
        </w:rPr>
      </w:pPr>
      <w:r w:rsidRPr="00A4135A">
        <w:rPr>
          <w:lang w:val="fr-CH"/>
        </w:rPr>
        <w:t>Modifier la disposition spéciale 251 comme suit</w:t>
      </w:r>
      <w:r w:rsidR="00A4135A">
        <w:rPr>
          <w:lang w:val="fr-CH"/>
        </w:rPr>
        <w:t> </w:t>
      </w:r>
      <w:r w:rsidRPr="00A4135A">
        <w:rPr>
          <w:lang w:val="fr-CH"/>
        </w:rPr>
        <w:t>:</w:t>
      </w:r>
    </w:p>
    <w:p w:rsidR="007477BF" w:rsidRPr="00A4135A" w:rsidRDefault="007477BF" w:rsidP="00A4135A">
      <w:pPr>
        <w:pStyle w:val="SingleTxt"/>
        <w:ind w:left="1742" w:hanging="475"/>
        <w:rPr>
          <w:u w:val="single"/>
          <w:lang w:val="fr-CH"/>
        </w:rPr>
      </w:pPr>
      <w:r w:rsidRPr="00A4135A">
        <w:rPr>
          <w:lang w:val="fr-CH"/>
        </w:rPr>
        <w:tab/>
        <w:t>251</w:t>
      </w:r>
      <w:r w:rsidRPr="00A4135A">
        <w:rPr>
          <w:lang w:val="fr-CH"/>
        </w:rPr>
        <w:tab/>
        <w:t xml:space="preserve">La rubrique TROUSSE CHIMIQUE ou TROUSSE DE PREMIERS SECOURS s’étend aux boîtes, cassettes, etc., contenant de petites quantités de marchandises dangereuses diverses utilisées par exemple à des fins médicales, d’analyse ou d’épreuve ou de réparation. </w:t>
      </w:r>
      <w:r w:rsidRPr="00A4135A">
        <w:rPr>
          <w:strike/>
          <w:color w:val="FF0000"/>
          <w:lang w:val="fr-CH"/>
        </w:rPr>
        <w:t>Ces trousses ne peuvent pas contenir de marchandises dangereuses dont le transport dans les con</w:t>
      </w:r>
      <w:r w:rsidR="00A4135A">
        <w:rPr>
          <w:strike/>
          <w:color w:val="FF0000"/>
          <w:lang w:val="fr-CH"/>
        </w:rPr>
        <w:t>ditions d’exemption du chapitre </w:t>
      </w:r>
      <w:r w:rsidRPr="00A4135A">
        <w:rPr>
          <w:strike/>
          <w:color w:val="FF0000"/>
          <w:lang w:val="fr-CH"/>
        </w:rPr>
        <w:t>3.4 n’est pas autorisé, c’est-à-dire pour lesquelles la quantité « 0 » fi</w:t>
      </w:r>
      <w:r w:rsidR="00A4135A">
        <w:rPr>
          <w:strike/>
          <w:color w:val="FF0000"/>
          <w:lang w:val="fr-CH"/>
        </w:rPr>
        <w:t>gure dans la colonne </w:t>
      </w:r>
      <w:r w:rsidRPr="00A4135A">
        <w:rPr>
          <w:strike/>
          <w:color w:val="FF0000"/>
          <w:lang w:val="fr-CH"/>
        </w:rPr>
        <w:t>7a de la Liste des march</w:t>
      </w:r>
      <w:r w:rsidR="00A4135A">
        <w:rPr>
          <w:strike/>
          <w:color w:val="FF0000"/>
          <w:lang w:val="fr-CH"/>
        </w:rPr>
        <w:t>andises dangereuses du chapitre </w:t>
      </w:r>
      <w:r w:rsidRPr="00A4135A">
        <w:rPr>
          <w:strike/>
          <w:color w:val="FF0000"/>
          <w:lang w:val="fr-CH"/>
        </w:rPr>
        <w:t>3.2.</w:t>
      </w:r>
      <w:r w:rsidRPr="00A4135A">
        <w:rPr>
          <w:color w:val="FF0000"/>
          <w:u w:val="single"/>
          <w:lang w:val="fr-CH"/>
        </w:rPr>
        <w:t>Ces trousses ne doivent pas contenir de marchandises dangereuses pour lesquelles le cod</w:t>
      </w:r>
      <w:r w:rsidR="00A4135A">
        <w:rPr>
          <w:color w:val="FF0000"/>
          <w:u w:val="single"/>
          <w:lang w:val="fr-CH"/>
        </w:rPr>
        <w:t>e « E0 » figure dans la colonne </w:t>
      </w:r>
      <w:r w:rsidRPr="00A4135A">
        <w:rPr>
          <w:color w:val="FF0000"/>
          <w:u w:val="single"/>
          <w:lang w:val="fr-CH"/>
        </w:rPr>
        <w:t>7b de la Liste des march</w:t>
      </w:r>
      <w:r w:rsidR="00A4135A">
        <w:rPr>
          <w:color w:val="FF0000"/>
          <w:u w:val="single"/>
          <w:lang w:val="fr-CH"/>
        </w:rPr>
        <w:t>andises dangereuses du chapitre </w:t>
      </w:r>
      <w:r w:rsidRPr="00A4135A">
        <w:rPr>
          <w:color w:val="FF0000"/>
          <w:u w:val="single"/>
          <w:lang w:val="fr-CH"/>
        </w:rPr>
        <w:t>3.2.</w:t>
      </w:r>
    </w:p>
    <w:p w:rsidR="007477BF" w:rsidRPr="00A4135A" w:rsidRDefault="007477BF" w:rsidP="00A4135A">
      <w:pPr>
        <w:pStyle w:val="SingleTxt"/>
        <w:ind w:left="1742" w:hanging="475"/>
        <w:rPr>
          <w:lang w:val="fr-CH"/>
        </w:rPr>
      </w:pPr>
      <w:r w:rsidRPr="00A4135A">
        <w:rPr>
          <w:lang w:val="fr-CH"/>
        </w:rPr>
        <w:tab/>
        <w:t xml:space="preserve">Leurs constituants ne doivent pas pouvoir réagir dangereusement </w:t>
      </w:r>
      <w:r w:rsidR="00A4135A">
        <w:rPr>
          <w:lang w:val="fr-CH"/>
        </w:rPr>
        <w:t xml:space="preserve">entre eux </w:t>
      </w:r>
      <w:r w:rsidRPr="00A4135A">
        <w:rPr>
          <w:lang w:val="fr-CH"/>
        </w:rPr>
        <w:t>(voir 4.1.1.6). La quantité totale de marchandises dangereuses par trousse ne</w:t>
      </w:r>
      <w:r w:rsidR="00A4135A">
        <w:rPr>
          <w:lang w:val="fr-CH"/>
        </w:rPr>
        <w:t xml:space="preserve"> doit pas dépasser 1 litre ou 1 </w:t>
      </w:r>
      <w:r w:rsidRPr="00A4135A">
        <w:rPr>
          <w:lang w:val="fr-CH"/>
        </w:rPr>
        <w:t xml:space="preserve">kg. Le groupe d’emballage auquel est affecté l’ensemble de la trousse doit être celui de la matière contenue dans la trousse qui relève du groupe d’emballage le plus sévère. </w:t>
      </w:r>
    </w:p>
    <w:p w:rsidR="007477BF" w:rsidRPr="00A4135A" w:rsidRDefault="007477BF" w:rsidP="007477BF">
      <w:pPr>
        <w:pStyle w:val="SingleTxt"/>
        <w:ind w:left="1742" w:hanging="475"/>
        <w:rPr>
          <w:lang w:val="fr-CH"/>
        </w:rPr>
      </w:pPr>
      <w:r w:rsidRPr="00A4135A">
        <w:rPr>
          <w:lang w:val="fr-CH"/>
        </w:rPr>
        <w:tab/>
        <w:t>Lorsque la trousse ne contient que des marchandises dangereuses auxquelles aucun groupe d’emballage n’est affecté, il n’est pas nécessaire d’indiquer un groupe d’emballage dans le document de transport.</w:t>
      </w:r>
    </w:p>
    <w:p w:rsidR="007477BF" w:rsidRPr="00A4135A" w:rsidRDefault="007477BF" w:rsidP="00A4135A">
      <w:pPr>
        <w:pStyle w:val="SingleTxt"/>
        <w:ind w:left="1742" w:hanging="475"/>
        <w:rPr>
          <w:lang w:val="fr-CH"/>
        </w:rPr>
      </w:pPr>
      <w:r w:rsidRPr="00A4135A">
        <w:rPr>
          <w:lang w:val="fr-CH"/>
        </w:rPr>
        <w:tab/>
        <w:t xml:space="preserve">Les trousses qui sont transportées à bord de véhicules à des fins de premiers secours ou </w:t>
      </w:r>
      <w:r w:rsidR="00A4135A">
        <w:rPr>
          <w:lang w:val="fr-CH"/>
        </w:rPr>
        <w:t>d’intervention</w:t>
      </w:r>
      <w:r w:rsidRPr="00A4135A">
        <w:rPr>
          <w:lang w:val="fr-CH"/>
        </w:rPr>
        <w:t xml:space="preserve"> ne sont pas soumises au présent Règlement.</w:t>
      </w:r>
    </w:p>
    <w:p w:rsidR="007477BF" w:rsidRPr="00A4135A" w:rsidRDefault="007477BF" w:rsidP="00A4135A">
      <w:pPr>
        <w:pStyle w:val="SingleTxt"/>
        <w:ind w:left="1742" w:hanging="475"/>
        <w:rPr>
          <w:lang w:val="fr-CH"/>
        </w:rPr>
      </w:pPr>
      <w:r w:rsidRPr="00A4135A">
        <w:rPr>
          <w:lang w:val="fr-CH"/>
        </w:rPr>
        <w:tab/>
        <w:t>Les trousses de produits chimiques et les trousses de premier</w:t>
      </w:r>
      <w:r w:rsidR="00A4135A">
        <w:rPr>
          <w:lang w:val="fr-CH"/>
        </w:rPr>
        <w:t>s</w:t>
      </w:r>
      <w:r w:rsidRPr="00A4135A">
        <w:rPr>
          <w:lang w:val="fr-CH"/>
        </w:rPr>
        <w:t xml:space="preserve"> secours contenant des marchandises dangereuses placées dans des emballages intérieurs qui ne dépassent pas les limites de quantité applicables </w:t>
      </w:r>
      <w:r w:rsidR="00A4135A">
        <w:rPr>
          <w:lang w:val="fr-CH"/>
        </w:rPr>
        <w:t xml:space="preserve">à chacune des </w:t>
      </w:r>
      <w:r w:rsidRPr="00A4135A">
        <w:rPr>
          <w:lang w:val="fr-CH"/>
        </w:rPr>
        <w:t>matières en cause telles qu’elles</w:t>
      </w:r>
      <w:r w:rsidR="00EF2F32">
        <w:rPr>
          <w:lang w:val="fr-CH"/>
        </w:rPr>
        <w:t xml:space="preserve"> sont indiquées dans la colonne </w:t>
      </w:r>
      <w:r w:rsidRPr="00A4135A">
        <w:rPr>
          <w:lang w:val="fr-CH"/>
        </w:rPr>
        <w:t>7a de la Liste des march</w:t>
      </w:r>
      <w:r w:rsidR="00A4135A">
        <w:rPr>
          <w:lang w:val="fr-CH"/>
        </w:rPr>
        <w:t>andises dangereuses du chapitre </w:t>
      </w:r>
      <w:r w:rsidRPr="00A4135A">
        <w:rPr>
          <w:lang w:val="fr-CH"/>
        </w:rPr>
        <w:t>3.2, peuvent être transportées conformémen</w:t>
      </w:r>
      <w:r w:rsidR="00A4135A">
        <w:rPr>
          <w:lang w:val="fr-CH"/>
        </w:rPr>
        <w:t>t aux dispositions du chapitre </w:t>
      </w:r>
      <w:r w:rsidRPr="00A4135A">
        <w:rPr>
          <w:lang w:val="fr-CH"/>
        </w:rPr>
        <w:t>3.4.</w:t>
      </w:r>
    </w:p>
    <w:p w:rsidR="007477BF" w:rsidRPr="00A4135A" w:rsidRDefault="00A4135A" w:rsidP="00A4135A">
      <w:pPr>
        <w:pStyle w:val="SingleTxt"/>
        <w:numPr>
          <w:ilvl w:val="0"/>
          <w:numId w:val="6"/>
        </w:numPr>
        <w:ind w:left="1267" w:firstLine="0"/>
        <w:rPr>
          <w:lang w:val="fr-CH"/>
        </w:rPr>
      </w:pPr>
      <w:r>
        <w:rPr>
          <w:lang w:val="fr-CH"/>
        </w:rPr>
        <w:t xml:space="preserve">Si </w:t>
      </w:r>
      <w:r w:rsidR="007477BF" w:rsidRPr="00A4135A">
        <w:rPr>
          <w:lang w:val="fr-CH"/>
        </w:rPr>
        <w:t>la proposition ci-dessus</w:t>
      </w:r>
      <w:r>
        <w:rPr>
          <w:lang w:val="fr-CH"/>
        </w:rPr>
        <w:t xml:space="preserve"> était acceptée</w:t>
      </w:r>
      <w:r w:rsidR="007477BF" w:rsidRPr="00A4135A">
        <w:rPr>
          <w:lang w:val="fr-CH"/>
        </w:rPr>
        <w:t xml:space="preserve">, il est suggéré </w:t>
      </w:r>
      <w:r>
        <w:rPr>
          <w:lang w:val="fr-CH"/>
        </w:rPr>
        <w:t>de modifier en conséquence</w:t>
      </w:r>
      <w:r w:rsidR="007477BF" w:rsidRPr="00A4135A">
        <w:rPr>
          <w:lang w:val="fr-CH"/>
        </w:rPr>
        <w:t>, dans la liste des marchandises dangereuses, le</w:t>
      </w:r>
      <w:r>
        <w:rPr>
          <w:lang w:val="fr-CH"/>
        </w:rPr>
        <w:t xml:space="preserve"> </w:t>
      </w:r>
      <w:r w:rsidRPr="00A4135A">
        <w:rPr>
          <w:lang w:val="fr-CH"/>
        </w:rPr>
        <w:t>numéro ONU 3363</w:t>
      </w:r>
      <w:r>
        <w:rPr>
          <w:lang w:val="fr-CH"/>
        </w:rPr>
        <w:t xml:space="preserve"> comme suit :</w:t>
      </w:r>
    </w:p>
    <w:p w:rsidR="007E1BFC" w:rsidRPr="00A4135A" w:rsidRDefault="007E1BFC" w:rsidP="00951561">
      <w:pPr>
        <w:pStyle w:val="SingleTxt"/>
        <w:rPr>
          <w:lang w:val="fr-CH"/>
        </w:rPr>
        <w:sectPr w:rsidR="007E1BFC" w:rsidRPr="00A4135A" w:rsidSect="00B74205">
          <w:endnotePr>
            <w:numFmt w:val="decimal"/>
          </w:endnotePr>
          <w:type w:val="continuous"/>
          <w:pgSz w:w="11909" w:h="16834"/>
          <w:pgMar w:top="1742" w:right="936" w:bottom="1898" w:left="936" w:header="576" w:footer="1030" w:gutter="0"/>
          <w:cols w:space="720"/>
          <w:noEndnote/>
          <w:docGrid w:linePitch="360"/>
        </w:sectPr>
      </w:pPr>
    </w:p>
    <w:p w:rsidR="007E1BFC" w:rsidRPr="00A4135A" w:rsidRDefault="007E1BFC" w:rsidP="00133FB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4135A">
        <w:rPr>
          <w:lang w:val="fr-CH"/>
        </w:rPr>
        <w:lastRenderedPageBreak/>
        <w:t>Option 1</w:t>
      </w:r>
    </w:p>
    <w:p w:rsidR="007E1BFC" w:rsidRPr="00A4135A" w:rsidRDefault="007E1BFC" w:rsidP="007E1BF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133FB8" w:rsidRPr="00A4135A" w:rsidRDefault="00133FB8" w:rsidP="007E1BF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133FB8" w:rsidRPr="00A4135A" w:rsidRDefault="00133FB8" w:rsidP="007E1BF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133FB8" w:rsidRPr="00A4135A" w:rsidRDefault="00133FB8" w:rsidP="007E1BF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tbl>
      <w:tblPr>
        <w:tblW w:w="1319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990"/>
        <w:gridCol w:w="900"/>
        <w:gridCol w:w="900"/>
        <w:gridCol w:w="900"/>
        <w:gridCol w:w="1080"/>
        <w:gridCol w:w="1080"/>
        <w:gridCol w:w="1049"/>
        <w:gridCol w:w="1049"/>
        <w:gridCol w:w="1049"/>
        <w:gridCol w:w="1050"/>
      </w:tblGrid>
      <w:tr w:rsidR="00830DB5" w:rsidRPr="00A4135A" w:rsidTr="00830DB5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N</w:t>
            </w:r>
            <w:r w:rsidR="00A4135A" w:rsidRPr="00A4135A">
              <w:rPr>
                <w:i/>
                <w:iCs/>
                <w:sz w:val="14"/>
                <w:vertAlign w:val="superscript"/>
                <w:lang w:val="fr-CH"/>
              </w:rPr>
              <w:t>o</w:t>
            </w:r>
            <w:r w:rsidRPr="00A4135A">
              <w:rPr>
                <w:i/>
                <w:iCs/>
                <w:sz w:val="14"/>
                <w:lang w:val="fr-CH"/>
              </w:rPr>
              <w:t> ONU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Nom et description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Classe ou division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Risque subsidiaire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Groupe d’emballage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Dispositions spéciales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Quantités limité</w:t>
            </w:r>
            <w:r w:rsidR="00A4135A">
              <w:rPr>
                <w:i/>
                <w:iCs/>
                <w:sz w:val="14"/>
                <w:lang w:val="fr-CH"/>
              </w:rPr>
              <w:t>e</w:t>
            </w:r>
            <w:r w:rsidRPr="00A4135A">
              <w:rPr>
                <w:i/>
                <w:iCs/>
                <w:sz w:val="14"/>
                <w:lang w:val="fr-CH"/>
              </w:rPr>
              <w:t xml:space="preserve">s et </w:t>
            </w:r>
            <w:r w:rsidR="00A4135A">
              <w:rPr>
                <w:i/>
                <w:iCs/>
                <w:sz w:val="14"/>
                <w:lang w:val="fr-CH"/>
              </w:rPr>
              <w:br/>
            </w:r>
            <w:r w:rsidRPr="00A4135A">
              <w:rPr>
                <w:i/>
                <w:iCs/>
                <w:sz w:val="14"/>
                <w:lang w:val="fr-CH"/>
              </w:rPr>
              <w:t>quantités exceptées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Emballages et GRV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Citernes mobiles et conteneurs pour vrac</w:t>
            </w:r>
          </w:p>
        </w:tc>
      </w:tr>
      <w:tr w:rsidR="00830DB5" w:rsidRPr="00A4135A" w:rsidTr="00830DB5">
        <w:trPr>
          <w:tblHeader/>
        </w:trPr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243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Instructions d’emballage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Dispositions spéciales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Instructions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Dispositions spéciales</w:t>
            </w:r>
          </w:p>
        </w:tc>
      </w:tr>
      <w:tr w:rsidR="00133FB8" w:rsidRPr="00A4135A" w:rsidTr="00830DB5">
        <w:trPr>
          <w:trHeight w:hRule="exact" w:val="115"/>
          <w:tblHeader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33FB8" w:rsidRPr="00A4135A" w:rsidRDefault="00133FB8" w:rsidP="00830DB5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</w:tr>
      <w:tr w:rsidR="00133FB8" w:rsidRPr="00A4135A" w:rsidTr="00830DB5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(1)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(3)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(7a)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(7b)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(8)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(9)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(10)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(11)</w:t>
            </w:r>
          </w:p>
        </w:tc>
      </w:tr>
      <w:tr w:rsidR="00133FB8" w:rsidRPr="00A4135A" w:rsidTr="00830DB5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3316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TROUSSE CHIMIQUE ou TROUSSE DE PREMIERS SECOURS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251</w:t>
            </w:r>
            <w:r w:rsidR="00A4135A" w:rsidRPr="00A4135A">
              <w:rPr>
                <w:color w:val="FF0000"/>
                <w:sz w:val="16"/>
                <w:szCs w:val="16"/>
                <w:u w:val="single"/>
                <w:lang w:val="fr-CH"/>
              </w:rPr>
              <w:t xml:space="preserve"> </w:t>
            </w:r>
            <w:r w:rsidRPr="00A4135A">
              <w:rPr>
                <w:rFonts w:eastAsia="Times New Roman"/>
                <w:color w:val="FF0000"/>
                <w:sz w:val="16"/>
                <w:szCs w:val="16"/>
                <w:u w:val="single"/>
                <w:lang w:val="fr-CH"/>
              </w:rPr>
              <w:br/>
            </w: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Voir DS 251 au chapitre 3.3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Voir DS 340 au chapitre 3.3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  <w:r w:rsidRPr="00A4135A">
              <w:rPr>
                <w:color w:val="FF0000"/>
                <w:sz w:val="16"/>
                <w:szCs w:val="16"/>
                <w:u w:val="single"/>
                <w:lang w:val="fr-CH"/>
              </w:rPr>
              <w:t>P901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val="fr-CH" w:bidi="fr-CH"/>
              </w:rPr>
            </w:pPr>
          </w:p>
        </w:tc>
      </w:tr>
      <w:tr w:rsidR="00133FB8" w:rsidRPr="00A4135A" w:rsidTr="00830DB5">
        <w:tc>
          <w:tcPr>
            <w:tcW w:w="72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120" w:line="220" w:lineRule="exact"/>
              <w:ind w:left="43" w:right="43"/>
              <w:rPr>
                <w:sz w:val="16"/>
                <w:szCs w:val="16"/>
                <w:lang w:val="fr-CH"/>
              </w:rPr>
            </w:pPr>
            <w:r w:rsidRPr="00A4135A">
              <w:rPr>
                <w:sz w:val="16"/>
                <w:szCs w:val="16"/>
                <w:lang w:val="fr-CH"/>
              </w:rPr>
              <w:t>3316</w:t>
            </w:r>
          </w:p>
        </w:tc>
        <w:tc>
          <w:tcPr>
            <w:tcW w:w="243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TROUSSE CHIMIQUE ou TROUSSE DE PREMIERS SECOURS</w:t>
            </w:r>
          </w:p>
        </w:tc>
        <w:tc>
          <w:tcPr>
            <w:tcW w:w="99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II</w:t>
            </w:r>
          </w:p>
        </w:tc>
        <w:tc>
          <w:tcPr>
            <w:tcW w:w="90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251</w:t>
            </w:r>
            <w:r w:rsidR="00A4135A" w:rsidRPr="00A4135A">
              <w:rPr>
                <w:sz w:val="16"/>
                <w:szCs w:val="16"/>
                <w:lang w:val="fr-CH"/>
              </w:rPr>
              <w:t xml:space="preserve"> </w:t>
            </w:r>
            <w:r w:rsidRPr="00A4135A">
              <w:rPr>
                <w:rFonts w:eastAsia="Times New Roman"/>
                <w:sz w:val="16"/>
                <w:szCs w:val="16"/>
                <w:lang w:val="fr-CH"/>
              </w:rPr>
              <w:br/>
            </w:r>
            <w:r w:rsidRPr="00A4135A">
              <w:rPr>
                <w:sz w:val="16"/>
                <w:szCs w:val="16"/>
                <w:lang w:val="fr-CH"/>
              </w:rPr>
              <w:t>340</w:t>
            </w:r>
          </w:p>
        </w:tc>
        <w:tc>
          <w:tcPr>
            <w:tcW w:w="108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Voir DS 251 au chapitre 3.3</w:t>
            </w:r>
          </w:p>
        </w:tc>
        <w:tc>
          <w:tcPr>
            <w:tcW w:w="108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Voir DS 340 au chapitre 3.3</w:t>
            </w:r>
          </w:p>
        </w:tc>
        <w:tc>
          <w:tcPr>
            <w:tcW w:w="1049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P901</w:t>
            </w:r>
          </w:p>
        </w:tc>
        <w:tc>
          <w:tcPr>
            <w:tcW w:w="1049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1049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</w:tr>
      <w:tr w:rsidR="00133FB8" w:rsidRPr="00A4135A" w:rsidTr="00830DB5"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120" w:line="220" w:lineRule="exact"/>
              <w:ind w:left="43" w:right="43"/>
              <w:rPr>
                <w:sz w:val="16"/>
                <w:szCs w:val="16"/>
                <w:lang w:val="fr-CH"/>
              </w:rPr>
            </w:pPr>
            <w:r w:rsidRPr="00A4135A">
              <w:rPr>
                <w:sz w:val="16"/>
                <w:szCs w:val="16"/>
                <w:lang w:val="fr-CH"/>
              </w:rPr>
              <w:t>3316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TROUSSE CHIMIQUE ou TROUSSE DE PREMIERS SECOURS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9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III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251</w:t>
            </w:r>
            <w:r w:rsidR="00A4135A" w:rsidRPr="00A4135A">
              <w:rPr>
                <w:sz w:val="16"/>
                <w:szCs w:val="16"/>
                <w:lang w:val="fr-CH"/>
              </w:rPr>
              <w:t xml:space="preserve"> </w:t>
            </w:r>
            <w:r w:rsidRPr="00A4135A">
              <w:rPr>
                <w:rFonts w:eastAsia="Times New Roman"/>
                <w:sz w:val="16"/>
                <w:szCs w:val="16"/>
                <w:lang w:val="fr-CH"/>
              </w:rPr>
              <w:br/>
            </w:r>
            <w:r w:rsidRPr="00A4135A">
              <w:rPr>
                <w:sz w:val="16"/>
                <w:szCs w:val="16"/>
                <w:lang w:val="fr-CH"/>
              </w:rPr>
              <w:t>340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Voir DS 251 au chapitre 3.3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Voir DS 340 au chapitre 3.3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szCs w:val="16"/>
                <w:lang w:val="fr-CH"/>
              </w:rPr>
              <w:t>P901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33FB8" w:rsidRPr="00A4135A" w:rsidRDefault="00133FB8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</w:tr>
    </w:tbl>
    <w:p w:rsidR="00133FB8" w:rsidRPr="00A4135A" w:rsidRDefault="00133FB8" w:rsidP="007E1BF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133FB8" w:rsidRPr="00A4135A" w:rsidRDefault="00133FB8" w:rsidP="007E1BF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133FB8" w:rsidRPr="00A4135A" w:rsidRDefault="00133FB8" w:rsidP="007E1BF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133FB8" w:rsidRPr="00A4135A" w:rsidRDefault="00133FB8" w:rsidP="00133F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4135A">
        <w:rPr>
          <w:lang w:val="fr-CH"/>
        </w:rPr>
        <w:t>Option 2</w:t>
      </w:r>
    </w:p>
    <w:p w:rsidR="007E1BFC" w:rsidRPr="00A4135A" w:rsidRDefault="007E1BFC" w:rsidP="00133FB8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p w:rsidR="00133FB8" w:rsidRPr="00A4135A" w:rsidRDefault="00133FB8" w:rsidP="007E1BF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CH"/>
        </w:rPr>
      </w:pPr>
    </w:p>
    <w:tbl>
      <w:tblPr>
        <w:tblW w:w="1319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990"/>
        <w:gridCol w:w="900"/>
        <w:gridCol w:w="900"/>
        <w:gridCol w:w="900"/>
        <w:gridCol w:w="1080"/>
        <w:gridCol w:w="1080"/>
        <w:gridCol w:w="1049"/>
        <w:gridCol w:w="1049"/>
        <w:gridCol w:w="1049"/>
        <w:gridCol w:w="1050"/>
      </w:tblGrid>
      <w:tr w:rsidR="00830DB5" w:rsidRPr="00A4135A" w:rsidTr="00887F6D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N</w:t>
            </w:r>
            <w:r w:rsidR="00A4135A" w:rsidRPr="00A4135A">
              <w:rPr>
                <w:i/>
                <w:iCs/>
                <w:sz w:val="14"/>
                <w:vertAlign w:val="superscript"/>
                <w:lang w:val="fr-CH"/>
              </w:rPr>
              <w:t>o</w:t>
            </w:r>
            <w:r w:rsidRPr="00A4135A">
              <w:rPr>
                <w:i/>
                <w:iCs/>
                <w:sz w:val="14"/>
                <w:lang w:val="fr-CH"/>
              </w:rPr>
              <w:t> ONU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Nom et description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Classe ou division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Risque subsidiaire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Groupe d’emballage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Dispositions spéciales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Quantités limité</w:t>
            </w:r>
            <w:r w:rsidR="00A4135A">
              <w:rPr>
                <w:i/>
                <w:iCs/>
                <w:sz w:val="14"/>
                <w:lang w:val="fr-CH"/>
              </w:rPr>
              <w:t>e</w:t>
            </w:r>
            <w:r w:rsidRPr="00A4135A">
              <w:rPr>
                <w:i/>
                <w:iCs/>
                <w:sz w:val="14"/>
                <w:lang w:val="fr-CH"/>
              </w:rPr>
              <w:t xml:space="preserve">s et </w:t>
            </w:r>
            <w:r w:rsidR="00A4135A" w:rsidRPr="00A4135A">
              <w:rPr>
                <w:i/>
                <w:iCs/>
                <w:sz w:val="14"/>
                <w:lang w:val="fr-CH"/>
              </w:rPr>
              <w:br/>
            </w:r>
            <w:r w:rsidRPr="00A4135A">
              <w:rPr>
                <w:i/>
                <w:iCs/>
                <w:sz w:val="14"/>
                <w:lang w:val="fr-CH"/>
              </w:rPr>
              <w:t>quantités exceptées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Emballages et GRV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Citernes mobiles et conteneurs pour vrac</w:t>
            </w:r>
          </w:p>
        </w:tc>
      </w:tr>
      <w:tr w:rsidR="00830DB5" w:rsidRPr="00A4135A" w:rsidTr="00887F6D">
        <w:trPr>
          <w:tblHeader/>
        </w:trPr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243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Instructions d’emballage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Dispositions spéciales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Instructions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81" w:after="81" w:line="160" w:lineRule="exact"/>
              <w:ind w:left="45" w:right="45"/>
              <w:jc w:val="center"/>
              <w:rPr>
                <w:i/>
                <w:iCs/>
                <w:sz w:val="14"/>
                <w:lang w:val="fr-CH"/>
              </w:rPr>
            </w:pPr>
            <w:r w:rsidRPr="00A4135A">
              <w:rPr>
                <w:i/>
                <w:iCs/>
                <w:sz w:val="14"/>
                <w:lang w:val="fr-CH"/>
              </w:rPr>
              <w:t>Dispositions spéciales</w:t>
            </w:r>
          </w:p>
        </w:tc>
      </w:tr>
      <w:tr w:rsidR="00830DB5" w:rsidRPr="00A4135A" w:rsidTr="00830DB5">
        <w:trPr>
          <w:trHeight w:hRule="exact" w:val="115"/>
          <w:tblHeader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830DB5" w:rsidRPr="00A4135A" w:rsidRDefault="00830DB5" w:rsidP="00887F6D">
            <w:pPr>
              <w:suppressAutoHyphens/>
              <w:spacing w:before="40" w:after="120"/>
              <w:ind w:left="45" w:right="45"/>
              <w:rPr>
                <w:lang w:val="fr-CH"/>
              </w:rPr>
            </w:pPr>
          </w:p>
        </w:tc>
      </w:tr>
      <w:tr w:rsidR="00830DB5" w:rsidRPr="00A4135A" w:rsidTr="00830DB5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(1)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(3)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(5)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(7a)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(7b)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(8)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(9)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(10)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3" w:right="43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(11)</w:t>
            </w:r>
          </w:p>
        </w:tc>
      </w:tr>
      <w:tr w:rsidR="00830DB5" w:rsidRPr="00A4135A" w:rsidTr="00830DB5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120" w:line="220" w:lineRule="exact"/>
              <w:ind w:left="45" w:right="45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lang w:val="fr-CH"/>
              </w:rPr>
              <w:t>3316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120" w:line="220" w:lineRule="exact"/>
              <w:ind w:left="45" w:right="45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lang w:val="fr-CH"/>
              </w:rPr>
              <w:t>TROUSSE CHIMIQUE ou TROUSSE DE PREMIERS SECOURS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lang w:val="fr-CH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autoSpaceDN w:val="0"/>
              <w:spacing w:line="220" w:lineRule="exact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lang w:val="fr-CH"/>
              </w:rPr>
              <w:t>251</w:t>
            </w:r>
            <w:r w:rsidR="00A4135A" w:rsidRPr="00A4135A">
              <w:rPr>
                <w:sz w:val="16"/>
                <w:lang w:val="fr-CH"/>
              </w:rPr>
              <w:t xml:space="preserve"> </w:t>
            </w:r>
            <w:r w:rsidRPr="00A4135A">
              <w:rPr>
                <w:rFonts w:eastAsia="Times New Roman"/>
                <w:sz w:val="16"/>
                <w:szCs w:val="16"/>
                <w:lang w:val="fr-CH"/>
              </w:rPr>
              <w:br/>
            </w:r>
            <w:r w:rsidRPr="00A4135A">
              <w:rPr>
                <w:sz w:val="16"/>
                <w:lang w:val="fr-CH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A4135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lang w:val="fr-CH"/>
              </w:rPr>
              <w:t xml:space="preserve">Voir DS 251 au </w:t>
            </w: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chapitre</w:t>
            </w:r>
            <w:r w:rsidRPr="00A4135A">
              <w:rPr>
                <w:sz w:val="16"/>
                <w:lang w:val="fr-CH"/>
              </w:rPr>
              <w:t> 3.3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sz w:val="16"/>
                <w:lang w:val="fr-CH"/>
              </w:rPr>
              <w:t xml:space="preserve">Voir DS 340 au </w:t>
            </w: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chapitre</w:t>
            </w:r>
            <w:r w:rsidRPr="00A4135A">
              <w:rPr>
                <w:sz w:val="16"/>
                <w:lang w:val="fr-CH"/>
              </w:rPr>
              <w:t> 3.3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  <w:r w:rsidRPr="00A4135A">
              <w:rPr>
                <w:rFonts w:eastAsia="Times New Roman"/>
                <w:sz w:val="16"/>
                <w:szCs w:val="16"/>
                <w:lang w:val="fr-CH" w:bidi="fr-CH"/>
              </w:rPr>
              <w:t>P901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autoSpaceDN w:val="0"/>
              <w:spacing w:line="220" w:lineRule="exact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autoSpaceDN w:val="0"/>
              <w:spacing w:line="220" w:lineRule="exact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autoSpaceDN w:val="0"/>
              <w:spacing w:line="220" w:lineRule="exact"/>
              <w:jc w:val="center"/>
              <w:rPr>
                <w:rFonts w:eastAsia="Times New Roman"/>
                <w:sz w:val="16"/>
                <w:szCs w:val="16"/>
                <w:lang w:val="fr-CH" w:bidi="fr-CH"/>
              </w:rPr>
            </w:pPr>
          </w:p>
        </w:tc>
      </w:tr>
      <w:tr w:rsidR="00830DB5" w:rsidRPr="00A4135A" w:rsidTr="00830DB5"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120" w:line="220" w:lineRule="exact"/>
              <w:ind w:left="45" w:right="45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3316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120" w:line="220" w:lineRule="exact"/>
              <w:ind w:left="45" w:right="45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TROUSSE CHIMIQUE ou TROUSSE DE PREMIERS SECOURS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9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autoSpaceDN w:val="0"/>
              <w:spacing w:line="220" w:lineRule="exact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III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251</w:t>
            </w:r>
            <w:r w:rsidR="00A4135A" w:rsidRPr="00A4135A">
              <w:rPr>
                <w:strike/>
                <w:color w:val="FF0000"/>
                <w:sz w:val="16"/>
                <w:lang w:val="fr-CH"/>
              </w:rPr>
              <w:t xml:space="preserve"> </w:t>
            </w:r>
            <w:r w:rsidRPr="00A4135A">
              <w:rPr>
                <w:rFonts w:eastAsia="Times New Roman"/>
                <w:strike/>
                <w:color w:val="FF0000"/>
                <w:sz w:val="16"/>
                <w:szCs w:val="16"/>
                <w:lang w:val="fr-CH"/>
              </w:rPr>
              <w:br/>
            </w:r>
            <w:r w:rsidRPr="00A4135A">
              <w:rPr>
                <w:strike/>
                <w:color w:val="FF0000"/>
                <w:sz w:val="16"/>
                <w:lang w:val="fr-CH"/>
              </w:rPr>
              <w:t>340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Voir DS 251 au chapitre 3.3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Voir DS 340 au chapitre 3.3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120" w:line="220" w:lineRule="exact"/>
              <w:ind w:left="45" w:right="45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  <w:r w:rsidRPr="00A4135A">
              <w:rPr>
                <w:strike/>
                <w:color w:val="FF0000"/>
                <w:sz w:val="16"/>
                <w:lang w:val="fr-CH"/>
              </w:rPr>
              <w:t>P901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autoSpaceDN w:val="0"/>
              <w:spacing w:line="220" w:lineRule="exact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autoSpaceDN w:val="0"/>
              <w:spacing w:line="220" w:lineRule="exact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30DB5" w:rsidRPr="00A4135A" w:rsidRDefault="00830DB5" w:rsidP="00830DB5">
            <w:pPr>
              <w:autoSpaceDN w:val="0"/>
              <w:spacing w:line="220" w:lineRule="exact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val="fr-CH" w:bidi="fr-CH"/>
              </w:rPr>
            </w:pPr>
          </w:p>
        </w:tc>
      </w:tr>
    </w:tbl>
    <w:p w:rsidR="007E1BFC" w:rsidRPr="00A4135A" w:rsidRDefault="007E1BFC" w:rsidP="00951561">
      <w:pPr>
        <w:pStyle w:val="SingleTxt"/>
        <w:rPr>
          <w:lang w:val="fr-CH"/>
        </w:rPr>
      </w:pPr>
    </w:p>
    <w:p w:rsidR="007E1BFC" w:rsidRPr="00A4135A" w:rsidRDefault="007E1BFC" w:rsidP="00951561">
      <w:pPr>
        <w:pStyle w:val="SingleTxt"/>
        <w:rPr>
          <w:lang w:val="fr-CH"/>
        </w:rPr>
        <w:sectPr w:rsidR="007E1BFC" w:rsidRPr="00A4135A" w:rsidSect="007E1BFC">
          <w:headerReference w:type="even" r:id="rId16"/>
          <w:headerReference w:type="default" r:id="rId17"/>
          <w:footerReference w:type="even" r:id="rId18"/>
          <w:footerReference w:type="default" r:id="rId19"/>
          <w:endnotePr>
            <w:numFmt w:val="decimal"/>
          </w:endnotePr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7E1BFC" w:rsidRPr="00A4135A" w:rsidRDefault="00830DB5" w:rsidP="007E1BFC">
      <w:pPr>
        <w:pStyle w:val="SingleTxt"/>
        <w:rPr>
          <w:lang w:val="fr-CH"/>
        </w:rPr>
      </w:pPr>
      <w:r w:rsidRPr="00A4135A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5481" wp14:editId="3175A105">
                <wp:simplePos x="0" y="0"/>
                <wp:positionH relativeFrom="page">
                  <wp:posOffset>960120</wp:posOffset>
                </wp:positionH>
                <wp:positionV relativeFrom="page">
                  <wp:posOffset>3566160</wp:posOffset>
                </wp:positionV>
                <wp:extent cx="0" cy="914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.6pt,280.8pt" to="75.6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" strokecolor="#010000" strokeweight=".25pt">
                <w10:wrap anchorx="page" anchory="page"/>
              </v:line>
            </w:pict>
          </mc:Fallback>
        </mc:AlternateContent>
      </w:r>
    </w:p>
    <w:sectPr w:rsidR="007E1BFC" w:rsidRPr="00A4135A" w:rsidSect="007E1BFC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type w:val="continuous"/>
      <w:pgSz w:w="16834" w:h="11909" w:orient="landscape"/>
      <w:pgMar w:top="936" w:right="1742" w:bottom="936" w:left="1898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11-23T14:49:00Z" w:initials="Start">
    <w:p w:rsidR="00B74205" w:rsidRPr="007477BF" w:rsidRDefault="00B74205">
      <w:pPr>
        <w:pStyle w:val="CommentText"/>
        <w:rPr>
          <w:lang w:val="en-US"/>
        </w:rPr>
      </w:pPr>
      <w:r>
        <w:fldChar w:fldCharType="begin"/>
      </w:r>
      <w:r w:rsidRPr="007477BF">
        <w:rPr>
          <w:rStyle w:val="CommentReference"/>
          <w:lang w:val="en-US"/>
        </w:rPr>
        <w:instrText xml:space="preserve"> </w:instrText>
      </w:r>
      <w:r w:rsidRPr="007477BF">
        <w:rPr>
          <w:lang w:val="en-US"/>
        </w:rPr>
        <w:instrText>PAGE \# "'Page: '#'</w:instrText>
      </w:r>
      <w:r w:rsidRPr="007477BF">
        <w:rPr>
          <w:lang w:val="en-US"/>
        </w:rPr>
        <w:br/>
        <w:instrText>'"</w:instrText>
      </w:r>
      <w:r w:rsidRPr="007477B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477BF">
        <w:rPr>
          <w:lang w:val="en-US"/>
        </w:rPr>
        <w:t>&lt;&lt;ODS JOB NO&gt;&gt;N1520276F&lt;&lt;ODS JOB NO&gt;&gt;</w:t>
      </w:r>
    </w:p>
    <w:p w:rsidR="00B74205" w:rsidRPr="007477BF" w:rsidRDefault="00B74205">
      <w:pPr>
        <w:pStyle w:val="CommentText"/>
        <w:rPr>
          <w:lang w:val="en-US"/>
        </w:rPr>
      </w:pPr>
      <w:r w:rsidRPr="007477BF">
        <w:rPr>
          <w:lang w:val="en-US"/>
        </w:rPr>
        <w:t>&lt;&lt;ODS DOC SYMBOL1&gt;&gt;ST/SG/AC.10/C.3/2015/53&lt;&lt;ODS DOC SYMBOL1&gt;&gt;</w:t>
      </w:r>
    </w:p>
    <w:p w:rsidR="00B74205" w:rsidRDefault="00B7420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93" w:rsidRDefault="00464E93" w:rsidP="00F3330B">
      <w:pPr>
        <w:spacing w:line="240" w:lineRule="auto"/>
      </w:pPr>
      <w:r>
        <w:separator/>
      </w:r>
    </w:p>
  </w:endnote>
  <w:endnote w:type="continuationSeparator" w:id="0">
    <w:p w:rsidR="00464E93" w:rsidRDefault="00464E93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B74205" w:rsidTr="00B74205">
      <w:trPr>
        <w:jc w:val="center"/>
      </w:trPr>
      <w:tc>
        <w:tcPr>
          <w:tcW w:w="5088" w:type="dxa"/>
          <w:shd w:val="clear" w:color="auto" w:fill="auto"/>
        </w:tcPr>
        <w:p w:rsidR="00B74205" w:rsidRPr="00B74205" w:rsidRDefault="00B74205" w:rsidP="00B7420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C1827">
            <w:rPr>
              <w:b w:val="0"/>
              <w:w w:val="103"/>
              <w:sz w:val="14"/>
            </w:rPr>
            <w:t>GE.15-15174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B74205" w:rsidRPr="00B74205" w:rsidRDefault="00B74205" w:rsidP="00B7420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C182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C182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B74205" w:rsidRPr="00B74205" w:rsidRDefault="00B74205" w:rsidP="00B74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B74205" w:rsidTr="00B74205">
      <w:trPr>
        <w:jc w:val="center"/>
      </w:trPr>
      <w:tc>
        <w:tcPr>
          <w:tcW w:w="5088" w:type="dxa"/>
          <w:shd w:val="clear" w:color="auto" w:fill="auto"/>
        </w:tcPr>
        <w:p w:rsidR="00B74205" w:rsidRPr="00B74205" w:rsidRDefault="00B74205" w:rsidP="00B7420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3972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C182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B74205" w:rsidRPr="00B74205" w:rsidRDefault="00B74205" w:rsidP="00B7420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C1827">
            <w:rPr>
              <w:b w:val="0"/>
              <w:w w:val="103"/>
              <w:sz w:val="14"/>
            </w:rPr>
            <w:t>GE.15-15174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B74205" w:rsidRPr="00B74205" w:rsidRDefault="00B74205" w:rsidP="00B74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05" w:rsidRDefault="00B7420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A6FE8F" wp14:editId="34809129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ST/SG/AC.10/C.3/2015/5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SG/AC.10/C.3/2015/5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B74205" w:rsidTr="00B74205">
      <w:tc>
        <w:tcPr>
          <w:tcW w:w="3859" w:type="dxa"/>
        </w:tcPr>
        <w:p w:rsidR="00B74205" w:rsidRDefault="00B74205" w:rsidP="00B7420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7C1827">
            <w:rPr>
              <w:b w:val="0"/>
              <w:sz w:val="20"/>
            </w:rPr>
            <w:t>GE.15-15174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231115    231115</w:t>
          </w:r>
        </w:p>
        <w:p w:rsidR="00B74205" w:rsidRPr="00B74205" w:rsidRDefault="00B74205" w:rsidP="00B7420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7C182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*1515174*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B74205" w:rsidRDefault="00B74205" w:rsidP="00B7420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34DAA3C" wp14:editId="15889F8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4205" w:rsidRPr="00B74205" w:rsidRDefault="00B74205" w:rsidP="00B74205">
    <w:pPr>
      <w:pStyle w:val="Footer"/>
      <w:spacing w:line="56" w:lineRule="exact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7E1BFC" w:rsidRPr="007E1BFC" w:rsidTr="007E1BFC">
      <w:trPr>
        <w:cantSplit/>
        <w:trHeight w:val="4781"/>
      </w:trPr>
      <w:tc>
        <w:tcPr>
          <w:tcW w:w="13331" w:type="dxa"/>
          <w:shd w:val="clear" w:color="auto" w:fill="auto"/>
          <w:textDirection w:val="tbRl"/>
        </w:tcPr>
        <w:p w:rsidR="007E1BFC" w:rsidRPr="007E1BFC" w:rsidRDefault="007E1BFC" w:rsidP="007E1BFC">
          <w:pPr>
            <w:pStyle w:val="Footer"/>
            <w:spacing w:line="240" w:lineRule="auto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3972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C182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  <w:tr w:rsidR="007E1BFC" w:rsidRPr="007E1BFC" w:rsidTr="007E1BFC">
      <w:trPr>
        <w:cantSplit/>
        <w:trHeight w:val="4781"/>
      </w:trPr>
      <w:tc>
        <w:tcPr>
          <w:tcW w:w="13331" w:type="dxa"/>
          <w:shd w:val="clear" w:color="auto" w:fill="auto"/>
          <w:textDirection w:val="tbRl"/>
        </w:tcPr>
        <w:p w:rsidR="007E1BFC" w:rsidRPr="007E1BFC" w:rsidRDefault="007E1BFC" w:rsidP="007E1BFC">
          <w:pPr>
            <w:pStyle w:val="Footer"/>
            <w:spacing w:line="240" w:lineRule="auto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C1827">
            <w:rPr>
              <w:b w:val="0"/>
              <w:w w:val="103"/>
              <w:sz w:val="14"/>
            </w:rPr>
            <w:t>GE.15-15174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7E1BFC" w:rsidRPr="007E1BFC" w:rsidRDefault="007E1BFC" w:rsidP="007E1BF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7E1BFC" w:rsidRPr="007E1BFC" w:rsidTr="007E1BFC">
      <w:trPr>
        <w:cantSplit/>
        <w:trHeight w:val="4781"/>
      </w:trPr>
      <w:tc>
        <w:tcPr>
          <w:tcW w:w="13331" w:type="dxa"/>
          <w:shd w:val="clear" w:color="auto" w:fill="auto"/>
          <w:textDirection w:val="tbRl"/>
        </w:tcPr>
        <w:p w:rsidR="007E1BFC" w:rsidRPr="007E1BFC" w:rsidRDefault="007E1BFC" w:rsidP="007E1BFC">
          <w:pPr>
            <w:pStyle w:val="Footer"/>
            <w:spacing w:line="240" w:lineRule="auto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C1827">
            <w:rPr>
              <w:b w:val="0"/>
              <w:w w:val="103"/>
              <w:sz w:val="14"/>
            </w:rPr>
            <w:t>GE.15-15174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7E1BFC" w:rsidRPr="007E1BFC" w:rsidTr="007E1BFC">
      <w:trPr>
        <w:cantSplit/>
        <w:trHeight w:val="4781"/>
      </w:trPr>
      <w:tc>
        <w:tcPr>
          <w:tcW w:w="13331" w:type="dxa"/>
          <w:shd w:val="clear" w:color="auto" w:fill="auto"/>
          <w:textDirection w:val="tbRl"/>
        </w:tcPr>
        <w:p w:rsidR="007E1BFC" w:rsidRPr="007E1BFC" w:rsidRDefault="007E1BFC" w:rsidP="007E1BFC">
          <w:pPr>
            <w:pStyle w:val="Footer"/>
            <w:spacing w:line="240" w:lineRule="auto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C182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C182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7E1BFC" w:rsidRPr="007E1BFC" w:rsidRDefault="007E1BFC" w:rsidP="007E1BF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7E1BFC" w:rsidTr="00B74205">
      <w:trPr>
        <w:jc w:val="center"/>
      </w:trPr>
      <w:tc>
        <w:tcPr>
          <w:tcW w:w="5088" w:type="dxa"/>
          <w:shd w:val="clear" w:color="auto" w:fill="auto"/>
        </w:tcPr>
        <w:p w:rsidR="007E1BFC" w:rsidRPr="00B74205" w:rsidRDefault="007E1BFC" w:rsidP="00B7420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C1827">
            <w:rPr>
              <w:b w:val="0"/>
              <w:w w:val="103"/>
              <w:sz w:val="14"/>
            </w:rPr>
            <w:t>GE.15-15174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7E1BFC" w:rsidRPr="00B74205" w:rsidRDefault="007E1BFC" w:rsidP="00B7420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3972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C182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7E1BFC" w:rsidRPr="00B74205" w:rsidRDefault="007E1BFC" w:rsidP="00B7420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7E1BFC" w:rsidTr="00B74205">
      <w:trPr>
        <w:jc w:val="center"/>
      </w:trPr>
      <w:tc>
        <w:tcPr>
          <w:tcW w:w="5088" w:type="dxa"/>
          <w:shd w:val="clear" w:color="auto" w:fill="auto"/>
        </w:tcPr>
        <w:p w:rsidR="007E1BFC" w:rsidRPr="00B74205" w:rsidRDefault="007E1BFC" w:rsidP="00B7420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3972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C1827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7E1BFC" w:rsidRPr="00B74205" w:rsidRDefault="007E1BFC" w:rsidP="00B7420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C1827">
            <w:rPr>
              <w:b w:val="0"/>
              <w:w w:val="103"/>
              <w:sz w:val="14"/>
            </w:rPr>
            <w:t>GE.15-15174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7E1BFC" w:rsidRPr="00B74205" w:rsidRDefault="007E1BFC" w:rsidP="00B74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93" w:rsidRPr="00951561" w:rsidRDefault="00951561" w:rsidP="00951561">
      <w:pPr>
        <w:pStyle w:val="Footer"/>
        <w:spacing w:after="80"/>
        <w:ind w:left="792"/>
        <w:rPr>
          <w:sz w:val="16"/>
        </w:rPr>
      </w:pPr>
      <w:r w:rsidRPr="00951561">
        <w:rPr>
          <w:sz w:val="16"/>
        </w:rPr>
        <w:t>__________________</w:t>
      </w:r>
    </w:p>
  </w:footnote>
  <w:footnote w:type="continuationSeparator" w:id="0">
    <w:p w:rsidR="00464E93" w:rsidRPr="00951561" w:rsidRDefault="00951561" w:rsidP="00951561">
      <w:pPr>
        <w:pStyle w:val="Footer"/>
        <w:spacing w:after="80"/>
        <w:ind w:left="792"/>
        <w:rPr>
          <w:sz w:val="16"/>
        </w:rPr>
      </w:pPr>
      <w:r w:rsidRPr="00951561">
        <w:rPr>
          <w:sz w:val="16"/>
        </w:rPr>
        <w:t>__________________</w:t>
      </w:r>
    </w:p>
  </w:footnote>
  <w:footnote w:id="1">
    <w:p w:rsidR="007477BF" w:rsidRPr="00A4135A" w:rsidRDefault="00951561" w:rsidP="0095156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A4135A">
        <w:rPr>
          <w:lang w:val="fr-CH"/>
        </w:rPr>
        <w:tab/>
      </w:r>
      <w:r w:rsidR="007477BF" w:rsidRPr="00A4135A">
        <w:rPr>
          <w:rStyle w:val="FootnoteReference"/>
          <w:lang w:val="fr-CH"/>
        </w:rPr>
        <w:footnoteRef/>
      </w:r>
      <w:r w:rsidR="007477BF" w:rsidRPr="00A4135A">
        <w:rPr>
          <w:lang w:val="fr-CH"/>
        </w:rPr>
        <w:tab/>
        <w:t>Conformément au programme de travail du Sous-Comité pour la période 2015-2016, adopté par le Comité à sa septième session (voir ST/SG/AC.10/C.3/92, par. 95</w:t>
      </w:r>
      <w:r w:rsidR="00A4135A" w:rsidRPr="00A4135A">
        <w:rPr>
          <w:lang w:val="fr-CH"/>
        </w:rPr>
        <w:t>,</w:t>
      </w:r>
      <w:r w:rsidR="007477BF" w:rsidRPr="00A4135A">
        <w:rPr>
          <w:lang w:val="fr-CH"/>
        </w:rPr>
        <w:t xml:space="preserve"> et ST/SG/AC.10/42, par.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B74205" w:rsidTr="00B742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74205" w:rsidRPr="00B74205" w:rsidRDefault="00B74205" w:rsidP="00B7420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C1827">
            <w:rPr>
              <w:b/>
              <w:color w:val="000000"/>
            </w:rPr>
            <w:t>ST/SG/AC.10/C.3/2015/53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B74205" w:rsidRDefault="00B74205" w:rsidP="00B74205">
          <w:pPr>
            <w:pStyle w:val="Header"/>
          </w:pPr>
        </w:p>
      </w:tc>
    </w:tr>
  </w:tbl>
  <w:p w:rsidR="00B74205" w:rsidRPr="00B74205" w:rsidRDefault="00B74205" w:rsidP="00B7420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B74205" w:rsidTr="00B742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74205" w:rsidRDefault="00B74205" w:rsidP="00B74205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B74205" w:rsidRPr="00B74205" w:rsidRDefault="00B74205" w:rsidP="00B7420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C1827">
            <w:rPr>
              <w:b/>
              <w:color w:val="000000"/>
            </w:rPr>
            <w:t>ST/SG/AC.10/C.3/2015/53</w:t>
          </w:r>
          <w:r>
            <w:rPr>
              <w:b/>
              <w:color w:val="000000"/>
            </w:rPr>
            <w:fldChar w:fldCharType="end"/>
          </w:r>
        </w:p>
      </w:tc>
    </w:tr>
  </w:tbl>
  <w:p w:rsidR="00B74205" w:rsidRPr="00B74205" w:rsidRDefault="00B74205" w:rsidP="00B7420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B74205" w:rsidTr="00B7420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74205" w:rsidRDefault="00B74205" w:rsidP="00B74205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74205" w:rsidRPr="00B74205" w:rsidRDefault="00B74205" w:rsidP="00B74205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74205" w:rsidRDefault="00B74205" w:rsidP="00B74205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74205" w:rsidRPr="00B74205" w:rsidRDefault="00B74205" w:rsidP="00B7420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/SG/AC.10/C.3/2015/53</w:t>
          </w:r>
        </w:p>
      </w:tc>
    </w:tr>
    <w:tr w:rsidR="00B74205" w:rsidRPr="00B74205" w:rsidTr="00B74205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74205" w:rsidRPr="00B74205" w:rsidRDefault="00B74205" w:rsidP="00B74205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7D19417" wp14:editId="5E2AEBD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74205" w:rsidRPr="00B74205" w:rsidRDefault="00B74205" w:rsidP="00B74205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74205" w:rsidRPr="00B74205" w:rsidRDefault="00B74205" w:rsidP="00B7420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74205" w:rsidRPr="007477BF" w:rsidRDefault="00B74205" w:rsidP="00B74205">
          <w:pPr>
            <w:pStyle w:val="Distribution"/>
            <w:rPr>
              <w:color w:val="000000"/>
              <w:lang w:val="fr-CH"/>
            </w:rPr>
          </w:pPr>
          <w:proofErr w:type="spellStart"/>
          <w:r w:rsidRPr="007477BF">
            <w:rPr>
              <w:color w:val="000000"/>
              <w:lang w:val="fr-CH"/>
            </w:rPr>
            <w:t>Distr</w:t>
          </w:r>
          <w:proofErr w:type="spellEnd"/>
          <w:r w:rsidRPr="007477BF">
            <w:rPr>
              <w:color w:val="000000"/>
              <w:lang w:val="fr-CH"/>
            </w:rPr>
            <w:t>. générale</w:t>
          </w:r>
        </w:p>
        <w:p w:rsidR="00B74205" w:rsidRPr="007477BF" w:rsidRDefault="00B74205" w:rsidP="00B74205">
          <w:pPr>
            <w:pStyle w:val="Publication"/>
            <w:rPr>
              <w:color w:val="000000"/>
              <w:lang w:val="fr-CH"/>
            </w:rPr>
          </w:pPr>
          <w:r w:rsidRPr="007477BF">
            <w:rPr>
              <w:color w:val="000000"/>
              <w:lang w:val="fr-CH"/>
            </w:rPr>
            <w:t>8 septembre 2015</w:t>
          </w:r>
        </w:p>
        <w:p w:rsidR="00B74205" w:rsidRPr="007477BF" w:rsidRDefault="00B74205" w:rsidP="00B74205">
          <w:pPr>
            <w:rPr>
              <w:lang w:val="fr-CH"/>
            </w:rPr>
          </w:pPr>
          <w:r w:rsidRPr="007477BF">
            <w:rPr>
              <w:lang w:val="fr-CH"/>
            </w:rPr>
            <w:t>Français</w:t>
          </w:r>
        </w:p>
        <w:p w:rsidR="00B74205" w:rsidRPr="007477BF" w:rsidRDefault="00B74205" w:rsidP="00B74205">
          <w:pPr>
            <w:pStyle w:val="Original"/>
            <w:rPr>
              <w:color w:val="000000"/>
              <w:lang w:val="fr-CH"/>
            </w:rPr>
          </w:pPr>
          <w:r w:rsidRPr="007477BF">
            <w:rPr>
              <w:color w:val="000000"/>
              <w:lang w:val="fr-CH"/>
            </w:rPr>
            <w:t>Original : anglais</w:t>
          </w:r>
        </w:p>
      </w:tc>
    </w:tr>
  </w:tbl>
  <w:p w:rsidR="00B74205" w:rsidRPr="007477BF" w:rsidRDefault="00B74205" w:rsidP="00B74205">
    <w:pPr>
      <w:pStyle w:val="Header"/>
      <w:spacing w:line="240" w:lineRule="auto"/>
      <w:rPr>
        <w:sz w:val="2"/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7E1BFC" w:rsidRPr="007E1BFC" w:rsidTr="007E1BFC">
      <w:trPr>
        <w:cantSplit/>
        <w:trHeight w:val="4781"/>
      </w:trPr>
      <w:tc>
        <w:tcPr>
          <w:tcW w:w="13331" w:type="dxa"/>
          <w:shd w:val="clear" w:color="auto" w:fill="auto"/>
          <w:textDirection w:val="tbRl"/>
          <w:vAlign w:val="bottom"/>
        </w:tcPr>
        <w:p w:rsidR="007E1BFC" w:rsidRPr="007E1BFC" w:rsidRDefault="007E1BFC" w:rsidP="007E1BFC">
          <w:pPr>
            <w:pStyle w:val="Header"/>
            <w:spacing w:line="240" w:lineRule="auto"/>
            <w:ind w:left="14" w:right="14"/>
            <w:rPr>
              <w:b/>
              <w:w w:val="103"/>
            </w:rPr>
          </w:pPr>
          <w:r w:rsidRPr="007E1BFC">
            <w:rPr>
              <w:b/>
              <w:w w:val="103"/>
            </w:rPr>
            <w:fldChar w:fldCharType="begin"/>
          </w:r>
          <w:r w:rsidRPr="007E1BFC">
            <w:rPr>
              <w:b/>
              <w:w w:val="103"/>
            </w:rPr>
            <w:instrText xml:space="preserve"> DOCVARIABLE "sss1" \* MERGEFORMAT </w:instrText>
          </w:r>
          <w:r w:rsidRPr="007E1BFC">
            <w:rPr>
              <w:b/>
              <w:w w:val="103"/>
            </w:rPr>
            <w:fldChar w:fldCharType="separate"/>
          </w:r>
          <w:r w:rsidR="007C1827">
            <w:rPr>
              <w:b/>
              <w:w w:val="103"/>
            </w:rPr>
            <w:t>ST/SG/AC.10/C.3/2015/53</w:t>
          </w:r>
          <w:r w:rsidRPr="007E1BFC">
            <w:rPr>
              <w:b/>
              <w:w w:val="103"/>
            </w:rPr>
            <w:fldChar w:fldCharType="end"/>
          </w:r>
        </w:p>
      </w:tc>
    </w:tr>
    <w:tr w:rsidR="007E1BFC" w:rsidRPr="007E1BFC" w:rsidTr="007E1BFC">
      <w:trPr>
        <w:cantSplit/>
        <w:trHeight w:val="4781"/>
      </w:trPr>
      <w:tc>
        <w:tcPr>
          <w:tcW w:w="13331" w:type="dxa"/>
          <w:shd w:val="clear" w:color="auto" w:fill="auto"/>
          <w:textDirection w:val="tbRl"/>
          <w:vAlign w:val="bottom"/>
        </w:tcPr>
        <w:p w:rsidR="007E1BFC" w:rsidRPr="007E1BFC" w:rsidRDefault="007E1BFC" w:rsidP="007E1BFC">
          <w:pPr>
            <w:pStyle w:val="Header"/>
            <w:spacing w:line="240" w:lineRule="auto"/>
            <w:ind w:left="14" w:right="14"/>
            <w:rPr>
              <w:w w:val="103"/>
            </w:rPr>
          </w:pPr>
        </w:p>
      </w:tc>
    </w:tr>
  </w:tbl>
  <w:p w:rsidR="007E1BFC" w:rsidRPr="007E1BFC" w:rsidRDefault="007E1BFC" w:rsidP="007E1BF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7E1BFC" w:rsidRPr="007E1BFC" w:rsidTr="007E1BFC">
      <w:trPr>
        <w:trHeight w:val="4781"/>
      </w:trPr>
      <w:tc>
        <w:tcPr>
          <w:tcW w:w="13331" w:type="dxa"/>
          <w:shd w:val="clear" w:color="auto" w:fill="auto"/>
          <w:vAlign w:val="bottom"/>
        </w:tcPr>
        <w:p w:rsidR="007E1BFC" w:rsidRPr="007E1BFC" w:rsidRDefault="007E1BFC" w:rsidP="007E1BFC">
          <w:pPr>
            <w:pStyle w:val="Header"/>
            <w:spacing w:line="240" w:lineRule="auto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7E1BFC" w:rsidRPr="007E1BFC" w:rsidTr="007E1BFC">
      <w:trPr>
        <w:cantSplit/>
        <w:trHeight w:val="4781"/>
      </w:trPr>
      <w:tc>
        <w:tcPr>
          <w:tcW w:w="13331" w:type="dxa"/>
          <w:shd w:val="clear" w:color="auto" w:fill="auto"/>
          <w:textDirection w:val="tbRl"/>
          <w:vAlign w:val="bottom"/>
        </w:tcPr>
        <w:p w:rsidR="007E1BFC" w:rsidRPr="007E1BFC" w:rsidRDefault="007E1BFC" w:rsidP="007E1BFC">
          <w:pPr>
            <w:pStyle w:val="Header"/>
            <w:spacing w:line="240" w:lineRule="auto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7E1BFC">
            <w:rPr>
              <w:b/>
              <w:bCs/>
              <w:w w:val="103"/>
              <w:szCs w:val="26"/>
            </w:rPr>
            <w:fldChar w:fldCharType="begin"/>
          </w:r>
          <w:r w:rsidRPr="007E1BFC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7E1BFC">
            <w:rPr>
              <w:b/>
              <w:bCs/>
              <w:w w:val="103"/>
              <w:szCs w:val="26"/>
            </w:rPr>
            <w:fldChar w:fldCharType="separate"/>
          </w:r>
          <w:r w:rsidR="007C1827">
            <w:rPr>
              <w:b/>
              <w:bCs/>
              <w:w w:val="103"/>
              <w:szCs w:val="26"/>
            </w:rPr>
            <w:t>ST/SG/AC.10/C.3/2015/53</w:t>
          </w:r>
          <w:r w:rsidRPr="007E1BFC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7E1BFC" w:rsidRPr="007E1BFC" w:rsidRDefault="007E1BFC" w:rsidP="007E1BF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7E1BFC" w:rsidTr="00B742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E1BFC" w:rsidRPr="00B74205" w:rsidRDefault="007E1BFC" w:rsidP="00B7420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C1827">
            <w:rPr>
              <w:b/>
              <w:color w:val="000000"/>
            </w:rPr>
            <w:t>ST/SG/AC.10/C.3/2015/53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7E1BFC" w:rsidRDefault="007E1BFC" w:rsidP="00B74205">
          <w:pPr>
            <w:pStyle w:val="Header"/>
          </w:pPr>
        </w:p>
      </w:tc>
    </w:tr>
  </w:tbl>
  <w:p w:rsidR="007E1BFC" w:rsidRPr="00B74205" w:rsidRDefault="007E1BFC" w:rsidP="00B7420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7E1BFC" w:rsidTr="00B742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E1BFC" w:rsidRDefault="007E1BFC" w:rsidP="00B74205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7E1BFC" w:rsidRPr="00B74205" w:rsidRDefault="007E1BFC" w:rsidP="00B7420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C1827">
            <w:rPr>
              <w:b/>
              <w:color w:val="000000"/>
            </w:rPr>
            <w:t>ST/SG/AC.10/C.3/2015/53</w:t>
          </w:r>
          <w:r>
            <w:rPr>
              <w:b/>
              <w:color w:val="000000"/>
            </w:rPr>
            <w:fldChar w:fldCharType="end"/>
          </w:r>
        </w:p>
      </w:tc>
    </w:tr>
  </w:tbl>
  <w:p w:rsidR="007E1BFC" w:rsidRPr="00B74205" w:rsidRDefault="007E1BFC" w:rsidP="00B7420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F61"/>
    <w:multiLevelType w:val="singleLevel"/>
    <w:tmpl w:val="10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174*"/>
    <w:docVar w:name="CreationDt" w:val="11/23/2015 2:49: PM"/>
    <w:docVar w:name="DocCategory" w:val="Doc"/>
    <w:docVar w:name="DocType" w:val="Final"/>
    <w:docVar w:name="DutyStation" w:val="Geneva"/>
    <w:docVar w:name="FooterJN" w:val="GE.15-15174"/>
    <w:docVar w:name="jobn" w:val="GE.15-15174 (F)"/>
    <w:docVar w:name="jobnDT" w:val="GE.15-15174 (F)   231115"/>
    <w:docVar w:name="jobnDTDT" w:val="GE.15-15174 (F)   231115   231115"/>
    <w:docVar w:name="JobNo" w:val="GE.1515174F"/>
    <w:docVar w:name="JobNo2" w:val="GE.1520276F"/>
    <w:docVar w:name="LocalDrive" w:val="0"/>
    <w:docVar w:name="OandT" w:val="N.Morin"/>
    <w:docVar w:name="PaperSize" w:val="A4"/>
    <w:docVar w:name="sss1" w:val="ST/SG/AC.10/C.3/2015/53"/>
    <w:docVar w:name="sss2" w:val="-"/>
    <w:docVar w:name="Symbol1" w:val="ST/SG/AC.10/C.3/2015/53"/>
    <w:docVar w:name="Symbol2" w:val="-"/>
  </w:docVars>
  <w:rsids>
    <w:rsidRoot w:val="00464E93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3FB8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3972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4E93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C7E58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477BF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2FE1"/>
    <w:rsid w:val="007A345A"/>
    <w:rsid w:val="007A3D35"/>
    <w:rsid w:val="007A78C2"/>
    <w:rsid w:val="007B05E9"/>
    <w:rsid w:val="007B148E"/>
    <w:rsid w:val="007B1E17"/>
    <w:rsid w:val="007B4C73"/>
    <w:rsid w:val="007C0C1F"/>
    <w:rsid w:val="007C1827"/>
    <w:rsid w:val="007C206E"/>
    <w:rsid w:val="007C2936"/>
    <w:rsid w:val="007C662A"/>
    <w:rsid w:val="007C7D7F"/>
    <w:rsid w:val="007D33BA"/>
    <w:rsid w:val="007D385A"/>
    <w:rsid w:val="007D6FCB"/>
    <w:rsid w:val="007D7FD4"/>
    <w:rsid w:val="007E1BFC"/>
    <w:rsid w:val="007E2FEB"/>
    <w:rsid w:val="007E3A51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00C0"/>
    <w:rsid w:val="0082537E"/>
    <w:rsid w:val="00825C31"/>
    <w:rsid w:val="00830DB5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561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747DD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135A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1BEF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4205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336E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36E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1AE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2F32"/>
    <w:rsid w:val="00EF3067"/>
    <w:rsid w:val="00F03AFB"/>
    <w:rsid w:val="00F03CB2"/>
    <w:rsid w:val="00F07FA1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74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20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05"/>
    <w:rPr>
      <w:rFonts w:ascii="Times New Roman" w:hAnsi="Times New Roman"/>
      <w:b/>
      <w:bCs/>
      <w:spacing w:val="4"/>
      <w:w w:val="103"/>
      <w:kern w:val="14"/>
      <w:lang w:val="fr-CA"/>
    </w:rPr>
  </w:style>
  <w:style w:type="table" w:styleId="TableGrid">
    <w:name w:val="Table Grid"/>
    <w:basedOn w:val="TableNormal"/>
    <w:uiPriority w:val="59"/>
    <w:rsid w:val="007E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74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20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05"/>
    <w:rPr>
      <w:rFonts w:ascii="Times New Roman" w:hAnsi="Times New Roman"/>
      <w:b/>
      <w:bCs/>
      <w:spacing w:val="4"/>
      <w:w w:val="103"/>
      <w:kern w:val="14"/>
      <w:lang w:val="fr-CA"/>
    </w:rPr>
  </w:style>
  <w:style w:type="table" w:styleId="TableGrid">
    <w:name w:val="Table Grid"/>
    <w:basedOn w:val="TableNormal"/>
    <w:uiPriority w:val="59"/>
    <w:rsid w:val="007E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F77E-C987-4C27-9702-A0527839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Laurence Berthet</cp:lastModifiedBy>
  <cp:revision>3</cp:revision>
  <cp:lastPrinted>2015-11-23T16:18:00Z</cp:lastPrinted>
  <dcterms:created xsi:type="dcterms:W3CDTF">2015-11-23T16:18:00Z</dcterms:created>
  <dcterms:modified xsi:type="dcterms:W3CDTF">2015-11-23T16:18:00Z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1515174F</vt:lpwstr>
  </property>
  <property fmtid="{D5CDD505-2E9C-101B-9397-08002B2CF9AE}" pid="3" name="ODSRefJobNo">
    <vt:lpwstr>1520276F</vt:lpwstr>
  </property>
  <property fmtid="{D5CDD505-2E9C-101B-9397-08002B2CF9AE}" pid="4" name="Symbol1">
    <vt:lpwstr>ST/SG/AC.10/C.3/2015/53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8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231115</vt:lpwstr>
  </property>
</Properties>
</file>