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4F" w:rsidRDefault="00CA6E4F" w:rsidP="00CA6E4F">
      <w:pPr>
        <w:spacing w:line="240" w:lineRule="auto"/>
        <w:rPr>
          <w:sz w:val="2"/>
        </w:rPr>
        <w:sectPr w:rsidR="00CA6E4F" w:rsidSect="00CA6E4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9C69BA" w:rsidRDefault="009C69BA" w:rsidP="009C69B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C69BA">
        <w:rPr>
          <w:lang w:val="fr-CH"/>
        </w:rPr>
        <w:lastRenderedPageBreak/>
        <w:t xml:space="preserve">Comité d’experts du transport des marchandises </w:t>
      </w:r>
      <w:r>
        <w:rPr>
          <w:lang w:val="fr-CH"/>
        </w:rPr>
        <w:br/>
      </w:r>
      <w:r w:rsidRPr="009C69BA">
        <w:rPr>
          <w:lang w:val="fr-CH"/>
        </w:rPr>
        <w:t xml:space="preserve">dangereuses et du Système général harmonisé </w:t>
      </w:r>
      <w:r>
        <w:rPr>
          <w:lang w:val="fr-CH"/>
        </w:rPr>
        <w:br/>
      </w:r>
      <w:r w:rsidRPr="009C69BA">
        <w:rPr>
          <w:lang w:val="fr-CH"/>
        </w:rPr>
        <w:t>de classification et d’étiquetage des produits chimiques</w:t>
      </w:r>
    </w:p>
    <w:p w:rsidR="009C69BA" w:rsidRPr="009C69BA" w:rsidRDefault="009C69BA" w:rsidP="009C69BA">
      <w:pPr>
        <w:spacing w:line="120" w:lineRule="exact"/>
        <w:rPr>
          <w:sz w:val="10"/>
          <w:lang w:val="fr-CH"/>
        </w:rPr>
      </w:pPr>
    </w:p>
    <w:p w:rsidR="009C69BA" w:rsidRDefault="009C69BA" w:rsidP="009C69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C69BA">
        <w:rPr>
          <w:lang w:val="fr-CH"/>
        </w:rPr>
        <w:t>Sous-Comité d’experts du transport des marchandises dangereuses</w:t>
      </w:r>
    </w:p>
    <w:p w:rsidR="009C69BA" w:rsidRPr="009C69BA" w:rsidRDefault="009C69BA" w:rsidP="009C69BA">
      <w:pPr>
        <w:spacing w:line="120" w:lineRule="exact"/>
        <w:rPr>
          <w:sz w:val="10"/>
          <w:lang w:val="fr-CH"/>
        </w:rPr>
      </w:pPr>
    </w:p>
    <w:p w:rsidR="009C69BA" w:rsidRPr="009C69BA" w:rsidRDefault="009C69BA" w:rsidP="009C69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C69BA">
        <w:rPr>
          <w:lang w:val="fr-CH"/>
        </w:rPr>
        <w:t>Quarante-huitième session</w:t>
      </w:r>
    </w:p>
    <w:p w:rsidR="009C69BA" w:rsidRPr="009C69BA" w:rsidRDefault="009C69BA" w:rsidP="009C69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Genève, 30 novembre-</w:t>
      </w:r>
      <w:r w:rsidRPr="009C69BA">
        <w:rPr>
          <w:lang w:val="fr-CH"/>
        </w:rPr>
        <w:t>9 décembre 2015</w:t>
      </w:r>
    </w:p>
    <w:p w:rsidR="009C69BA" w:rsidRDefault="009C69BA" w:rsidP="009C69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Pr>
          <w:lang w:val="fr-CH"/>
        </w:rPr>
        <w:t>Point </w:t>
      </w:r>
      <w:r w:rsidRPr="009C69BA">
        <w:rPr>
          <w:lang w:val="fr-CH"/>
        </w:rPr>
        <w:t>4 d) de l’ordre du jour provisoire</w:t>
      </w:r>
      <w:r w:rsidRPr="009C69BA">
        <w:rPr>
          <w:b/>
          <w:lang w:val="fr-CH"/>
        </w:rPr>
        <w:t xml:space="preserve"> </w:t>
      </w:r>
    </w:p>
    <w:p w:rsidR="00CA6E4F" w:rsidRDefault="009C69BA" w:rsidP="009C69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C69BA">
        <w:rPr>
          <w:lang w:val="fr-CH"/>
        </w:rPr>
        <w:t>Systèmes de stockage de l’électricité</w:t>
      </w:r>
      <w:r>
        <w:rPr>
          <w:lang w:val="fr-CH"/>
        </w:rPr>
        <w:t> </w:t>
      </w:r>
      <w:r w:rsidRPr="009C69BA">
        <w:rPr>
          <w:lang w:val="fr-CH"/>
        </w:rPr>
        <w:t>: divers</w:t>
      </w:r>
    </w:p>
    <w:p w:rsidR="009C69BA" w:rsidRPr="009C69BA" w:rsidRDefault="009C69BA" w:rsidP="009C69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sz w:val="10"/>
          <w:lang w:val="fr-CH"/>
        </w:rPr>
      </w:pPr>
    </w:p>
    <w:p w:rsidR="009C69BA" w:rsidRPr="009C69BA" w:rsidRDefault="009C69BA" w:rsidP="009C69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9C69BA" w:rsidRPr="009C69BA" w:rsidRDefault="009C69BA" w:rsidP="009C69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9C69BA" w:rsidRPr="009C69BA" w:rsidRDefault="009C69BA" w:rsidP="009C69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bookmarkStart w:id="1" w:name="_GoBack"/>
      <w:r w:rsidRPr="009C69BA">
        <w:rPr>
          <w:lang w:val="fr-CH"/>
        </w:rPr>
        <w:t xml:space="preserve">Examen de la signification du terme </w:t>
      </w:r>
      <w:r>
        <w:rPr>
          <w:lang w:val="fr-CH"/>
        </w:rPr>
        <w:t>« </w:t>
      </w:r>
      <w:r w:rsidRPr="009C69BA">
        <w:rPr>
          <w:lang w:val="fr-CH"/>
        </w:rPr>
        <w:t xml:space="preserve">équipement » </w:t>
      </w:r>
      <w:r>
        <w:rPr>
          <w:lang w:val="fr-CH"/>
        </w:rPr>
        <w:br/>
      </w:r>
      <w:r w:rsidRPr="009C69BA">
        <w:rPr>
          <w:lang w:val="fr-CH"/>
        </w:rPr>
        <w:t xml:space="preserve">aux fins de la disposition spéciale 188 et </w:t>
      </w:r>
      <w:r>
        <w:rPr>
          <w:lang w:val="fr-CH"/>
        </w:rPr>
        <w:br/>
        <w:t>de l’instruction d’emballage </w:t>
      </w:r>
      <w:r w:rsidRPr="009C69BA">
        <w:rPr>
          <w:lang w:val="fr-CH"/>
        </w:rPr>
        <w:t>P903</w:t>
      </w:r>
      <w:bookmarkEnd w:id="1"/>
    </w:p>
    <w:p w:rsidR="009C69BA" w:rsidRPr="009C69BA" w:rsidRDefault="009C69BA" w:rsidP="009C69BA">
      <w:pPr>
        <w:pStyle w:val="SingleTxt"/>
        <w:spacing w:after="0" w:line="120" w:lineRule="exact"/>
        <w:rPr>
          <w:b/>
          <w:sz w:val="10"/>
          <w:lang w:val="fr-CH"/>
        </w:rPr>
      </w:pPr>
    </w:p>
    <w:p w:rsidR="009C69BA" w:rsidRPr="009C69BA" w:rsidRDefault="009C69BA" w:rsidP="009C69BA">
      <w:pPr>
        <w:pStyle w:val="SingleTxt"/>
        <w:spacing w:after="0" w:line="120" w:lineRule="exact"/>
        <w:rPr>
          <w:b/>
          <w:sz w:val="10"/>
          <w:lang w:val="fr-CH"/>
        </w:rPr>
      </w:pPr>
    </w:p>
    <w:p w:rsidR="009C69BA" w:rsidRDefault="009C69BA" w:rsidP="009C69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69BA">
        <w:rPr>
          <w:lang w:val="fr-CH"/>
        </w:rPr>
        <w:tab/>
      </w:r>
      <w:r w:rsidRPr="009C69BA">
        <w:rPr>
          <w:lang w:val="fr-CH"/>
        </w:rPr>
        <w:tab/>
        <w:t xml:space="preserve">Communication de l’Association du transport </w:t>
      </w:r>
      <w:r>
        <w:rPr>
          <w:lang w:val="fr-CH"/>
        </w:rPr>
        <w:br/>
      </w:r>
      <w:r w:rsidRPr="009C69BA">
        <w:rPr>
          <w:lang w:val="fr-CH"/>
        </w:rPr>
        <w:t>aérien international (IATA)</w:t>
      </w:r>
      <w:r w:rsidRPr="00417AAB">
        <w:rPr>
          <w:rStyle w:val="FootnoteReference"/>
          <w:b w:val="0"/>
          <w:sz w:val="20"/>
          <w:szCs w:val="20"/>
        </w:rPr>
        <w:footnoteReference w:id="1"/>
      </w:r>
    </w:p>
    <w:p w:rsidR="009C69BA" w:rsidRPr="009C69BA" w:rsidRDefault="009C69BA" w:rsidP="009C69BA">
      <w:pPr>
        <w:pStyle w:val="SingleTxt"/>
        <w:spacing w:after="0" w:line="120" w:lineRule="exact"/>
        <w:rPr>
          <w:sz w:val="10"/>
          <w:lang w:val="fr-CH"/>
        </w:rPr>
      </w:pPr>
    </w:p>
    <w:p w:rsidR="009C69BA" w:rsidRPr="009C69BA" w:rsidRDefault="009C69BA" w:rsidP="009C69BA">
      <w:pPr>
        <w:pStyle w:val="SingleTxt"/>
        <w:spacing w:after="0" w:line="120" w:lineRule="exact"/>
        <w:rPr>
          <w:sz w:val="10"/>
          <w:lang w:val="fr-CH"/>
        </w:rPr>
      </w:pPr>
    </w:p>
    <w:p w:rsidR="009C69BA" w:rsidRDefault="009C69BA" w:rsidP="009C69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69BA">
        <w:rPr>
          <w:lang w:val="fr-CH"/>
        </w:rPr>
        <w:tab/>
      </w:r>
      <w:r w:rsidRPr="009C69BA">
        <w:rPr>
          <w:lang w:val="fr-CH"/>
        </w:rPr>
        <w:tab/>
        <w:t>Introduction</w:t>
      </w:r>
    </w:p>
    <w:p w:rsidR="009C69BA" w:rsidRPr="009C69BA" w:rsidRDefault="009C69BA" w:rsidP="009C69BA">
      <w:pPr>
        <w:pStyle w:val="SingleTxt"/>
        <w:spacing w:after="0" w:line="120" w:lineRule="exact"/>
        <w:rPr>
          <w:sz w:val="10"/>
          <w:lang w:val="fr-CH"/>
        </w:rPr>
      </w:pPr>
    </w:p>
    <w:p w:rsidR="009C69BA" w:rsidRPr="009C69BA" w:rsidRDefault="009C69BA" w:rsidP="009C69BA">
      <w:pPr>
        <w:pStyle w:val="SingleTxt"/>
        <w:spacing w:after="0" w:line="120" w:lineRule="exact"/>
        <w:rPr>
          <w:sz w:val="10"/>
          <w:lang w:val="fr-CH"/>
        </w:rPr>
      </w:pPr>
    </w:p>
    <w:p w:rsidR="009C69BA" w:rsidRPr="009C69BA" w:rsidRDefault="009C69BA" w:rsidP="009C69BA">
      <w:pPr>
        <w:pStyle w:val="SingleTxt"/>
        <w:numPr>
          <w:ilvl w:val="0"/>
          <w:numId w:val="6"/>
        </w:numPr>
        <w:rPr>
          <w:lang w:val="fr-CH"/>
        </w:rPr>
      </w:pPr>
      <w:r w:rsidRPr="009C69BA">
        <w:rPr>
          <w:lang w:val="fr-CH"/>
        </w:rPr>
        <w:t>À la quarante-septième session du Sous-Comité, l’IATA a présenté le document informel INF.35 (47</w:t>
      </w:r>
      <w:r w:rsidRPr="009C69BA">
        <w:rPr>
          <w:vertAlign w:val="superscript"/>
          <w:lang w:val="fr-CH"/>
        </w:rPr>
        <w:t>e</w:t>
      </w:r>
      <w:r w:rsidRPr="009C69BA">
        <w:rPr>
          <w:lang w:val="fr-CH"/>
        </w:rPr>
        <w:t xml:space="preserve"> session) dans lequel elle proposait de </w:t>
      </w:r>
      <w:r w:rsidR="006C5ABE">
        <w:rPr>
          <w:lang w:val="fr-CH"/>
        </w:rPr>
        <w:t>revoir la définition du terme « </w:t>
      </w:r>
      <w:r w:rsidRPr="009C69BA">
        <w:rPr>
          <w:lang w:val="fr-CH"/>
        </w:rPr>
        <w:t>équipement » dans l’instruction d’emballage P903 et d’ajouter cette définition dans la disposition spéciale 188.</w:t>
      </w:r>
    </w:p>
    <w:p w:rsidR="009C69BA" w:rsidRPr="009C69BA" w:rsidRDefault="009C69BA" w:rsidP="009C69BA">
      <w:pPr>
        <w:pStyle w:val="SingleTxt"/>
        <w:numPr>
          <w:ilvl w:val="0"/>
          <w:numId w:val="6"/>
        </w:numPr>
        <w:rPr>
          <w:lang w:val="fr-CH"/>
        </w:rPr>
      </w:pPr>
      <w:r w:rsidRPr="009C69BA">
        <w:rPr>
          <w:lang w:val="fr-CH"/>
        </w:rPr>
        <w:t>Même si les propositions figurant dans le document informel ont été globalement soutenues, il s’agissait d’une soumission tardive et l’IATA a donc été invitée à présenter un document officiel à cette session du Sous-Comité.</w:t>
      </w:r>
    </w:p>
    <w:p w:rsidR="009C69BA" w:rsidRPr="009C69BA" w:rsidRDefault="009C69BA" w:rsidP="009C69BA">
      <w:pPr>
        <w:pStyle w:val="SingleTxt"/>
        <w:numPr>
          <w:ilvl w:val="0"/>
          <w:numId w:val="6"/>
        </w:numPr>
        <w:rPr>
          <w:lang w:val="fr-CH"/>
        </w:rPr>
      </w:pPr>
      <w:r w:rsidRPr="009C69BA">
        <w:rPr>
          <w:lang w:val="fr-CH"/>
        </w:rPr>
        <w:t xml:space="preserve">Le terme </w:t>
      </w:r>
      <w:r w:rsidR="00F21207">
        <w:rPr>
          <w:lang w:val="fr-CH"/>
        </w:rPr>
        <w:t>« </w:t>
      </w:r>
      <w:r w:rsidRPr="009C69BA">
        <w:rPr>
          <w:lang w:val="fr-CH"/>
        </w:rPr>
        <w:t xml:space="preserve">équipement » et son application afin de déterminer si un objet doit être considéré comme une </w:t>
      </w:r>
      <w:r w:rsidR="00F21207">
        <w:rPr>
          <w:lang w:val="fr-CH"/>
        </w:rPr>
        <w:t>« </w:t>
      </w:r>
      <w:r w:rsidRPr="009C69BA">
        <w:rPr>
          <w:lang w:val="fr-CH"/>
        </w:rPr>
        <w:t xml:space="preserve">batterie » et donc assigné aux numéros ONU 3090 ou 3480, ou s’il s’agit d’un équipement, qui doit donc être assigné aux numéros ONU 3091 ou 3481, restent problématiques. La question se pose également de savoir si un objet emballé avec des piles au lithium peut être considéré comme </w:t>
      </w:r>
      <w:r w:rsidR="00F21207">
        <w:rPr>
          <w:lang w:val="fr-CH"/>
        </w:rPr>
        <w:t>« </w:t>
      </w:r>
      <w:r w:rsidRPr="009C69BA">
        <w:rPr>
          <w:lang w:val="fr-CH"/>
        </w:rPr>
        <w:t>équipement » et donc assigné aux numéros ONU 3091 ou 3481.</w:t>
      </w:r>
    </w:p>
    <w:p w:rsidR="009C69BA" w:rsidRPr="009C69BA" w:rsidRDefault="009C69BA" w:rsidP="009C69BA">
      <w:pPr>
        <w:pStyle w:val="SingleTxt"/>
        <w:numPr>
          <w:ilvl w:val="0"/>
          <w:numId w:val="6"/>
        </w:numPr>
        <w:rPr>
          <w:lang w:val="fr-CH"/>
        </w:rPr>
      </w:pPr>
      <w:r w:rsidRPr="009C69BA">
        <w:rPr>
          <w:lang w:val="fr-CH"/>
        </w:rPr>
        <w:t xml:space="preserve">Même si l’instruction d’emballage P903 contient une définition du terme </w:t>
      </w:r>
      <w:r w:rsidR="00F21207">
        <w:rPr>
          <w:lang w:val="fr-CH"/>
        </w:rPr>
        <w:t>« </w:t>
      </w:r>
      <w:r w:rsidRPr="009C69BA">
        <w:rPr>
          <w:lang w:val="fr-CH"/>
        </w:rPr>
        <w:t xml:space="preserve">équipement », d’aucuns estiment que sa formulation peut être améliorée afin d’indiquer clairement que pour être considéré comme </w:t>
      </w:r>
      <w:r w:rsidR="00F21207">
        <w:rPr>
          <w:lang w:val="fr-CH"/>
        </w:rPr>
        <w:t>« </w:t>
      </w:r>
      <w:r w:rsidRPr="009C69BA">
        <w:rPr>
          <w:lang w:val="fr-CH"/>
        </w:rPr>
        <w:t>équipement » et donc assigné au numéro ONU 3481 un objet doit, pour fonctionner, être alimenté par les piles au lithium métal avec lesquelles il est emballé.</w:t>
      </w:r>
    </w:p>
    <w:p w:rsidR="009C69BA" w:rsidRPr="009C69BA" w:rsidRDefault="009C69BA" w:rsidP="009C69BA">
      <w:pPr>
        <w:pStyle w:val="SingleTxt"/>
        <w:numPr>
          <w:ilvl w:val="0"/>
          <w:numId w:val="6"/>
        </w:numPr>
        <w:rPr>
          <w:lang w:val="fr-CH"/>
        </w:rPr>
      </w:pPr>
      <w:r w:rsidRPr="009C69BA">
        <w:rPr>
          <w:lang w:val="fr-CH"/>
        </w:rPr>
        <w:lastRenderedPageBreak/>
        <w:t xml:space="preserve">Le placement de la définition actuelle, dans les dispositions applicables aux piles au lithium métal emballées avec un équipement, pourrait laisser penser qu’elle ne s’applique pas aux piles au lithium métal contenues dans l’équipement, bien qu’il soit clairement précisé </w:t>
      </w:r>
      <w:r w:rsidR="00417AAB">
        <w:rPr>
          <w:lang w:val="fr-CH"/>
        </w:rPr>
        <w:t>« </w:t>
      </w:r>
      <w:r w:rsidRPr="009C69BA">
        <w:rPr>
          <w:lang w:val="fr-CH"/>
        </w:rPr>
        <w:t>Aux fins de cette instruction d’emballage… ». Pour qu’aucune ambiguïté ne subsiste quant à la portée de la définition, il est proposé de la faire figurer au début de l’instruction d’emballage P903.</w:t>
      </w:r>
    </w:p>
    <w:p w:rsidR="009C69BA" w:rsidRDefault="009C69BA" w:rsidP="009C69BA">
      <w:pPr>
        <w:pStyle w:val="SingleTxt"/>
        <w:numPr>
          <w:ilvl w:val="0"/>
          <w:numId w:val="6"/>
        </w:numPr>
        <w:rPr>
          <w:lang w:val="fr-CH"/>
        </w:rPr>
      </w:pPr>
      <w:r w:rsidRPr="009C69BA">
        <w:rPr>
          <w:lang w:val="fr-CH"/>
        </w:rPr>
        <w:t xml:space="preserve">Enfin, pour garantir </w:t>
      </w:r>
      <w:proofErr w:type="gramStart"/>
      <w:r w:rsidRPr="009C69BA">
        <w:rPr>
          <w:lang w:val="fr-CH"/>
        </w:rPr>
        <w:t>un</w:t>
      </w:r>
      <w:proofErr w:type="gramEnd"/>
      <w:r w:rsidRPr="009C69BA">
        <w:rPr>
          <w:lang w:val="fr-CH"/>
        </w:rPr>
        <w:t xml:space="preserve"> application cohérente, il est proposé d’ajouter la même définiti</w:t>
      </w:r>
      <w:r w:rsidR="00417AAB">
        <w:rPr>
          <w:lang w:val="fr-CH"/>
        </w:rPr>
        <w:t>on dans la disposition spéciale </w:t>
      </w:r>
      <w:r w:rsidRPr="009C69BA">
        <w:rPr>
          <w:lang w:val="fr-CH"/>
        </w:rPr>
        <w:t>188.</w:t>
      </w:r>
    </w:p>
    <w:p w:rsidR="009C69BA" w:rsidRPr="009C69BA" w:rsidRDefault="009C69BA" w:rsidP="009C69BA">
      <w:pPr>
        <w:pStyle w:val="SingleTxt"/>
        <w:spacing w:after="0" w:line="120" w:lineRule="exact"/>
        <w:rPr>
          <w:sz w:val="10"/>
          <w:lang w:val="fr-CH"/>
        </w:rPr>
      </w:pPr>
    </w:p>
    <w:p w:rsidR="009C69BA" w:rsidRDefault="009C69BA" w:rsidP="009C69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69BA">
        <w:rPr>
          <w:lang w:val="fr-CH"/>
        </w:rPr>
        <w:tab/>
      </w:r>
      <w:r w:rsidRPr="009C69BA">
        <w:rPr>
          <w:lang w:val="fr-CH"/>
        </w:rPr>
        <w:tab/>
        <w:t>Proposition</w:t>
      </w:r>
    </w:p>
    <w:p w:rsidR="009C69BA" w:rsidRPr="009C69BA" w:rsidRDefault="009C69BA" w:rsidP="009C69BA">
      <w:pPr>
        <w:pStyle w:val="SingleTxt"/>
        <w:spacing w:after="0" w:line="120" w:lineRule="exact"/>
        <w:rPr>
          <w:sz w:val="10"/>
          <w:lang w:val="fr-CH"/>
        </w:rPr>
      </w:pPr>
    </w:p>
    <w:p w:rsidR="009C69BA" w:rsidRPr="009C69BA" w:rsidRDefault="009C69BA" w:rsidP="00F21207">
      <w:pPr>
        <w:pStyle w:val="SingleTxt"/>
        <w:keepNext/>
        <w:keepLines/>
        <w:numPr>
          <w:ilvl w:val="0"/>
          <w:numId w:val="6"/>
        </w:numPr>
        <w:rPr>
          <w:lang w:val="fr-CH"/>
        </w:rPr>
      </w:pPr>
      <w:r w:rsidRPr="009C69BA">
        <w:rPr>
          <w:lang w:val="fr-CH"/>
        </w:rPr>
        <w:t>Le Sous-Comité est invité à envisager de m</w:t>
      </w:r>
      <w:r w:rsidR="00417AAB">
        <w:rPr>
          <w:lang w:val="fr-CH"/>
        </w:rPr>
        <w:t>odifier la disposition spéciale </w:t>
      </w:r>
      <w:r w:rsidRPr="009C69BA">
        <w:rPr>
          <w:lang w:val="fr-CH"/>
        </w:rPr>
        <w:t>188 comme suit</w:t>
      </w:r>
      <w:r w:rsidR="00417AAB">
        <w:rPr>
          <w:lang w:val="fr-CH"/>
        </w:rPr>
        <w:t> </w:t>
      </w:r>
      <w:r w:rsidRPr="009C69BA">
        <w:rPr>
          <w:lang w:val="fr-CH"/>
        </w:rPr>
        <w:t>:</w:t>
      </w:r>
    </w:p>
    <w:p w:rsidR="009C69BA" w:rsidRPr="009C69BA" w:rsidRDefault="001A6407" w:rsidP="009C69BA">
      <w:pPr>
        <w:pStyle w:val="SingleTxt"/>
        <w:ind w:left="1742" w:hanging="475"/>
        <w:rPr>
          <w:lang w:val="fr-CH"/>
        </w:rPr>
      </w:pPr>
      <w:r>
        <w:rPr>
          <w:lang w:val="fr-CH"/>
        </w:rPr>
        <w:tab/>
      </w:r>
      <w:r w:rsidR="009C69BA" w:rsidRPr="009C69BA">
        <w:rPr>
          <w:lang w:val="fr-CH"/>
        </w:rPr>
        <w:t>188</w:t>
      </w:r>
      <w:r w:rsidR="002B5B17">
        <w:rPr>
          <w:lang w:val="fr-CH"/>
        </w:rPr>
        <w:t>.</w:t>
      </w:r>
      <w:r w:rsidR="009C69BA">
        <w:rPr>
          <w:lang w:val="fr-CH"/>
        </w:rPr>
        <w:tab/>
      </w:r>
      <w:r w:rsidR="009C69BA" w:rsidRPr="009C69BA">
        <w:rPr>
          <w:lang w:val="fr-CH"/>
        </w:rPr>
        <w:t>Les piles et batteries présentées au transport ne sont pas soumises aux autres dispositions du présent Règlement si elles satisfont aux conditions énoncées ci-après</w:t>
      </w:r>
      <w:r w:rsidR="009C69BA">
        <w:rPr>
          <w:lang w:val="fr-CH"/>
        </w:rPr>
        <w:t> </w:t>
      </w:r>
      <w:r w:rsidR="009C69BA" w:rsidRPr="009C69BA">
        <w:rPr>
          <w:lang w:val="fr-CH"/>
        </w:rPr>
        <w:t>:</w:t>
      </w:r>
      <w:r w:rsidR="009C69BA" w:rsidRPr="009C69BA">
        <w:rPr>
          <w:i/>
          <w:lang w:val="fr-CH"/>
        </w:rPr>
        <w:t xml:space="preserve"> </w:t>
      </w:r>
    </w:p>
    <w:p w:rsidR="009C69BA" w:rsidRPr="009C69BA" w:rsidRDefault="009C69BA" w:rsidP="009C69BA">
      <w:pPr>
        <w:pStyle w:val="SingleTxt"/>
        <w:rPr>
          <w:lang w:val="fr-CH"/>
        </w:rPr>
      </w:pPr>
      <w:r>
        <w:rPr>
          <w:lang w:val="fr-CH"/>
        </w:rPr>
        <w:tab/>
      </w:r>
      <w:r>
        <w:rPr>
          <w:lang w:val="fr-CH"/>
        </w:rPr>
        <w:tab/>
      </w:r>
      <w:r w:rsidR="00417AAB">
        <w:rPr>
          <w:lang w:val="fr-CH"/>
        </w:rPr>
        <w:t>[</w:t>
      </w:r>
      <w:r w:rsidRPr="009C69BA">
        <w:rPr>
          <w:lang w:val="fr-CH"/>
        </w:rPr>
        <w:t>…</w:t>
      </w:r>
      <w:r w:rsidR="00417AAB">
        <w:rPr>
          <w:lang w:val="fr-CH"/>
        </w:rPr>
        <w:t>]</w:t>
      </w:r>
    </w:p>
    <w:p w:rsidR="009C69BA" w:rsidRPr="009C69BA" w:rsidRDefault="009C69BA" w:rsidP="009C69BA">
      <w:pPr>
        <w:pStyle w:val="SingleTxt"/>
        <w:ind w:left="2218" w:hanging="951"/>
        <w:rPr>
          <w:lang w:val="fr-CH"/>
        </w:rPr>
      </w:pPr>
      <w:r>
        <w:rPr>
          <w:lang w:val="fr-CH"/>
        </w:rPr>
        <w:tab/>
      </w:r>
      <w:r>
        <w:rPr>
          <w:lang w:val="fr-CH"/>
        </w:rPr>
        <w:tab/>
      </w:r>
      <w:r w:rsidRPr="009C69BA">
        <w:rPr>
          <w:lang w:val="fr-CH"/>
        </w:rPr>
        <w:t xml:space="preserve">i) </w:t>
      </w:r>
      <w:r w:rsidRPr="009C69BA">
        <w:rPr>
          <w:lang w:val="fr-CH"/>
        </w:rPr>
        <w:tab/>
        <w:t>Sauf lorsque les batteries sont montées dans un équipement ou emballées avec un équipement, la masse brute de</w:t>
      </w:r>
      <w:r w:rsidR="00417AAB">
        <w:rPr>
          <w:lang w:val="fr-CH"/>
        </w:rPr>
        <w:t>s colis ne doit pas dépasser 30 </w:t>
      </w:r>
      <w:r w:rsidRPr="009C69BA">
        <w:rPr>
          <w:lang w:val="fr-CH"/>
        </w:rPr>
        <w:t>kg.</w:t>
      </w:r>
    </w:p>
    <w:p w:rsidR="009C69BA" w:rsidRPr="00F21207" w:rsidRDefault="009C69BA" w:rsidP="009C69BA">
      <w:pPr>
        <w:pStyle w:val="SingleTxt"/>
        <w:ind w:left="2218" w:hanging="951"/>
        <w:rPr>
          <w:color w:val="FF0000"/>
          <w:u w:val="single"/>
          <w:lang w:val="fr-CH"/>
        </w:rPr>
      </w:pPr>
      <w:r>
        <w:rPr>
          <w:lang w:val="fr-CH"/>
        </w:rPr>
        <w:tab/>
      </w:r>
      <w:r>
        <w:rPr>
          <w:lang w:val="fr-CH"/>
        </w:rPr>
        <w:tab/>
      </w:r>
      <w:r w:rsidRPr="009C69BA">
        <w:rPr>
          <w:lang w:val="fr-CH"/>
        </w:rPr>
        <w:t xml:space="preserve">Ci-dessus et ailleurs dans le présent Règlement, l’expression “quantité de lithium” désigne la masse de lithium présente dans l’anode d’une pile au lithium métal ou à alliage de lithium. </w:t>
      </w:r>
      <w:r w:rsidRPr="00F21207">
        <w:rPr>
          <w:color w:val="FF0000"/>
          <w:u w:val="single"/>
          <w:lang w:val="fr-CH"/>
        </w:rPr>
        <w:t>Dans la présente disposition spéciale, on entend par “é</w:t>
      </w:r>
      <w:r w:rsidRPr="00F21207">
        <w:rPr>
          <w:iCs/>
          <w:color w:val="FF0000"/>
          <w:u w:val="single"/>
          <w:lang w:val="fr-CH"/>
        </w:rPr>
        <w:t>quipement”</w:t>
      </w:r>
      <w:r w:rsidRPr="00F21207">
        <w:rPr>
          <w:color w:val="FF0000"/>
          <w:u w:val="single"/>
          <w:lang w:val="fr-CH"/>
        </w:rPr>
        <w:t xml:space="preserve"> un appareil alimenté par des piles ou batteries au lithium.</w:t>
      </w:r>
    </w:p>
    <w:p w:rsidR="009C69BA" w:rsidRPr="009C69BA" w:rsidRDefault="009C69BA" w:rsidP="009C69BA">
      <w:pPr>
        <w:pStyle w:val="SingleTxt"/>
        <w:ind w:left="2218" w:hanging="951"/>
        <w:rPr>
          <w:lang w:val="fr-CH"/>
        </w:rPr>
      </w:pPr>
      <w:r>
        <w:rPr>
          <w:lang w:val="fr-CH"/>
        </w:rPr>
        <w:tab/>
      </w:r>
      <w:r>
        <w:rPr>
          <w:lang w:val="fr-CH"/>
        </w:rPr>
        <w:tab/>
      </w:r>
      <w:r w:rsidRPr="009C69BA">
        <w:rPr>
          <w:lang w:val="fr-CH"/>
        </w:rPr>
        <w:t>Des rubriques séparées existent pour les batteries au lithium métal et pour les batteries au lithium ionique pour faciliter le transport de ces batteries pour des modes de transport spécifiques et pour permettre l’application des actions d’intervention en cas d’accident</w:t>
      </w:r>
      <w:r w:rsidR="00417AAB">
        <w:rPr>
          <w:lang w:val="fr-CH"/>
        </w:rPr>
        <w:t>.</w:t>
      </w:r>
    </w:p>
    <w:p w:rsidR="009C69BA" w:rsidRDefault="009C69BA" w:rsidP="009C69BA">
      <w:pPr>
        <w:pStyle w:val="SingleTxt"/>
        <w:numPr>
          <w:ilvl w:val="0"/>
          <w:numId w:val="6"/>
        </w:numPr>
        <w:rPr>
          <w:lang w:val="fr-CH"/>
        </w:rPr>
      </w:pPr>
      <w:r w:rsidRPr="009C69BA">
        <w:rPr>
          <w:lang w:val="fr-CH"/>
        </w:rPr>
        <w:t>Le Sous-Comité est invité à envisager de modifier l’instruction d’emballage P903 comme suit</w:t>
      </w:r>
      <w:r w:rsidR="00417AAB">
        <w:rPr>
          <w:lang w:val="fr-CH"/>
        </w:rPr>
        <w:t> </w:t>
      </w:r>
      <w:r w:rsidRPr="009C69BA">
        <w:rPr>
          <w:lang w:val="fr-CH"/>
        </w:rPr>
        <w:t>:</w:t>
      </w:r>
    </w:p>
    <w:tbl>
      <w:tblPr>
        <w:tblW w:w="10041" w:type="dxa"/>
        <w:tblInd w:w="11" w:type="dxa"/>
        <w:tblLayout w:type="fixed"/>
        <w:tblCellMar>
          <w:left w:w="98" w:type="dxa"/>
          <w:right w:w="98" w:type="dxa"/>
        </w:tblCellMar>
        <w:tblLook w:val="0000" w:firstRow="0" w:lastRow="0" w:firstColumn="0" w:lastColumn="0" w:noHBand="0" w:noVBand="0"/>
      </w:tblPr>
      <w:tblGrid>
        <w:gridCol w:w="996"/>
        <w:gridCol w:w="7950"/>
        <w:gridCol w:w="1095"/>
      </w:tblGrid>
      <w:tr w:rsidR="00417AAB" w:rsidRPr="00BB60B9" w:rsidTr="00417AAB">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rsidR="00417AAB" w:rsidRPr="00BB60B9" w:rsidRDefault="00417AAB" w:rsidP="00A81AEB">
            <w:pPr>
              <w:pStyle w:val="Heading9"/>
              <w:spacing w:before="40" w:after="80"/>
              <w:ind w:left="115" w:right="115"/>
              <w:rPr>
                <w:b/>
                <w:bCs/>
                <w:i w:val="0"/>
                <w:sz w:val="18"/>
                <w:szCs w:val="18"/>
              </w:rPr>
            </w:pPr>
            <w:r w:rsidRPr="00BB60B9">
              <w:rPr>
                <w:b/>
                <w:i w:val="0"/>
                <w:sz w:val="18"/>
                <w:szCs w:val="18"/>
              </w:rPr>
              <w:t>P903</w:t>
            </w:r>
          </w:p>
        </w:tc>
        <w:tc>
          <w:tcPr>
            <w:tcW w:w="7950" w:type="dxa"/>
            <w:tcBorders>
              <w:top w:val="single" w:sz="4" w:space="0" w:color="auto"/>
              <w:bottom w:val="single" w:sz="6" w:space="0" w:color="auto"/>
            </w:tcBorders>
            <w:tcMar>
              <w:left w:w="0" w:type="dxa"/>
              <w:right w:w="0" w:type="dxa"/>
            </w:tcMar>
          </w:tcPr>
          <w:p w:rsidR="00417AAB" w:rsidRPr="00BB60B9" w:rsidRDefault="00417AAB" w:rsidP="00A81AEB">
            <w:pPr>
              <w:pStyle w:val="Heading9"/>
              <w:spacing w:before="40" w:after="80"/>
              <w:ind w:left="115" w:right="115"/>
              <w:jc w:val="center"/>
              <w:rPr>
                <w:b/>
                <w:bCs/>
                <w:i w:val="0"/>
                <w:sz w:val="18"/>
                <w:szCs w:val="18"/>
              </w:rPr>
            </w:pPr>
            <w:r w:rsidRPr="00BB60B9">
              <w:rPr>
                <w:b/>
                <w:i w:val="0"/>
                <w:lang w:val="fr-CH"/>
              </w:rPr>
              <w:t>INSTRUCTION D’EMBALLAGE</w:t>
            </w:r>
          </w:p>
        </w:tc>
        <w:tc>
          <w:tcPr>
            <w:tcW w:w="1095" w:type="dxa"/>
            <w:tcBorders>
              <w:top w:val="single" w:sz="4" w:space="0" w:color="auto"/>
              <w:bottom w:val="single" w:sz="6" w:space="0" w:color="auto"/>
              <w:right w:val="single" w:sz="6" w:space="0" w:color="auto"/>
            </w:tcBorders>
            <w:tcMar>
              <w:left w:w="0" w:type="dxa"/>
              <w:right w:w="0" w:type="dxa"/>
            </w:tcMar>
          </w:tcPr>
          <w:p w:rsidR="00417AAB" w:rsidRPr="00BB60B9" w:rsidRDefault="00417AAB" w:rsidP="00A81AEB">
            <w:pPr>
              <w:pStyle w:val="Heading9"/>
              <w:spacing w:before="40" w:after="80"/>
              <w:ind w:left="115" w:right="115"/>
              <w:jc w:val="right"/>
              <w:rPr>
                <w:b/>
                <w:bCs/>
                <w:i w:val="0"/>
                <w:sz w:val="18"/>
                <w:szCs w:val="18"/>
              </w:rPr>
            </w:pPr>
            <w:r w:rsidRPr="00BB60B9">
              <w:rPr>
                <w:b/>
                <w:i w:val="0"/>
                <w:sz w:val="18"/>
                <w:szCs w:val="18"/>
              </w:rPr>
              <w:t>P903</w:t>
            </w:r>
          </w:p>
        </w:tc>
      </w:tr>
      <w:tr w:rsidR="00417AAB" w:rsidRPr="00BB60B9" w:rsidTr="00417AAB">
        <w:trPr>
          <w:cantSplit/>
          <w:trHeight w:val="184"/>
        </w:trPr>
        <w:tc>
          <w:tcPr>
            <w:tcW w:w="10041"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417AAB" w:rsidRPr="00BB60B9" w:rsidRDefault="00417AAB" w:rsidP="00B879F4">
            <w:pPr>
              <w:spacing w:before="40" w:after="80"/>
              <w:ind w:left="115" w:right="115"/>
            </w:pPr>
            <w:r w:rsidRPr="00BB60B9">
              <w:rPr>
                <w:lang w:val="fr-CH"/>
              </w:rPr>
              <w:t xml:space="preserve">Cette instruction s’applique aux </w:t>
            </w:r>
            <w:r w:rsidR="00B879F4">
              <w:rPr>
                <w:lang w:val="fr-CH"/>
              </w:rPr>
              <w:t>numéros</w:t>
            </w:r>
            <w:r w:rsidRPr="00BB60B9">
              <w:rPr>
                <w:lang w:val="fr-CH"/>
              </w:rPr>
              <w:t xml:space="preserve"> ONU 3090, 3091, 3480 et 3481.</w:t>
            </w:r>
          </w:p>
        </w:tc>
      </w:tr>
      <w:tr w:rsidR="00417AAB" w:rsidRPr="00431E6A" w:rsidTr="00417AAB">
        <w:trPr>
          <w:cantSplit/>
          <w:trHeight w:val="3764"/>
        </w:trPr>
        <w:tc>
          <w:tcPr>
            <w:tcW w:w="10041"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417AAB" w:rsidRPr="00F21207" w:rsidRDefault="00417AAB" w:rsidP="00F21207">
            <w:pPr>
              <w:spacing w:before="40" w:after="40"/>
              <w:ind w:left="115" w:right="115"/>
              <w:rPr>
                <w:color w:val="FF0000"/>
                <w:u w:val="single"/>
                <w:lang w:eastAsia="en-GB"/>
              </w:rPr>
            </w:pPr>
            <w:r w:rsidRPr="00F21207">
              <w:rPr>
                <w:color w:val="FF0000"/>
                <w:u w:val="single"/>
                <w:lang w:val="fr-CH" w:eastAsia="en-GB"/>
              </w:rPr>
              <w:t>Aux fins de la présente instruction d’emballage, on entend par « équipement » un app</w:t>
            </w:r>
            <w:r w:rsidR="00BB60B9" w:rsidRPr="00F21207">
              <w:rPr>
                <w:color w:val="FF0000"/>
                <w:u w:val="single"/>
                <w:lang w:val="fr-CH" w:eastAsia="en-GB"/>
              </w:rPr>
              <w:t>areil alimenté par des piles ou </w:t>
            </w:r>
            <w:r w:rsidRPr="00F21207">
              <w:rPr>
                <w:color w:val="FF0000"/>
                <w:u w:val="single"/>
                <w:lang w:val="fr-CH" w:eastAsia="en-GB"/>
              </w:rPr>
              <w:t>batteries au lithium.</w:t>
            </w:r>
          </w:p>
          <w:p w:rsidR="00417AAB" w:rsidRPr="00F21207" w:rsidRDefault="00417AAB" w:rsidP="00F21207">
            <w:pPr>
              <w:spacing w:before="40" w:after="40"/>
              <w:ind w:left="115" w:right="115"/>
              <w:rPr>
                <w:rFonts w:eastAsia="Calibri"/>
              </w:rPr>
            </w:pPr>
            <w:r w:rsidRPr="00F21207">
              <w:rPr>
                <w:lang w:val="fr-CH" w:eastAsia="en-GB"/>
              </w:rPr>
              <w:t xml:space="preserve">Les emballages suivants sont autorisés s’il est satisfait aux dispositions générales des sections </w:t>
            </w:r>
            <w:r w:rsidRPr="00F21207">
              <w:rPr>
                <w:b/>
                <w:lang w:val="fr-CH" w:eastAsia="en-GB"/>
              </w:rPr>
              <w:t>4.1.1</w:t>
            </w:r>
            <w:r w:rsidRPr="00F21207">
              <w:rPr>
                <w:lang w:val="fr-CH" w:eastAsia="en-GB"/>
              </w:rPr>
              <w:t xml:space="preserve"> et </w:t>
            </w:r>
            <w:r w:rsidRPr="00F21207">
              <w:rPr>
                <w:b/>
                <w:lang w:val="fr-CH" w:eastAsia="en-GB"/>
              </w:rPr>
              <w:t>4.1.3</w:t>
            </w:r>
            <w:r w:rsidRPr="00F21207">
              <w:rPr>
                <w:lang w:val="fr-CH" w:eastAsia="en-GB"/>
              </w:rPr>
              <w:t> :</w:t>
            </w:r>
          </w:p>
          <w:p w:rsidR="00417AAB" w:rsidRDefault="00417AAB" w:rsidP="00F21207">
            <w:pPr>
              <w:spacing w:before="40" w:after="40"/>
              <w:ind w:left="115" w:right="115"/>
              <w:rPr>
                <w:lang w:eastAsia="en-GB"/>
              </w:rPr>
            </w:pPr>
            <w:r>
              <w:rPr>
                <w:lang w:eastAsia="en-GB"/>
              </w:rPr>
              <w:t>…</w:t>
            </w:r>
          </w:p>
          <w:p w:rsidR="00417AAB" w:rsidRPr="00417AAB" w:rsidRDefault="00417AAB" w:rsidP="00F21207">
            <w:pPr>
              <w:spacing w:before="40" w:after="40"/>
              <w:ind w:left="115" w:right="115"/>
              <w:rPr>
                <w:lang w:val="fr-CH" w:eastAsia="en-GB"/>
              </w:rPr>
            </w:pPr>
            <w:r>
              <w:rPr>
                <w:lang w:val="fr-CH" w:eastAsia="en-GB"/>
              </w:rPr>
              <w:t>(3)</w:t>
            </w:r>
            <w:r>
              <w:rPr>
                <w:lang w:val="fr-CH" w:eastAsia="en-GB"/>
              </w:rPr>
              <w:tab/>
            </w:r>
            <w:r w:rsidRPr="00417AAB">
              <w:rPr>
                <w:lang w:val="fr-CH" w:eastAsia="en-GB"/>
              </w:rPr>
              <w:t>Pour les piles ou les batteries emballées avec un équipement</w:t>
            </w:r>
            <w:r>
              <w:rPr>
                <w:lang w:val="fr-CH" w:eastAsia="en-GB"/>
              </w:rPr>
              <w:t> </w:t>
            </w:r>
            <w:r w:rsidRPr="00417AAB">
              <w:rPr>
                <w:lang w:val="fr-CH" w:eastAsia="en-GB"/>
              </w:rPr>
              <w:t>:</w:t>
            </w:r>
          </w:p>
          <w:p w:rsidR="00417AAB" w:rsidRPr="00417AAB" w:rsidRDefault="00417AAB" w:rsidP="001B78B8">
            <w:pPr>
              <w:spacing w:before="40" w:after="40"/>
              <w:ind w:left="475" w:right="115" w:hanging="475"/>
              <w:rPr>
                <w:lang w:val="fr-CH" w:eastAsia="en-GB"/>
              </w:rPr>
            </w:pPr>
            <w:r>
              <w:rPr>
                <w:lang w:val="fr-CH" w:eastAsia="en-GB"/>
              </w:rPr>
              <w:tab/>
            </w:r>
            <w:r w:rsidRPr="00417AAB">
              <w:rPr>
                <w:lang w:val="fr-CH" w:eastAsia="en-GB"/>
              </w:rPr>
              <w:t xml:space="preserve">Des emballages satisfaisant </w:t>
            </w:r>
            <w:r>
              <w:rPr>
                <w:lang w:val="fr-CH" w:eastAsia="en-GB"/>
              </w:rPr>
              <w:t>aux prescriptions du paragraphe </w:t>
            </w:r>
            <w:r w:rsidRPr="00417AAB">
              <w:rPr>
                <w:lang w:val="fr-CH" w:eastAsia="en-GB"/>
              </w:rPr>
              <w:t>1) de la présente instruction d’emballage, puis placés avec l’équipement dans un emballage extérieur; ou</w:t>
            </w:r>
          </w:p>
          <w:p w:rsidR="00417AAB" w:rsidRPr="00417AAB" w:rsidRDefault="00417AAB" w:rsidP="001B78B8">
            <w:pPr>
              <w:spacing w:before="40" w:after="40"/>
              <w:ind w:left="475" w:right="115" w:hanging="475"/>
              <w:rPr>
                <w:lang w:val="fr-CH" w:eastAsia="en-GB"/>
              </w:rPr>
            </w:pPr>
            <w:r>
              <w:rPr>
                <w:lang w:val="fr-CH" w:eastAsia="en-GB"/>
              </w:rPr>
              <w:tab/>
            </w:r>
            <w:r w:rsidRPr="00417AAB">
              <w:rPr>
                <w:lang w:val="fr-CH" w:eastAsia="en-GB"/>
              </w:rPr>
              <w:t xml:space="preserve">Des emballages enfermant </w:t>
            </w:r>
            <w:r w:rsidR="002219AE" w:rsidRPr="00417AAB">
              <w:rPr>
                <w:lang w:val="fr-CH" w:eastAsia="en-GB"/>
              </w:rPr>
              <w:t>complétement</w:t>
            </w:r>
            <w:r w:rsidRPr="00417AAB">
              <w:rPr>
                <w:lang w:val="fr-CH" w:eastAsia="en-GB"/>
              </w:rPr>
              <w:t xml:space="preserve"> les piles ou les batteries, puis placés avec l’équipement dans un emballage satisfaisant </w:t>
            </w:r>
            <w:r>
              <w:rPr>
                <w:lang w:val="fr-CH" w:eastAsia="en-GB"/>
              </w:rPr>
              <w:t>aux prescriptions du paragraphe </w:t>
            </w:r>
            <w:r w:rsidRPr="00417AAB">
              <w:rPr>
                <w:lang w:val="fr-CH" w:eastAsia="en-GB"/>
              </w:rPr>
              <w:t>1) de la présente instruction d’emballage.</w:t>
            </w:r>
          </w:p>
          <w:p w:rsidR="00417AAB" w:rsidRPr="00417AAB" w:rsidRDefault="00417AAB" w:rsidP="00F21207">
            <w:pPr>
              <w:spacing w:before="40" w:after="40"/>
              <w:ind w:left="115" w:right="115"/>
              <w:rPr>
                <w:lang w:val="fr-CH" w:eastAsia="en-GB"/>
              </w:rPr>
            </w:pPr>
            <w:r>
              <w:rPr>
                <w:lang w:val="fr-CH" w:eastAsia="en-GB"/>
              </w:rPr>
              <w:tab/>
            </w:r>
            <w:r w:rsidRPr="00417AAB">
              <w:rPr>
                <w:lang w:val="fr-CH" w:eastAsia="en-GB"/>
              </w:rPr>
              <w:t>L’équipement doit être protégé contre le mouvement à l’intérieur de l’emballage extérieur.</w:t>
            </w:r>
          </w:p>
          <w:p w:rsidR="00417AAB" w:rsidRPr="003920A3" w:rsidRDefault="00417AAB" w:rsidP="001B78B8">
            <w:pPr>
              <w:spacing w:before="40" w:after="40"/>
              <w:ind w:left="475" w:right="115" w:hanging="475"/>
              <w:rPr>
                <w:strike/>
                <w:lang w:val="fr-CH" w:eastAsia="en-GB"/>
              </w:rPr>
            </w:pPr>
            <w:r>
              <w:rPr>
                <w:lang w:val="fr-CH" w:eastAsia="en-GB"/>
              </w:rPr>
              <w:tab/>
            </w:r>
            <w:r w:rsidRPr="003920A3">
              <w:rPr>
                <w:strike/>
                <w:lang w:val="fr-CH" w:eastAsia="en-GB"/>
              </w:rPr>
              <w:t xml:space="preserve">Aux fins de cette instruction d’emballage, on entend par “équipement” l’appareil nécessitant pour son fonctionnement les piles ou batteries au lithium métal ou au lithium ionique avec lesquelles il est emballé. </w:t>
            </w:r>
          </w:p>
          <w:p w:rsidR="00417AAB" w:rsidRPr="00431E6A" w:rsidRDefault="00417AAB" w:rsidP="00F21207">
            <w:pPr>
              <w:spacing w:before="40" w:after="40"/>
              <w:ind w:left="115" w:right="115"/>
              <w:rPr>
                <w:rFonts w:eastAsia="Calibri"/>
              </w:rPr>
            </w:pPr>
            <w:r>
              <w:rPr>
                <w:bCs/>
                <w:lang w:val="fr-CH" w:eastAsia="en-GB"/>
              </w:rPr>
              <w:tab/>
            </w:r>
            <w:r w:rsidRPr="00417AAB">
              <w:rPr>
                <w:bCs/>
                <w:lang w:val="fr-CH" w:eastAsia="en-GB"/>
              </w:rPr>
              <w:t>…</w:t>
            </w:r>
          </w:p>
        </w:tc>
      </w:tr>
    </w:tbl>
    <w:p w:rsidR="009C69BA" w:rsidRPr="00417AAB" w:rsidRDefault="00417AAB" w:rsidP="00417AA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C69BA" w:rsidRPr="00417AAB" w:rsidSect="00CA6E4F">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9T11:54:00Z" w:initials="Start">
    <w:p w:rsidR="00CA6E4F" w:rsidRDefault="00CA6E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NO&gt;&gt;N1520274F&lt;&lt;ODS JOB NO&gt;&gt;</w:t>
      </w:r>
    </w:p>
    <w:p w:rsidR="00CA6E4F" w:rsidRDefault="00CA6E4F">
      <w:pPr>
        <w:pStyle w:val="CommentText"/>
      </w:pPr>
      <w:r>
        <w:t>&lt;&lt;ODS DOC SYMBOL1&gt;&gt;ST/SG/AC.10/C.3/2015/52&lt;&lt;ODS DOC SYMBOL1&gt;&gt;</w:t>
      </w:r>
    </w:p>
    <w:p w:rsidR="00CA6E4F" w:rsidRDefault="00CA6E4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D3" w:rsidRDefault="00840DD3" w:rsidP="00F3330B">
      <w:pPr>
        <w:spacing w:line="240" w:lineRule="auto"/>
      </w:pPr>
      <w:r>
        <w:separator/>
      </w:r>
    </w:p>
  </w:endnote>
  <w:endnote w:type="continuationSeparator" w:id="0">
    <w:p w:rsidR="00840DD3" w:rsidRDefault="00840DD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A6E4F" w:rsidTr="00CA6E4F">
      <w:trPr>
        <w:jc w:val="center"/>
      </w:trPr>
      <w:tc>
        <w:tcPr>
          <w:tcW w:w="5126" w:type="dxa"/>
          <w:shd w:val="clear" w:color="auto" w:fill="auto"/>
        </w:tcPr>
        <w:p w:rsidR="00CA6E4F" w:rsidRPr="00CA6E4F" w:rsidRDefault="00CA6E4F" w:rsidP="00CA6E4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20A2">
            <w:rPr>
              <w:b w:val="0"/>
              <w:w w:val="103"/>
              <w:sz w:val="14"/>
            </w:rPr>
            <w:t>GE.15-15175</w:t>
          </w:r>
          <w:r>
            <w:rPr>
              <w:b w:val="0"/>
              <w:w w:val="103"/>
              <w:sz w:val="14"/>
            </w:rPr>
            <w:fldChar w:fldCharType="end"/>
          </w:r>
        </w:p>
      </w:tc>
      <w:tc>
        <w:tcPr>
          <w:tcW w:w="5127" w:type="dxa"/>
          <w:shd w:val="clear" w:color="auto" w:fill="auto"/>
        </w:tcPr>
        <w:p w:rsidR="00CA6E4F" w:rsidRPr="00CA6E4F" w:rsidRDefault="00CA6E4F" w:rsidP="00CA6E4F">
          <w:pPr>
            <w:pStyle w:val="Footer"/>
            <w:rPr>
              <w:w w:val="103"/>
            </w:rPr>
          </w:pPr>
          <w:r>
            <w:rPr>
              <w:w w:val="103"/>
            </w:rPr>
            <w:fldChar w:fldCharType="begin"/>
          </w:r>
          <w:r>
            <w:rPr>
              <w:w w:val="103"/>
            </w:rPr>
            <w:instrText xml:space="preserve"> PAGE  \* Arabic  \* MERGEFORMAT </w:instrText>
          </w:r>
          <w:r>
            <w:rPr>
              <w:w w:val="103"/>
            </w:rPr>
            <w:fldChar w:fldCharType="separate"/>
          </w:r>
          <w:r w:rsidR="005620A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620A2">
            <w:rPr>
              <w:noProof/>
              <w:w w:val="103"/>
            </w:rPr>
            <w:t>2</w:t>
          </w:r>
          <w:r>
            <w:rPr>
              <w:w w:val="103"/>
            </w:rPr>
            <w:fldChar w:fldCharType="end"/>
          </w:r>
        </w:p>
      </w:tc>
    </w:tr>
  </w:tbl>
  <w:p w:rsidR="00CA6E4F" w:rsidRPr="00CA6E4F" w:rsidRDefault="00CA6E4F" w:rsidP="00CA6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A6E4F" w:rsidTr="00CA6E4F">
      <w:trPr>
        <w:jc w:val="center"/>
      </w:trPr>
      <w:tc>
        <w:tcPr>
          <w:tcW w:w="5126" w:type="dxa"/>
          <w:shd w:val="clear" w:color="auto" w:fill="auto"/>
        </w:tcPr>
        <w:p w:rsidR="00CA6E4F" w:rsidRPr="00CA6E4F" w:rsidRDefault="00CA6E4F" w:rsidP="00CA6E4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94A2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620A2">
            <w:rPr>
              <w:noProof/>
              <w:w w:val="103"/>
            </w:rPr>
            <w:t>2</w:t>
          </w:r>
          <w:r>
            <w:rPr>
              <w:w w:val="103"/>
            </w:rPr>
            <w:fldChar w:fldCharType="end"/>
          </w:r>
        </w:p>
      </w:tc>
      <w:tc>
        <w:tcPr>
          <w:tcW w:w="5127" w:type="dxa"/>
          <w:shd w:val="clear" w:color="auto" w:fill="auto"/>
        </w:tcPr>
        <w:p w:rsidR="00CA6E4F" w:rsidRPr="00CA6E4F" w:rsidRDefault="00CA6E4F" w:rsidP="00CA6E4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20A2">
            <w:rPr>
              <w:b w:val="0"/>
              <w:w w:val="103"/>
              <w:sz w:val="14"/>
            </w:rPr>
            <w:t>GE.15-15175</w:t>
          </w:r>
          <w:r>
            <w:rPr>
              <w:b w:val="0"/>
              <w:w w:val="103"/>
              <w:sz w:val="14"/>
            </w:rPr>
            <w:fldChar w:fldCharType="end"/>
          </w:r>
        </w:p>
      </w:tc>
    </w:tr>
  </w:tbl>
  <w:p w:rsidR="00CA6E4F" w:rsidRPr="00CA6E4F" w:rsidRDefault="00CA6E4F" w:rsidP="00CA6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4F" w:rsidRDefault="00CA6E4F">
    <w:pPr>
      <w:pStyle w:val="Footer"/>
    </w:pPr>
    <w:r>
      <w:rPr>
        <w:noProof/>
        <w:lang w:val="en-GB" w:eastAsia="en-GB"/>
      </w:rPr>
      <w:drawing>
        <wp:anchor distT="0" distB="0" distL="114300" distR="114300" simplePos="0" relativeHeight="251658240" behindDoc="0" locked="0" layoutInCell="1" allowOverlap="1" wp14:anchorId="2130BE30" wp14:editId="65FCFE9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5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5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A6E4F" w:rsidTr="00CA6E4F">
      <w:tc>
        <w:tcPr>
          <w:tcW w:w="3859" w:type="dxa"/>
        </w:tcPr>
        <w:p w:rsidR="00CA6E4F" w:rsidRDefault="00CA6E4F" w:rsidP="00CA6E4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620A2">
            <w:rPr>
              <w:b w:val="0"/>
              <w:sz w:val="20"/>
            </w:rPr>
            <w:t>GE.15-15175 (F)</w:t>
          </w:r>
          <w:r>
            <w:rPr>
              <w:b w:val="0"/>
              <w:sz w:val="20"/>
            </w:rPr>
            <w:fldChar w:fldCharType="end"/>
          </w:r>
          <w:r>
            <w:rPr>
              <w:b w:val="0"/>
              <w:sz w:val="20"/>
            </w:rPr>
            <w:t xml:space="preserve">    191115    191115</w:t>
          </w:r>
        </w:p>
        <w:p w:rsidR="00CA6E4F" w:rsidRPr="00CA6E4F" w:rsidRDefault="00CA6E4F" w:rsidP="00CA6E4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620A2">
            <w:rPr>
              <w:rFonts w:ascii="Barcode 3 of 9 by request" w:hAnsi="Barcode 3 of 9 by request"/>
              <w:b w:val="0"/>
              <w:spacing w:val="0"/>
              <w:w w:val="100"/>
              <w:sz w:val="24"/>
            </w:rPr>
            <w:t>*1515175*</w:t>
          </w:r>
          <w:r>
            <w:rPr>
              <w:rFonts w:ascii="Barcode 3 of 9 by request" w:hAnsi="Barcode 3 of 9 by request"/>
              <w:b w:val="0"/>
              <w:spacing w:val="0"/>
              <w:w w:val="100"/>
              <w:sz w:val="24"/>
            </w:rPr>
            <w:fldChar w:fldCharType="end"/>
          </w:r>
        </w:p>
      </w:tc>
      <w:tc>
        <w:tcPr>
          <w:tcW w:w="5127" w:type="dxa"/>
        </w:tcPr>
        <w:p w:rsidR="00CA6E4F" w:rsidRDefault="00CA6E4F" w:rsidP="00CA6E4F">
          <w:pPr>
            <w:pStyle w:val="Footer"/>
            <w:spacing w:line="240" w:lineRule="atLeast"/>
            <w:jc w:val="right"/>
            <w:rPr>
              <w:b w:val="0"/>
              <w:sz w:val="20"/>
            </w:rPr>
          </w:pPr>
          <w:r>
            <w:rPr>
              <w:b w:val="0"/>
              <w:noProof/>
              <w:sz w:val="20"/>
              <w:lang w:val="en-GB" w:eastAsia="en-GB"/>
            </w:rPr>
            <w:drawing>
              <wp:inline distT="0" distB="0" distL="0" distR="0" wp14:anchorId="35C0E2AB" wp14:editId="43C489D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A6E4F" w:rsidRPr="00CA6E4F" w:rsidRDefault="00CA6E4F" w:rsidP="00CA6E4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D3" w:rsidRPr="00417AAB" w:rsidRDefault="00417AAB" w:rsidP="00417AAB">
      <w:pPr>
        <w:pStyle w:val="Footer"/>
        <w:spacing w:after="80"/>
        <w:ind w:left="792"/>
        <w:rPr>
          <w:sz w:val="16"/>
        </w:rPr>
      </w:pPr>
      <w:r w:rsidRPr="00417AAB">
        <w:rPr>
          <w:sz w:val="16"/>
        </w:rPr>
        <w:t>__________________</w:t>
      </w:r>
    </w:p>
  </w:footnote>
  <w:footnote w:type="continuationSeparator" w:id="0">
    <w:p w:rsidR="00840DD3" w:rsidRPr="00417AAB" w:rsidRDefault="00417AAB" w:rsidP="00417AAB">
      <w:pPr>
        <w:pStyle w:val="Footer"/>
        <w:spacing w:after="80"/>
        <w:ind w:left="792"/>
        <w:rPr>
          <w:sz w:val="16"/>
        </w:rPr>
      </w:pPr>
      <w:r w:rsidRPr="00417AAB">
        <w:rPr>
          <w:sz w:val="16"/>
        </w:rPr>
        <w:t>__________________</w:t>
      </w:r>
    </w:p>
  </w:footnote>
  <w:footnote w:id="1">
    <w:p w:rsidR="009C69BA" w:rsidRDefault="009C69BA" w:rsidP="00417AAB">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r>
      <w:r>
        <w:rPr>
          <w:lang w:val="fr-FR"/>
        </w:rPr>
        <w:t>Conformément au programme de travail du S</w:t>
      </w:r>
      <w:r w:rsidR="00417AAB">
        <w:rPr>
          <w:lang w:val="fr-FR"/>
        </w:rPr>
        <w:t xml:space="preserve">ous-Comité pour la période 2015-2016 adopté par le </w:t>
      </w:r>
      <w:r>
        <w:rPr>
          <w:lang w:val="fr-FR"/>
        </w:rPr>
        <w:t>Comité à sa septième session (voir ST/SG/AC.10/C.3/92, p</w:t>
      </w:r>
      <w:r w:rsidR="00417AAB">
        <w:rPr>
          <w:lang w:val="fr-FR"/>
        </w:rPr>
        <w:t>ar. 95, et ST/SG/AC.10/42, par. </w:t>
      </w:r>
      <w: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A6E4F" w:rsidTr="00CA6E4F">
      <w:trPr>
        <w:trHeight w:hRule="exact" w:val="864"/>
        <w:jc w:val="center"/>
      </w:trPr>
      <w:tc>
        <w:tcPr>
          <w:tcW w:w="4882" w:type="dxa"/>
          <w:shd w:val="clear" w:color="auto" w:fill="auto"/>
          <w:vAlign w:val="bottom"/>
        </w:tcPr>
        <w:p w:rsidR="00CA6E4F" w:rsidRPr="00CA6E4F" w:rsidRDefault="00CA6E4F" w:rsidP="00CA6E4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620A2">
            <w:rPr>
              <w:b/>
              <w:color w:val="000000"/>
            </w:rPr>
            <w:t>ST/SG/AC.10/C.3/2015/52</w:t>
          </w:r>
          <w:r>
            <w:rPr>
              <w:b/>
              <w:color w:val="000000"/>
            </w:rPr>
            <w:fldChar w:fldCharType="end"/>
          </w:r>
        </w:p>
      </w:tc>
      <w:tc>
        <w:tcPr>
          <w:tcW w:w="5127" w:type="dxa"/>
          <w:shd w:val="clear" w:color="auto" w:fill="auto"/>
          <w:vAlign w:val="bottom"/>
        </w:tcPr>
        <w:p w:rsidR="00CA6E4F" w:rsidRDefault="00CA6E4F" w:rsidP="00CA6E4F">
          <w:pPr>
            <w:pStyle w:val="Header"/>
          </w:pPr>
        </w:p>
      </w:tc>
    </w:tr>
  </w:tbl>
  <w:p w:rsidR="00CA6E4F" w:rsidRPr="00CA6E4F" w:rsidRDefault="00CA6E4F" w:rsidP="00CA6E4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A6E4F" w:rsidTr="00CA6E4F">
      <w:trPr>
        <w:trHeight w:hRule="exact" w:val="864"/>
        <w:jc w:val="center"/>
      </w:trPr>
      <w:tc>
        <w:tcPr>
          <w:tcW w:w="4882" w:type="dxa"/>
          <w:shd w:val="clear" w:color="auto" w:fill="auto"/>
          <w:vAlign w:val="bottom"/>
        </w:tcPr>
        <w:p w:rsidR="00CA6E4F" w:rsidRDefault="00CA6E4F" w:rsidP="00CA6E4F">
          <w:pPr>
            <w:pStyle w:val="Header"/>
          </w:pPr>
        </w:p>
      </w:tc>
      <w:tc>
        <w:tcPr>
          <w:tcW w:w="5127" w:type="dxa"/>
          <w:shd w:val="clear" w:color="auto" w:fill="auto"/>
          <w:vAlign w:val="bottom"/>
        </w:tcPr>
        <w:p w:rsidR="00CA6E4F" w:rsidRPr="00CA6E4F" w:rsidRDefault="00CA6E4F" w:rsidP="00CA6E4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620A2">
            <w:rPr>
              <w:b/>
              <w:color w:val="000000"/>
            </w:rPr>
            <w:t>ST/SG/AC.10/C.3/2015/52</w:t>
          </w:r>
          <w:r>
            <w:rPr>
              <w:b/>
              <w:color w:val="000000"/>
            </w:rPr>
            <w:fldChar w:fldCharType="end"/>
          </w:r>
        </w:p>
      </w:tc>
    </w:tr>
  </w:tbl>
  <w:p w:rsidR="00CA6E4F" w:rsidRPr="00CA6E4F" w:rsidRDefault="00CA6E4F" w:rsidP="00CA6E4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A6E4F" w:rsidTr="00CA6E4F">
      <w:trPr>
        <w:trHeight w:hRule="exact" w:val="864"/>
      </w:trPr>
      <w:tc>
        <w:tcPr>
          <w:tcW w:w="1267" w:type="dxa"/>
          <w:tcBorders>
            <w:bottom w:val="single" w:sz="4" w:space="0" w:color="auto"/>
          </w:tcBorders>
          <w:shd w:val="clear" w:color="auto" w:fill="auto"/>
          <w:vAlign w:val="bottom"/>
        </w:tcPr>
        <w:p w:rsidR="00CA6E4F" w:rsidRDefault="00CA6E4F" w:rsidP="00CA6E4F">
          <w:pPr>
            <w:pStyle w:val="Header"/>
            <w:spacing w:after="120"/>
          </w:pPr>
        </w:p>
      </w:tc>
      <w:tc>
        <w:tcPr>
          <w:tcW w:w="2059" w:type="dxa"/>
          <w:tcBorders>
            <w:bottom w:val="single" w:sz="4" w:space="0" w:color="auto"/>
          </w:tcBorders>
          <w:shd w:val="clear" w:color="auto" w:fill="auto"/>
          <w:vAlign w:val="bottom"/>
        </w:tcPr>
        <w:p w:rsidR="00CA6E4F" w:rsidRPr="00CA6E4F" w:rsidRDefault="00CA6E4F" w:rsidP="00CA6E4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A6E4F" w:rsidRDefault="00CA6E4F" w:rsidP="00CA6E4F">
          <w:pPr>
            <w:pStyle w:val="Header"/>
            <w:spacing w:after="120"/>
          </w:pPr>
        </w:p>
      </w:tc>
      <w:tc>
        <w:tcPr>
          <w:tcW w:w="6653" w:type="dxa"/>
          <w:gridSpan w:val="4"/>
          <w:tcBorders>
            <w:bottom w:val="single" w:sz="4" w:space="0" w:color="auto"/>
          </w:tcBorders>
          <w:shd w:val="clear" w:color="auto" w:fill="auto"/>
          <w:vAlign w:val="bottom"/>
        </w:tcPr>
        <w:p w:rsidR="00CA6E4F" w:rsidRPr="00CA6E4F" w:rsidRDefault="00CA6E4F" w:rsidP="00CA6E4F">
          <w:pPr>
            <w:spacing w:after="80" w:line="240" w:lineRule="auto"/>
            <w:jc w:val="right"/>
            <w:rPr>
              <w:position w:val="-4"/>
            </w:rPr>
          </w:pPr>
          <w:r>
            <w:rPr>
              <w:position w:val="-4"/>
              <w:sz w:val="40"/>
            </w:rPr>
            <w:t>ST</w:t>
          </w:r>
          <w:r>
            <w:rPr>
              <w:position w:val="-4"/>
            </w:rPr>
            <w:t>/SG/AC.10/C.3/2015/52</w:t>
          </w:r>
        </w:p>
      </w:tc>
    </w:tr>
    <w:tr w:rsidR="00CA6E4F" w:rsidRPr="00CA6E4F" w:rsidTr="00CA6E4F">
      <w:trPr>
        <w:gridAfter w:val="1"/>
        <w:wAfter w:w="18" w:type="dxa"/>
        <w:trHeight w:hRule="exact" w:val="2880"/>
      </w:trPr>
      <w:tc>
        <w:tcPr>
          <w:tcW w:w="1267" w:type="dxa"/>
          <w:tcBorders>
            <w:top w:val="single" w:sz="4" w:space="0" w:color="auto"/>
            <w:bottom w:val="single" w:sz="12" w:space="0" w:color="auto"/>
          </w:tcBorders>
          <w:shd w:val="clear" w:color="auto" w:fill="auto"/>
        </w:tcPr>
        <w:p w:rsidR="00CA6E4F" w:rsidRPr="00CA6E4F" w:rsidRDefault="00CA6E4F" w:rsidP="00CA6E4F">
          <w:pPr>
            <w:pStyle w:val="Header"/>
            <w:spacing w:before="120" w:line="240" w:lineRule="auto"/>
            <w:ind w:left="-72"/>
            <w:jc w:val="center"/>
          </w:pPr>
          <w:r>
            <w:t xml:space="preserve">  </w:t>
          </w:r>
          <w:r>
            <w:rPr>
              <w:noProof/>
              <w:lang w:val="en-GB" w:eastAsia="en-GB"/>
            </w:rPr>
            <w:drawing>
              <wp:inline distT="0" distB="0" distL="0" distR="0" wp14:anchorId="599B1D65" wp14:editId="2EC39B7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A6E4F" w:rsidRPr="00CA6E4F" w:rsidRDefault="00CA6E4F" w:rsidP="00CA6E4F">
          <w:pPr>
            <w:pStyle w:val="XLarge"/>
            <w:spacing w:before="109"/>
          </w:pPr>
          <w:r>
            <w:t>Secrétariat</w:t>
          </w:r>
        </w:p>
      </w:tc>
      <w:tc>
        <w:tcPr>
          <w:tcW w:w="245" w:type="dxa"/>
          <w:tcBorders>
            <w:top w:val="single" w:sz="4" w:space="0" w:color="auto"/>
            <w:bottom w:val="single" w:sz="12" w:space="0" w:color="auto"/>
          </w:tcBorders>
          <w:shd w:val="clear" w:color="auto" w:fill="auto"/>
        </w:tcPr>
        <w:p w:rsidR="00CA6E4F" w:rsidRPr="00CA6E4F" w:rsidRDefault="00CA6E4F" w:rsidP="00CA6E4F">
          <w:pPr>
            <w:pStyle w:val="Header"/>
            <w:spacing w:before="109"/>
          </w:pPr>
        </w:p>
      </w:tc>
      <w:tc>
        <w:tcPr>
          <w:tcW w:w="3280" w:type="dxa"/>
          <w:tcBorders>
            <w:top w:val="single" w:sz="4" w:space="0" w:color="auto"/>
            <w:bottom w:val="single" w:sz="12" w:space="0" w:color="auto"/>
          </w:tcBorders>
          <w:shd w:val="clear" w:color="auto" w:fill="auto"/>
        </w:tcPr>
        <w:p w:rsidR="00CA6E4F" w:rsidRDefault="00CA6E4F" w:rsidP="00CA6E4F">
          <w:pPr>
            <w:pStyle w:val="Distribution"/>
            <w:rPr>
              <w:color w:val="000000"/>
            </w:rPr>
          </w:pPr>
          <w:r>
            <w:rPr>
              <w:color w:val="000000"/>
            </w:rPr>
            <w:t xml:space="preserve">Distr. </w:t>
          </w:r>
          <w:proofErr w:type="spellStart"/>
          <w:r>
            <w:rPr>
              <w:color w:val="000000"/>
            </w:rPr>
            <w:t>générale</w:t>
          </w:r>
          <w:proofErr w:type="spellEnd"/>
        </w:p>
        <w:p w:rsidR="00CA6E4F" w:rsidRDefault="00CA6E4F" w:rsidP="00CA6E4F">
          <w:pPr>
            <w:pStyle w:val="Publication"/>
            <w:rPr>
              <w:color w:val="000000"/>
            </w:rPr>
          </w:pPr>
          <w:r>
            <w:rPr>
              <w:color w:val="000000"/>
            </w:rPr>
            <w:t xml:space="preserve">8 </w:t>
          </w:r>
          <w:proofErr w:type="spellStart"/>
          <w:r>
            <w:rPr>
              <w:color w:val="000000"/>
            </w:rPr>
            <w:t>septembre</w:t>
          </w:r>
          <w:proofErr w:type="spellEnd"/>
          <w:r>
            <w:rPr>
              <w:color w:val="000000"/>
            </w:rPr>
            <w:t xml:space="preserve"> 2015</w:t>
          </w:r>
        </w:p>
        <w:p w:rsidR="00CA6E4F" w:rsidRDefault="00CA6E4F" w:rsidP="00CA6E4F">
          <w:pPr>
            <w:rPr>
              <w:lang w:val="en-US"/>
            </w:rPr>
          </w:pPr>
          <w:proofErr w:type="spellStart"/>
          <w:r>
            <w:rPr>
              <w:lang w:val="en-US"/>
            </w:rPr>
            <w:t>Français</w:t>
          </w:r>
          <w:proofErr w:type="spellEnd"/>
        </w:p>
        <w:p w:rsidR="00CA6E4F" w:rsidRPr="00CA6E4F" w:rsidRDefault="00CA6E4F" w:rsidP="00CA6E4F">
          <w:pPr>
            <w:pStyle w:val="Original"/>
            <w:rPr>
              <w:color w:val="000000"/>
            </w:rPr>
          </w:pPr>
          <w:r>
            <w:rPr>
              <w:color w:val="000000"/>
            </w:rPr>
            <w:t xml:space="preserve">Original : </w:t>
          </w:r>
          <w:proofErr w:type="spellStart"/>
          <w:r>
            <w:rPr>
              <w:color w:val="000000"/>
            </w:rPr>
            <w:t>anglais</w:t>
          </w:r>
          <w:proofErr w:type="spellEnd"/>
        </w:p>
      </w:tc>
    </w:tr>
  </w:tbl>
  <w:p w:rsidR="00CA6E4F" w:rsidRPr="00CA6E4F" w:rsidRDefault="00CA6E4F" w:rsidP="00CA6E4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C034E"/>
    <w:multiLevelType w:val="hybridMultilevel"/>
    <w:tmpl w:val="8C6A62BE"/>
    <w:lvl w:ilvl="0" w:tplc="3022F25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619AF"/>
    <w:multiLevelType w:val="singleLevel"/>
    <w:tmpl w:val="E9A29692"/>
    <w:lvl w:ilvl="0">
      <w:start w:val="1"/>
      <w:numFmt w:val="decimal"/>
      <w:lvlRestart w:val="0"/>
      <w:lvlText w:val="%1."/>
      <w:lvlJc w:val="left"/>
      <w:pPr>
        <w:tabs>
          <w:tab w:val="num" w:pos="1742"/>
        </w:tabs>
        <w:ind w:left="1267" w:firstLine="0"/>
      </w:pPr>
      <w:rPr>
        <w:w w:val="100"/>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175*"/>
    <w:docVar w:name="CreationDt" w:val="11/19/2015 11:54 AM"/>
    <w:docVar w:name="DocCategory" w:val="Doc"/>
    <w:docVar w:name="DocType" w:val="Final"/>
    <w:docVar w:name="DutyStation" w:val="Geneva"/>
    <w:docVar w:name="FooterJN" w:val="GE.15-15175"/>
    <w:docVar w:name="jobn" w:val="GE.15-15175 (F)"/>
    <w:docVar w:name="jobnDT" w:val="GE.15-15175 (F)   191115"/>
    <w:docVar w:name="jobnDTDT" w:val="GE.15-15175 (F)   191115   191115"/>
    <w:docVar w:name="JobNo" w:val="GE.1515175F"/>
    <w:docVar w:name="JobNo2" w:val="GE.1520274F"/>
    <w:docVar w:name="LocalDrive" w:val="0"/>
    <w:docVar w:name="OandT" w:val="EB"/>
    <w:docVar w:name="PaperSize" w:val="A4"/>
    <w:docVar w:name="sss1" w:val="ST/SG/AC.10/C.3/2015/52"/>
    <w:docVar w:name="sss2" w:val="-"/>
    <w:docVar w:name="Symbol1" w:val="ST/SG/AC.10/C.3/2015/52"/>
    <w:docVar w:name="Symbol2" w:val="-"/>
  </w:docVars>
  <w:rsids>
    <w:rsidRoot w:val="00840DD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6407"/>
    <w:rsid w:val="001A76F3"/>
    <w:rsid w:val="001B5583"/>
    <w:rsid w:val="001B5A24"/>
    <w:rsid w:val="001B78B8"/>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19AE"/>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B5B17"/>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0A3"/>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5EC7"/>
    <w:rsid w:val="004065B7"/>
    <w:rsid w:val="004066EB"/>
    <w:rsid w:val="00406E1E"/>
    <w:rsid w:val="00414C9D"/>
    <w:rsid w:val="00415A2B"/>
    <w:rsid w:val="00416293"/>
    <w:rsid w:val="00417AAB"/>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4A2E"/>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20A2"/>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C5ABE"/>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0DD3"/>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D61"/>
    <w:rsid w:val="00932FDF"/>
    <w:rsid w:val="00936529"/>
    <w:rsid w:val="00940B65"/>
    <w:rsid w:val="0094133A"/>
    <w:rsid w:val="0094148D"/>
    <w:rsid w:val="009419AD"/>
    <w:rsid w:val="009444EF"/>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E1"/>
    <w:rsid w:val="009B0BFB"/>
    <w:rsid w:val="009B4398"/>
    <w:rsid w:val="009B4EEC"/>
    <w:rsid w:val="009C1815"/>
    <w:rsid w:val="009C5249"/>
    <w:rsid w:val="009C69BA"/>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4D4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42DD"/>
    <w:rsid w:val="00A45E20"/>
    <w:rsid w:val="00A46DB8"/>
    <w:rsid w:val="00A52DF2"/>
    <w:rsid w:val="00A54A5E"/>
    <w:rsid w:val="00A55810"/>
    <w:rsid w:val="00A56CDD"/>
    <w:rsid w:val="00A56E3B"/>
    <w:rsid w:val="00A57C5A"/>
    <w:rsid w:val="00A64AD2"/>
    <w:rsid w:val="00A72C1F"/>
    <w:rsid w:val="00A72F5E"/>
    <w:rsid w:val="00A75482"/>
    <w:rsid w:val="00A761B5"/>
    <w:rsid w:val="00A81AEB"/>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879F4"/>
    <w:rsid w:val="00B932C8"/>
    <w:rsid w:val="00B93B31"/>
    <w:rsid w:val="00B9457F"/>
    <w:rsid w:val="00B965BF"/>
    <w:rsid w:val="00BA06B1"/>
    <w:rsid w:val="00BA3125"/>
    <w:rsid w:val="00BA3654"/>
    <w:rsid w:val="00BA600B"/>
    <w:rsid w:val="00BB60B9"/>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6E4F"/>
    <w:rsid w:val="00CA789C"/>
    <w:rsid w:val="00CB016F"/>
    <w:rsid w:val="00CB0CBE"/>
    <w:rsid w:val="00CB1C6D"/>
    <w:rsid w:val="00CB2393"/>
    <w:rsid w:val="00CB5956"/>
    <w:rsid w:val="00CB60A9"/>
    <w:rsid w:val="00CC3EAA"/>
    <w:rsid w:val="00CD4A8B"/>
    <w:rsid w:val="00CE1548"/>
    <w:rsid w:val="00CE3799"/>
    <w:rsid w:val="00CE4AA9"/>
    <w:rsid w:val="00CE5477"/>
    <w:rsid w:val="00CE5FD2"/>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4C6"/>
    <w:rsid w:val="00F14729"/>
    <w:rsid w:val="00F14ED7"/>
    <w:rsid w:val="00F150D6"/>
    <w:rsid w:val="00F17670"/>
    <w:rsid w:val="00F17A90"/>
    <w:rsid w:val="00F2031D"/>
    <w:rsid w:val="00F21207"/>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List Number 4"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A6E4F"/>
    <w:rPr>
      <w:sz w:val="16"/>
      <w:szCs w:val="16"/>
    </w:rPr>
  </w:style>
  <w:style w:type="paragraph" w:styleId="CommentText">
    <w:name w:val="annotation text"/>
    <w:basedOn w:val="Normal"/>
    <w:link w:val="CommentTextChar"/>
    <w:uiPriority w:val="99"/>
    <w:semiHidden/>
    <w:unhideWhenUsed/>
    <w:rsid w:val="00CA6E4F"/>
    <w:pPr>
      <w:spacing w:line="240" w:lineRule="auto"/>
    </w:pPr>
    <w:rPr>
      <w:szCs w:val="20"/>
    </w:rPr>
  </w:style>
  <w:style w:type="character" w:customStyle="1" w:styleId="CommentTextChar">
    <w:name w:val="Comment Text Char"/>
    <w:basedOn w:val="DefaultParagraphFont"/>
    <w:link w:val="CommentText"/>
    <w:uiPriority w:val="99"/>
    <w:semiHidden/>
    <w:rsid w:val="00CA6E4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A6E4F"/>
    <w:rPr>
      <w:b/>
      <w:bCs/>
    </w:rPr>
  </w:style>
  <w:style w:type="character" w:customStyle="1" w:styleId="CommentSubjectChar">
    <w:name w:val="Comment Subject Char"/>
    <w:basedOn w:val="CommentTextChar"/>
    <w:link w:val="CommentSubject"/>
    <w:uiPriority w:val="99"/>
    <w:semiHidden/>
    <w:rsid w:val="00CA6E4F"/>
    <w:rPr>
      <w:rFonts w:ascii="Times New Roman" w:hAnsi="Times New Roman"/>
      <w:b/>
      <w:bCs/>
      <w:spacing w:val="4"/>
      <w:w w:val="103"/>
      <w:kern w:val="14"/>
      <w:lang w:val="fr-CA"/>
    </w:rPr>
  </w:style>
  <w:style w:type="paragraph" w:styleId="ListNumber4">
    <w:name w:val="List Number 4"/>
    <w:basedOn w:val="Normal"/>
    <w:semiHidden/>
    <w:rsid w:val="00417AAB"/>
    <w:pPr>
      <w:numPr>
        <w:numId w:val="8"/>
      </w:numPr>
      <w:suppressAutoHyphens/>
      <w:spacing w:line="240" w:lineRule="atLeast"/>
    </w:pPr>
    <w:rPr>
      <w:rFonts w:eastAsia="Times New Roman"/>
      <w:spacing w:val="0"/>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List Number 4"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A6E4F"/>
    <w:rPr>
      <w:sz w:val="16"/>
      <w:szCs w:val="16"/>
    </w:rPr>
  </w:style>
  <w:style w:type="paragraph" w:styleId="CommentText">
    <w:name w:val="annotation text"/>
    <w:basedOn w:val="Normal"/>
    <w:link w:val="CommentTextChar"/>
    <w:uiPriority w:val="99"/>
    <w:semiHidden/>
    <w:unhideWhenUsed/>
    <w:rsid w:val="00CA6E4F"/>
    <w:pPr>
      <w:spacing w:line="240" w:lineRule="auto"/>
    </w:pPr>
    <w:rPr>
      <w:szCs w:val="20"/>
    </w:rPr>
  </w:style>
  <w:style w:type="character" w:customStyle="1" w:styleId="CommentTextChar">
    <w:name w:val="Comment Text Char"/>
    <w:basedOn w:val="DefaultParagraphFont"/>
    <w:link w:val="CommentText"/>
    <w:uiPriority w:val="99"/>
    <w:semiHidden/>
    <w:rsid w:val="00CA6E4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A6E4F"/>
    <w:rPr>
      <w:b/>
      <w:bCs/>
    </w:rPr>
  </w:style>
  <w:style w:type="character" w:customStyle="1" w:styleId="CommentSubjectChar">
    <w:name w:val="Comment Subject Char"/>
    <w:basedOn w:val="CommentTextChar"/>
    <w:link w:val="CommentSubject"/>
    <w:uiPriority w:val="99"/>
    <w:semiHidden/>
    <w:rsid w:val="00CA6E4F"/>
    <w:rPr>
      <w:rFonts w:ascii="Times New Roman" w:hAnsi="Times New Roman"/>
      <w:b/>
      <w:bCs/>
      <w:spacing w:val="4"/>
      <w:w w:val="103"/>
      <w:kern w:val="14"/>
      <w:lang w:val="fr-CA"/>
    </w:rPr>
  </w:style>
  <w:style w:type="paragraph" w:styleId="ListNumber4">
    <w:name w:val="List Number 4"/>
    <w:basedOn w:val="Normal"/>
    <w:semiHidden/>
    <w:rsid w:val="00417AAB"/>
    <w:pPr>
      <w:numPr>
        <w:numId w:val="8"/>
      </w:numPr>
      <w:suppressAutoHyphens/>
      <w:spacing w:line="240" w:lineRule="atLeast"/>
    </w:pPr>
    <w:rPr>
      <w:rFonts w:eastAsia="Times New Roman"/>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16">
      <w:bodyDiv w:val="1"/>
      <w:marLeft w:val="0"/>
      <w:marRight w:val="0"/>
      <w:marTop w:val="0"/>
      <w:marBottom w:val="0"/>
      <w:divBdr>
        <w:top w:val="none" w:sz="0" w:space="0" w:color="auto"/>
        <w:left w:val="none" w:sz="0" w:space="0" w:color="auto"/>
        <w:bottom w:val="none" w:sz="0" w:space="0" w:color="auto"/>
        <w:right w:val="none" w:sz="0" w:space="0" w:color="auto"/>
      </w:divBdr>
    </w:div>
    <w:div w:id="1714190800">
      <w:bodyDiv w:val="1"/>
      <w:marLeft w:val="0"/>
      <w:marRight w:val="0"/>
      <w:marTop w:val="0"/>
      <w:marBottom w:val="0"/>
      <w:divBdr>
        <w:top w:val="none" w:sz="0" w:space="0" w:color="auto"/>
        <w:left w:val="none" w:sz="0" w:space="0" w:color="auto"/>
        <w:bottom w:val="none" w:sz="0" w:space="0" w:color="auto"/>
        <w:right w:val="none" w:sz="0" w:space="0" w:color="auto"/>
      </w:divBdr>
    </w:div>
    <w:div w:id="1968008745">
      <w:bodyDiv w:val="1"/>
      <w:marLeft w:val="0"/>
      <w:marRight w:val="0"/>
      <w:marTop w:val="0"/>
      <w:marBottom w:val="0"/>
      <w:divBdr>
        <w:top w:val="none" w:sz="0" w:space="0" w:color="auto"/>
        <w:left w:val="none" w:sz="0" w:space="0" w:color="auto"/>
        <w:bottom w:val="none" w:sz="0" w:space="0" w:color="auto"/>
        <w:right w:val="none" w:sz="0" w:space="0" w:color="auto"/>
      </w:divBdr>
    </w:div>
    <w:div w:id="21194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9908-B0DB-4826-A5A0-49AB31C4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Laurence Berthet</cp:lastModifiedBy>
  <cp:revision>3</cp:revision>
  <cp:lastPrinted>2015-11-19T15:04:00Z</cp:lastPrinted>
  <dcterms:created xsi:type="dcterms:W3CDTF">2015-11-19T15:04:00Z</dcterms:created>
  <dcterms:modified xsi:type="dcterms:W3CDTF">2015-11-19T15:04:00Z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1515175F</vt:lpwstr>
  </property>
  <property fmtid="{D5CDD505-2E9C-101B-9397-08002B2CF9AE}" pid="3" name="ODSRefJobNo">
    <vt:lpwstr>1520274F</vt:lpwstr>
  </property>
  <property fmtid="{D5CDD505-2E9C-101B-9397-08002B2CF9AE}" pid="4" name="Symbol1">
    <vt:lpwstr>ST/SG/AC.10/C.3/2015/52</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septembre 2015</vt:lpwstr>
  </property>
  <property fmtid="{D5CDD505-2E9C-101B-9397-08002B2CF9AE}" pid="12" name="Original">
    <vt:lpwstr>anglais</vt:lpwstr>
  </property>
  <property fmtid="{D5CDD505-2E9C-101B-9397-08002B2CF9AE}" pid="13" name="Release Date">
    <vt:lpwstr>191115</vt:lpwstr>
  </property>
</Properties>
</file>