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EC" w:rsidRDefault="00C36BEC" w:rsidP="00C36BEC">
      <w:pPr>
        <w:spacing w:line="240" w:lineRule="auto"/>
        <w:rPr>
          <w:sz w:val="2"/>
        </w:rPr>
        <w:sectPr w:rsidR="00C36BEC" w:rsidSect="00C36B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:rsidR="00452590" w:rsidRDefault="00452590" w:rsidP="007920C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A4E9A">
        <w:rPr>
          <w:lang w:val="fr-CH"/>
        </w:rPr>
        <w:lastRenderedPageBreak/>
        <w:t>Comité d</w:t>
      </w:r>
      <w:r>
        <w:rPr>
          <w:lang w:val="fr-CH"/>
        </w:rPr>
        <w:t>’</w:t>
      </w:r>
      <w:r w:rsidRPr="006A4E9A">
        <w:rPr>
          <w:lang w:val="fr-CH"/>
        </w:rPr>
        <w:t xml:space="preserve">experts du transport des marchandises </w:t>
      </w:r>
      <w:r w:rsidR="007920C2">
        <w:rPr>
          <w:lang w:val="fr-CH"/>
        </w:rPr>
        <w:br/>
      </w:r>
      <w:r w:rsidRPr="006A4E9A">
        <w:rPr>
          <w:lang w:val="fr-CH"/>
        </w:rPr>
        <w:t>dangereuses</w:t>
      </w:r>
      <w:r w:rsidR="007920C2">
        <w:rPr>
          <w:lang w:val="fr-CH"/>
        </w:rPr>
        <w:t xml:space="preserve"> </w:t>
      </w:r>
      <w:r w:rsidRPr="006A4E9A">
        <w:rPr>
          <w:lang w:val="fr-CH"/>
        </w:rPr>
        <w:t xml:space="preserve">et du Système général harmonisé </w:t>
      </w:r>
      <w:r w:rsidR="007920C2">
        <w:rPr>
          <w:lang w:val="fr-CH"/>
        </w:rPr>
        <w:br/>
      </w:r>
      <w:r w:rsidRPr="006A4E9A">
        <w:rPr>
          <w:lang w:val="fr-CH"/>
        </w:rPr>
        <w:t>de classification</w:t>
      </w:r>
      <w:r w:rsidR="007920C2">
        <w:rPr>
          <w:lang w:val="fr-CH"/>
        </w:rPr>
        <w:t xml:space="preserve"> </w:t>
      </w:r>
      <w:r w:rsidRPr="006A4E9A">
        <w:rPr>
          <w:lang w:val="fr-CH"/>
        </w:rPr>
        <w:t>et d</w:t>
      </w:r>
      <w:r>
        <w:rPr>
          <w:lang w:val="fr-CH"/>
        </w:rPr>
        <w:t>’</w:t>
      </w:r>
      <w:r w:rsidRPr="006A4E9A">
        <w:rPr>
          <w:lang w:val="fr-CH"/>
        </w:rPr>
        <w:t>étiquetage des produits chimiques</w:t>
      </w:r>
    </w:p>
    <w:p w:rsidR="007920C2" w:rsidRPr="007920C2" w:rsidRDefault="007920C2" w:rsidP="007920C2">
      <w:pPr>
        <w:spacing w:line="120" w:lineRule="exact"/>
        <w:rPr>
          <w:sz w:val="10"/>
          <w:lang w:val="fr-CH"/>
        </w:rPr>
      </w:pPr>
    </w:p>
    <w:p w:rsidR="00452590" w:rsidRDefault="00452590" w:rsidP="007920C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6A4E9A">
        <w:rPr>
          <w:lang w:val="fr-CH"/>
        </w:rPr>
        <w:t>Sous-Comité d</w:t>
      </w:r>
      <w:r>
        <w:rPr>
          <w:lang w:val="fr-CH"/>
        </w:rPr>
        <w:t>’</w:t>
      </w:r>
      <w:r w:rsidRPr="006A4E9A">
        <w:rPr>
          <w:lang w:val="fr-CH"/>
        </w:rPr>
        <w:t>experts du transport des marchandises dangereuses</w:t>
      </w:r>
    </w:p>
    <w:p w:rsidR="007920C2" w:rsidRPr="007920C2" w:rsidRDefault="007920C2" w:rsidP="007920C2">
      <w:pPr>
        <w:pStyle w:val="SingleTxt"/>
        <w:spacing w:after="0" w:line="120" w:lineRule="exact"/>
        <w:rPr>
          <w:sz w:val="10"/>
          <w:lang w:val="fr-CH"/>
        </w:rPr>
      </w:pPr>
    </w:p>
    <w:p w:rsidR="00452590" w:rsidRPr="006A4E9A" w:rsidRDefault="00452590" w:rsidP="007920C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6A4E9A">
        <w:rPr>
          <w:lang w:val="fr-CH"/>
        </w:rPr>
        <w:t>Quarante-huitième session</w:t>
      </w:r>
    </w:p>
    <w:p w:rsidR="00452590" w:rsidRPr="006A4E9A" w:rsidRDefault="007920C2" w:rsidP="007920C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>
        <w:rPr>
          <w:lang w:val="fr-CH"/>
        </w:rPr>
        <w:t xml:space="preserve">Genève, 30 novembre-9 décembre </w:t>
      </w:r>
      <w:r w:rsidR="00452590" w:rsidRPr="006A4E9A">
        <w:rPr>
          <w:lang w:val="fr-CH"/>
        </w:rPr>
        <w:t>2015</w:t>
      </w:r>
    </w:p>
    <w:p w:rsidR="00452590" w:rsidRPr="006A4E9A" w:rsidRDefault="00452590" w:rsidP="007920C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  <w:lang w:val="fr-CH"/>
        </w:rPr>
      </w:pPr>
      <w:r w:rsidRPr="006A4E9A">
        <w:rPr>
          <w:lang w:val="fr-CH"/>
        </w:rPr>
        <w:t>Point 4 d) de l</w:t>
      </w:r>
      <w:r>
        <w:rPr>
          <w:lang w:val="fr-CH"/>
        </w:rPr>
        <w:t>’</w:t>
      </w:r>
      <w:r w:rsidRPr="006A4E9A">
        <w:rPr>
          <w:lang w:val="fr-CH"/>
        </w:rPr>
        <w:t>ordre du jour provisoire</w:t>
      </w:r>
      <w:r w:rsidRPr="006A4E9A">
        <w:rPr>
          <w:b/>
          <w:lang w:val="fr-CH"/>
        </w:rPr>
        <w:t xml:space="preserve"> </w:t>
      </w:r>
    </w:p>
    <w:p w:rsidR="00452590" w:rsidRDefault="00452590" w:rsidP="007920C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6A4E9A">
        <w:rPr>
          <w:lang w:val="fr-CH"/>
        </w:rPr>
        <w:t>Systèmes de stockage de l</w:t>
      </w:r>
      <w:r>
        <w:rPr>
          <w:lang w:val="fr-CH"/>
        </w:rPr>
        <w:t>’</w:t>
      </w:r>
      <w:r w:rsidRPr="006A4E9A">
        <w:rPr>
          <w:lang w:val="fr-CH"/>
        </w:rPr>
        <w:t>électricité</w:t>
      </w:r>
      <w:r w:rsidR="00E51221">
        <w:rPr>
          <w:lang w:val="fr-CH"/>
        </w:rPr>
        <w:t> </w:t>
      </w:r>
      <w:r w:rsidRPr="006A4E9A">
        <w:rPr>
          <w:lang w:val="fr-CH"/>
        </w:rPr>
        <w:t>: divers</w:t>
      </w:r>
    </w:p>
    <w:p w:rsidR="007920C2" w:rsidRPr="007920C2" w:rsidRDefault="007920C2" w:rsidP="007920C2">
      <w:pPr>
        <w:pStyle w:val="SingleTxt"/>
        <w:spacing w:after="0" w:line="120" w:lineRule="exact"/>
        <w:rPr>
          <w:sz w:val="10"/>
          <w:lang w:val="fr-CH"/>
        </w:rPr>
      </w:pPr>
    </w:p>
    <w:p w:rsidR="007920C2" w:rsidRPr="007920C2" w:rsidRDefault="007920C2" w:rsidP="007920C2">
      <w:pPr>
        <w:pStyle w:val="SingleTxt"/>
        <w:spacing w:after="0" w:line="120" w:lineRule="exact"/>
        <w:rPr>
          <w:sz w:val="10"/>
          <w:lang w:val="fr-CH"/>
        </w:rPr>
      </w:pPr>
    </w:p>
    <w:p w:rsidR="007920C2" w:rsidRPr="007920C2" w:rsidRDefault="007920C2" w:rsidP="007920C2">
      <w:pPr>
        <w:pStyle w:val="SingleTxt"/>
        <w:spacing w:after="0" w:line="120" w:lineRule="exact"/>
        <w:rPr>
          <w:sz w:val="10"/>
          <w:lang w:val="fr-CH"/>
        </w:rPr>
      </w:pPr>
    </w:p>
    <w:p w:rsidR="00452590" w:rsidRDefault="00452590" w:rsidP="007920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6A4E9A">
        <w:rPr>
          <w:lang w:val="fr-CH"/>
        </w:rPr>
        <w:tab/>
      </w:r>
      <w:r w:rsidRPr="006A4E9A">
        <w:rPr>
          <w:lang w:val="fr-CH"/>
        </w:rPr>
        <w:tab/>
      </w:r>
      <w:bookmarkStart w:id="1" w:name="_GoBack"/>
      <w:r w:rsidRPr="006A4E9A">
        <w:rPr>
          <w:lang w:val="fr-CH"/>
        </w:rPr>
        <w:t xml:space="preserve">Transport de batteries au lithium endommagées </w:t>
      </w:r>
      <w:r w:rsidR="007920C2">
        <w:rPr>
          <w:lang w:val="fr-CH"/>
        </w:rPr>
        <w:br/>
      </w:r>
      <w:r w:rsidRPr="006A4E9A">
        <w:rPr>
          <w:lang w:val="fr-CH"/>
        </w:rPr>
        <w:t xml:space="preserve">ou défectueuses </w:t>
      </w:r>
      <w:bookmarkEnd w:id="1"/>
    </w:p>
    <w:p w:rsidR="007920C2" w:rsidRPr="007920C2" w:rsidRDefault="007920C2" w:rsidP="007920C2">
      <w:pPr>
        <w:pStyle w:val="SingleTxt"/>
        <w:spacing w:after="0" w:line="120" w:lineRule="exact"/>
        <w:rPr>
          <w:sz w:val="10"/>
          <w:lang w:val="fr-CH"/>
        </w:rPr>
      </w:pPr>
    </w:p>
    <w:p w:rsidR="007920C2" w:rsidRPr="007920C2" w:rsidRDefault="007920C2" w:rsidP="007920C2">
      <w:pPr>
        <w:pStyle w:val="SingleTxt"/>
        <w:spacing w:after="0" w:line="120" w:lineRule="exact"/>
        <w:rPr>
          <w:sz w:val="10"/>
          <w:lang w:val="fr-CH"/>
        </w:rPr>
      </w:pPr>
    </w:p>
    <w:p w:rsidR="00452590" w:rsidRDefault="00452590" w:rsidP="007920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6A4E9A">
        <w:rPr>
          <w:lang w:val="fr-CH"/>
        </w:rPr>
        <w:tab/>
      </w:r>
      <w:r w:rsidRPr="006A4E9A">
        <w:tab/>
      </w:r>
      <w:r w:rsidRPr="006A4E9A">
        <w:rPr>
          <w:lang w:val="fr-CH"/>
        </w:rPr>
        <w:t>Communication de l</w:t>
      </w:r>
      <w:r>
        <w:rPr>
          <w:lang w:val="fr-CH"/>
        </w:rPr>
        <w:t>’</w:t>
      </w:r>
      <w:r w:rsidRPr="006A4E9A">
        <w:rPr>
          <w:lang w:val="fr-CH"/>
        </w:rPr>
        <w:t xml:space="preserve">Organisation internationale </w:t>
      </w:r>
      <w:r w:rsidR="007920C2">
        <w:rPr>
          <w:lang w:val="fr-CH"/>
        </w:rPr>
        <w:br/>
      </w:r>
      <w:r w:rsidRPr="006A4E9A">
        <w:rPr>
          <w:lang w:val="fr-CH"/>
        </w:rPr>
        <w:t>des constructeurs d</w:t>
      </w:r>
      <w:r>
        <w:rPr>
          <w:lang w:val="fr-CH"/>
        </w:rPr>
        <w:t>’</w:t>
      </w:r>
      <w:r w:rsidRPr="006A4E9A">
        <w:rPr>
          <w:lang w:val="fr-CH"/>
        </w:rPr>
        <w:t>automobiles (OICA)</w:t>
      </w:r>
      <w:r w:rsidR="007920C2" w:rsidRPr="007920C2">
        <w:rPr>
          <w:rStyle w:val="FootnoteReference"/>
          <w:b w:val="0"/>
          <w:sz w:val="20"/>
          <w:szCs w:val="20"/>
          <w:lang w:val="fr-CH"/>
        </w:rPr>
        <w:footnoteReference w:id="1"/>
      </w:r>
    </w:p>
    <w:p w:rsidR="007920C2" w:rsidRPr="007920C2" w:rsidRDefault="007920C2" w:rsidP="007920C2">
      <w:pPr>
        <w:pStyle w:val="SingleTxt"/>
        <w:spacing w:after="0" w:line="120" w:lineRule="exact"/>
        <w:rPr>
          <w:sz w:val="10"/>
          <w:lang w:val="fr-CH"/>
        </w:rPr>
      </w:pPr>
    </w:p>
    <w:p w:rsidR="007920C2" w:rsidRPr="007920C2" w:rsidRDefault="007920C2" w:rsidP="007920C2">
      <w:pPr>
        <w:pStyle w:val="SingleTxt"/>
        <w:spacing w:after="0" w:line="120" w:lineRule="exact"/>
        <w:rPr>
          <w:sz w:val="10"/>
          <w:lang w:val="fr-CH"/>
        </w:rPr>
      </w:pPr>
    </w:p>
    <w:p w:rsidR="00452590" w:rsidRDefault="00452590" w:rsidP="007920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6A4E9A">
        <w:rPr>
          <w:lang w:val="fr-CH"/>
        </w:rPr>
        <w:tab/>
      </w:r>
      <w:r w:rsidRPr="006A4E9A">
        <w:rPr>
          <w:lang w:val="fr-CH"/>
        </w:rPr>
        <w:tab/>
        <w:t xml:space="preserve">Introduction </w:t>
      </w:r>
    </w:p>
    <w:p w:rsidR="007920C2" w:rsidRPr="007920C2" w:rsidRDefault="007920C2" w:rsidP="007920C2">
      <w:pPr>
        <w:pStyle w:val="SingleTxt"/>
        <w:spacing w:after="0" w:line="120" w:lineRule="exact"/>
        <w:rPr>
          <w:sz w:val="10"/>
          <w:lang w:val="fr-CH"/>
        </w:rPr>
      </w:pPr>
    </w:p>
    <w:p w:rsidR="007920C2" w:rsidRPr="007920C2" w:rsidRDefault="007920C2" w:rsidP="007920C2">
      <w:pPr>
        <w:pStyle w:val="SingleTxt"/>
        <w:spacing w:after="0" w:line="120" w:lineRule="exact"/>
        <w:rPr>
          <w:sz w:val="10"/>
          <w:lang w:val="fr-CH"/>
        </w:rPr>
      </w:pPr>
    </w:p>
    <w:p w:rsidR="00452590" w:rsidRPr="006A4E9A" w:rsidRDefault="00452590" w:rsidP="0073406E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A4E9A">
        <w:rPr>
          <w:lang w:val="fr-CH"/>
        </w:rPr>
        <w:t>La disposition spéciale 376 permet deux façons de transporter les batteries au lithium, soit en appliquant les instructions d</w:t>
      </w:r>
      <w:r>
        <w:rPr>
          <w:lang w:val="fr-CH"/>
        </w:rPr>
        <w:t>’</w:t>
      </w:r>
      <w:r w:rsidRPr="006A4E9A">
        <w:rPr>
          <w:lang w:val="fr-CH"/>
        </w:rPr>
        <w:t>emballage P908 et LP904, soit, en</w:t>
      </w:r>
      <w:r w:rsidR="00E51221">
        <w:rPr>
          <w:lang w:val="fr-CH"/>
        </w:rPr>
        <w:t xml:space="preserve"> </w:t>
      </w:r>
      <w:r w:rsidRPr="006A4E9A">
        <w:rPr>
          <w:lang w:val="fr-CH"/>
        </w:rPr>
        <w:t>ce qui concerne le transport de batteries endommagées ou défectueuses potentiellement à risque, avec l</w:t>
      </w:r>
      <w:r>
        <w:rPr>
          <w:lang w:val="fr-CH"/>
        </w:rPr>
        <w:t>’</w:t>
      </w:r>
      <w:r w:rsidRPr="006A4E9A">
        <w:rPr>
          <w:lang w:val="fr-CH"/>
        </w:rPr>
        <w:t>agrément de l</w:t>
      </w:r>
      <w:r>
        <w:rPr>
          <w:lang w:val="fr-CH"/>
        </w:rPr>
        <w:t>’</w:t>
      </w:r>
      <w:r w:rsidR="00A22804">
        <w:rPr>
          <w:lang w:val="fr-CH"/>
        </w:rPr>
        <w:t>autorité compétente.</w:t>
      </w:r>
    </w:p>
    <w:p w:rsidR="00452590" w:rsidRPr="006A4E9A" w:rsidRDefault="00452590" w:rsidP="0073406E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A4E9A">
        <w:rPr>
          <w:lang w:val="fr-CH"/>
        </w:rPr>
        <w:t>Plusieurs agréments ont été donnés à ce jour par des autorités compétentes pour différentes solutions de transport utilisant des emballages basés sur diverses méthodes d</w:t>
      </w:r>
      <w:r>
        <w:rPr>
          <w:lang w:val="fr-CH"/>
        </w:rPr>
        <w:t>’</w:t>
      </w:r>
      <w:r w:rsidR="00A22804">
        <w:rPr>
          <w:lang w:val="fr-CH"/>
        </w:rPr>
        <w:t>épreuve et de calcul.</w:t>
      </w:r>
    </w:p>
    <w:p w:rsidR="00452590" w:rsidRPr="006A4E9A" w:rsidRDefault="00452590" w:rsidP="0073406E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A4E9A">
        <w:rPr>
          <w:lang w:val="fr-CH"/>
        </w:rPr>
        <w:t>Des membres de l</w:t>
      </w:r>
      <w:r>
        <w:rPr>
          <w:lang w:val="fr-CH"/>
        </w:rPr>
        <w:t>’</w:t>
      </w:r>
      <w:r w:rsidRPr="006A4E9A">
        <w:rPr>
          <w:lang w:val="fr-CH"/>
        </w:rPr>
        <w:t>OICA se sont penchés sur les agréments connus qui ont été donnés jusqu</w:t>
      </w:r>
      <w:r>
        <w:rPr>
          <w:lang w:val="fr-CH"/>
        </w:rPr>
        <w:t>’</w:t>
      </w:r>
      <w:r w:rsidRPr="006A4E9A">
        <w:rPr>
          <w:lang w:val="fr-CH"/>
        </w:rPr>
        <w:t xml:space="preserve">à présent par des autorités compétentes de différents pays et ils y ont trouvé </w:t>
      </w:r>
      <w:r w:rsidR="00A22804">
        <w:rPr>
          <w:lang w:val="fr-CH"/>
        </w:rPr>
        <w:t>de nombreuses similitudes.</w:t>
      </w:r>
    </w:p>
    <w:p w:rsidR="00452590" w:rsidRDefault="00452590" w:rsidP="0073406E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A4E9A">
        <w:rPr>
          <w:lang w:val="fr-CH"/>
        </w:rPr>
        <w:t xml:space="preserve">La liste de </w:t>
      </w:r>
      <w:proofErr w:type="gramStart"/>
      <w:r w:rsidRPr="006A4E9A">
        <w:rPr>
          <w:lang w:val="fr-CH"/>
        </w:rPr>
        <w:t>mesures</w:t>
      </w:r>
      <w:proofErr w:type="gramEnd"/>
      <w:r w:rsidRPr="006A4E9A">
        <w:rPr>
          <w:lang w:val="fr-CH"/>
        </w:rPr>
        <w:t xml:space="preserve"> ci-joint a été établie sur la base de l</w:t>
      </w:r>
      <w:r>
        <w:rPr>
          <w:lang w:val="fr-CH"/>
        </w:rPr>
        <w:t>’</w:t>
      </w:r>
      <w:r w:rsidRPr="006A4E9A">
        <w:rPr>
          <w:lang w:val="fr-CH"/>
        </w:rPr>
        <w:t>expérience acquise jusqu</w:t>
      </w:r>
      <w:r>
        <w:rPr>
          <w:lang w:val="fr-CH"/>
        </w:rPr>
        <w:t>’</w:t>
      </w:r>
      <w:r w:rsidRPr="006A4E9A">
        <w:rPr>
          <w:lang w:val="fr-CH"/>
        </w:rPr>
        <w:t>à présent. Elle a été présentée aux experts participants à la deuxième réunion du Groupe de travail informel sur les batteries au lithium et le Manuel d</w:t>
      </w:r>
      <w:r>
        <w:rPr>
          <w:lang w:val="fr-CH"/>
        </w:rPr>
        <w:t>’</w:t>
      </w:r>
      <w:r w:rsidRPr="006A4E9A">
        <w:rPr>
          <w:lang w:val="fr-CH"/>
        </w:rPr>
        <w:t>épreuves et de critères. Comme elles ne relèvent pas directement de son mandat, le Groupe de travail a conseillé à l</w:t>
      </w:r>
      <w:r>
        <w:rPr>
          <w:lang w:val="fr-CH"/>
        </w:rPr>
        <w:t>’</w:t>
      </w:r>
      <w:r w:rsidRPr="006A4E9A">
        <w:rPr>
          <w:lang w:val="fr-CH"/>
        </w:rPr>
        <w:t>OICA d</w:t>
      </w:r>
      <w:r>
        <w:rPr>
          <w:lang w:val="fr-CH"/>
        </w:rPr>
        <w:t>’</w:t>
      </w:r>
      <w:r w:rsidRPr="006A4E9A">
        <w:rPr>
          <w:lang w:val="fr-CH"/>
        </w:rPr>
        <w:t>établir un projet de document à l</w:t>
      </w:r>
      <w:r>
        <w:rPr>
          <w:lang w:val="fr-CH"/>
        </w:rPr>
        <w:t>’</w:t>
      </w:r>
      <w:r w:rsidRPr="006A4E9A">
        <w:rPr>
          <w:lang w:val="fr-CH"/>
        </w:rPr>
        <w:t xml:space="preserve">intention du Sous-Comité. </w:t>
      </w:r>
    </w:p>
    <w:p w:rsidR="001F57B7" w:rsidRPr="001F57B7" w:rsidRDefault="001F57B7" w:rsidP="001F57B7">
      <w:pPr>
        <w:pStyle w:val="SingleTxt"/>
        <w:spacing w:after="0" w:line="120" w:lineRule="exact"/>
        <w:rPr>
          <w:sz w:val="10"/>
          <w:lang w:val="fr-CH"/>
        </w:rPr>
      </w:pPr>
    </w:p>
    <w:p w:rsidR="001F57B7" w:rsidRPr="001F57B7" w:rsidRDefault="001F57B7" w:rsidP="001F57B7">
      <w:pPr>
        <w:pStyle w:val="SingleTxt"/>
        <w:spacing w:after="0" w:line="120" w:lineRule="exact"/>
        <w:rPr>
          <w:sz w:val="10"/>
          <w:lang w:val="fr-CH"/>
        </w:rPr>
      </w:pPr>
    </w:p>
    <w:p w:rsidR="00452590" w:rsidRDefault="00452590" w:rsidP="001F57B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6A4E9A">
        <w:rPr>
          <w:lang w:val="fr-CH"/>
        </w:rPr>
        <w:lastRenderedPageBreak/>
        <w:tab/>
      </w:r>
      <w:r w:rsidRPr="006A4E9A">
        <w:rPr>
          <w:lang w:val="fr-CH"/>
        </w:rPr>
        <w:tab/>
        <w:t>Proposition</w:t>
      </w:r>
    </w:p>
    <w:p w:rsidR="001F57B7" w:rsidRPr="001F57B7" w:rsidRDefault="001F57B7" w:rsidP="001F57B7">
      <w:pPr>
        <w:pStyle w:val="SingleTxt"/>
        <w:keepNext/>
        <w:keepLines/>
        <w:spacing w:after="0" w:line="120" w:lineRule="exact"/>
        <w:rPr>
          <w:sz w:val="10"/>
          <w:lang w:val="fr-CH"/>
        </w:rPr>
      </w:pPr>
    </w:p>
    <w:p w:rsidR="001F57B7" w:rsidRPr="001F57B7" w:rsidRDefault="001F57B7" w:rsidP="001F57B7">
      <w:pPr>
        <w:pStyle w:val="SingleTxt"/>
        <w:keepNext/>
        <w:keepLines/>
        <w:spacing w:after="0" w:line="120" w:lineRule="exact"/>
        <w:rPr>
          <w:sz w:val="10"/>
          <w:lang w:val="fr-CH"/>
        </w:rPr>
      </w:pPr>
    </w:p>
    <w:p w:rsidR="00452590" w:rsidRPr="006A4E9A" w:rsidRDefault="00452590" w:rsidP="0073406E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A4E9A">
        <w:rPr>
          <w:lang w:val="fr-CH"/>
        </w:rPr>
        <w:t>L</w:t>
      </w:r>
      <w:r>
        <w:rPr>
          <w:lang w:val="fr-CH"/>
        </w:rPr>
        <w:t>’</w:t>
      </w:r>
      <w:r w:rsidRPr="006A4E9A">
        <w:rPr>
          <w:lang w:val="fr-CH"/>
        </w:rPr>
        <w:t>OICA propose d</w:t>
      </w:r>
      <w:r>
        <w:rPr>
          <w:lang w:val="fr-CH"/>
        </w:rPr>
        <w:t>’</w:t>
      </w:r>
      <w:r w:rsidRPr="006A4E9A">
        <w:rPr>
          <w:lang w:val="fr-CH"/>
        </w:rPr>
        <w:t>examiner la possibilité et la nécessité de définir des normes applicables à l</w:t>
      </w:r>
      <w:r>
        <w:rPr>
          <w:lang w:val="fr-CH"/>
        </w:rPr>
        <w:t>’</w:t>
      </w:r>
      <w:r w:rsidRPr="006A4E9A">
        <w:rPr>
          <w:lang w:val="fr-CH"/>
        </w:rPr>
        <w:t>emballage et aux épreuves en relation avec le transport de telles batteries endommagées ou défectueuses potentiellement dangereuses, comme moyen de se passer de l</w:t>
      </w:r>
      <w:r>
        <w:rPr>
          <w:lang w:val="fr-CH"/>
        </w:rPr>
        <w:t>’</w:t>
      </w:r>
      <w:r w:rsidRPr="006A4E9A">
        <w:rPr>
          <w:lang w:val="fr-CH"/>
        </w:rPr>
        <w:t>agrément des autorités compétentes. Dans bien des cas on pourrait pour cela avoir recours à des solutions déjà existantes ayant déjà reçu l</w:t>
      </w:r>
      <w:r>
        <w:rPr>
          <w:lang w:val="fr-CH"/>
        </w:rPr>
        <w:t>’</w:t>
      </w:r>
      <w:r w:rsidRPr="006A4E9A">
        <w:rPr>
          <w:lang w:val="fr-CH"/>
        </w:rPr>
        <w:t>aval des autorités compétentes.</w:t>
      </w:r>
      <w:r w:rsidR="00E51221">
        <w:rPr>
          <w:lang w:val="fr-CH"/>
        </w:rPr>
        <w:t xml:space="preserve"> </w:t>
      </w:r>
    </w:p>
    <w:p w:rsidR="00452590" w:rsidRPr="006A4E9A" w:rsidRDefault="00452590" w:rsidP="001F57B7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A4E9A">
        <w:rPr>
          <w:lang w:val="fr-CH"/>
        </w:rPr>
        <w:t>Les points suivants qui ont été mis en évidence de manière récurrente dans les agréments accordés par des autorités compétentes sont résumés ci-après et méritent d</w:t>
      </w:r>
      <w:r>
        <w:rPr>
          <w:lang w:val="fr-CH"/>
        </w:rPr>
        <w:t>’</w:t>
      </w:r>
      <w:r w:rsidRPr="006A4E9A">
        <w:rPr>
          <w:lang w:val="fr-CH"/>
        </w:rPr>
        <w:t>être examinés. Certains concernent davantage l</w:t>
      </w:r>
      <w:r>
        <w:rPr>
          <w:lang w:val="fr-CH"/>
        </w:rPr>
        <w:t>’</w:t>
      </w:r>
      <w:r w:rsidRPr="006A4E9A">
        <w:rPr>
          <w:lang w:val="fr-CH"/>
        </w:rPr>
        <w:t>emballage alors que d</w:t>
      </w:r>
      <w:r>
        <w:rPr>
          <w:lang w:val="fr-CH"/>
        </w:rPr>
        <w:t>’</w:t>
      </w:r>
      <w:r w:rsidRPr="006A4E9A">
        <w:rPr>
          <w:lang w:val="fr-CH"/>
        </w:rPr>
        <w:t>autres mettent l</w:t>
      </w:r>
      <w:r>
        <w:rPr>
          <w:lang w:val="fr-CH"/>
        </w:rPr>
        <w:t>’</w:t>
      </w:r>
      <w:r w:rsidRPr="006A4E9A">
        <w:rPr>
          <w:lang w:val="fr-CH"/>
        </w:rPr>
        <w:t>accent sur la spécification des épreuves. L</w:t>
      </w:r>
      <w:r>
        <w:rPr>
          <w:lang w:val="fr-CH"/>
        </w:rPr>
        <w:t>’</w:t>
      </w:r>
      <w:r w:rsidRPr="006A4E9A">
        <w:rPr>
          <w:lang w:val="fr-CH"/>
        </w:rPr>
        <w:t>OICA laisse le soin au Sous-Comité de les réviser le cas échéant</w:t>
      </w:r>
      <w:r w:rsidR="00C56315">
        <w:rPr>
          <w:lang w:val="fr-CH"/>
        </w:rPr>
        <w:t> </w:t>
      </w:r>
      <w:r w:rsidRPr="006A4E9A">
        <w:rPr>
          <w:lang w:val="fr-CH"/>
        </w:rPr>
        <w:t xml:space="preserve">: </w:t>
      </w:r>
    </w:p>
    <w:p w:rsidR="00452590" w:rsidRPr="006A4E9A" w:rsidRDefault="0059088D" w:rsidP="0059088D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a)</w:t>
      </w:r>
      <w:r w:rsidR="00452590" w:rsidRPr="006A4E9A">
        <w:rPr>
          <w:lang w:val="fr-CH"/>
        </w:rPr>
        <w:tab/>
        <w:t xml:space="preserve">Toutes les bornes des piles et batteries au lithium doivent être protégées contre les </w:t>
      </w:r>
      <w:proofErr w:type="spellStart"/>
      <w:r w:rsidR="00452590" w:rsidRPr="006A4E9A">
        <w:rPr>
          <w:lang w:val="fr-CH"/>
        </w:rPr>
        <w:t>courts-circuits</w:t>
      </w:r>
      <w:proofErr w:type="spellEnd"/>
      <w:r w:rsidR="00452590" w:rsidRPr="006A4E9A">
        <w:rPr>
          <w:lang w:val="fr-CH"/>
        </w:rPr>
        <w:t xml:space="preserve"> externes</w:t>
      </w:r>
      <w:r w:rsidR="00AC4C85">
        <w:rPr>
          <w:lang w:val="fr-CH"/>
        </w:rPr>
        <w:t>;</w:t>
      </w:r>
    </w:p>
    <w:p w:rsidR="00452590" w:rsidRPr="006A4E9A" w:rsidRDefault="0059088D" w:rsidP="0059088D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b)</w:t>
      </w:r>
      <w:r w:rsidR="00452590" w:rsidRPr="006A4E9A">
        <w:rPr>
          <w:lang w:val="fr-CH"/>
        </w:rPr>
        <w:tab/>
        <w:t>Tous les orifices pour les fluides de service autres que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é</w:t>
      </w:r>
      <w:r w:rsidR="00AC4C85">
        <w:rPr>
          <w:lang w:val="fr-CH"/>
        </w:rPr>
        <w:t>lectrolyte doivent être fermés;</w:t>
      </w:r>
    </w:p>
    <w:p w:rsidR="00452590" w:rsidRPr="006A4E9A" w:rsidRDefault="0059088D" w:rsidP="0059088D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c)</w:t>
      </w:r>
      <w:r w:rsidR="00452590" w:rsidRPr="006A4E9A">
        <w:rPr>
          <w:lang w:val="fr-CH"/>
        </w:rPr>
        <w:tab/>
        <w:t>Les résidus de matières dangereuses ainsi que d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électrolyte présents sur la surface de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 xml:space="preserve">enveloppe extérieure des piles et batteries au lithium doivent être </w:t>
      </w:r>
      <w:r w:rsidR="00AC4C85">
        <w:rPr>
          <w:lang w:val="fr-CH"/>
        </w:rPr>
        <w:t>éliminés;</w:t>
      </w:r>
    </w:p>
    <w:p w:rsidR="00452590" w:rsidRPr="006A4E9A" w:rsidRDefault="0059088D" w:rsidP="0059088D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d)</w:t>
      </w:r>
      <w:r w:rsidR="00452590" w:rsidRPr="006A4E9A">
        <w:rPr>
          <w:lang w:val="fr-CH"/>
        </w:rPr>
        <w:tab/>
        <w:t>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emballage doit satisfaire au niveau d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épreuve du groupe d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emballage I</w:t>
      </w:r>
      <w:r w:rsidR="00AC4C85">
        <w:rPr>
          <w:lang w:val="fr-CH"/>
        </w:rPr>
        <w:t>;</w:t>
      </w:r>
    </w:p>
    <w:p w:rsidR="00452590" w:rsidRPr="006A4E9A" w:rsidRDefault="0059088D" w:rsidP="0059088D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e)</w:t>
      </w:r>
      <w:r w:rsidR="00452590" w:rsidRPr="006A4E9A">
        <w:rPr>
          <w:lang w:val="fr-CH"/>
        </w:rPr>
        <w:tab/>
        <w:t>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emballage doit être capable de résister aux scénarios de risque potentiels liés au type de pile/batterie au lithium quand leur contenu énergétique</w:t>
      </w:r>
      <w:r w:rsidR="00E51221">
        <w:rPr>
          <w:lang w:val="fr-CH"/>
        </w:rPr>
        <w:t xml:space="preserve"> </w:t>
      </w:r>
      <w:r w:rsidR="00452590" w:rsidRPr="006A4E9A">
        <w:rPr>
          <w:lang w:val="fr-CH"/>
        </w:rPr>
        <w:t>est maximal. Les scénarios suivants doivent être envisagés, le cas échéant</w:t>
      </w:r>
      <w:r>
        <w:rPr>
          <w:lang w:val="fr-CH"/>
        </w:rPr>
        <w:t> </w:t>
      </w:r>
      <w:r w:rsidR="00452590" w:rsidRPr="006A4E9A">
        <w:rPr>
          <w:lang w:val="fr-CH"/>
        </w:rPr>
        <w:t>:</w:t>
      </w:r>
    </w:p>
    <w:p w:rsidR="00452590" w:rsidRPr="006A4E9A" w:rsidRDefault="00FE66A9" w:rsidP="00FE66A9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452590" w:rsidRPr="006A4E9A">
        <w:rPr>
          <w:lang w:val="fr-CH"/>
        </w:rPr>
        <w:t>i)</w:t>
      </w:r>
      <w:r w:rsidR="00452590" w:rsidRPr="006A4E9A">
        <w:rPr>
          <w:lang w:val="fr-CH"/>
        </w:rPr>
        <w:tab/>
        <w:t>Démontage rapide</w:t>
      </w:r>
      <w:r w:rsidR="00AC4C85">
        <w:rPr>
          <w:lang w:val="fr-CH"/>
        </w:rPr>
        <w:t>;</w:t>
      </w:r>
    </w:p>
    <w:p w:rsidR="00452590" w:rsidRPr="006A4E9A" w:rsidRDefault="00FE66A9" w:rsidP="00FE66A9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452590" w:rsidRPr="006A4E9A">
        <w:rPr>
          <w:lang w:val="fr-CH"/>
        </w:rPr>
        <w:t>ii)</w:t>
      </w:r>
      <w:r w:rsidR="00452590" w:rsidRPr="006A4E9A">
        <w:rPr>
          <w:lang w:val="fr-CH"/>
        </w:rPr>
        <w:tab/>
        <w:t>Réaction dangereuse</w:t>
      </w:r>
      <w:r w:rsidR="00AC4C85">
        <w:rPr>
          <w:lang w:val="fr-CH"/>
        </w:rPr>
        <w:t>;</w:t>
      </w:r>
    </w:p>
    <w:p w:rsidR="00452590" w:rsidRPr="006A4E9A" w:rsidRDefault="00FE66A9" w:rsidP="00FE66A9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452590" w:rsidRPr="006A4E9A">
        <w:rPr>
          <w:lang w:val="fr-CH"/>
        </w:rPr>
        <w:t>iii)</w:t>
      </w:r>
      <w:r w:rsidR="00452590" w:rsidRPr="006A4E9A">
        <w:rPr>
          <w:lang w:val="fr-CH"/>
        </w:rPr>
        <w:tab/>
        <w:t>Production d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une flamme</w:t>
      </w:r>
      <w:r w:rsidR="00AC4C85">
        <w:rPr>
          <w:lang w:val="fr-CH"/>
        </w:rPr>
        <w:t>;</w:t>
      </w:r>
    </w:p>
    <w:p w:rsidR="00452590" w:rsidRPr="006A4E9A" w:rsidRDefault="00FE66A9" w:rsidP="00FE66A9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452590" w:rsidRPr="006A4E9A">
        <w:rPr>
          <w:lang w:val="fr-CH"/>
        </w:rPr>
        <w:t>iv)</w:t>
      </w:r>
      <w:r w:rsidR="00452590" w:rsidRPr="006A4E9A">
        <w:rPr>
          <w:lang w:val="fr-CH"/>
        </w:rPr>
        <w:tab/>
        <w:t>Dégagement dangereux de chaleur</w:t>
      </w:r>
      <w:r w:rsidR="00AC4C85">
        <w:rPr>
          <w:lang w:val="fr-CH"/>
        </w:rPr>
        <w:t>;</w:t>
      </w:r>
      <w:r w:rsidR="00452590" w:rsidRPr="006A4E9A">
        <w:rPr>
          <w:lang w:val="fr-CH"/>
        </w:rPr>
        <w:t xml:space="preserve"> ou</w:t>
      </w:r>
    </w:p>
    <w:p w:rsidR="00452590" w:rsidRPr="006A4E9A" w:rsidRDefault="00FE66A9" w:rsidP="00FE66A9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452590" w:rsidRPr="006A4E9A">
        <w:rPr>
          <w:lang w:val="fr-CH"/>
        </w:rPr>
        <w:t>v)</w:t>
      </w:r>
      <w:r w:rsidR="00452590" w:rsidRPr="006A4E9A">
        <w:rPr>
          <w:lang w:val="fr-CH"/>
        </w:rPr>
        <w:tab/>
        <w:t xml:space="preserve">Émission de gaz ou de vapeurs ayant des effets toxiques aigus, corrosifs ou </w:t>
      </w:r>
      <w:r w:rsidR="00AC4C85">
        <w:rPr>
          <w:lang w:val="fr-CH"/>
        </w:rPr>
        <w:t>inflammables;</w:t>
      </w:r>
    </w:p>
    <w:p w:rsidR="00452590" w:rsidRPr="006A4E9A" w:rsidRDefault="0059088D" w:rsidP="0059088D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f)</w:t>
      </w:r>
      <w:r w:rsidR="00452590" w:rsidRPr="006A4E9A">
        <w:rPr>
          <w:lang w:val="fr-CH"/>
        </w:rPr>
        <w:tab/>
        <w:t>Il faut vérifier que dans tous ces cas</w:t>
      </w:r>
      <w:r>
        <w:rPr>
          <w:lang w:val="fr-CH"/>
        </w:rPr>
        <w:t> </w:t>
      </w:r>
      <w:r w:rsidR="00452590" w:rsidRPr="006A4E9A">
        <w:rPr>
          <w:lang w:val="fr-CH"/>
        </w:rPr>
        <w:t>:</w:t>
      </w:r>
    </w:p>
    <w:p w:rsidR="00452590" w:rsidRPr="006A4E9A" w:rsidRDefault="00FE66A9" w:rsidP="00FE66A9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452590" w:rsidRPr="006A4E9A">
        <w:rPr>
          <w:lang w:val="fr-CH"/>
        </w:rPr>
        <w:t>i)</w:t>
      </w:r>
      <w:r w:rsidR="00452590" w:rsidRPr="006A4E9A">
        <w:rPr>
          <w:lang w:val="fr-CH"/>
        </w:rPr>
        <w:tab/>
        <w:t>La température à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extérieur et à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intérieur de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emballage ne dépasse pas 100</w:t>
      </w:r>
      <w:r w:rsidR="001305C9">
        <w:rPr>
          <w:lang w:val="fr-CH"/>
        </w:rPr>
        <w:t> </w:t>
      </w:r>
      <w:r w:rsidR="00452590" w:rsidRPr="006A4E9A">
        <w:rPr>
          <w:lang w:val="fr-CH"/>
        </w:rPr>
        <w:t>°C au cours de la réaction</w:t>
      </w:r>
      <w:r w:rsidR="00AC4C85">
        <w:rPr>
          <w:lang w:val="fr-CH"/>
        </w:rPr>
        <w:t>;</w:t>
      </w:r>
    </w:p>
    <w:p w:rsidR="00452590" w:rsidRPr="006A4E9A" w:rsidRDefault="00FE66A9" w:rsidP="00FE66A9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452590" w:rsidRPr="006A4E9A">
        <w:rPr>
          <w:lang w:val="fr-CH"/>
        </w:rPr>
        <w:t>ii)</w:t>
      </w:r>
      <w:r w:rsidR="00452590" w:rsidRPr="006A4E9A">
        <w:rPr>
          <w:lang w:val="fr-CH"/>
        </w:rPr>
        <w:tab/>
        <w:t>Les gaz ou vapeurs qui s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échappent de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emballage ne sont pas</w:t>
      </w:r>
      <w:r w:rsidR="00E51221">
        <w:rPr>
          <w:lang w:val="fr-CH"/>
        </w:rPr>
        <w:t xml:space="preserve"> </w:t>
      </w:r>
      <w:r w:rsidR="00452590" w:rsidRPr="006A4E9A">
        <w:rPr>
          <w:lang w:val="fr-CH"/>
        </w:rPr>
        <w:t>inflammables et n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ont pas d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effet toxique aigu. Si la construction de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emballage ne permet pas d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éviter une fuite de tels gaz ou vapeurs,</w:t>
      </w:r>
      <w:r w:rsidR="00E51221">
        <w:rPr>
          <w:lang w:val="fr-CH"/>
        </w:rPr>
        <w:t xml:space="preserve"> </w:t>
      </w:r>
      <w:r w:rsidR="00452590" w:rsidRPr="006A4E9A">
        <w:rPr>
          <w:lang w:val="fr-CH"/>
        </w:rPr>
        <w:t>il faut</w:t>
      </w:r>
      <w:r w:rsidR="00F5018A">
        <w:rPr>
          <w:lang w:val="fr-CH"/>
        </w:rPr>
        <w:t> </w:t>
      </w:r>
      <w:r w:rsidR="00452590" w:rsidRPr="006A4E9A">
        <w:rPr>
          <w:lang w:val="fr-CH"/>
        </w:rPr>
        <w:t>:</w:t>
      </w:r>
    </w:p>
    <w:p w:rsidR="00452590" w:rsidRPr="006A4E9A" w:rsidRDefault="00F5018A" w:rsidP="00F5018A">
      <w:pPr>
        <w:pStyle w:val="Bullet3"/>
        <w:rPr>
          <w:lang w:val="fr-CH"/>
        </w:rPr>
      </w:pPr>
      <w:r>
        <w:rPr>
          <w:lang w:val="fr-CH"/>
        </w:rPr>
        <w:t xml:space="preserve">Les traiter </w:t>
      </w:r>
      <w:r w:rsidR="00452590" w:rsidRPr="006A4E9A">
        <w:rPr>
          <w:lang w:val="fr-CH"/>
        </w:rPr>
        <w:t>directement ou</w:t>
      </w:r>
    </w:p>
    <w:p w:rsidR="00452590" w:rsidRPr="006A4E9A" w:rsidRDefault="00452590" w:rsidP="00F5018A">
      <w:pPr>
        <w:pStyle w:val="Bullet3"/>
        <w:rPr>
          <w:lang w:val="fr-CH"/>
        </w:rPr>
      </w:pPr>
      <w:r w:rsidRPr="006A4E9A">
        <w:rPr>
          <w:lang w:val="fr-CH"/>
        </w:rPr>
        <w:t>Assurer un renouvellement suffisant de l</w:t>
      </w:r>
      <w:r>
        <w:rPr>
          <w:lang w:val="fr-CH"/>
        </w:rPr>
        <w:t>’</w:t>
      </w:r>
      <w:r w:rsidRPr="006A4E9A">
        <w:rPr>
          <w:lang w:val="fr-CH"/>
        </w:rPr>
        <w:t>air dans le compartiment de charge de l</w:t>
      </w:r>
      <w:r>
        <w:rPr>
          <w:lang w:val="fr-CH"/>
        </w:rPr>
        <w:t>’</w:t>
      </w:r>
      <w:r w:rsidRPr="006A4E9A">
        <w:rPr>
          <w:lang w:val="fr-CH"/>
        </w:rPr>
        <w:t>engin de transport, afin que les gaz ou vapeurs inflammables ou ayant des effets toxiques aigus qui s</w:t>
      </w:r>
      <w:r>
        <w:rPr>
          <w:lang w:val="fr-CH"/>
        </w:rPr>
        <w:t>’</w:t>
      </w:r>
      <w:r w:rsidRPr="006A4E9A">
        <w:rPr>
          <w:lang w:val="fr-CH"/>
        </w:rPr>
        <w:t>échappent de l</w:t>
      </w:r>
      <w:r>
        <w:rPr>
          <w:lang w:val="fr-CH"/>
        </w:rPr>
        <w:t>’</w:t>
      </w:r>
      <w:r w:rsidRPr="006A4E9A">
        <w:rPr>
          <w:lang w:val="fr-CH"/>
        </w:rPr>
        <w:t>emballage extérieur sous l</w:t>
      </w:r>
      <w:r>
        <w:rPr>
          <w:lang w:val="fr-CH"/>
        </w:rPr>
        <w:t>’</w:t>
      </w:r>
      <w:r w:rsidRPr="006A4E9A">
        <w:rPr>
          <w:lang w:val="fr-CH"/>
        </w:rPr>
        <w:t>effet de la ventilation des piles et batteries au lithium ne soient ni inflammables ni dangereux ou</w:t>
      </w:r>
      <w:r w:rsidR="00F5018A">
        <w:rPr>
          <w:lang w:val="fr-CH"/>
        </w:rPr>
        <w:t xml:space="preserve"> </w:t>
      </w:r>
    </w:p>
    <w:p w:rsidR="00452590" w:rsidRPr="006A4E9A" w:rsidRDefault="00452590" w:rsidP="00F5018A">
      <w:pPr>
        <w:pStyle w:val="Bullet3"/>
        <w:rPr>
          <w:lang w:val="fr-CH"/>
        </w:rPr>
      </w:pPr>
      <w:r w:rsidRPr="006A4E9A">
        <w:rPr>
          <w:lang w:val="fr-CH"/>
        </w:rPr>
        <w:t>Pouvoir sans danger éliminer les émanations de gaz ou de vapeurs</w:t>
      </w:r>
      <w:r w:rsidR="00E51221">
        <w:rPr>
          <w:lang w:val="fr-CH"/>
        </w:rPr>
        <w:t xml:space="preserve"> </w:t>
      </w:r>
      <w:r w:rsidRPr="006A4E9A">
        <w:rPr>
          <w:lang w:val="fr-CH"/>
        </w:rPr>
        <w:t>du compartiment de charge.</w:t>
      </w:r>
    </w:p>
    <w:p w:rsidR="00452590" w:rsidRPr="006A4E9A" w:rsidRDefault="00F5018A" w:rsidP="00F5018A">
      <w:pPr>
        <w:pStyle w:val="SingleTxt"/>
        <w:ind w:left="2693" w:hanging="1426"/>
        <w:rPr>
          <w:lang w:val="fr-CH"/>
        </w:rPr>
      </w:pPr>
      <w:r>
        <w:rPr>
          <w:lang w:val="fr-CH"/>
        </w:rPr>
        <w:lastRenderedPageBreak/>
        <w:tab/>
      </w:r>
      <w:r>
        <w:rPr>
          <w:lang w:val="fr-CH"/>
        </w:rPr>
        <w:tab/>
      </w:r>
      <w:r w:rsidR="00452590" w:rsidRPr="006A4E9A">
        <w:rPr>
          <w:lang w:val="fr-CH"/>
        </w:rPr>
        <w:t>iii)</w:t>
      </w:r>
      <w:r w:rsidR="00452590" w:rsidRPr="006A4E9A">
        <w:rPr>
          <w:lang w:val="fr-CH"/>
        </w:rPr>
        <w:tab/>
        <w:t>Éviter que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emballage soit endommagé ou explose sous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effet de la formation d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une surpression, par exemple au moyen de mécanismes structurels.</w:t>
      </w:r>
    </w:p>
    <w:p w:rsidR="00452590" w:rsidRPr="006A4E9A" w:rsidRDefault="00452590" w:rsidP="001F57B7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A4E9A">
        <w:rPr>
          <w:lang w:val="fr-CH"/>
        </w:rPr>
        <w:t>Les résultats d</w:t>
      </w:r>
      <w:r>
        <w:rPr>
          <w:lang w:val="fr-CH"/>
        </w:rPr>
        <w:t>’</w:t>
      </w:r>
      <w:r w:rsidRPr="006A4E9A">
        <w:rPr>
          <w:lang w:val="fr-CH"/>
        </w:rPr>
        <w:t>épreuves doivent être documentés et le dossier</w:t>
      </w:r>
      <w:r w:rsidR="00E51221">
        <w:rPr>
          <w:lang w:val="fr-CH"/>
        </w:rPr>
        <w:t xml:space="preserve"> </w:t>
      </w:r>
      <w:r w:rsidRPr="006A4E9A">
        <w:rPr>
          <w:lang w:val="fr-CH"/>
        </w:rPr>
        <w:t>technique doit contenir au moins les informations suivantes</w:t>
      </w:r>
      <w:r w:rsidR="00F5018A">
        <w:rPr>
          <w:lang w:val="fr-CH"/>
        </w:rPr>
        <w:t> </w:t>
      </w:r>
      <w:r w:rsidRPr="006A4E9A">
        <w:rPr>
          <w:lang w:val="fr-CH"/>
        </w:rPr>
        <w:t>:</w:t>
      </w:r>
    </w:p>
    <w:p w:rsidR="00452590" w:rsidRPr="006A4E9A" w:rsidRDefault="00F5018A" w:rsidP="00F5018A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a)</w:t>
      </w:r>
      <w:r w:rsidR="00452590" w:rsidRPr="006A4E9A">
        <w:rPr>
          <w:lang w:val="fr-CH"/>
        </w:rPr>
        <w:tab/>
        <w:t>Un certain nombre de piles/batteries au lithium éprouvées</w:t>
      </w:r>
      <w:r>
        <w:rPr>
          <w:lang w:val="fr-CH"/>
        </w:rPr>
        <w:t>;</w:t>
      </w:r>
    </w:p>
    <w:p w:rsidR="00452590" w:rsidRPr="006A4E9A" w:rsidRDefault="00F5018A" w:rsidP="00F5018A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b)</w:t>
      </w:r>
      <w:r w:rsidR="00452590" w:rsidRPr="006A4E9A">
        <w:rPr>
          <w:lang w:val="fr-CH"/>
        </w:rPr>
        <w:tab/>
        <w:t>Poids des piles/batteries au lithium éprouvées</w:t>
      </w:r>
      <w:r>
        <w:rPr>
          <w:lang w:val="fr-CH"/>
        </w:rPr>
        <w:t>;</w:t>
      </w:r>
    </w:p>
    <w:p w:rsidR="00452590" w:rsidRPr="006A4E9A" w:rsidRDefault="00F5018A" w:rsidP="00F5018A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c)</w:t>
      </w:r>
      <w:r w:rsidR="00452590" w:rsidRPr="006A4E9A">
        <w:rPr>
          <w:lang w:val="fr-CH"/>
        </w:rPr>
        <w:tab/>
        <w:t>Dimensions des piles/batteries au lithium éprouvées</w:t>
      </w:r>
      <w:r>
        <w:rPr>
          <w:lang w:val="fr-CH"/>
        </w:rPr>
        <w:t>;</w:t>
      </w:r>
    </w:p>
    <w:p w:rsidR="00452590" w:rsidRPr="006A4E9A" w:rsidRDefault="00F5018A" w:rsidP="00F5018A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d)</w:t>
      </w:r>
      <w:r w:rsidR="00452590" w:rsidRPr="006A4E9A">
        <w:rPr>
          <w:lang w:val="fr-CH"/>
        </w:rPr>
        <w:tab/>
        <w:t>Type des piles/batteries au lithium ou chimie des piles/batteries au lithium éprouvées</w:t>
      </w:r>
      <w:r>
        <w:rPr>
          <w:lang w:val="fr-CH"/>
        </w:rPr>
        <w:t>;</w:t>
      </w:r>
    </w:p>
    <w:p w:rsidR="00452590" w:rsidRPr="006A4E9A" w:rsidRDefault="00F5018A" w:rsidP="00F5018A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e)</w:t>
      </w:r>
      <w:r w:rsidR="00452590" w:rsidRPr="006A4E9A">
        <w:rPr>
          <w:lang w:val="fr-CH"/>
        </w:rPr>
        <w:tab/>
        <w:t>Contenu énergétique des piles/batteries au lithium éprouvées.</w:t>
      </w:r>
    </w:p>
    <w:p w:rsidR="00452590" w:rsidRPr="006A4E9A" w:rsidRDefault="00452590" w:rsidP="00C56315">
      <w:pPr>
        <w:pStyle w:val="SingleTxt"/>
        <w:rPr>
          <w:lang w:val="fr-CH"/>
        </w:rPr>
      </w:pPr>
      <w:r w:rsidRPr="006A4E9A">
        <w:rPr>
          <w:lang w:val="fr-CH"/>
        </w:rPr>
        <w:t>Le dossier technique doit être soumis sur demande à l</w:t>
      </w:r>
      <w:r>
        <w:rPr>
          <w:lang w:val="fr-CH"/>
        </w:rPr>
        <w:t>’</w:t>
      </w:r>
      <w:r w:rsidRPr="006A4E9A">
        <w:rPr>
          <w:lang w:val="fr-CH"/>
        </w:rPr>
        <w:t>autorité compétente.</w:t>
      </w:r>
    </w:p>
    <w:p w:rsidR="00452590" w:rsidRPr="006A4E9A" w:rsidRDefault="00452590" w:rsidP="001F57B7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A4E9A">
        <w:rPr>
          <w:lang w:val="fr-CH"/>
        </w:rPr>
        <w:t>Si l</w:t>
      </w:r>
      <w:r>
        <w:rPr>
          <w:lang w:val="fr-CH"/>
        </w:rPr>
        <w:t>’</w:t>
      </w:r>
      <w:r w:rsidRPr="006A4E9A">
        <w:rPr>
          <w:lang w:val="fr-CH"/>
        </w:rPr>
        <w:t>aptitude d</w:t>
      </w:r>
      <w:r>
        <w:rPr>
          <w:lang w:val="fr-CH"/>
        </w:rPr>
        <w:t>’</w:t>
      </w:r>
      <w:r w:rsidRPr="006A4E9A">
        <w:rPr>
          <w:lang w:val="fr-CH"/>
        </w:rPr>
        <w:t>un emballage a déjà été démontrée (par exemple à l</w:t>
      </w:r>
      <w:r>
        <w:rPr>
          <w:lang w:val="fr-CH"/>
        </w:rPr>
        <w:t>’</w:t>
      </w:r>
      <w:r w:rsidRPr="006A4E9A">
        <w:rPr>
          <w:lang w:val="fr-CH"/>
        </w:rPr>
        <w:t>aide des épreuves spécifiées aux points</w:t>
      </w:r>
      <w:r w:rsidR="00F5018A">
        <w:rPr>
          <w:lang w:val="fr-CH"/>
        </w:rPr>
        <w:t> </w:t>
      </w:r>
      <w:r w:rsidRPr="006A4E9A">
        <w:rPr>
          <w:lang w:val="fr-CH"/>
        </w:rPr>
        <w:t>4), 5) et 6) ou de calculs comme au point</w:t>
      </w:r>
      <w:r w:rsidR="00F5018A">
        <w:rPr>
          <w:lang w:val="fr-CH"/>
        </w:rPr>
        <w:t> </w:t>
      </w:r>
      <w:r w:rsidRPr="006A4E9A">
        <w:rPr>
          <w:lang w:val="fr-CH"/>
        </w:rPr>
        <w:t>9)) pour un type donné de piles/batteries au lithium, cet emballage peut être utilisé pour le transport d</w:t>
      </w:r>
      <w:r>
        <w:rPr>
          <w:lang w:val="fr-CH"/>
        </w:rPr>
        <w:t>’</w:t>
      </w:r>
      <w:r w:rsidRPr="006A4E9A">
        <w:rPr>
          <w:lang w:val="fr-CH"/>
        </w:rPr>
        <w:t>autres piles/batteries au lithium dans certaines conditions. Il s</w:t>
      </w:r>
      <w:r>
        <w:rPr>
          <w:lang w:val="fr-CH"/>
        </w:rPr>
        <w:t>’</w:t>
      </w:r>
      <w:r w:rsidRPr="006A4E9A">
        <w:rPr>
          <w:lang w:val="fr-CH"/>
        </w:rPr>
        <w:t>agit que ces piles/batteries au lithium correspondent au type qui a été éprouvé avec succès en ce qui concerne leur construction et leur chimie, et aussi que leur contenu éne</w:t>
      </w:r>
      <w:r w:rsidR="00F5018A">
        <w:rPr>
          <w:lang w:val="fr-CH"/>
        </w:rPr>
        <w:t>rgétique soit plus faible.</w:t>
      </w:r>
    </w:p>
    <w:p w:rsidR="00452590" w:rsidRPr="006A4E9A" w:rsidRDefault="00452590" w:rsidP="001F57B7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A4E9A">
        <w:rPr>
          <w:lang w:val="fr-CH"/>
        </w:rPr>
        <w:t>L</w:t>
      </w:r>
      <w:r>
        <w:rPr>
          <w:lang w:val="fr-CH"/>
        </w:rPr>
        <w:t>’</w:t>
      </w:r>
      <w:r w:rsidRPr="006A4E9A">
        <w:rPr>
          <w:lang w:val="fr-CH"/>
        </w:rPr>
        <w:t>aptitude de l</w:t>
      </w:r>
      <w:r>
        <w:rPr>
          <w:lang w:val="fr-CH"/>
        </w:rPr>
        <w:t>’</w:t>
      </w:r>
      <w:r w:rsidRPr="006A4E9A">
        <w:rPr>
          <w:lang w:val="fr-CH"/>
        </w:rPr>
        <w:t>emballage peut être démontrée soit physiquement avec une pile/batterie au lithium dans l</w:t>
      </w:r>
      <w:r>
        <w:rPr>
          <w:lang w:val="fr-CH"/>
        </w:rPr>
        <w:t>’</w:t>
      </w:r>
      <w:r w:rsidRPr="006A4E9A">
        <w:rPr>
          <w:lang w:val="fr-CH"/>
        </w:rPr>
        <w:t>emballage en question, soit par une analyse simulée. Les paramètres suivants doivent être considérés comme une exigence minimale pour réaliser une</w:t>
      </w:r>
      <w:r w:rsidR="00F5018A">
        <w:rPr>
          <w:lang w:val="fr-CH"/>
        </w:rPr>
        <w:t xml:space="preserve"> telle analyse, le cas échéant :</w:t>
      </w:r>
    </w:p>
    <w:p w:rsidR="00452590" w:rsidRPr="006A4E9A" w:rsidRDefault="008E67EA" w:rsidP="008E67EA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a)</w:t>
      </w:r>
      <w:r w:rsidR="00452590" w:rsidRPr="006A4E9A">
        <w:rPr>
          <w:lang w:val="fr-CH"/>
        </w:rPr>
        <w:tab/>
        <w:t>Toutes les piles/batteries au lithium contenues dans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emballage doivent être chargées à 100</w:t>
      </w:r>
      <w:r>
        <w:rPr>
          <w:lang w:val="fr-CH"/>
        </w:rPr>
        <w:t> %;</w:t>
      </w:r>
    </w:p>
    <w:p w:rsidR="00452590" w:rsidRPr="006A4E9A" w:rsidRDefault="008E67EA" w:rsidP="008E67EA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b)</w:t>
      </w:r>
      <w:r w:rsidR="00452590" w:rsidRPr="006A4E9A">
        <w:rPr>
          <w:lang w:val="fr-CH"/>
        </w:rPr>
        <w:tab/>
        <w:t>Masse et dimensions des piles/batteries au lithium</w:t>
      </w:r>
      <w:r>
        <w:rPr>
          <w:lang w:val="fr-CH"/>
        </w:rPr>
        <w:t>;</w:t>
      </w:r>
    </w:p>
    <w:p w:rsidR="00452590" w:rsidRPr="006A4E9A" w:rsidRDefault="008E67EA" w:rsidP="008E67EA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c)</w:t>
      </w:r>
      <w:r w:rsidR="00452590" w:rsidRPr="006A4E9A">
        <w:rPr>
          <w:lang w:val="fr-CH"/>
        </w:rPr>
        <w:tab/>
        <w:t>Détermination de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air qui est disponible à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intérieur de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emballage</w:t>
      </w:r>
      <w:r w:rsidR="00E51221">
        <w:rPr>
          <w:lang w:val="fr-CH"/>
        </w:rPr>
        <w:t xml:space="preserve"> </w:t>
      </w:r>
      <w:r w:rsidR="00452590" w:rsidRPr="006A4E9A">
        <w:rPr>
          <w:lang w:val="fr-CH"/>
        </w:rPr>
        <w:t>(oxygène pour réaction chimique et transfert de chaleur</w:t>
      </w:r>
      <w:r>
        <w:rPr>
          <w:lang w:val="fr-CH"/>
        </w:rPr>
        <w:t>);</w:t>
      </w:r>
    </w:p>
    <w:p w:rsidR="00452590" w:rsidRPr="006A4E9A" w:rsidRDefault="008E67EA" w:rsidP="008E67EA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d)</w:t>
      </w:r>
      <w:r w:rsidR="00452590" w:rsidRPr="006A4E9A">
        <w:rPr>
          <w:lang w:val="fr-CH"/>
        </w:rPr>
        <w:tab/>
        <w:t>Toutes les caractéristiques des matériaux</w:t>
      </w:r>
      <w:r w:rsidR="00E51221">
        <w:rPr>
          <w:lang w:val="fr-CH"/>
        </w:rPr>
        <w:t> </w:t>
      </w:r>
      <w:r w:rsidR="00452590" w:rsidRPr="006A4E9A">
        <w:rPr>
          <w:lang w:val="fr-CH"/>
        </w:rPr>
        <w:t>: densité [kg</w:t>
      </w:r>
      <w:r w:rsidR="00452590" w:rsidRPr="006A4E9A">
        <w:rPr>
          <w:lang w:val="en-US"/>
        </w:rPr>
        <w:t>·</w:t>
      </w:r>
      <w:r w:rsidR="00452590" w:rsidRPr="006A4E9A">
        <w:rPr>
          <w:lang w:val="fr-CH"/>
        </w:rPr>
        <w:t>m</w:t>
      </w:r>
      <w:r w:rsidR="00452590" w:rsidRPr="006A4E9A">
        <w:rPr>
          <w:vertAlign w:val="superscript"/>
          <w:lang w:val="fr-CH"/>
        </w:rPr>
        <w:t>-</w:t>
      </w:r>
      <w:r w:rsidR="00452590" w:rsidRPr="006A4E9A">
        <w:rPr>
          <w:lang w:val="fr-CH"/>
        </w:rPr>
        <w:t>³], chaleur spécifique [J</w:t>
      </w:r>
      <w:r w:rsidR="00452590" w:rsidRPr="006A4E9A">
        <w:rPr>
          <w:lang w:val="en-US"/>
        </w:rPr>
        <w:t>·</w:t>
      </w:r>
      <w:r w:rsidR="00452590" w:rsidRPr="006A4E9A">
        <w:rPr>
          <w:lang w:val="fr-CH"/>
        </w:rPr>
        <w:t>kg</w:t>
      </w:r>
      <w:r w:rsidR="00452590" w:rsidRPr="006A4E9A">
        <w:rPr>
          <w:vertAlign w:val="superscript"/>
          <w:lang w:val="fr-CH"/>
        </w:rPr>
        <w:t>-1</w:t>
      </w:r>
      <w:r w:rsidR="00452590" w:rsidRPr="006A4E9A">
        <w:rPr>
          <w:lang w:val="en-US"/>
        </w:rPr>
        <w:t>·</w:t>
      </w:r>
      <w:r w:rsidR="00452590" w:rsidRPr="006A4E9A">
        <w:rPr>
          <w:lang w:val="fr-CH"/>
        </w:rPr>
        <w:t>K</w:t>
      </w:r>
      <w:r w:rsidR="00452590" w:rsidRPr="006A4E9A">
        <w:rPr>
          <w:vertAlign w:val="superscript"/>
          <w:lang w:val="fr-CH"/>
        </w:rPr>
        <w:t>-1</w:t>
      </w:r>
      <w:r w:rsidR="00452590" w:rsidRPr="006A4E9A">
        <w:rPr>
          <w:lang w:val="fr-CH"/>
        </w:rPr>
        <w:t>], pouvoir calorifique [KJ</w:t>
      </w:r>
      <w:r w:rsidR="00452590" w:rsidRPr="006A4E9A">
        <w:rPr>
          <w:lang w:val="en-US"/>
        </w:rPr>
        <w:t>·</w:t>
      </w:r>
      <w:r w:rsidR="00452590" w:rsidRPr="006A4E9A">
        <w:rPr>
          <w:lang w:val="fr-CH"/>
        </w:rPr>
        <w:t>kg</w:t>
      </w:r>
      <w:r w:rsidR="00452590" w:rsidRPr="006A4E9A">
        <w:rPr>
          <w:vertAlign w:val="superscript"/>
          <w:lang w:val="fr-CH"/>
        </w:rPr>
        <w:t>-1</w:t>
      </w:r>
      <w:r w:rsidR="00452590" w:rsidRPr="006A4E9A">
        <w:rPr>
          <w:lang w:val="fr-CH"/>
        </w:rPr>
        <w:t>], conductivité thermique [W</w:t>
      </w:r>
      <w:r w:rsidR="00452590" w:rsidRPr="006A4E9A">
        <w:rPr>
          <w:lang w:val="en-US"/>
        </w:rPr>
        <w:t>·</w:t>
      </w:r>
      <w:r w:rsidR="00452590" w:rsidRPr="006A4E9A">
        <w:rPr>
          <w:lang w:val="fr-CH"/>
        </w:rPr>
        <w:t>m</w:t>
      </w:r>
      <w:r w:rsidR="00452590" w:rsidRPr="006A4E9A">
        <w:rPr>
          <w:vertAlign w:val="superscript"/>
          <w:lang w:val="fr-CH"/>
        </w:rPr>
        <w:t>-1</w:t>
      </w:r>
      <w:r w:rsidR="00452590" w:rsidRPr="006A4E9A">
        <w:rPr>
          <w:lang w:val="en-US"/>
        </w:rPr>
        <w:t>·</w:t>
      </w:r>
      <w:r w:rsidR="00452590" w:rsidRPr="006A4E9A">
        <w:rPr>
          <w:lang w:val="fr-CH"/>
        </w:rPr>
        <w:t>K</w:t>
      </w:r>
      <w:r w:rsidR="00452590" w:rsidRPr="006A4E9A">
        <w:rPr>
          <w:vertAlign w:val="superscript"/>
          <w:lang w:val="fr-CH"/>
        </w:rPr>
        <w:t>-1</w:t>
      </w:r>
      <w:r w:rsidR="00452590" w:rsidRPr="006A4E9A">
        <w:rPr>
          <w:lang w:val="fr-CH"/>
        </w:rPr>
        <w:t>], températures de fusion et d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inflammation [K], coefficient de transfert de chaleur de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emballage extérieur [W</w:t>
      </w:r>
      <w:r w:rsidR="00452590" w:rsidRPr="006A4E9A">
        <w:rPr>
          <w:lang w:val="en-US"/>
        </w:rPr>
        <w:t>·</w:t>
      </w:r>
      <w:r w:rsidR="00452590" w:rsidRPr="006A4E9A">
        <w:rPr>
          <w:lang w:val="fr-CH"/>
        </w:rPr>
        <w:t>m</w:t>
      </w:r>
      <w:r w:rsidR="00452590" w:rsidRPr="006A4E9A">
        <w:rPr>
          <w:vertAlign w:val="superscript"/>
          <w:lang w:val="fr-CH"/>
        </w:rPr>
        <w:t>-2</w:t>
      </w:r>
      <w:r w:rsidR="00452590" w:rsidRPr="006A4E9A">
        <w:rPr>
          <w:lang w:val="en-US"/>
        </w:rPr>
        <w:t>·</w:t>
      </w:r>
      <w:r w:rsidR="00452590" w:rsidRPr="006A4E9A">
        <w:rPr>
          <w:lang w:val="fr-CH"/>
        </w:rPr>
        <w:t>K</w:t>
      </w:r>
      <w:r w:rsidR="00452590" w:rsidRPr="006A4E9A">
        <w:rPr>
          <w:vertAlign w:val="superscript"/>
          <w:lang w:val="fr-CH"/>
        </w:rPr>
        <w:t>-1</w:t>
      </w:r>
      <w:r>
        <w:rPr>
          <w:lang w:val="fr-CH"/>
        </w:rPr>
        <w:t>]</w:t>
      </w:r>
      <w:r w:rsidR="00452590" w:rsidRPr="006A4E9A">
        <w:rPr>
          <w:lang w:val="fr-CH"/>
        </w:rPr>
        <w:t>, température de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 xml:space="preserve">air ambiant </w:t>
      </w:r>
      <w:r>
        <w:rPr>
          <w:lang w:val="fr-CH"/>
        </w:rPr>
        <w:t>25</w:t>
      </w:r>
      <w:r w:rsidR="00E03F12">
        <w:rPr>
          <w:lang w:val="fr-CH"/>
        </w:rPr>
        <w:t> </w:t>
      </w:r>
      <w:r>
        <w:rPr>
          <w:lang w:val="fr-CH"/>
        </w:rPr>
        <w:t>°C;</w:t>
      </w:r>
    </w:p>
    <w:p w:rsidR="00452590" w:rsidRPr="006A4E9A" w:rsidRDefault="008E67EA" w:rsidP="008E67EA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e)</w:t>
      </w:r>
      <w:r w:rsidR="00452590" w:rsidRPr="006A4E9A">
        <w:rPr>
          <w:lang w:val="fr-CH"/>
        </w:rPr>
        <w:tab/>
        <w:t>Détermination de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énergie libérée avec la réaction chimique potentielle par élément sur la base des éléments susceptibles d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entrer en réaction (par</w:t>
      </w:r>
      <w:r>
        <w:rPr>
          <w:lang w:val="fr-CH"/>
        </w:rPr>
        <w:t> </w:t>
      </w:r>
      <w:r w:rsidR="00452590" w:rsidRPr="006A4E9A">
        <w:rPr>
          <w:lang w:val="fr-CH"/>
        </w:rPr>
        <w:t>exemple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oxygène) pour les piles/batteries au lithium et 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emballage</w:t>
      </w:r>
      <w:r>
        <w:rPr>
          <w:lang w:val="fr-CH"/>
        </w:rPr>
        <w:t>;</w:t>
      </w:r>
    </w:p>
    <w:p w:rsidR="00452590" w:rsidRPr="006A4E9A" w:rsidRDefault="008E67EA" w:rsidP="008E67EA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452590" w:rsidRPr="006A4E9A">
        <w:rPr>
          <w:lang w:val="fr-CH"/>
        </w:rPr>
        <w:t>f)</w:t>
      </w:r>
      <w:r w:rsidR="00452590" w:rsidRPr="006A4E9A">
        <w:rPr>
          <w:lang w:val="fr-CH"/>
        </w:rPr>
        <w:tab/>
        <w:t>L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énergie électrique à dé</w:t>
      </w:r>
      <w:r>
        <w:rPr>
          <w:lang w:val="fr-CH"/>
        </w:rPr>
        <w:t>charger par un événement unique</w:t>
      </w:r>
      <w:r w:rsidR="00E51221">
        <w:rPr>
          <w:lang w:val="fr-CH"/>
        </w:rPr>
        <w:t>;</w:t>
      </w:r>
    </w:p>
    <w:p w:rsidR="00452590" w:rsidRPr="006A4E9A" w:rsidRDefault="008E67EA" w:rsidP="008E67EA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452590" w:rsidRPr="006A4E9A">
        <w:rPr>
          <w:lang w:val="fr-CH"/>
        </w:rPr>
        <w:t>i)</w:t>
      </w:r>
      <w:r w:rsidR="00452590" w:rsidRPr="006A4E9A">
        <w:rPr>
          <w:lang w:val="fr-CH"/>
        </w:rPr>
        <w:tab/>
        <w:t>Envisager les modes de défaillance les plus défavorables en se basant sur la connaissance des piles, des modules et de la conception d</w:t>
      </w:r>
      <w:r w:rsidR="00452590">
        <w:rPr>
          <w:lang w:val="fr-CH"/>
        </w:rPr>
        <w:t>’</w:t>
      </w:r>
      <w:r w:rsidR="00452590" w:rsidRPr="006A4E9A">
        <w:rPr>
          <w:lang w:val="fr-CH"/>
        </w:rPr>
        <w:t>ensemble de la batterie</w:t>
      </w:r>
      <w:r>
        <w:rPr>
          <w:lang w:val="fr-CH"/>
        </w:rPr>
        <w:t>;</w:t>
      </w:r>
    </w:p>
    <w:p w:rsidR="00452590" w:rsidRPr="006A4E9A" w:rsidRDefault="008E67EA" w:rsidP="008E67EA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452590" w:rsidRPr="006A4E9A">
        <w:rPr>
          <w:lang w:val="fr-CH"/>
        </w:rPr>
        <w:t>ii)</w:t>
      </w:r>
      <w:r w:rsidR="00452590" w:rsidRPr="006A4E9A">
        <w:rPr>
          <w:lang w:val="fr-CH"/>
        </w:rPr>
        <w:tab/>
        <w:t xml:space="preserve">Conversion énergétique totale en </w:t>
      </w:r>
      <w:r>
        <w:rPr>
          <w:lang w:val="fr-CH"/>
        </w:rPr>
        <w:t>30 minutes;</w:t>
      </w:r>
    </w:p>
    <w:p w:rsidR="00452590" w:rsidRDefault="008E67EA" w:rsidP="008E67EA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452590" w:rsidRPr="006A4E9A">
        <w:rPr>
          <w:lang w:val="fr-CH"/>
        </w:rPr>
        <w:t>iii)</w:t>
      </w:r>
      <w:r w:rsidR="00452590" w:rsidRPr="006A4E9A">
        <w:rPr>
          <w:lang w:val="fr-CH"/>
        </w:rPr>
        <w:tab/>
        <w:t xml:space="preserve">Le pire des scénarios à analyser pendant </w:t>
      </w:r>
      <w:r w:rsidR="00E03F12">
        <w:rPr>
          <w:lang w:val="fr-CH"/>
        </w:rPr>
        <w:t>vingt-quatre</w:t>
      </w:r>
      <w:r w:rsidR="00452590" w:rsidRPr="006A4E9A">
        <w:rPr>
          <w:lang w:val="fr-CH"/>
        </w:rPr>
        <w:t xml:space="preserve"> h</w:t>
      </w:r>
      <w:r w:rsidR="00E03F12">
        <w:rPr>
          <w:lang w:val="fr-CH"/>
        </w:rPr>
        <w:t>eures</w:t>
      </w:r>
      <w:r w:rsidR="00452590" w:rsidRPr="006A4E9A">
        <w:rPr>
          <w:lang w:val="fr-CH"/>
        </w:rPr>
        <w:t>.</w:t>
      </w:r>
    </w:p>
    <w:p w:rsidR="00C56315" w:rsidRPr="00C56315" w:rsidRDefault="00C56315" w:rsidP="00C56315">
      <w:pPr>
        <w:pStyle w:val="SingleTxt"/>
        <w:spacing w:after="0" w:line="120" w:lineRule="exact"/>
        <w:rPr>
          <w:sz w:val="10"/>
          <w:lang w:val="fr-CH"/>
        </w:rPr>
      </w:pPr>
    </w:p>
    <w:p w:rsidR="00C56315" w:rsidRPr="00C56315" w:rsidRDefault="00C56315" w:rsidP="00C56315">
      <w:pPr>
        <w:pStyle w:val="SingleTxt"/>
        <w:spacing w:after="0" w:line="120" w:lineRule="exact"/>
        <w:rPr>
          <w:sz w:val="10"/>
          <w:lang w:val="fr-CH"/>
        </w:rPr>
      </w:pPr>
    </w:p>
    <w:p w:rsidR="00452590" w:rsidRDefault="00452590" w:rsidP="008E67E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6A4E9A">
        <w:rPr>
          <w:lang w:val="fr-CH"/>
        </w:rPr>
        <w:tab/>
      </w:r>
      <w:r w:rsidRPr="006A4E9A">
        <w:rPr>
          <w:lang w:val="fr-CH"/>
        </w:rPr>
        <w:tab/>
      </w:r>
      <w:r w:rsidRPr="006A4E9A">
        <w:rPr>
          <w:lang w:val="en-US"/>
        </w:rPr>
        <w:t>Conclusion</w:t>
      </w:r>
      <w:bookmarkStart w:id="2" w:name="insstart"/>
      <w:bookmarkEnd w:id="2"/>
    </w:p>
    <w:p w:rsidR="00C56315" w:rsidRPr="00C56315" w:rsidRDefault="00C56315" w:rsidP="008E67EA">
      <w:pPr>
        <w:pStyle w:val="SingleTxt"/>
        <w:keepNext/>
        <w:keepLines/>
        <w:spacing w:after="0" w:line="120" w:lineRule="exact"/>
        <w:rPr>
          <w:sz w:val="10"/>
          <w:lang w:val="en-US"/>
        </w:rPr>
      </w:pPr>
    </w:p>
    <w:p w:rsidR="00C56315" w:rsidRPr="00C56315" w:rsidRDefault="00C56315" w:rsidP="008E67EA">
      <w:pPr>
        <w:pStyle w:val="SingleTxt"/>
        <w:keepNext/>
        <w:keepLines/>
        <w:spacing w:after="0" w:line="120" w:lineRule="exact"/>
        <w:rPr>
          <w:sz w:val="10"/>
          <w:lang w:val="en-US"/>
        </w:rPr>
      </w:pPr>
    </w:p>
    <w:p w:rsidR="00452590" w:rsidRDefault="00452590" w:rsidP="001F57B7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A4E9A">
        <w:rPr>
          <w:lang w:val="fr-CH"/>
        </w:rPr>
        <w:t>Ces différents points ne sont pas présentés en vue de l</w:t>
      </w:r>
      <w:r>
        <w:rPr>
          <w:lang w:val="fr-CH"/>
        </w:rPr>
        <w:t>’</w:t>
      </w:r>
      <w:r w:rsidRPr="006A4E9A">
        <w:rPr>
          <w:lang w:val="fr-CH"/>
        </w:rPr>
        <w:t>adoption du texte mais le Sous-Comité est invité à les commenter et à définir les prochaines étapes éventuelles ainsi que le meilleur endroit où élaborer des propositions susceptibles d</w:t>
      </w:r>
      <w:r>
        <w:rPr>
          <w:lang w:val="fr-CH"/>
        </w:rPr>
        <w:t>’</w:t>
      </w:r>
      <w:r w:rsidRPr="006A4E9A">
        <w:rPr>
          <w:lang w:val="fr-CH"/>
        </w:rPr>
        <w:t>être introduites dans le Règlement type.</w:t>
      </w:r>
    </w:p>
    <w:p w:rsidR="00C56315" w:rsidRPr="00C56315" w:rsidRDefault="00C56315" w:rsidP="00C56315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C56315" w:rsidRPr="00C56315" w:rsidSect="00C36BEC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1-19T11:07:00Z" w:initials="Start">
    <w:p w:rsidR="00C36BEC" w:rsidRDefault="00C36BEC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NO&gt;&gt;N1520217F&lt;&lt;ODS JOB NO&gt;&gt;</w:t>
      </w:r>
    </w:p>
    <w:p w:rsidR="00C36BEC" w:rsidRDefault="00C36BEC">
      <w:pPr>
        <w:pStyle w:val="CommentText"/>
      </w:pPr>
      <w:r>
        <w:t>&lt;&lt;ODS DOC SYMBOL1&gt;&gt;ST/SG/AC.10/C.3/2015/51&lt;&lt;ODS DOC SYMBOL1&gt;&gt;</w:t>
      </w:r>
    </w:p>
    <w:p w:rsidR="00C36BEC" w:rsidRDefault="00C36BE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06" w:rsidRDefault="004C5C06" w:rsidP="00F3330B">
      <w:pPr>
        <w:spacing w:line="240" w:lineRule="auto"/>
      </w:pPr>
      <w:r>
        <w:separator/>
      </w:r>
    </w:p>
  </w:endnote>
  <w:endnote w:type="continuationSeparator" w:id="0">
    <w:p w:rsidR="004C5C06" w:rsidRDefault="004C5C06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36BEC" w:rsidTr="00C36BEC">
      <w:trPr>
        <w:jc w:val="center"/>
      </w:trPr>
      <w:tc>
        <w:tcPr>
          <w:tcW w:w="5126" w:type="dxa"/>
          <w:shd w:val="clear" w:color="auto" w:fill="auto"/>
        </w:tcPr>
        <w:p w:rsidR="00C36BEC" w:rsidRPr="00C36BEC" w:rsidRDefault="00C36BEC" w:rsidP="00C36BE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06C88">
            <w:rPr>
              <w:b w:val="0"/>
              <w:w w:val="103"/>
              <w:sz w:val="14"/>
            </w:rPr>
            <w:t>GE.15-15147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C36BEC" w:rsidRPr="00C36BEC" w:rsidRDefault="00C36BEC" w:rsidP="00C36BE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06C88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06C88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C36BEC" w:rsidRPr="00C36BEC" w:rsidRDefault="00C36BEC" w:rsidP="00C36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36BEC" w:rsidTr="00C36BEC">
      <w:trPr>
        <w:jc w:val="center"/>
      </w:trPr>
      <w:tc>
        <w:tcPr>
          <w:tcW w:w="5126" w:type="dxa"/>
          <w:shd w:val="clear" w:color="auto" w:fill="auto"/>
        </w:tcPr>
        <w:p w:rsidR="00C36BEC" w:rsidRPr="00C36BEC" w:rsidRDefault="00C36BEC" w:rsidP="00C36BE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06C88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06C88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C36BEC" w:rsidRPr="00C36BEC" w:rsidRDefault="00C36BEC" w:rsidP="00C36BE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06C88">
            <w:rPr>
              <w:b w:val="0"/>
              <w:w w:val="103"/>
              <w:sz w:val="14"/>
            </w:rPr>
            <w:t>GE.15-15147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C36BEC" w:rsidRPr="00C36BEC" w:rsidRDefault="00C36BEC" w:rsidP="00C36B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EC" w:rsidRDefault="00C36BE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3574EC2" wp14:editId="477529F7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ST/SG/AC.10/C.3/2015/5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SG/AC.10/C.3/2015/5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C36BEC" w:rsidTr="00C36BEC">
      <w:tc>
        <w:tcPr>
          <w:tcW w:w="3859" w:type="dxa"/>
        </w:tcPr>
        <w:p w:rsidR="00C36BEC" w:rsidRDefault="00C36BEC" w:rsidP="00C36BE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F06C88">
            <w:rPr>
              <w:b w:val="0"/>
              <w:sz w:val="20"/>
            </w:rPr>
            <w:t>GE.15-15147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191115    191115</w:t>
          </w:r>
        </w:p>
        <w:p w:rsidR="00C36BEC" w:rsidRPr="00C36BEC" w:rsidRDefault="00C36BEC" w:rsidP="00C36BE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F06C88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*1515147*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C36BEC" w:rsidRDefault="00C36BEC" w:rsidP="00C36BE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4D7B920" wp14:editId="12E5FD02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36BEC" w:rsidRPr="00C36BEC" w:rsidRDefault="00C36BEC" w:rsidP="00C36BE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06" w:rsidRPr="007920C2" w:rsidRDefault="007920C2" w:rsidP="007920C2">
      <w:pPr>
        <w:pStyle w:val="Footer"/>
        <w:spacing w:after="80"/>
        <w:ind w:left="792"/>
        <w:rPr>
          <w:sz w:val="16"/>
        </w:rPr>
      </w:pPr>
      <w:r w:rsidRPr="007920C2">
        <w:rPr>
          <w:sz w:val="16"/>
        </w:rPr>
        <w:t>__________________</w:t>
      </w:r>
    </w:p>
  </w:footnote>
  <w:footnote w:type="continuationSeparator" w:id="0">
    <w:p w:rsidR="004C5C06" w:rsidRPr="007920C2" w:rsidRDefault="007920C2" w:rsidP="007920C2">
      <w:pPr>
        <w:pStyle w:val="Footer"/>
        <w:spacing w:after="80"/>
        <w:ind w:left="792"/>
        <w:rPr>
          <w:sz w:val="16"/>
        </w:rPr>
      </w:pPr>
      <w:r w:rsidRPr="007920C2">
        <w:rPr>
          <w:sz w:val="16"/>
        </w:rPr>
        <w:t>__________________</w:t>
      </w:r>
    </w:p>
  </w:footnote>
  <w:footnote w:id="1">
    <w:p w:rsidR="007920C2" w:rsidRPr="007920C2" w:rsidRDefault="007920C2" w:rsidP="007920C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spacing w:val="5"/>
          <w:w w:val="104"/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4412A8">
        <w:t>Conformément au programme de travail du Sous-Comité pour 2015-2016, adopté par le Comité à sa septième session (voir ST/SG/AC.10/C.3/92, par. 95, et ST/SG/AC.10/42, par.</w:t>
      </w:r>
      <w:r w:rsidR="00BE62A8">
        <w:t> </w:t>
      </w:r>
      <w:r>
        <w:t>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36BEC" w:rsidTr="00C36BE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36BEC" w:rsidRPr="00C36BEC" w:rsidRDefault="00C36BEC" w:rsidP="00C36BE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06C88">
            <w:rPr>
              <w:b/>
              <w:color w:val="000000"/>
            </w:rPr>
            <w:t>ST/SG/AC.10/C.3/2015/51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36BEC" w:rsidRDefault="00C36BEC" w:rsidP="00C36BEC">
          <w:pPr>
            <w:pStyle w:val="Header"/>
          </w:pPr>
        </w:p>
      </w:tc>
    </w:tr>
  </w:tbl>
  <w:p w:rsidR="00C36BEC" w:rsidRPr="00C36BEC" w:rsidRDefault="00C36BEC" w:rsidP="00C36BE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36BEC" w:rsidTr="00C36BE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36BEC" w:rsidRDefault="00C36BEC" w:rsidP="00C36BE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36BEC" w:rsidRPr="00C36BEC" w:rsidRDefault="00C36BEC" w:rsidP="00C36BE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06C88">
            <w:rPr>
              <w:b/>
              <w:color w:val="000000"/>
            </w:rPr>
            <w:t>ST/SG/AC.10/C.3/2015/51</w:t>
          </w:r>
          <w:r>
            <w:rPr>
              <w:b/>
              <w:color w:val="000000"/>
            </w:rPr>
            <w:fldChar w:fldCharType="end"/>
          </w:r>
        </w:p>
      </w:tc>
    </w:tr>
  </w:tbl>
  <w:p w:rsidR="00C36BEC" w:rsidRPr="00C36BEC" w:rsidRDefault="00C36BEC" w:rsidP="00C36BE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C36BEC" w:rsidTr="00C36BE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36BEC" w:rsidRDefault="00C36BEC" w:rsidP="00C36BE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36BEC" w:rsidRPr="00C36BEC" w:rsidRDefault="00C36BEC" w:rsidP="00C36BE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36BEC" w:rsidRDefault="00C36BEC" w:rsidP="00C36BEC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C36BEC" w:rsidRPr="00C36BEC" w:rsidRDefault="00C36BEC" w:rsidP="00C36BE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/SG/AC.10/C.3/2015/51</w:t>
          </w:r>
        </w:p>
      </w:tc>
    </w:tr>
    <w:tr w:rsidR="00C36BEC" w:rsidRPr="00C36BEC" w:rsidTr="00C36BEC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36BEC" w:rsidRPr="00C36BEC" w:rsidRDefault="00C36BEC" w:rsidP="00C36BE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3A620B4E" wp14:editId="5E587A43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36BEC" w:rsidRPr="00C36BEC" w:rsidRDefault="00C36BEC" w:rsidP="00C36BEC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36BEC" w:rsidRPr="00C36BEC" w:rsidRDefault="00C36BEC" w:rsidP="00C36BE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36BEC" w:rsidRDefault="00C36BEC" w:rsidP="00C36BEC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C36BEC" w:rsidRDefault="00C36BEC" w:rsidP="00C36BEC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8 </w:t>
          </w:r>
          <w:proofErr w:type="spellStart"/>
          <w:r>
            <w:rPr>
              <w:color w:val="000000"/>
            </w:rPr>
            <w:t>septembre</w:t>
          </w:r>
          <w:proofErr w:type="spellEnd"/>
          <w:r>
            <w:rPr>
              <w:color w:val="000000"/>
            </w:rPr>
            <w:t xml:space="preserve"> 2015</w:t>
          </w:r>
        </w:p>
        <w:p w:rsidR="00C36BEC" w:rsidRDefault="00C36BEC" w:rsidP="00C36BEC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C36BEC" w:rsidRPr="00C36BEC" w:rsidRDefault="00C36BEC" w:rsidP="00C36BEC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C36BEC" w:rsidRPr="00C36BEC" w:rsidRDefault="00C36BEC" w:rsidP="00C36BEC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05A04"/>
    <w:multiLevelType w:val="hybridMultilevel"/>
    <w:tmpl w:val="2F5ADEF4"/>
    <w:lvl w:ilvl="0" w:tplc="57F81E7E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754E7202"/>
    <w:multiLevelType w:val="singleLevel"/>
    <w:tmpl w:val="0CB029E0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7">
    <w:nsid w:val="76FF5614"/>
    <w:multiLevelType w:val="singleLevel"/>
    <w:tmpl w:val="0CB029E0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5147*"/>
    <w:docVar w:name="CreationDt" w:val="11/19/2015 11:07 AM"/>
    <w:docVar w:name="DocCategory" w:val="Doc"/>
    <w:docVar w:name="DocType" w:val="Final"/>
    <w:docVar w:name="DutyStation" w:val="Geneva"/>
    <w:docVar w:name="FooterJN" w:val="GE.15-15147"/>
    <w:docVar w:name="jobn" w:val="GE.15-15147 (F)"/>
    <w:docVar w:name="jobnDT" w:val="GE.15-15147 (F)   191115"/>
    <w:docVar w:name="jobnDTDT" w:val="GE.15-15147 (F)   191115   191115"/>
    <w:docVar w:name="JobNo" w:val="GE.1515147F"/>
    <w:docVar w:name="JobNo2" w:val="GE.1520217F"/>
    <w:docVar w:name="LocalDrive" w:val="0"/>
    <w:docVar w:name="OandT" w:val="CC"/>
    <w:docVar w:name="PaperSize" w:val="A4"/>
    <w:docVar w:name="sss1" w:val="ST/SG/AC.10/C.3/2015/51"/>
    <w:docVar w:name="sss2" w:val="-"/>
    <w:docVar w:name="Symbol1" w:val="ST/SG/AC.10/C.3/2015/51"/>
    <w:docVar w:name="Symbol2" w:val="-"/>
  </w:docVars>
  <w:rsids>
    <w:rsidRoot w:val="004C5C06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37EC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05C9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57B7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590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06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88D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5842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2F88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406E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0C2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67EA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804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4C8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A8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36BEC"/>
    <w:rsid w:val="00C436F7"/>
    <w:rsid w:val="00C45692"/>
    <w:rsid w:val="00C46175"/>
    <w:rsid w:val="00C472E3"/>
    <w:rsid w:val="00C47E57"/>
    <w:rsid w:val="00C55B02"/>
    <w:rsid w:val="00C56142"/>
    <w:rsid w:val="00C56315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1DB2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019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3F12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221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5307"/>
    <w:rsid w:val="00E66700"/>
    <w:rsid w:val="00E66AD7"/>
    <w:rsid w:val="00E66C83"/>
    <w:rsid w:val="00E67B0A"/>
    <w:rsid w:val="00E71BAD"/>
    <w:rsid w:val="00E733FF"/>
    <w:rsid w:val="00E74106"/>
    <w:rsid w:val="00E745D5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06C88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018A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D70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E66A9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C36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EC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EC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C36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EC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EC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7C4F-CBD1-4B58-9319-D57ABDC5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Chautagnat</dc:creator>
  <cp:lastModifiedBy>Laurence Berthet</cp:lastModifiedBy>
  <cp:revision>3</cp:revision>
  <cp:lastPrinted>2015-11-19T11:09:00Z</cp:lastPrinted>
  <dcterms:created xsi:type="dcterms:W3CDTF">2015-11-19T11:09:00Z</dcterms:created>
  <dcterms:modified xsi:type="dcterms:W3CDTF">2015-11-19T11:12:00Z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1515147F</vt:lpwstr>
  </property>
  <property fmtid="{D5CDD505-2E9C-101B-9397-08002B2CF9AE}" pid="3" name="ODSRefJobNo">
    <vt:lpwstr>1520217F</vt:lpwstr>
  </property>
  <property fmtid="{D5CDD505-2E9C-101B-9397-08002B2CF9AE}" pid="4" name="Symbol1">
    <vt:lpwstr>ST/SG/AC.10/C.3/2015/51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CC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8 septembre 2015</vt:lpwstr>
  </property>
  <property fmtid="{D5CDD505-2E9C-101B-9397-08002B2CF9AE}" pid="12" name="Original">
    <vt:lpwstr>anglais</vt:lpwstr>
  </property>
  <property fmtid="{D5CDD505-2E9C-101B-9397-08002B2CF9AE}" pid="13" name="Release Date">
    <vt:lpwstr>191115</vt:lpwstr>
  </property>
</Properties>
</file>