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48539B" w:rsidRPr="006500BA" w:rsidTr="00FE646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39B" w:rsidRPr="006500BA" w:rsidRDefault="0048539B" w:rsidP="00FE646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39B" w:rsidRPr="00FE646C" w:rsidRDefault="0048539B" w:rsidP="00FE646C">
            <w:pPr>
              <w:spacing w:after="80" w:line="340" w:lineRule="exact"/>
              <w:rPr>
                <w:sz w:val="28"/>
                <w:szCs w:val="28"/>
              </w:rPr>
            </w:pPr>
            <w:r w:rsidRPr="00FE646C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39B" w:rsidRPr="006500BA" w:rsidRDefault="0048539B" w:rsidP="00296CB0">
            <w:pPr>
              <w:jc w:val="right"/>
            </w:pPr>
            <w:r w:rsidRPr="00FE646C">
              <w:rPr>
                <w:sz w:val="40"/>
              </w:rPr>
              <w:t>ST</w:t>
            </w:r>
            <w:r>
              <w:t>/SG/AC.10/C.3/201</w:t>
            </w:r>
            <w:r w:rsidR="00BF6291">
              <w:t>5</w:t>
            </w:r>
            <w:r>
              <w:t>/</w:t>
            </w:r>
            <w:r w:rsidR="00296CB0">
              <w:t>51</w:t>
            </w:r>
          </w:p>
        </w:tc>
      </w:tr>
      <w:tr w:rsidR="0048539B" w:rsidRPr="006500BA" w:rsidTr="00172938">
        <w:trPr>
          <w:trHeight w:val="1967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539B" w:rsidRPr="006500BA" w:rsidRDefault="00F17D83" w:rsidP="00FE646C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D28776D" wp14:editId="147A8C9B">
                  <wp:extent cx="715010" cy="591820"/>
                  <wp:effectExtent l="0" t="0" r="889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539B" w:rsidRPr="00FE646C" w:rsidRDefault="0048539B" w:rsidP="00FE646C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E646C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539B" w:rsidRDefault="00E4094C" w:rsidP="00E4094C">
            <w:pPr>
              <w:spacing w:before="240" w:line="240" w:lineRule="exact"/>
            </w:pPr>
            <w:r>
              <w:t>Distr.: General</w:t>
            </w:r>
            <w:r w:rsidR="00934214">
              <w:br/>
            </w:r>
            <w:r w:rsidR="00C91BB9">
              <w:t>8</w:t>
            </w:r>
            <w:bookmarkStart w:id="0" w:name="_GoBack"/>
            <w:bookmarkEnd w:id="0"/>
            <w:r w:rsidR="00296CB0">
              <w:t xml:space="preserve"> September</w:t>
            </w:r>
            <w:r w:rsidR="00B30550">
              <w:t xml:space="preserve"> 2015</w:t>
            </w:r>
          </w:p>
          <w:p w:rsidR="0048539B" w:rsidRDefault="0048539B" w:rsidP="00FE646C">
            <w:pPr>
              <w:spacing w:line="240" w:lineRule="exact"/>
            </w:pPr>
          </w:p>
          <w:p w:rsidR="0048539B" w:rsidRPr="006500BA" w:rsidRDefault="0048539B" w:rsidP="00FE646C">
            <w:pPr>
              <w:spacing w:line="240" w:lineRule="exact"/>
            </w:pPr>
            <w:r>
              <w:t>Original: English</w:t>
            </w:r>
          </w:p>
        </w:tc>
      </w:tr>
    </w:tbl>
    <w:p w:rsidR="0048539B" w:rsidRPr="006500BA" w:rsidRDefault="0048539B" w:rsidP="0048539B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:rsidR="0048539B" w:rsidRPr="006500BA" w:rsidRDefault="0048539B" w:rsidP="0048539B">
      <w:pPr>
        <w:spacing w:before="10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:rsidR="0048539B" w:rsidRPr="006500BA" w:rsidRDefault="00F708A8" w:rsidP="0048539B">
      <w:pPr>
        <w:spacing w:before="100"/>
        <w:rPr>
          <w:b/>
        </w:rPr>
      </w:pPr>
      <w:r>
        <w:rPr>
          <w:b/>
        </w:rPr>
        <w:t>Fort</w:t>
      </w:r>
      <w:r w:rsidR="00083A13">
        <w:rPr>
          <w:b/>
        </w:rPr>
        <w:t>y-</w:t>
      </w:r>
      <w:r w:rsidR="009D1575">
        <w:rPr>
          <w:b/>
        </w:rPr>
        <w:t>eighth</w:t>
      </w:r>
      <w:r w:rsidR="0048539B">
        <w:rPr>
          <w:b/>
        </w:rPr>
        <w:t xml:space="preserve"> </w:t>
      </w:r>
      <w:r w:rsidR="00751118">
        <w:rPr>
          <w:b/>
        </w:rPr>
        <w:t>S</w:t>
      </w:r>
      <w:r w:rsidR="0048539B" w:rsidRPr="006500BA">
        <w:rPr>
          <w:b/>
        </w:rPr>
        <w:t>ession</w:t>
      </w:r>
    </w:p>
    <w:p w:rsidR="0048539B" w:rsidRPr="006500BA" w:rsidRDefault="0048539B" w:rsidP="0048539B">
      <w:r w:rsidRPr="006500BA">
        <w:t xml:space="preserve">Geneva, </w:t>
      </w:r>
      <w:r w:rsidR="009D1575">
        <w:t>30 November</w:t>
      </w:r>
      <w:r w:rsidR="00F708A8">
        <w:t xml:space="preserve"> – </w:t>
      </w:r>
      <w:r w:rsidR="009D1575">
        <w:t>9</w:t>
      </w:r>
      <w:r w:rsidR="00AE3D03">
        <w:t xml:space="preserve"> </w:t>
      </w:r>
      <w:r w:rsidR="009D1575">
        <w:t>December</w:t>
      </w:r>
      <w:r w:rsidR="00AE3D03">
        <w:t xml:space="preserve"> 201</w:t>
      </w:r>
      <w:r w:rsidR="00BF6291">
        <w:t>5</w:t>
      </w:r>
    </w:p>
    <w:p w:rsidR="00C84FF4" w:rsidRPr="00CC4C79" w:rsidRDefault="00C84FF4" w:rsidP="00083A13">
      <w:pPr>
        <w:rPr>
          <w:b/>
          <w:lang w:val="en-US"/>
        </w:rPr>
      </w:pPr>
      <w:r w:rsidRPr="00CC4C79">
        <w:t xml:space="preserve">Item </w:t>
      </w:r>
      <w:r w:rsidR="007C5B1C">
        <w:t>4</w:t>
      </w:r>
      <w:r w:rsidRPr="00CC4C79">
        <w:t xml:space="preserve"> </w:t>
      </w:r>
      <w:r w:rsidR="00BB2F7E">
        <w:t xml:space="preserve">(d) </w:t>
      </w:r>
      <w:r w:rsidRPr="00CC4C79">
        <w:t xml:space="preserve">of the </w:t>
      </w:r>
      <w:r w:rsidRPr="001F6DAB">
        <w:t xml:space="preserve">provisional </w:t>
      </w:r>
      <w:r w:rsidR="00751118" w:rsidRPr="001F6DAB">
        <w:rPr>
          <w:lang w:val="en-US"/>
        </w:rPr>
        <w:t>agenda</w:t>
      </w:r>
    </w:p>
    <w:p w:rsidR="00083A13" w:rsidRPr="007C5B1C" w:rsidRDefault="007C5B1C" w:rsidP="00083A13">
      <w:pPr>
        <w:rPr>
          <w:b/>
          <w:color w:val="C00000"/>
        </w:rPr>
      </w:pPr>
      <w:r w:rsidRPr="007C5B1C">
        <w:rPr>
          <w:b/>
        </w:rPr>
        <w:t>Electric storage systems: miscellaneous</w:t>
      </w:r>
    </w:p>
    <w:p w:rsidR="009D1575" w:rsidRPr="00CC72A0" w:rsidRDefault="00D938D5" w:rsidP="00E73F7D">
      <w:pPr>
        <w:pStyle w:val="HChG"/>
        <w:spacing w:before="240" w:line="240" w:lineRule="auto"/>
        <w:rPr>
          <w:color w:val="C00000"/>
          <w:szCs w:val="28"/>
        </w:rPr>
      </w:pPr>
      <w:r>
        <w:tab/>
      </w:r>
      <w:r>
        <w:tab/>
      </w:r>
      <w:r w:rsidR="007C5B1C">
        <w:rPr>
          <w:szCs w:val="28"/>
        </w:rPr>
        <w:t>Transport of damaged/defective lithium b</w:t>
      </w:r>
      <w:r w:rsidR="00CC72A0" w:rsidRPr="00CC4C79">
        <w:rPr>
          <w:szCs w:val="28"/>
        </w:rPr>
        <w:t xml:space="preserve">atteries </w:t>
      </w:r>
    </w:p>
    <w:p w:rsidR="00D938D5" w:rsidRPr="00CC4C79" w:rsidRDefault="009D1575" w:rsidP="000E422C">
      <w:pPr>
        <w:pStyle w:val="H1G"/>
      </w:pPr>
      <w:r w:rsidRPr="00E73F7D">
        <w:rPr>
          <w:szCs w:val="28"/>
        </w:rPr>
        <w:tab/>
      </w:r>
      <w:r w:rsidRPr="00E73F7D">
        <w:rPr>
          <w:szCs w:val="28"/>
        </w:rPr>
        <w:tab/>
      </w:r>
      <w:r w:rsidR="00D938D5" w:rsidRPr="00E73F7D">
        <w:t xml:space="preserve">Transmitted by the </w:t>
      </w:r>
      <w:r w:rsidR="00AF29B1" w:rsidRPr="00AF29B1">
        <w:t xml:space="preserve">International Organization of Motor Vehicle Manufacturers </w:t>
      </w:r>
      <w:r w:rsidR="00AF29B1">
        <w:t>(</w:t>
      </w:r>
      <w:r w:rsidR="00CC72A0" w:rsidRPr="00CC4C79">
        <w:t>OICA</w:t>
      </w:r>
      <w:r w:rsidR="00AF29B1">
        <w:t>)</w:t>
      </w:r>
      <w:r w:rsidR="00296CB0">
        <w:rPr>
          <w:rStyle w:val="FootnoteReference"/>
        </w:rPr>
        <w:footnoteReference w:id="2"/>
      </w:r>
    </w:p>
    <w:p w:rsidR="00D938D5" w:rsidRDefault="00D938D5" w:rsidP="00E73F7D">
      <w:pPr>
        <w:pStyle w:val="HChG"/>
        <w:spacing w:before="240" w:line="240" w:lineRule="auto"/>
        <w:rPr>
          <w:szCs w:val="28"/>
        </w:rPr>
      </w:pPr>
      <w:r w:rsidRPr="00E73F7D">
        <w:rPr>
          <w:szCs w:val="28"/>
        </w:rPr>
        <w:tab/>
      </w:r>
      <w:r w:rsidRPr="00E73F7D">
        <w:rPr>
          <w:szCs w:val="28"/>
        </w:rPr>
        <w:tab/>
        <w:t>Introduction</w:t>
      </w:r>
      <w:r w:rsidR="009905DF">
        <w:rPr>
          <w:szCs w:val="28"/>
        </w:rPr>
        <w:t xml:space="preserve"> </w:t>
      </w:r>
    </w:p>
    <w:p w:rsidR="002851D6" w:rsidRPr="00296CB0" w:rsidRDefault="00296CB0" w:rsidP="00296CB0">
      <w:pPr>
        <w:pStyle w:val="SingleTxtG"/>
      </w:pPr>
      <w:r>
        <w:t>1.</w:t>
      </w:r>
      <w:r>
        <w:tab/>
      </w:r>
      <w:r w:rsidR="002851D6" w:rsidRPr="00296CB0">
        <w:t>SP376 a</w:t>
      </w:r>
      <w:r w:rsidR="00AF29B1">
        <w:t>llows two ways of transporting l</w:t>
      </w:r>
      <w:r w:rsidR="002851D6" w:rsidRPr="00296CB0">
        <w:t xml:space="preserve">ithium batteries, either P908/LP904 or regarding the transport of potentially risky damaged / defect batteries using competent authority approval. </w:t>
      </w:r>
    </w:p>
    <w:p w:rsidR="002851D6" w:rsidRPr="00296CB0" w:rsidRDefault="00296CB0" w:rsidP="00296CB0">
      <w:pPr>
        <w:pStyle w:val="SingleTxtG"/>
      </w:pPr>
      <w:r>
        <w:t>2.</w:t>
      </w:r>
      <w:r>
        <w:tab/>
      </w:r>
      <w:r w:rsidR="002851D6" w:rsidRPr="00296CB0">
        <w:t>Several competent authority approvals have been granted so far indicating different transport solutions using different packaging based on different testing and calculation methods.</w:t>
      </w:r>
    </w:p>
    <w:p w:rsidR="002851D6" w:rsidRPr="00296CB0" w:rsidRDefault="00296CB0" w:rsidP="00296CB0">
      <w:pPr>
        <w:pStyle w:val="SingleTxtG"/>
      </w:pPr>
      <w:r>
        <w:t>3.</w:t>
      </w:r>
      <w:r>
        <w:tab/>
      </w:r>
      <w:r w:rsidR="002851D6" w:rsidRPr="00296CB0">
        <w:t xml:space="preserve">OICA members have looked at the </w:t>
      </w:r>
      <w:r w:rsidR="001F6DAB" w:rsidRPr="00296CB0">
        <w:t xml:space="preserve">known </w:t>
      </w:r>
      <w:r w:rsidR="002851D6" w:rsidRPr="00296CB0">
        <w:t>existing competent authority approvals that have been granted in different countries so far and recognised many similarities on these approvals.</w:t>
      </w:r>
    </w:p>
    <w:p w:rsidR="00172938" w:rsidRPr="00296CB0" w:rsidRDefault="00296CB0" w:rsidP="00296CB0">
      <w:pPr>
        <w:pStyle w:val="SingleTxtG"/>
      </w:pPr>
      <w:r>
        <w:t>4.</w:t>
      </w:r>
      <w:r>
        <w:tab/>
      </w:r>
      <w:r w:rsidR="00AB4928" w:rsidRPr="00296CB0">
        <w:t>Based on experience acquired so far the attached list of measures has been established. This list has been presented to the experts participating</w:t>
      </w:r>
      <w:r w:rsidR="001F6DAB" w:rsidRPr="00296CB0">
        <w:t xml:space="preserve"> in </w:t>
      </w:r>
      <w:r w:rsidR="00AB4928" w:rsidRPr="00296CB0">
        <w:t xml:space="preserve">the </w:t>
      </w:r>
      <w:r w:rsidR="00BB2F7E">
        <w:t>2nd</w:t>
      </w:r>
      <w:r w:rsidR="00CC4C79" w:rsidRPr="00296CB0">
        <w:t xml:space="preserve"> Informal Working Group Meeting</w:t>
      </w:r>
      <w:r w:rsidR="001F6DAB" w:rsidRPr="00296CB0">
        <w:t xml:space="preserve"> -</w:t>
      </w:r>
      <w:r w:rsidR="00CC4C79" w:rsidRPr="00296CB0">
        <w:t xml:space="preserve"> </w:t>
      </w:r>
      <w:r w:rsidR="00AB4928" w:rsidRPr="00296CB0">
        <w:t>Li</w:t>
      </w:r>
      <w:r w:rsidR="00CC4C79" w:rsidRPr="00296CB0">
        <w:t>thium Batteries and Manual of Tests and Criteria</w:t>
      </w:r>
      <w:r w:rsidR="00AB4928" w:rsidRPr="00296CB0">
        <w:t xml:space="preserve">. As they are not directly mentioned in the </w:t>
      </w:r>
      <w:r w:rsidR="00AF29B1">
        <w:t>terms of reference,</w:t>
      </w:r>
      <w:r w:rsidR="00AB4928" w:rsidRPr="00296CB0">
        <w:t xml:space="preserve"> the W</w:t>
      </w:r>
      <w:r w:rsidR="00CC4C79" w:rsidRPr="00296CB0">
        <w:t>orking Group</w:t>
      </w:r>
      <w:r w:rsidR="00AB4928" w:rsidRPr="00296CB0">
        <w:t xml:space="preserve"> advised OICA to draft a document for the S</w:t>
      </w:r>
      <w:r w:rsidR="00CC4C79" w:rsidRPr="00296CB0">
        <w:t>ub</w:t>
      </w:r>
      <w:r w:rsidR="00AF29B1">
        <w:t>-C</w:t>
      </w:r>
      <w:r w:rsidR="00CC4C79" w:rsidRPr="00296CB0">
        <w:t>ommittee.</w:t>
      </w:r>
    </w:p>
    <w:p w:rsidR="00307A6D" w:rsidRDefault="00172938" w:rsidP="00172938">
      <w:pPr>
        <w:suppressAutoHyphens w:val="0"/>
        <w:spacing w:line="240" w:lineRule="auto"/>
      </w:pPr>
      <w:r>
        <w:br w:type="page"/>
      </w:r>
    </w:p>
    <w:p w:rsidR="00353734" w:rsidRDefault="000E422C" w:rsidP="00172938">
      <w:pPr>
        <w:pStyle w:val="HChG"/>
        <w:spacing w:before="0"/>
      </w:pPr>
      <w:r>
        <w:lastRenderedPageBreak/>
        <w:tab/>
      </w:r>
      <w:r w:rsidR="00353734">
        <w:tab/>
      </w:r>
      <w:r w:rsidR="00353734" w:rsidRPr="005D5D6B">
        <w:t>P</w:t>
      </w:r>
      <w:r w:rsidR="00353734">
        <w:t>roposal</w:t>
      </w:r>
    </w:p>
    <w:p w:rsidR="00944D6A" w:rsidRPr="008128DA" w:rsidRDefault="00296CB0" w:rsidP="00296CB0">
      <w:pPr>
        <w:pStyle w:val="SingleTxtG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r w:rsidR="00944D6A" w:rsidRPr="008128DA">
        <w:rPr>
          <w:lang w:val="en-US"/>
        </w:rPr>
        <w:t xml:space="preserve">OICA proposes to discuss the possibility </w:t>
      </w:r>
      <w:r w:rsidR="001F6DAB">
        <w:rPr>
          <w:lang w:val="en-US"/>
        </w:rPr>
        <w:t xml:space="preserve">and the need </w:t>
      </w:r>
      <w:r w:rsidR="00944D6A" w:rsidRPr="008128DA">
        <w:rPr>
          <w:lang w:val="en-US"/>
        </w:rPr>
        <w:t>of defining standards to packaging and testing regarding</w:t>
      </w:r>
      <w:r w:rsidR="00E84D9D">
        <w:rPr>
          <w:lang w:val="en-US"/>
        </w:rPr>
        <w:t xml:space="preserve"> </w:t>
      </w:r>
      <w:r w:rsidR="00944D6A" w:rsidRPr="008128DA">
        <w:rPr>
          <w:lang w:val="en-US"/>
        </w:rPr>
        <w:t>the transport of such potentially risky damaged/defect batteries as a way to avoid competent authority approval</w:t>
      </w:r>
      <w:r w:rsidR="001F6DAB">
        <w:rPr>
          <w:lang w:val="en-US"/>
        </w:rPr>
        <w:t xml:space="preserve">s. In </w:t>
      </w:r>
      <w:r w:rsidR="00944D6A" w:rsidRPr="008128DA">
        <w:rPr>
          <w:lang w:val="en-US"/>
        </w:rPr>
        <w:t xml:space="preserve">many cases that could be covered by already existing solutions based on granted competent authority approvals. </w:t>
      </w:r>
    </w:p>
    <w:p w:rsidR="00CC72A0" w:rsidRPr="008128DA" w:rsidRDefault="00296CB0" w:rsidP="00296CB0">
      <w:pPr>
        <w:pStyle w:val="SingleTxtG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</w:r>
      <w:r w:rsidR="001F6DAB">
        <w:rPr>
          <w:lang w:val="en-US"/>
        </w:rPr>
        <w:t>Following</w:t>
      </w:r>
      <w:r w:rsidR="00E84D9D" w:rsidRPr="008128DA">
        <w:rPr>
          <w:lang w:val="en-US"/>
        </w:rPr>
        <w:t xml:space="preserve"> </w:t>
      </w:r>
      <w:r w:rsidR="00944D6A" w:rsidRPr="008128DA">
        <w:rPr>
          <w:lang w:val="en-US"/>
        </w:rPr>
        <w:t xml:space="preserve">points have been summarized to be found repeatedly in granted competent authority approvals and are asked to be discussed. Some of these </w:t>
      </w:r>
      <w:r w:rsidR="001F6DAB">
        <w:rPr>
          <w:lang w:val="en-US"/>
        </w:rPr>
        <w:t>are</w:t>
      </w:r>
      <w:r w:rsidR="00944D6A" w:rsidRPr="008128DA">
        <w:rPr>
          <w:lang w:val="en-US"/>
        </w:rPr>
        <w:t xml:space="preserve"> more packaging specific and others </w:t>
      </w:r>
      <w:r w:rsidR="001F6DAB">
        <w:rPr>
          <w:lang w:val="en-US"/>
        </w:rPr>
        <w:t xml:space="preserve">focus on </w:t>
      </w:r>
      <w:r w:rsidR="00944D6A" w:rsidRPr="008128DA">
        <w:rPr>
          <w:lang w:val="en-US"/>
        </w:rPr>
        <w:t>testing specification</w:t>
      </w:r>
      <w:r w:rsidR="001F6DAB">
        <w:rPr>
          <w:lang w:val="en-US"/>
        </w:rPr>
        <w:t>.</w:t>
      </w:r>
      <w:r w:rsidR="00944D6A" w:rsidRPr="008128DA">
        <w:rPr>
          <w:lang w:val="en-US"/>
        </w:rPr>
        <w:t xml:space="preserve"> </w:t>
      </w:r>
      <w:r w:rsidR="00F46448" w:rsidRPr="008128DA">
        <w:rPr>
          <w:lang w:val="en-US"/>
        </w:rPr>
        <w:t xml:space="preserve">OICA would leave relating them </w:t>
      </w:r>
      <w:r w:rsidR="001F6DAB">
        <w:rPr>
          <w:lang w:val="en-US"/>
        </w:rPr>
        <w:t xml:space="preserve">to </w:t>
      </w:r>
      <w:r w:rsidR="00944D6A" w:rsidRPr="008128DA">
        <w:rPr>
          <w:lang w:val="en-US"/>
        </w:rPr>
        <w:t xml:space="preserve">the </w:t>
      </w:r>
      <w:r w:rsidR="00AF29B1">
        <w:rPr>
          <w:lang w:val="en-US"/>
        </w:rPr>
        <w:t>S</w:t>
      </w:r>
      <w:r w:rsidR="00944D6A" w:rsidRPr="008128DA">
        <w:rPr>
          <w:lang w:val="en-US"/>
        </w:rPr>
        <w:t>ub</w:t>
      </w:r>
      <w:r w:rsidR="00AF29B1">
        <w:rPr>
          <w:lang w:val="en-US"/>
        </w:rPr>
        <w:t>-C</w:t>
      </w:r>
      <w:r w:rsidR="00944D6A" w:rsidRPr="008128DA">
        <w:rPr>
          <w:lang w:val="en-US"/>
        </w:rPr>
        <w:t>ommittee</w:t>
      </w:r>
      <w:r w:rsidR="00F46448" w:rsidRPr="008128DA">
        <w:rPr>
          <w:lang w:val="en-US"/>
        </w:rPr>
        <w:t xml:space="preserve"> </w:t>
      </w:r>
      <w:r w:rsidR="001F6DAB">
        <w:rPr>
          <w:lang w:val="en-US"/>
        </w:rPr>
        <w:t>to review where necessary:</w:t>
      </w:r>
      <w:r w:rsidR="00944D6A" w:rsidRPr="008128DA">
        <w:rPr>
          <w:lang w:val="en-US"/>
        </w:rPr>
        <w:t xml:space="preserve"> </w:t>
      </w:r>
    </w:p>
    <w:p w:rsidR="0069661B" w:rsidRPr="008128DA" w:rsidRDefault="00296CB0" w:rsidP="00296CB0">
      <w:pPr>
        <w:pStyle w:val="SingleTxtG"/>
        <w:ind w:left="1701"/>
        <w:rPr>
          <w:lang w:val="en-US"/>
        </w:rPr>
      </w:pPr>
      <w:r>
        <w:rPr>
          <w:lang w:val="en-US"/>
        </w:rPr>
        <w:t>(a)</w:t>
      </w:r>
      <w:r>
        <w:rPr>
          <w:lang w:val="en-US"/>
        </w:rPr>
        <w:tab/>
      </w:r>
      <w:r w:rsidR="0069661B" w:rsidRPr="008128DA">
        <w:rPr>
          <w:lang w:val="en-US"/>
        </w:rPr>
        <w:t xml:space="preserve">All terminals of </w:t>
      </w:r>
      <w:r w:rsidR="00AF29B1">
        <w:rPr>
          <w:lang w:val="en-US"/>
        </w:rPr>
        <w:t>l</w:t>
      </w:r>
      <w:r w:rsidR="001F6DAB">
        <w:rPr>
          <w:lang w:val="en-US"/>
        </w:rPr>
        <w:t xml:space="preserve">ithium </w:t>
      </w:r>
      <w:r w:rsidR="0069661B" w:rsidRPr="008128DA">
        <w:rPr>
          <w:lang w:val="en-US"/>
        </w:rPr>
        <w:t xml:space="preserve">cells and </w:t>
      </w:r>
      <w:r w:rsidR="001F6DAB">
        <w:rPr>
          <w:lang w:val="en-US"/>
        </w:rPr>
        <w:t>b</w:t>
      </w:r>
      <w:r w:rsidR="0069661B" w:rsidRPr="008128DA">
        <w:rPr>
          <w:lang w:val="en-US"/>
        </w:rPr>
        <w:t>atteries shall be protected against external short circuit.</w:t>
      </w:r>
    </w:p>
    <w:p w:rsidR="0069661B" w:rsidRPr="008128DA" w:rsidRDefault="00296CB0" w:rsidP="00296CB0">
      <w:pPr>
        <w:pStyle w:val="SingleTxtG"/>
        <w:ind w:left="1701"/>
        <w:rPr>
          <w:lang w:val="en-US"/>
        </w:rPr>
      </w:pPr>
      <w:r>
        <w:rPr>
          <w:lang w:val="en-US"/>
        </w:rPr>
        <w:t>(b)</w:t>
      </w:r>
      <w:r>
        <w:rPr>
          <w:lang w:val="en-US"/>
        </w:rPr>
        <w:tab/>
      </w:r>
      <w:r w:rsidR="0069661B" w:rsidRPr="008128DA">
        <w:rPr>
          <w:lang w:val="en-US"/>
        </w:rPr>
        <w:t xml:space="preserve">All openings for service fluids other than </w:t>
      </w:r>
      <w:r w:rsidR="001F6DAB">
        <w:rPr>
          <w:lang w:val="en-US"/>
        </w:rPr>
        <w:t xml:space="preserve">for </w:t>
      </w:r>
      <w:r w:rsidR="0069661B" w:rsidRPr="008128DA">
        <w:rPr>
          <w:lang w:val="en-US"/>
        </w:rPr>
        <w:t>electrolyte shall be closed.</w:t>
      </w:r>
    </w:p>
    <w:p w:rsidR="0069661B" w:rsidRPr="008128DA" w:rsidRDefault="00296CB0" w:rsidP="00296CB0">
      <w:pPr>
        <w:pStyle w:val="SingleTxtG"/>
        <w:ind w:left="1701"/>
        <w:rPr>
          <w:lang w:val="en-US"/>
        </w:rPr>
      </w:pPr>
      <w:r>
        <w:rPr>
          <w:lang w:val="en-US"/>
        </w:rPr>
        <w:t>(c)</w:t>
      </w:r>
      <w:r>
        <w:rPr>
          <w:lang w:val="en-US"/>
        </w:rPr>
        <w:tab/>
      </w:r>
      <w:r w:rsidR="0069661B" w:rsidRPr="008128DA">
        <w:rPr>
          <w:lang w:val="en-US"/>
        </w:rPr>
        <w:t xml:space="preserve">Residues of dangerous goods as well as of the electrolyte on the surface of the outer casing of </w:t>
      </w:r>
      <w:r w:rsidR="001F6DAB">
        <w:rPr>
          <w:lang w:val="en-US"/>
        </w:rPr>
        <w:t xml:space="preserve">Lithium </w:t>
      </w:r>
      <w:r w:rsidR="001F6DAB" w:rsidRPr="008128DA">
        <w:rPr>
          <w:lang w:val="en-US"/>
        </w:rPr>
        <w:t xml:space="preserve">cells and </w:t>
      </w:r>
      <w:r w:rsidR="001F6DAB">
        <w:rPr>
          <w:lang w:val="en-US"/>
        </w:rPr>
        <w:t>b</w:t>
      </w:r>
      <w:r w:rsidR="001F6DAB" w:rsidRPr="008128DA">
        <w:rPr>
          <w:lang w:val="en-US"/>
        </w:rPr>
        <w:t>atter</w:t>
      </w:r>
      <w:r w:rsidR="00AF29B1">
        <w:rPr>
          <w:lang w:val="en-US"/>
        </w:rPr>
        <w:t>ies</w:t>
      </w:r>
      <w:r w:rsidR="001F6DAB">
        <w:rPr>
          <w:lang w:val="en-US"/>
        </w:rPr>
        <w:t xml:space="preserve"> </w:t>
      </w:r>
      <w:r w:rsidR="0069661B" w:rsidRPr="008128DA">
        <w:rPr>
          <w:lang w:val="en-US"/>
        </w:rPr>
        <w:t>shall be removed.</w:t>
      </w:r>
    </w:p>
    <w:p w:rsidR="0069661B" w:rsidRPr="008128DA" w:rsidRDefault="00296CB0" w:rsidP="00296CB0">
      <w:pPr>
        <w:pStyle w:val="SingleTxtG"/>
        <w:ind w:left="1701"/>
        <w:rPr>
          <w:rFonts w:eastAsia="MS Mincho" w:cs="Arial"/>
          <w:lang w:eastAsia="ja-JP"/>
        </w:rPr>
      </w:pPr>
      <w:r>
        <w:rPr>
          <w:rFonts w:eastAsia="MS Mincho" w:cs="Arial"/>
          <w:lang w:eastAsia="ja-JP"/>
        </w:rPr>
        <w:t>(d)</w:t>
      </w:r>
      <w:r>
        <w:rPr>
          <w:rFonts w:eastAsia="MS Mincho" w:cs="Arial"/>
          <w:lang w:eastAsia="ja-JP"/>
        </w:rPr>
        <w:tab/>
      </w:r>
      <w:proofErr w:type="spellStart"/>
      <w:r w:rsidR="0069661B" w:rsidRPr="008128DA">
        <w:rPr>
          <w:rFonts w:eastAsia="MS Mincho" w:cs="Arial"/>
          <w:lang w:eastAsia="ja-JP"/>
        </w:rPr>
        <w:t>Packaging</w:t>
      </w:r>
      <w:r w:rsidR="00AF29B1">
        <w:rPr>
          <w:rFonts w:eastAsia="MS Mincho" w:cs="Arial"/>
          <w:lang w:eastAsia="ja-JP"/>
        </w:rPr>
        <w:t>s</w:t>
      </w:r>
      <w:proofErr w:type="spellEnd"/>
      <w:r w:rsidR="0069661B" w:rsidRPr="008128DA">
        <w:rPr>
          <w:rFonts w:eastAsia="MS Mincho" w:cs="Arial"/>
          <w:lang w:eastAsia="ja-JP"/>
        </w:rPr>
        <w:t xml:space="preserve"> shall conform to the packing group I performance level.</w:t>
      </w:r>
    </w:p>
    <w:p w:rsidR="0069661B" w:rsidRPr="008128DA" w:rsidRDefault="00296CB0" w:rsidP="00296CB0">
      <w:pPr>
        <w:pStyle w:val="SingleTxtG"/>
        <w:ind w:left="1701"/>
        <w:rPr>
          <w:lang w:val="en-US"/>
        </w:rPr>
      </w:pPr>
      <w:r>
        <w:rPr>
          <w:lang w:val="en-US"/>
        </w:rPr>
        <w:t>(e)</w:t>
      </w:r>
      <w:r>
        <w:rPr>
          <w:lang w:val="en-US"/>
        </w:rPr>
        <w:tab/>
      </w:r>
      <w:r w:rsidR="0069661B" w:rsidRPr="008128DA">
        <w:rPr>
          <w:lang w:val="en-US"/>
        </w:rPr>
        <w:t xml:space="preserve">The packaging must be capable to withstand the potential risk scenarios </w:t>
      </w:r>
      <w:r w:rsidR="001F6DAB">
        <w:rPr>
          <w:lang w:val="en-US"/>
        </w:rPr>
        <w:t>related to t</w:t>
      </w:r>
      <w:r w:rsidR="0069661B" w:rsidRPr="008128DA">
        <w:rPr>
          <w:lang w:val="en-US"/>
        </w:rPr>
        <w:t xml:space="preserve">he type of Lithium-cell/-battery at maximum energy content. The following scenarios must be considered, if applicable: </w:t>
      </w:r>
    </w:p>
    <w:p w:rsidR="0069661B" w:rsidRPr="008128DA" w:rsidRDefault="00AF29B1" w:rsidP="00296CB0">
      <w:pPr>
        <w:pStyle w:val="SingleTxtG"/>
        <w:tabs>
          <w:tab w:val="left" w:pos="2694"/>
        </w:tabs>
        <w:ind w:left="2268"/>
        <w:rPr>
          <w:lang w:val="en-US"/>
        </w:rPr>
      </w:pPr>
      <w:r>
        <w:rPr>
          <w:lang w:val="en-US"/>
        </w:rPr>
        <w:t>(</w:t>
      </w:r>
      <w:proofErr w:type="spellStart"/>
      <w:r w:rsidR="00296CB0">
        <w:rPr>
          <w:lang w:val="en-US"/>
        </w:rPr>
        <w:t>i</w:t>
      </w:r>
      <w:proofErr w:type="spellEnd"/>
      <w:r>
        <w:rPr>
          <w:lang w:val="en-US"/>
        </w:rPr>
        <w:t>)</w:t>
      </w:r>
      <w:r w:rsidR="00296CB0">
        <w:rPr>
          <w:lang w:val="en-US"/>
        </w:rPr>
        <w:tab/>
        <w:t>R</w:t>
      </w:r>
      <w:r w:rsidR="0069661B" w:rsidRPr="008128DA">
        <w:rPr>
          <w:lang w:val="en-US"/>
        </w:rPr>
        <w:t>apid disassemble,</w:t>
      </w:r>
    </w:p>
    <w:p w:rsidR="0069661B" w:rsidRPr="008128DA" w:rsidRDefault="00AF29B1" w:rsidP="00296CB0">
      <w:pPr>
        <w:pStyle w:val="SingleTxtG"/>
        <w:tabs>
          <w:tab w:val="left" w:pos="2694"/>
        </w:tabs>
        <w:ind w:left="2268"/>
      </w:pPr>
      <w:r>
        <w:t>(</w:t>
      </w:r>
      <w:r w:rsidR="00296CB0">
        <w:t>ii</w:t>
      </w:r>
      <w:r>
        <w:t>)</w:t>
      </w:r>
      <w:r w:rsidR="00296CB0">
        <w:tab/>
        <w:t>D</w:t>
      </w:r>
      <w:r w:rsidR="0069661B" w:rsidRPr="008128DA">
        <w:t>angerous reaction,</w:t>
      </w:r>
    </w:p>
    <w:p w:rsidR="0069661B" w:rsidRPr="008128DA" w:rsidRDefault="00AF29B1" w:rsidP="00296CB0">
      <w:pPr>
        <w:pStyle w:val="SingleTxtG"/>
        <w:tabs>
          <w:tab w:val="left" w:pos="2694"/>
        </w:tabs>
        <w:ind w:left="2268"/>
        <w:rPr>
          <w:lang w:val="en-US"/>
        </w:rPr>
      </w:pPr>
      <w:r>
        <w:rPr>
          <w:lang w:val="en-US"/>
        </w:rPr>
        <w:t>(</w:t>
      </w:r>
      <w:r w:rsidR="00296CB0">
        <w:rPr>
          <w:lang w:val="en-US"/>
        </w:rPr>
        <w:t>iii</w:t>
      </w:r>
      <w:r>
        <w:rPr>
          <w:lang w:val="en-US"/>
        </w:rPr>
        <w:t>)</w:t>
      </w:r>
      <w:r w:rsidR="00296CB0">
        <w:rPr>
          <w:lang w:val="en-US"/>
        </w:rPr>
        <w:tab/>
        <w:t>P</w:t>
      </w:r>
      <w:r w:rsidR="0069661B" w:rsidRPr="008128DA">
        <w:rPr>
          <w:lang w:val="en-US"/>
        </w:rPr>
        <w:t>roduce of a flame,</w:t>
      </w:r>
    </w:p>
    <w:p w:rsidR="0069661B" w:rsidRPr="008128DA" w:rsidRDefault="00AF29B1" w:rsidP="00296CB0">
      <w:pPr>
        <w:pStyle w:val="SingleTxtG"/>
        <w:tabs>
          <w:tab w:val="left" w:pos="2694"/>
        </w:tabs>
        <w:ind w:left="2268"/>
        <w:rPr>
          <w:lang w:val="en-US"/>
        </w:rPr>
      </w:pPr>
      <w:proofErr w:type="gramStart"/>
      <w:r>
        <w:rPr>
          <w:lang w:val="en-US"/>
        </w:rPr>
        <w:t>(</w:t>
      </w:r>
      <w:r w:rsidR="00296CB0">
        <w:rPr>
          <w:lang w:val="en-US"/>
        </w:rPr>
        <w:t>iv</w:t>
      </w:r>
      <w:r>
        <w:rPr>
          <w:lang w:val="en-US"/>
        </w:rPr>
        <w:t>)</w:t>
      </w:r>
      <w:r w:rsidR="00296CB0">
        <w:rPr>
          <w:lang w:val="en-US"/>
        </w:rPr>
        <w:tab/>
        <w:t>D</w:t>
      </w:r>
      <w:r w:rsidR="0069661B" w:rsidRPr="008128DA">
        <w:rPr>
          <w:lang w:val="en-US"/>
        </w:rPr>
        <w:t>angerous</w:t>
      </w:r>
      <w:proofErr w:type="gramEnd"/>
      <w:r w:rsidR="0069661B" w:rsidRPr="008128DA">
        <w:rPr>
          <w:lang w:val="en-US"/>
        </w:rPr>
        <w:t xml:space="preserve"> evolution of heat, or</w:t>
      </w:r>
    </w:p>
    <w:p w:rsidR="0069661B" w:rsidRPr="008128DA" w:rsidRDefault="00AF29B1" w:rsidP="00296CB0">
      <w:pPr>
        <w:pStyle w:val="SingleTxtG"/>
        <w:tabs>
          <w:tab w:val="left" w:pos="2694"/>
        </w:tabs>
        <w:ind w:left="2694" w:hanging="426"/>
        <w:rPr>
          <w:lang w:val="en-US"/>
        </w:rPr>
      </w:pPr>
      <w:r>
        <w:rPr>
          <w:lang w:val="en-US"/>
        </w:rPr>
        <w:t>(</w:t>
      </w:r>
      <w:r w:rsidR="00296CB0">
        <w:rPr>
          <w:lang w:val="en-US"/>
        </w:rPr>
        <w:t>v</w:t>
      </w:r>
      <w:r>
        <w:rPr>
          <w:lang w:val="en-US"/>
        </w:rPr>
        <w:t>)</w:t>
      </w:r>
      <w:r w:rsidR="00296CB0">
        <w:rPr>
          <w:lang w:val="en-US"/>
        </w:rPr>
        <w:tab/>
        <w:t>D</w:t>
      </w:r>
      <w:r w:rsidR="0069661B" w:rsidRPr="008128DA">
        <w:rPr>
          <w:lang w:val="en-US"/>
        </w:rPr>
        <w:t xml:space="preserve">angerous emission of acute toxic, corrosive or flammable gases or </w:t>
      </w:r>
      <w:r w:rsidR="001F6DAB">
        <w:rPr>
          <w:lang w:val="en-US"/>
        </w:rPr>
        <w:t>vapors</w:t>
      </w:r>
      <w:r w:rsidR="0069661B" w:rsidRPr="008128DA">
        <w:rPr>
          <w:lang w:val="en-US"/>
        </w:rPr>
        <w:t>.</w:t>
      </w:r>
    </w:p>
    <w:p w:rsidR="0069661B" w:rsidRPr="008128DA" w:rsidRDefault="00296CB0" w:rsidP="00296CB0">
      <w:pPr>
        <w:pStyle w:val="SingleTxtG"/>
        <w:ind w:firstLine="426"/>
        <w:rPr>
          <w:lang w:val="en-US"/>
        </w:rPr>
      </w:pPr>
      <w:r>
        <w:rPr>
          <w:lang w:val="en-US"/>
        </w:rPr>
        <w:t>(f)</w:t>
      </w:r>
      <w:r>
        <w:rPr>
          <w:lang w:val="en-US"/>
        </w:rPr>
        <w:tab/>
      </w:r>
      <w:r w:rsidR="0069661B" w:rsidRPr="008128DA">
        <w:rPr>
          <w:lang w:val="en-US"/>
        </w:rPr>
        <w:t>The following points must be guaranteed successfully during these scenarios:</w:t>
      </w:r>
    </w:p>
    <w:p w:rsidR="0069661B" w:rsidRPr="00804B55" w:rsidRDefault="00AF29B1" w:rsidP="00296CB0">
      <w:pPr>
        <w:pStyle w:val="SingleTxtG"/>
        <w:ind w:left="2835" w:hanging="567"/>
        <w:rPr>
          <w:lang w:val="en-US"/>
        </w:rPr>
      </w:pPr>
      <w:r>
        <w:rPr>
          <w:lang w:val="en-US"/>
        </w:rPr>
        <w:t>(</w:t>
      </w:r>
      <w:proofErr w:type="spellStart"/>
      <w:r w:rsidR="00296CB0">
        <w:rPr>
          <w:lang w:val="en-US"/>
        </w:rPr>
        <w:t>i</w:t>
      </w:r>
      <w:proofErr w:type="spellEnd"/>
      <w:r>
        <w:rPr>
          <w:lang w:val="en-US"/>
        </w:rPr>
        <w:t>)</w:t>
      </w:r>
      <w:r w:rsidR="00296CB0">
        <w:rPr>
          <w:lang w:val="en-US"/>
        </w:rPr>
        <w:tab/>
      </w:r>
      <w:r w:rsidR="0069661B" w:rsidRPr="00804B55">
        <w:rPr>
          <w:lang w:val="en-US"/>
        </w:rPr>
        <w:t xml:space="preserve">The temperature </w:t>
      </w:r>
      <w:r w:rsidR="001F6DAB">
        <w:rPr>
          <w:lang w:val="en-US"/>
        </w:rPr>
        <w:t xml:space="preserve">on </w:t>
      </w:r>
      <w:r w:rsidR="0069661B" w:rsidRPr="00804B55">
        <w:rPr>
          <w:lang w:val="en-US"/>
        </w:rPr>
        <w:t>the outside of the packaging m</w:t>
      </w:r>
      <w:r w:rsidR="001F6DAB">
        <w:rPr>
          <w:lang w:val="en-US"/>
        </w:rPr>
        <w:t>ay</w:t>
      </w:r>
      <w:r w:rsidR="0069661B" w:rsidRPr="00804B55">
        <w:rPr>
          <w:lang w:val="en-US"/>
        </w:rPr>
        <w:t xml:space="preserve"> not exceed 100°C during the reaction,</w:t>
      </w:r>
    </w:p>
    <w:p w:rsidR="00A116E4" w:rsidRDefault="00AF29B1" w:rsidP="00296CB0">
      <w:pPr>
        <w:pStyle w:val="SingleTxtG"/>
        <w:ind w:left="2835" w:hanging="567"/>
        <w:rPr>
          <w:lang w:val="en-US"/>
        </w:rPr>
      </w:pPr>
      <w:r>
        <w:rPr>
          <w:lang w:val="en-US"/>
        </w:rPr>
        <w:t>(</w:t>
      </w:r>
      <w:r w:rsidR="00296CB0">
        <w:rPr>
          <w:lang w:val="en-US"/>
        </w:rPr>
        <w:t>ii</w:t>
      </w:r>
      <w:r>
        <w:rPr>
          <w:lang w:val="en-US"/>
        </w:rPr>
        <w:t>)</w:t>
      </w:r>
      <w:r w:rsidR="00296CB0">
        <w:rPr>
          <w:lang w:val="en-US"/>
        </w:rPr>
        <w:tab/>
      </w:r>
      <w:r w:rsidR="0069661B" w:rsidRPr="00804B55">
        <w:rPr>
          <w:lang w:val="en-US"/>
        </w:rPr>
        <w:t xml:space="preserve">Gases or </w:t>
      </w:r>
      <w:proofErr w:type="spellStart"/>
      <w:r w:rsidR="001F6DAB">
        <w:rPr>
          <w:lang w:val="en-US"/>
        </w:rPr>
        <w:t>vapo</w:t>
      </w:r>
      <w:r>
        <w:rPr>
          <w:lang w:val="en-US"/>
        </w:rPr>
        <w:t>u</w:t>
      </w:r>
      <w:r w:rsidR="001F6DAB">
        <w:rPr>
          <w:lang w:val="en-US"/>
        </w:rPr>
        <w:t>rs</w:t>
      </w:r>
      <w:proofErr w:type="spellEnd"/>
      <w:r w:rsidR="001F6DAB">
        <w:rPr>
          <w:lang w:val="en-US"/>
        </w:rPr>
        <w:t xml:space="preserve"> </w:t>
      </w:r>
      <w:r w:rsidR="0069661B" w:rsidRPr="00804B55">
        <w:rPr>
          <w:lang w:val="en-US"/>
        </w:rPr>
        <w:t>escaping the packaging m</w:t>
      </w:r>
      <w:r w:rsidR="001F6DAB">
        <w:rPr>
          <w:lang w:val="en-US"/>
        </w:rPr>
        <w:t>ay</w:t>
      </w:r>
      <w:r w:rsidR="0069661B" w:rsidRPr="00804B55">
        <w:rPr>
          <w:lang w:val="en-US"/>
        </w:rPr>
        <w:t xml:space="preserve"> not be flammable or acutely toxic. If an escape of flammable or acute toxic gas</w:t>
      </w:r>
      <w:r w:rsidR="001F6DAB">
        <w:rPr>
          <w:lang w:val="en-US"/>
        </w:rPr>
        <w:t>es</w:t>
      </w:r>
      <w:r w:rsidR="0069661B" w:rsidRPr="00804B55">
        <w:rPr>
          <w:lang w:val="en-US"/>
        </w:rPr>
        <w:t xml:space="preserve"> or </w:t>
      </w:r>
      <w:r w:rsidR="001F6DAB">
        <w:rPr>
          <w:lang w:val="en-US"/>
        </w:rPr>
        <w:t>vapors</w:t>
      </w:r>
      <w:r w:rsidR="0069661B" w:rsidRPr="00804B55">
        <w:rPr>
          <w:lang w:val="en-US"/>
        </w:rPr>
        <w:t xml:space="preserve"> cannot be prevented by the construction of the packaging</w:t>
      </w:r>
      <w:r w:rsidR="001F6DAB">
        <w:rPr>
          <w:lang w:val="en-US"/>
        </w:rPr>
        <w:t>,</w:t>
      </w:r>
      <w:r w:rsidR="0069661B" w:rsidRPr="00804B55">
        <w:rPr>
          <w:lang w:val="en-US"/>
        </w:rPr>
        <w:t xml:space="preserve"> the composed gas must </w:t>
      </w:r>
      <w:r w:rsidR="001F6DAB">
        <w:rPr>
          <w:lang w:val="en-US"/>
        </w:rPr>
        <w:t>be</w:t>
      </w:r>
      <w:r w:rsidR="00A116E4">
        <w:rPr>
          <w:lang w:val="en-US"/>
        </w:rPr>
        <w:t>:</w:t>
      </w:r>
    </w:p>
    <w:p w:rsidR="00A116E4" w:rsidRDefault="00296CB0" w:rsidP="00296CB0">
      <w:pPr>
        <w:pStyle w:val="Bullet1G"/>
        <w:tabs>
          <w:tab w:val="left" w:pos="3119"/>
        </w:tabs>
        <w:ind w:firstLine="1134"/>
        <w:rPr>
          <w:lang w:val="en-US"/>
        </w:rPr>
      </w:pPr>
      <w:r>
        <w:rPr>
          <w:lang w:val="en-US"/>
        </w:rPr>
        <w:t>D</w:t>
      </w:r>
      <w:r w:rsidR="0069661B" w:rsidRPr="00A116E4">
        <w:rPr>
          <w:lang w:val="en-US"/>
        </w:rPr>
        <w:t xml:space="preserve">irectly treated or </w:t>
      </w:r>
    </w:p>
    <w:p w:rsidR="00A116E4" w:rsidRDefault="00296CB0" w:rsidP="00296CB0">
      <w:pPr>
        <w:pStyle w:val="Bullet1G"/>
        <w:tabs>
          <w:tab w:val="left" w:pos="2552"/>
          <w:tab w:val="left" w:pos="3119"/>
        </w:tabs>
        <w:ind w:left="3119" w:hanging="284"/>
        <w:rPr>
          <w:lang w:val="en-US"/>
        </w:rPr>
      </w:pPr>
      <w:r>
        <w:rPr>
          <w:lang w:val="en-US"/>
        </w:rPr>
        <w:t>A</w:t>
      </w:r>
      <w:r w:rsidR="0069661B" w:rsidRPr="00A116E4">
        <w:rPr>
          <w:lang w:val="en-US"/>
        </w:rPr>
        <w:t xml:space="preserve"> change of sufficient air in the load compartment of the cargo transport unit must be guaranteed</w:t>
      </w:r>
      <w:r w:rsidR="00A116E4">
        <w:rPr>
          <w:lang w:val="en-US"/>
        </w:rPr>
        <w:t xml:space="preserve">, so that the </w:t>
      </w:r>
      <w:r w:rsidR="0069661B" w:rsidRPr="00A116E4">
        <w:rPr>
          <w:lang w:val="en-US"/>
        </w:rPr>
        <w:t xml:space="preserve">flammable or acute toxic gases or </w:t>
      </w:r>
      <w:r w:rsidR="00A116E4">
        <w:rPr>
          <w:lang w:val="en-US"/>
        </w:rPr>
        <w:t>vapors</w:t>
      </w:r>
      <w:r w:rsidR="0069661B" w:rsidRPr="00A116E4">
        <w:rPr>
          <w:lang w:val="en-US"/>
        </w:rPr>
        <w:t xml:space="preserve"> outside the packaging develop</w:t>
      </w:r>
      <w:r w:rsidR="00A116E4">
        <w:rPr>
          <w:lang w:val="en-US"/>
        </w:rPr>
        <w:t>ed</w:t>
      </w:r>
      <w:r w:rsidR="0069661B" w:rsidRPr="00A116E4">
        <w:rPr>
          <w:lang w:val="en-US"/>
        </w:rPr>
        <w:t xml:space="preserve"> by venting the Lithium</w:t>
      </w:r>
      <w:r w:rsidR="00A116E4">
        <w:rPr>
          <w:lang w:val="en-US"/>
        </w:rPr>
        <w:t xml:space="preserve"> cells and batteries are not inflammable, flammable or dangerous</w:t>
      </w:r>
      <w:r w:rsidR="0069661B" w:rsidRPr="00A116E4">
        <w:rPr>
          <w:lang w:val="en-US"/>
        </w:rPr>
        <w:t xml:space="preserve"> or </w:t>
      </w:r>
    </w:p>
    <w:p w:rsidR="0069661B" w:rsidRPr="00A116E4" w:rsidRDefault="00296CB0" w:rsidP="00296CB0">
      <w:pPr>
        <w:pStyle w:val="Bullet1G"/>
        <w:tabs>
          <w:tab w:val="left" w:pos="3119"/>
        </w:tabs>
        <w:ind w:left="3119" w:hanging="284"/>
        <w:rPr>
          <w:lang w:val="en-US"/>
        </w:rPr>
      </w:pPr>
      <w:r>
        <w:rPr>
          <w:lang w:val="en-US"/>
        </w:rPr>
        <w:t>T</w:t>
      </w:r>
      <w:r w:rsidR="0069661B" w:rsidRPr="00A116E4">
        <w:rPr>
          <w:lang w:val="en-US"/>
        </w:rPr>
        <w:t>he developed gases or vapors can be purged out of the load compartment without danger.</w:t>
      </w:r>
    </w:p>
    <w:p w:rsidR="00804B55" w:rsidRPr="00172938" w:rsidRDefault="00AF29B1" w:rsidP="00296CB0">
      <w:pPr>
        <w:pStyle w:val="SingleTxtG"/>
        <w:ind w:left="2835" w:hanging="567"/>
        <w:rPr>
          <w:lang w:val="en-US"/>
        </w:rPr>
      </w:pPr>
      <w:r>
        <w:rPr>
          <w:lang w:val="en-US"/>
        </w:rPr>
        <w:t>(</w:t>
      </w:r>
      <w:r w:rsidR="00296CB0">
        <w:rPr>
          <w:lang w:val="en-US"/>
        </w:rPr>
        <w:t>iii</w:t>
      </w:r>
      <w:r>
        <w:rPr>
          <w:lang w:val="en-US"/>
        </w:rPr>
        <w:t>)</w:t>
      </w:r>
      <w:r w:rsidR="00296CB0">
        <w:rPr>
          <w:lang w:val="en-US"/>
        </w:rPr>
        <w:tab/>
      </w:r>
      <w:r w:rsidR="0069661B" w:rsidRPr="00172938">
        <w:rPr>
          <w:lang w:val="en-US"/>
        </w:rPr>
        <w:t>A damage or explosion of the packaging through developed overpressure must be prevented, e.g. per structural arrangements.</w:t>
      </w:r>
    </w:p>
    <w:p w:rsidR="0069661B" w:rsidRPr="00804B55" w:rsidRDefault="004E73A9" w:rsidP="004E73A9">
      <w:pPr>
        <w:pStyle w:val="SingleTxtG"/>
        <w:rPr>
          <w:lang w:val="en-US"/>
        </w:rPr>
      </w:pPr>
      <w:r>
        <w:rPr>
          <w:lang w:val="en-US"/>
        </w:rPr>
        <w:lastRenderedPageBreak/>
        <w:t>7.</w:t>
      </w:r>
      <w:r>
        <w:rPr>
          <w:lang w:val="en-US"/>
        </w:rPr>
        <w:tab/>
      </w:r>
      <w:r w:rsidR="00A116E4">
        <w:rPr>
          <w:lang w:val="en-US"/>
        </w:rPr>
        <w:t>The test</w:t>
      </w:r>
      <w:r w:rsidR="0069661B" w:rsidRPr="00804B55">
        <w:rPr>
          <w:lang w:val="en-US"/>
        </w:rPr>
        <w:t xml:space="preserve"> results</w:t>
      </w:r>
      <w:r w:rsidR="00A116E4">
        <w:rPr>
          <w:lang w:val="en-US"/>
        </w:rPr>
        <w:t xml:space="preserve"> </w:t>
      </w:r>
      <w:r w:rsidR="00273540">
        <w:rPr>
          <w:lang w:val="en-US"/>
        </w:rPr>
        <w:t xml:space="preserve">shall </w:t>
      </w:r>
      <w:r w:rsidR="00A116E4">
        <w:rPr>
          <w:lang w:val="en-US"/>
        </w:rPr>
        <w:t>be documented and the</w:t>
      </w:r>
      <w:r w:rsidR="0069661B" w:rsidRPr="00804B55">
        <w:rPr>
          <w:lang w:val="en-US"/>
        </w:rPr>
        <w:t xml:space="preserve"> technical documentation shall</w:t>
      </w:r>
      <w:r w:rsidR="00273540">
        <w:rPr>
          <w:lang w:val="en-US"/>
        </w:rPr>
        <w:t xml:space="preserve"> include</w:t>
      </w:r>
      <w:r w:rsidR="00A116E4">
        <w:rPr>
          <w:lang w:val="en-US"/>
        </w:rPr>
        <w:t xml:space="preserve"> at least the </w:t>
      </w:r>
      <w:r w:rsidR="0069661B" w:rsidRPr="00804B55">
        <w:rPr>
          <w:lang w:val="en-US"/>
        </w:rPr>
        <w:t>following information:</w:t>
      </w:r>
    </w:p>
    <w:p w:rsidR="0069661B" w:rsidRPr="00804B55" w:rsidRDefault="004E73A9" w:rsidP="004E73A9">
      <w:pPr>
        <w:pStyle w:val="SingleTxtG"/>
        <w:ind w:left="1701"/>
        <w:rPr>
          <w:lang w:val="en-US"/>
        </w:rPr>
      </w:pPr>
      <w:r>
        <w:rPr>
          <w:lang w:val="en-US"/>
        </w:rPr>
        <w:t>(a)</w:t>
      </w:r>
      <w:r>
        <w:rPr>
          <w:lang w:val="en-US"/>
        </w:rPr>
        <w:tab/>
        <w:t>A n</w:t>
      </w:r>
      <w:r w:rsidR="0069661B" w:rsidRPr="00804B55">
        <w:rPr>
          <w:lang w:val="en-US"/>
        </w:rPr>
        <w:t xml:space="preserve">umber of tested </w:t>
      </w:r>
      <w:r w:rsidR="00AF29B1">
        <w:rPr>
          <w:lang w:val="en-US"/>
        </w:rPr>
        <w:t>l</w:t>
      </w:r>
      <w:r w:rsidR="0069661B" w:rsidRPr="00804B55">
        <w:rPr>
          <w:lang w:val="en-US"/>
        </w:rPr>
        <w:t>ithium cell(s)/</w:t>
      </w:r>
      <w:proofErr w:type="gramStart"/>
      <w:r w:rsidR="0069661B" w:rsidRPr="00804B55">
        <w:rPr>
          <w:lang w:val="en-US"/>
        </w:rPr>
        <w:t>battery(</w:t>
      </w:r>
      <w:proofErr w:type="spellStart"/>
      <w:proofErr w:type="gramEnd"/>
      <w:r w:rsidR="0069661B" w:rsidRPr="00804B55">
        <w:rPr>
          <w:lang w:val="en-US"/>
        </w:rPr>
        <w:t>ies</w:t>
      </w:r>
      <w:proofErr w:type="spellEnd"/>
      <w:r w:rsidR="0069661B" w:rsidRPr="00804B55">
        <w:rPr>
          <w:lang w:val="en-US"/>
        </w:rPr>
        <w:t>),</w:t>
      </w:r>
    </w:p>
    <w:p w:rsidR="0069661B" w:rsidRPr="00804B55" w:rsidRDefault="004E73A9" w:rsidP="004E73A9">
      <w:pPr>
        <w:pStyle w:val="SingleTxtG"/>
        <w:ind w:left="1701"/>
        <w:rPr>
          <w:lang w:val="en-US"/>
        </w:rPr>
      </w:pPr>
      <w:r>
        <w:rPr>
          <w:lang w:val="en-US"/>
        </w:rPr>
        <w:t>(b)</w:t>
      </w:r>
      <w:r>
        <w:rPr>
          <w:lang w:val="en-US"/>
        </w:rPr>
        <w:tab/>
        <w:t>W</w:t>
      </w:r>
      <w:r w:rsidR="00273540">
        <w:rPr>
          <w:lang w:val="en-US"/>
        </w:rPr>
        <w:t xml:space="preserve">eight of the </w:t>
      </w:r>
      <w:r w:rsidR="00AF29B1">
        <w:rPr>
          <w:lang w:val="en-US"/>
        </w:rPr>
        <w:t>tested l</w:t>
      </w:r>
      <w:r w:rsidR="0069661B" w:rsidRPr="00804B55">
        <w:rPr>
          <w:lang w:val="en-US"/>
        </w:rPr>
        <w:t>ithium cell(s)/</w:t>
      </w:r>
      <w:proofErr w:type="gramStart"/>
      <w:r w:rsidR="0069661B" w:rsidRPr="00804B55">
        <w:rPr>
          <w:lang w:val="en-US"/>
        </w:rPr>
        <w:t>battery(</w:t>
      </w:r>
      <w:proofErr w:type="spellStart"/>
      <w:proofErr w:type="gramEnd"/>
      <w:r w:rsidR="0069661B" w:rsidRPr="00804B55">
        <w:rPr>
          <w:lang w:val="en-US"/>
        </w:rPr>
        <w:t>ies</w:t>
      </w:r>
      <w:proofErr w:type="spellEnd"/>
      <w:r w:rsidR="0069661B" w:rsidRPr="00804B55">
        <w:rPr>
          <w:lang w:val="en-US"/>
        </w:rPr>
        <w:t>),</w:t>
      </w:r>
    </w:p>
    <w:p w:rsidR="0069661B" w:rsidRPr="00804B55" w:rsidRDefault="004E73A9" w:rsidP="004E73A9">
      <w:pPr>
        <w:pStyle w:val="SingleTxtG"/>
        <w:ind w:left="1701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c</w:t>
      </w:r>
      <w:proofErr w:type="gramEnd"/>
      <w:r>
        <w:rPr>
          <w:lang w:val="en-US"/>
        </w:rPr>
        <w:t>)</w:t>
      </w:r>
      <w:r>
        <w:rPr>
          <w:lang w:val="en-US"/>
        </w:rPr>
        <w:tab/>
        <w:t>D</w:t>
      </w:r>
      <w:r w:rsidR="00AF29B1">
        <w:rPr>
          <w:lang w:val="en-US"/>
        </w:rPr>
        <w:t>imensions of the tested l</w:t>
      </w:r>
      <w:r w:rsidR="0069661B" w:rsidRPr="00804B55">
        <w:rPr>
          <w:lang w:val="en-US"/>
        </w:rPr>
        <w:t>ithium cell(s)/battery(</w:t>
      </w:r>
      <w:proofErr w:type="spellStart"/>
      <w:r w:rsidR="0069661B" w:rsidRPr="00804B55">
        <w:rPr>
          <w:lang w:val="en-US"/>
        </w:rPr>
        <w:t>ies</w:t>
      </w:r>
      <w:proofErr w:type="spellEnd"/>
      <w:r w:rsidR="0069661B" w:rsidRPr="00804B55">
        <w:rPr>
          <w:lang w:val="en-US"/>
        </w:rPr>
        <w:t>),</w:t>
      </w:r>
    </w:p>
    <w:p w:rsidR="0069661B" w:rsidRPr="00804B55" w:rsidRDefault="004E73A9" w:rsidP="004E73A9">
      <w:pPr>
        <w:pStyle w:val="SingleTxtG"/>
        <w:ind w:left="2268" w:hanging="567"/>
        <w:rPr>
          <w:lang w:val="en-US"/>
        </w:rPr>
      </w:pPr>
      <w:r>
        <w:rPr>
          <w:lang w:val="en-US"/>
        </w:rPr>
        <w:t>(d)</w:t>
      </w:r>
      <w:r>
        <w:rPr>
          <w:lang w:val="en-US"/>
        </w:rPr>
        <w:tab/>
        <w:t>T</w:t>
      </w:r>
      <w:r w:rsidR="00AF29B1">
        <w:rPr>
          <w:lang w:val="en-US"/>
        </w:rPr>
        <w:t>ype of l</w:t>
      </w:r>
      <w:r w:rsidR="0069661B" w:rsidRPr="00804B55">
        <w:rPr>
          <w:lang w:val="en-US"/>
        </w:rPr>
        <w:t>ithium cell(s)/</w:t>
      </w:r>
      <w:proofErr w:type="gramStart"/>
      <w:r w:rsidR="0069661B" w:rsidRPr="00804B55">
        <w:rPr>
          <w:lang w:val="en-US"/>
        </w:rPr>
        <w:t>battery(</w:t>
      </w:r>
      <w:proofErr w:type="spellStart"/>
      <w:proofErr w:type="gramEnd"/>
      <w:r w:rsidR="0069661B" w:rsidRPr="00804B55">
        <w:rPr>
          <w:lang w:val="en-US"/>
        </w:rPr>
        <w:t>i</w:t>
      </w:r>
      <w:r w:rsidR="00AF29B1">
        <w:rPr>
          <w:lang w:val="en-US"/>
        </w:rPr>
        <w:t>es</w:t>
      </w:r>
      <w:proofErr w:type="spellEnd"/>
      <w:r w:rsidR="00AF29B1">
        <w:rPr>
          <w:lang w:val="en-US"/>
        </w:rPr>
        <w:t>) or chemistry of the tested l</w:t>
      </w:r>
      <w:r w:rsidR="0069661B" w:rsidRPr="00804B55">
        <w:rPr>
          <w:lang w:val="en-US"/>
        </w:rPr>
        <w:t>ithium cell(s)/battery(</w:t>
      </w:r>
      <w:proofErr w:type="spellStart"/>
      <w:r w:rsidR="0069661B" w:rsidRPr="00804B55">
        <w:rPr>
          <w:lang w:val="en-US"/>
        </w:rPr>
        <w:t>ies</w:t>
      </w:r>
      <w:proofErr w:type="spellEnd"/>
      <w:r w:rsidR="0069661B" w:rsidRPr="00804B55">
        <w:rPr>
          <w:lang w:val="en-US"/>
        </w:rPr>
        <w:t>),</w:t>
      </w:r>
    </w:p>
    <w:p w:rsidR="0069661B" w:rsidRPr="00804B55" w:rsidRDefault="004E73A9" w:rsidP="004E73A9">
      <w:pPr>
        <w:pStyle w:val="SingleTxtG"/>
        <w:ind w:left="1701"/>
        <w:rPr>
          <w:lang w:val="en-US"/>
        </w:rPr>
      </w:pPr>
      <w:r>
        <w:rPr>
          <w:lang w:val="en-US"/>
        </w:rPr>
        <w:t>e)</w:t>
      </w:r>
      <w:r>
        <w:rPr>
          <w:lang w:val="en-US"/>
        </w:rPr>
        <w:tab/>
        <w:t>E</w:t>
      </w:r>
      <w:r w:rsidR="0069661B" w:rsidRPr="00804B55">
        <w:rPr>
          <w:lang w:val="en-US"/>
        </w:rPr>
        <w:t xml:space="preserve">nergy content of the tested </w:t>
      </w:r>
      <w:r w:rsidR="00AF29B1">
        <w:rPr>
          <w:lang w:val="en-US"/>
        </w:rPr>
        <w:t>l</w:t>
      </w:r>
      <w:r w:rsidR="0069661B" w:rsidRPr="00804B55">
        <w:rPr>
          <w:lang w:val="en-US"/>
        </w:rPr>
        <w:t>ithium cell(s)/</w:t>
      </w:r>
      <w:proofErr w:type="gramStart"/>
      <w:r w:rsidR="0069661B" w:rsidRPr="00804B55">
        <w:rPr>
          <w:lang w:val="en-US"/>
        </w:rPr>
        <w:t>battery(</w:t>
      </w:r>
      <w:proofErr w:type="spellStart"/>
      <w:proofErr w:type="gramEnd"/>
      <w:r w:rsidR="0069661B" w:rsidRPr="00804B55">
        <w:rPr>
          <w:lang w:val="en-US"/>
        </w:rPr>
        <w:t>ies</w:t>
      </w:r>
      <w:proofErr w:type="spellEnd"/>
      <w:r w:rsidR="0069661B" w:rsidRPr="00804B55">
        <w:rPr>
          <w:lang w:val="en-US"/>
        </w:rPr>
        <w:t>).</w:t>
      </w:r>
    </w:p>
    <w:p w:rsidR="0069661B" w:rsidRPr="00804B55" w:rsidRDefault="0069661B" w:rsidP="004E73A9">
      <w:pPr>
        <w:pStyle w:val="SingleTxtG"/>
        <w:rPr>
          <w:lang w:val="en-US"/>
        </w:rPr>
      </w:pPr>
      <w:r w:rsidRPr="00804B55">
        <w:rPr>
          <w:lang w:val="en-US"/>
        </w:rPr>
        <w:t>On request the technical documentation must be submitted to the competent authority.</w:t>
      </w:r>
    </w:p>
    <w:p w:rsidR="0069661B" w:rsidRPr="00804B55" w:rsidRDefault="004E73A9" w:rsidP="004E73A9">
      <w:pPr>
        <w:pStyle w:val="SingleTxtG"/>
        <w:rPr>
          <w:lang w:val="en-US"/>
        </w:rPr>
      </w:pPr>
      <w:r>
        <w:rPr>
          <w:lang w:val="en-US"/>
        </w:rPr>
        <w:t>8.</w:t>
      </w:r>
      <w:r>
        <w:rPr>
          <w:lang w:val="en-US"/>
        </w:rPr>
        <w:tab/>
      </w:r>
      <w:r w:rsidR="0069661B" w:rsidRPr="00804B55">
        <w:rPr>
          <w:lang w:val="en-US"/>
        </w:rPr>
        <w:t xml:space="preserve">If a packaging has </w:t>
      </w:r>
      <w:r w:rsidR="00C35E00">
        <w:rPr>
          <w:lang w:val="en-US"/>
        </w:rPr>
        <w:t>already been successfully proven capable</w:t>
      </w:r>
      <w:r w:rsidR="00273540">
        <w:rPr>
          <w:lang w:val="en-US"/>
        </w:rPr>
        <w:t xml:space="preserve"> (e.g. by testing as specified in (4), (5) and (6) or calculation as in (9))</w:t>
      </w:r>
      <w:r w:rsidR="00AF29B1">
        <w:rPr>
          <w:lang w:val="en-US"/>
        </w:rPr>
        <w:t xml:space="preserve"> with a l</w:t>
      </w:r>
      <w:r w:rsidR="0069661B" w:rsidRPr="00804B55">
        <w:rPr>
          <w:lang w:val="en-US"/>
        </w:rPr>
        <w:t>ithium-cell-/battery-type at maximum energy content, th</w:t>
      </w:r>
      <w:r w:rsidR="00273540">
        <w:rPr>
          <w:lang w:val="en-US"/>
        </w:rPr>
        <w:t>is</w:t>
      </w:r>
      <w:r w:rsidR="0069661B" w:rsidRPr="00804B55">
        <w:rPr>
          <w:lang w:val="en-US"/>
        </w:rPr>
        <w:t xml:space="preserve"> packaging can be u</w:t>
      </w:r>
      <w:r w:rsidR="00AF29B1">
        <w:rPr>
          <w:lang w:val="en-US"/>
        </w:rPr>
        <w:t>sed for the transport of other l</w:t>
      </w:r>
      <w:r w:rsidR="0069661B" w:rsidRPr="00804B55">
        <w:rPr>
          <w:lang w:val="en-US"/>
        </w:rPr>
        <w:t>ithium-cells/-batteries under certain conditions. The conditions are that th</w:t>
      </w:r>
      <w:r w:rsidR="00273540">
        <w:rPr>
          <w:lang w:val="en-US"/>
        </w:rPr>
        <w:t>ese</w:t>
      </w:r>
      <w:r w:rsidR="0069661B" w:rsidRPr="00804B55">
        <w:rPr>
          <w:lang w:val="en-US"/>
        </w:rPr>
        <w:t xml:space="preserve"> </w:t>
      </w:r>
      <w:r w:rsidR="00AF29B1">
        <w:rPr>
          <w:lang w:val="en-US"/>
        </w:rPr>
        <w:t>l</w:t>
      </w:r>
      <w:r w:rsidR="00273540" w:rsidRPr="00804B55">
        <w:rPr>
          <w:lang w:val="en-US"/>
        </w:rPr>
        <w:t xml:space="preserve">ithium-cells/-batteries </w:t>
      </w:r>
      <w:r w:rsidR="0069661B" w:rsidRPr="00804B55">
        <w:rPr>
          <w:lang w:val="en-US"/>
        </w:rPr>
        <w:t xml:space="preserve">correspond to the successfully tested </w:t>
      </w:r>
      <w:r w:rsidR="00AF29B1">
        <w:rPr>
          <w:lang w:val="en-US"/>
        </w:rPr>
        <w:t>l</w:t>
      </w:r>
      <w:r w:rsidR="00273540" w:rsidRPr="00804B55">
        <w:rPr>
          <w:lang w:val="en-US"/>
        </w:rPr>
        <w:t>ithium-cell-/battery-type</w:t>
      </w:r>
      <w:r w:rsidR="00273540">
        <w:rPr>
          <w:lang w:val="en-US"/>
        </w:rPr>
        <w:t xml:space="preserve"> regarding </w:t>
      </w:r>
      <w:r w:rsidR="0069661B" w:rsidRPr="00804B55">
        <w:rPr>
          <w:lang w:val="en-US"/>
        </w:rPr>
        <w:t>construction and cell-/battery-chemistry</w:t>
      </w:r>
      <w:r w:rsidR="00273540">
        <w:rPr>
          <w:lang w:val="en-US"/>
        </w:rPr>
        <w:t>,</w:t>
      </w:r>
      <w:r w:rsidR="0069661B" w:rsidRPr="00804B55">
        <w:rPr>
          <w:lang w:val="en-US"/>
        </w:rPr>
        <w:t xml:space="preserve"> </w:t>
      </w:r>
      <w:r w:rsidR="00273540">
        <w:rPr>
          <w:lang w:val="en-US"/>
        </w:rPr>
        <w:t xml:space="preserve">as well as that these </w:t>
      </w:r>
      <w:r w:rsidR="0069661B" w:rsidRPr="00804B55">
        <w:rPr>
          <w:lang w:val="en-US"/>
        </w:rPr>
        <w:t>have a lower energy content.</w:t>
      </w:r>
    </w:p>
    <w:p w:rsidR="0069661B" w:rsidRPr="00804B55" w:rsidRDefault="004E73A9" w:rsidP="004E73A9">
      <w:pPr>
        <w:pStyle w:val="SingleTxtG"/>
        <w:rPr>
          <w:sz w:val="18"/>
          <w:lang w:val="en-US"/>
        </w:rPr>
      </w:pPr>
      <w:r>
        <w:rPr>
          <w:lang w:val="en-US"/>
        </w:rPr>
        <w:t>9.</w:t>
      </w:r>
      <w:r>
        <w:rPr>
          <w:lang w:val="en-US"/>
        </w:rPr>
        <w:tab/>
      </w:r>
      <w:r w:rsidR="0069661B" w:rsidRPr="00804B55">
        <w:rPr>
          <w:lang w:val="en-US"/>
        </w:rPr>
        <w:t xml:space="preserve">The capability of the packaging can either be demonstrated physically with a lithium cell/battery in the respective packaging or </w:t>
      </w:r>
      <w:r w:rsidR="00A116E4">
        <w:rPr>
          <w:lang w:val="en-US"/>
        </w:rPr>
        <w:t>alternatively</w:t>
      </w:r>
      <w:r w:rsidR="00A116E4" w:rsidRPr="00804B55">
        <w:rPr>
          <w:lang w:val="en-US"/>
        </w:rPr>
        <w:t xml:space="preserve"> proven</w:t>
      </w:r>
      <w:r w:rsidR="0069661B" w:rsidRPr="00804B55">
        <w:rPr>
          <w:lang w:val="en-US"/>
        </w:rPr>
        <w:t xml:space="preserve"> by simulated analysis. The following parameters should be considered as a minimum requirement for the analysis, if applicable:</w:t>
      </w:r>
    </w:p>
    <w:p w:rsidR="0069661B" w:rsidRPr="00804B55" w:rsidRDefault="004E73A9" w:rsidP="004E73A9">
      <w:pPr>
        <w:pStyle w:val="SingleTxtG"/>
        <w:ind w:left="1701"/>
        <w:rPr>
          <w:sz w:val="18"/>
          <w:lang w:val="en-US"/>
        </w:rPr>
      </w:pPr>
      <w:r>
        <w:rPr>
          <w:lang w:val="en-US"/>
        </w:rPr>
        <w:t>(a)</w:t>
      </w:r>
      <w:r>
        <w:rPr>
          <w:lang w:val="en-US"/>
        </w:rPr>
        <w:tab/>
      </w:r>
      <w:r w:rsidR="0069661B" w:rsidRPr="00804B55">
        <w:rPr>
          <w:lang w:val="en-US"/>
        </w:rPr>
        <w:t>100% SOC for all lithium cells/batteries inside packaging,</w:t>
      </w:r>
    </w:p>
    <w:p w:rsidR="0069661B" w:rsidRPr="00804B55" w:rsidRDefault="004E73A9" w:rsidP="004E73A9">
      <w:pPr>
        <w:pStyle w:val="SingleTxtG"/>
        <w:ind w:left="1701"/>
        <w:rPr>
          <w:sz w:val="18"/>
          <w:lang w:val="en-US"/>
        </w:rPr>
      </w:pPr>
      <w:r>
        <w:rPr>
          <w:lang w:val="en-US"/>
        </w:rPr>
        <w:t>(b)</w:t>
      </w:r>
      <w:r>
        <w:rPr>
          <w:lang w:val="en-US"/>
        </w:rPr>
        <w:tab/>
        <w:t>M</w:t>
      </w:r>
      <w:r w:rsidR="0069661B" w:rsidRPr="00804B55">
        <w:rPr>
          <w:lang w:val="en-US"/>
        </w:rPr>
        <w:t>ass and dimension of the lithium cells/batteries,</w:t>
      </w:r>
    </w:p>
    <w:p w:rsidR="0069661B" w:rsidRPr="00804B55" w:rsidRDefault="004E73A9" w:rsidP="004E73A9">
      <w:pPr>
        <w:pStyle w:val="SingleTxtG"/>
        <w:ind w:left="2268" w:hanging="567"/>
        <w:rPr>
          <w:sz w:val="18"/>
          <w:lang w:val="en-US"/>
        </w:rPr>
      </w:pPr>
      <w:r>
        <w:rPr>
          <w:lang w:val="en-US"/>
        </w:rPr>
        <w:t>(c)</w:t>
      </w:r>
      <w:r>
        <w:rPr>
          <w:lang w:val="en-US"/>
        </w:rPr>
        <w:tab/>
        <w:t>D</w:t>
      </w:r>
      <w:r w:rsidR="0069661B" w:rsidRPr="00804B55">
        <w:rPr>
          <w:lang w:val="en-US"/>
        </w:rPr>
        <w:t>etermine available air inside of packaging (oxygen for reaction and heat transfer),</w:t>
      </w:r>
    </w:p>
    <w:p w:rsidR="0069661B" w:rsidRPr="00804B55" w:rsidRDefault="004E73A9" w:rsidP="004E73A9">
      <w:pPr>
        <w:pStyle w:val="SingleTxtG"/>
        <w:ind w:left="2268" w:hanging="567"/>
        <w:rPr>
          <w:sz w:val="18"/>
          <w:lang w:val="en-US"/>
        </w:rPr>
      </w:pPr>
      <w:r>
        <w:rPr>
          <w:lang w:val="en-US"/>
        </w:rPr>
        <w:t>(d)</w:t>
      </w:r>
      <w:r>
        <w:rPr>
          <w:lang w:val="en-US"/>
        </w:rPr>
        <w:tab/>
      </w:r>
      <w:r w:rsidR="0069661B" w:rsidRPr="00804B55">
        <w:rPr>
          <w:lang w:val="en-US"/>
        </w:rPr>
        <w:t>All material properties: Density [kg·m</w:t>
      </w:r>
      <w:r w:rsidR="0069661B" w:rsidRPr="00804B55">
        <w:rPr>
          <w:vertAlign w:val="superscript"/>
          <w:lang w:val="en-US"/>
        </w:rPr>
        <w:t>-</w:t>
      </w:r>
      <w:r w:rsidR="0069661B" w:rsidRPr="00804B55">
        <w:rPr>
          <w:lang w:val="en-US"/>
        </w:rPr>
        <w:t>³], specific heat capacity [J·kg</w:t>
      </w:r>
      <w:r w:rsidR="0069661B" w:rsidRPr="00804B55">
        <w:rPr>
          <w:vertAlign w:val="superscript"/>
          <w:lang w:val="en-US"/>
        </w:rPr>
        <w:t>-1</w:t>
      </w:r>
      <w:r w:rsidR="0069661B" w:rsidRPr="00804B55">
        <w:rPr>
          <w:lang w:val="en-US"/>
        </w:rPr>
        <w:t>·K</w:t>
      </w:r>
      <w:r w:rsidR="0069661B" w:rsidRPr="00804B55">
        <w:rPr>
          <w:vertAlign w:val="superscript"/>
          <w:lang w:val="en-US"/>
        </w:rPr>
        <w:t>-1</w:t>
      </w:r>
      <w:r w:rsidR="0069661B" w:rsidRPr="00804B55">
        <w:rPr>
          <w:lang w:val="en-US"/>
        </w:rPr>
        <w:t>], heating value  [KJ·kg</w:t>
      </w:r>
      <w:r w:rsidR="0069661B" w:rsidRPr="00804B55">
        <w:rPr>
          <w:vertAlign w:val="superscript"/>
          <w:lang w:val="en-US"/>
        </w:rPr>
        <w:t>-1</w:t>
      </w:r>
      <w:r w:rsidR="0069661B" w:rsidRPr="00804B55">
        <w:rPr>
          <w:lang w:val="en-US"/>
        </w:rPr>
        <w:t>], thermal conductivity [W·m</w:t>
      </w:r>
      <w:r w:rsidR="0069661B" w:rsidRPr="00804B55">
        <w:rPr>
          <w:vertAlign w:val="superscript"/>
          <w:lang w:val="en-US"/>
        </w:rPr>
        <w:t>-1</w:t>
      </w:r>
      <w:r w:rsidR="0069661B" w:rsidRPr="00804B55">
        <w:rPr>
          <w:lang w:val="en-US"/>
        </w:rPr>
        <w:t>·K</w:t>
      </w:r>
      <w:r w:rsidR="0069661B" w:rsidRPr="00804B55">
        <w:rPr>
          <w:vertAlign w:val="superscript"/>
          <w:lang w:val="en-US"/>
        </w:rPr>
        <w:t>-1</w:t>
      </w:r>
      <w:r w:rsidR="0069661B" w:rsidRPr="00804B55">
        <w:rPr>
          <w:lang w:val="en-US"/>
        </w:rPr>
        <w:t>], melting temperature and flammability temperature [K], heat transfer coefficient of the outer packaging [W·m</w:t>
      </w:r>
      <w:r w:rsidR="0069661B" w:rsidRPr="00804B55">
        <w:rPr>
          <w:vertAlign w:val="superscript"/>
          <w:lang w:val="en-US"/>
        </w:rPr>
        <w:t>-2</w:t>
      </w:r>
      <w:r w:rsidR="0069661B" w:rsidRPr="00804B55">
        <w:rPr>
          <w:lang w:val="en-US"/>
        </w:rPr>
        <w:t>·K</w:t>
      </w:r>
      <w:r w:rsidR="0069661B" w:rsidRPr="00804B55">
        <w:rPr>
          <w:vertAlign w:val="superscript"/>
          <w:lang w:val="en-US"/>
        </w:rPr>
        <w:t>-1</w:t>
      </w:r>
      <w:r w:rsidR="0069661B" w:rsidRPr="00804B55">
        <w:rPr>
          <w:lang w:val="en-US"/>
        </w:rPr>
        <w:t>] , ambient air temperature 25°C,</w:t>
      </w:r>
    </w:p>
    <w:p w:rsidR="0069661B" w:rsidRPr="00804B55" w:rsidRDefault="004E73A9" w:rsidP="004E73A9">
      <w:pPr>
        <w:pStyle w:val="SingleTxtG"/>
        <w:ind w:left="2268" w:hanging="567"/>
        <w:rPr>
          <w:sz w:val="18"/>
          <w:lang w:val="en-US"/>
        </w:rPr>
      </w:pPr>
      <w:r>
        <w:rPr>
          <w:lang w:val="en-US"/>
        </w:rPr>
        <w:t>(e)</w:t>
      </w:r>
      <w:r>
        <w:rPr>
          <w:lang w:val="en-US"/>
        </w:rPr>
        <w:tab/>
      </w:r>
      <w:r w:rsidR="0069661B" w:rsidRPr="00804B55">
        <w:rPr>
          <w:lang w:val="en-US"/>
        </w:rPr>
        <w:t>Determine energy released with potential chemical reaction per element based on available elements for reaction (e.g. oxygen) for lithium cell/battery and packaging,</w:t>
      </w:r>
    </w:p>
    <w:p w:rsidR="0069661B" w:rsidRPr="00804B55" w:rsidRDefault="004E73A9" w:rsidP="004E73A9">
      <w:pPr>
        <w:pStyle w:val="SingleTxtG"/>
        <w:ind w:left="1701"/>
        <w:rPr>
          <w:sz w:val="18"/>
          <w:lang w:val="en-US"/>
        </w:rPr>
      </w:pPr>
      <w:r>
        <w:rPr>
          <w:lang w:val="en-US"/>
        </w:rPr>
        <w:t>(f)</w:t>
      </w:r>
      <w:r>
        <w:rPr>
          <w:lang w:val="en-US"/>
        </w:rPr>
        <w:tab/>
      </w:r>
      <w:r w:rsidR="0069661B" w:rsidRPr="00804B55">
        <w:rPr>
          <w:lang w:val="en-US"/>
        </w:rPr>
        <w:t>Electrical energy to be discharged by a single event</w:t>
      </w:r>
    </w:p>
    <w:p w:rsidR="0069661B" w:rsidRPr="00804B55" w:rsidRDefault="00AF29B1" w:rsidP="00A9385C">
      <w:pPr>
        <w:pStyle w:val="SingleTxtG"/>
        <w:ind w:left="2835" w:hanging="567"/>
        <w:rPr>
          <w:sz w:val="18"/>
          <w:lang w:val="en-US"/>
        </w:rPr>
      </w:pPr>
      <w:r>
        <w:rPr>
          <w:lang w:val="en-US"/>
        </w:rPr>
        <w:t>(</w:t>
      </w:r>
      <w:proofErr w:type="spellStart"/>
      <w:r w:rsidR="004E73A9">
        <w:rPr>
          <w:lang w:val="en-US"/>
        </w:rPr>
        <w:t>i</w:t>
      </w:r>
      <w:proofErr w:type="spellEnd"/>
      <w:r>
        <w:rPr>
          <w:lang w:val="en-US"/>
        </w:rPr>
        <w:t>)</w:t>
      </w:r>
      <w:r w:rsidR="004E73A9">
        <w:rPr>
          <w:lang w:val="en-US"/>
        </w:rPr>
        <w:tab/>
        <w:t>C</w:t>
      </w:r>
      <w:r w:rsidR="0069661B" w:rsidRPr="00804B55">
        <w:rPr>
          <w:lang w:val="en-US"/>
        </w:rPr>
        <w:t>onsider worst failure modes based on knowledge on cell(s), module(s) and total battery design,</w:t>
      </w:r>
    </w:p>
    <w:p w:rsidR="0069661B" w:rsidRPr="00804B55" w:rsidRDefault="00AF29B1" w:rsidP="004E73A9">
      <w:pPr>
        <w:pStyle w:val="SingleTxtG"/>
        <w:ind w:left="2268"/>
        <w:rPr>
          <w:sz w:val="18"/>
          <w:lang w:val="en-US"/>
        </w:rPr>
      </w:pPr>
      <w:r>
        <w:rPr>
          <w:lang w:val="en-US"/>
        </w:rPr>
        <w:t>(</w:t>
      </w:r>
      <w:r w:rsidR="004E73A9">
        <w:rPr>
          <w:lang w:val="en-US"/>
        </w:rPr>
        <w:t>ii</w:t>
      </w:r>
      <w:r>
        <w:rPr>
          <w:lang w:val="en-US"/>
        </w:rPr>
        <w:t>)</w:t>
      </w:r>
      <w:r w:rsidR="004E73A9">
        <w:rPr>
          <w:lang w:val="en-US"/>
        </w:rPr>
        <w:tab/>
        <w:t>T</w:t>
      </w:r>
      <w:r w:rsidR="0069661B" w:rsidRPr="00804B55">
        <w:rPr>
          <w:lang w:val="en-US"/>
        </w:rPr>
        <w:t>otal energy conversion within 30 minutes,</w:t>
      </w:r>
    </w:p>
    <w:p w:rsidR="00B5175E" w:rsidRPr="00172938" w:rsidRDefault="00AF29B1" w:rsidP="004E73A9">
      <w:pPr>
        <w:pStyle w:val="SingleTxtG"/>
        <w:ind w:left="2268"/>
        <w:rPr>
          <w:lang w:val="en-US"/>
        </w:rPr>
      </w:pPr>
      <w:r>
        <w:rPr>
          <w:lang w:val="en-US"/>
        </w:rPr>
        <w:t>(</w:t>
      </w:r>
      <w:r w:rsidR="004E73A9">
        <w:rPr>
          <w:lang w:val="en-US"/>
        </w:rPr>
        <w:t>iii</w:t>
      </w:r>
      <w:r>
        <w:rPr>
          <w:lang w:val="en-US"/>
        </w:rPr>
        <w:t>)</w:t>
      </w:r>
      <w:r w:rsidR="004E73A9">
        <w:rPr>
          <w:lang w:val="en-US"/>
        </w:rPr>
        <w:tab/>
        <w:t>W</w:t>
      </w:r>
      <w:r w:rsidR="0069661B" w:rsidRPr="00172938">
        <w:rPr>
          <w:lang w:val="en-US"/>
        </w:rPr>
        <w:t>orst case scenario to be analyzed for 24 hours.</w:t>
      </w:r>
    </w:p>
    <w:p w:rsidR="00AB4928" w:rsidRPr="00804B55" w:rsidRDefault="007D77ED" w:rsidP="007D77ED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804B55" w:rsidRPr="00804B55">
        <w:rPr>
          <w:lang w:val="en-US"/>
        </w:rPr>
        <w:t>C</w:t>
      </w:r>
      <w:r w:rsidR="00AB4928" w:rsidRPr="00804B55">
        <w:rPr>
          <w:lang w:val="en-US"/>
        </w:rPr>
        <w:t>onclusion</w:t>
      </w:r>
    </w:p>
    <w:p w:rsidR="00AB4928" w:rsidRDefault="007D77ED" w:rsidP="007D77ED">
      <w:pPr>
        <w:pStyle w:val="SingleTxtG"/>
        <w:rPr>
          <w:lang w:val="en-US"/>
        </w:rPr>
      </w:pPr>
      <w:r>
        <w:rPr>
          <w:lang w:val="en-US"/>
        </w:rPr>
        <w:t>10.</w:t>
      </w:r>
      <w:r>
        <w:rPr>
          <w:lang w:val="en-US"/>
        </w:rPr>
        <w:tab/>
      </w:r>
      <w:r w:rsidR="00AB4928" w:rsidRPr="00804B55">
        <w:rPr>
          <w:lang w:val="en-US"/>
        </w:rPr>
        <w:t xml:space="preserve">These points </w:t>
      </w:r>
      <w:r w:rsidR="003447BB">
        <w:rPr>
          <w:lang w:val="en-US"/>
        </w:rPr>
        <w:t>are</w:t>
      </w:r>
      <w:r w:rsidR="00AB4928" w:rsidRPr="00804B55">
        <w:rPr>
          <w:lang w:val="en-US"/>
        </w:rPr>
        <w:t xml:space="preserve"> not presented for adoption of text but </w:t>
      </w:r>
      <w:r w:rsidR="003447BB">
        <w:rPr>
          <w:lang w:val="en-US"/>
        </w:rPr>
        <w:t>t</w:t>
      </w:r>
      <w:r w:rsidR="00AF29B1">
        <w:rPr>
          <w:lang w:val="en-US"/>
        </w:rPr>
        <w:t>he S</w:t>
      </w:r>
      <w:r w:rsidR="00AB4928" w:rsidRPr="00804B55">
        <w:rPr>
          <w:lang w:val="en-US"/>
        </w:rPr>
        <w:t>ub</w:t>
      </w:r>
      <w:r w:rsidR="00AF29B1">
        <w:rPr>
          <w:lang w:val="en-US"/>
        </w:rPr>
        <w:t>-C</w:t>
      </w:r>
      <w:r w:rsidR="00AB4928" w:rsidRPr="00804B55">
        <w:rPr>
          <w:lang w:val="en-US"/>
        </w:rPr>
        <w:t xml:space="preserve">ommittee is invited to comment on these different points </w:t>
      </w:r>
      <w:r w:rsidR="003447BB">
        <w:rPr>
          <w:lang w:val="en-US"/>
        </w:rPr>
        <w:t>a</w:t>
      </w:r>
      <w:r w:rsidR="00AB4928" w:rsidRPr="00804B55">
        <w:rPr>
          <w:lang w:val="en-US"/>
        </w:rPr>
        <w:t xml:space="preserve">nd define the possible next steps and the best place to elaborate proposals suitable for introduction in the Model </w:t>
      </w:r>
      <w:r w:rsidR="00AF29B1">
        <w:rPr>
          <w:lang w:val="en-US"/>
        </w:rPr>
        <w:t>Regulations</w:t>
      </w:r>
      <w:r w:rsidR="008F00F7">
        <w:rPr>
          <w:lang w:val="en-US"/>
        </w:rPr>
        <w:t>.</w:t>
      </w:r>
    </w:p>
    <w:p w:rsidR="007D77ED" w:rsidRPr="007D77ED" w:rsidRDefault="007D77ED" w:rsidP="007D77ED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7D77ED" w:rsidRPr="007D77ED" w:rsidSect="00D938D5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604" w:rsidRDefault="00425604"/>
  </w:endnote>
  <w:endnote w:type="continuationSeparator" w:id="0">
    <w:p w:rsidR="00425604" w:rsidRDefault="00425604"/>
  </w:endnote>
  <w:endnote w:type="continuationNotice" w:id="1">
    <w:p w:rsidR="00425604" w:rsidRDefault="004256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31" w:rsidRPr="00FB75E7" w:rsidRDefault="00D14D31">
    <w:pPr>
      <w:pStyle w:val="Footer"/>
      <w:rPr>
        <w:b/>
      </w:rPr>
    </w:pPr>
    <w:r w:rsidRPr="00FB75E7">
      <w:rPr>
        <w:b/>
      </w:rPr>
      <w:fldChar w:fldCharType="begin"/>
    </w:r>
    <w:r w:rsidRPr="00FB75E7">
      <w:rPr>
        <w:b/>
      </w:rPr>
      <w:instrText xml:space="preserve"> PAGE   \* MERGEFORMAT </w:instrText>
    </w:r>
    <w:r w:rsidRPr="00FB75E7">
      <w:rPr>
        <w:b/>
      </w:rPr>
      <w:fldChar w:fldCharType="separate"/>
    </w:r>
    <w:r w:rsidR="00C91BB9">
      <w:rPr>
        <w:b/>
        <w:noProof/>
      </w:rPr>
      <w:t>2</w:t>
    </w:r>
    <w:r w:rsidRPr="00FB75E7">
      <w:rPr>
        <w:b/>
        <w:noProof/>
      </w:rPr>
      <w:fldChar w:fldCharType="end"/>
    </w:r>
  </w:p>
  <w:p w:rsidR="00D14D31" w:rsidRPr="0099001C" w:rsidRDefault="00D14D31" w:rsidP="0099001C">
    <w:pPr>
      <w:pStyle w:val="Footer"/>
      <w:tabs>
        <w:tab w:val="right" w:pos="9638"/>
      </w:tabs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31" w:rsidRPr="004D2B47" w:rsidRDefault="00D14D31">
    <w:pPr>
      <w:pStyle w:val="Footer"/>
      <w:jc w:val="right"/>
      <w:rPr>
        <w:b/>
      </w:rPr>
    </w:pPr>
    <w:r w:rsidRPr="004D2B47">
      <w:rPr>
        <w:b/>
      </w:rPr>
      <w:fldChar w:fldCharType="begin"/>
    </w:r>
    <w:r w:rsidRPr="004D2B47">
      <w:rPr>
        <w:b/>
      </w:rPr>
      <w:instrText xml:space="preserve"> PAGE   \* MERGEFORMAT </w:instrText>
    </w:r>
    <w:r w:rsidRPr="004D2B47">
      <w:rPr>
        <w:b/>
      </w:rPr>
      <w:fldChar w:fldCharType="separate"/>
    </w:r>
    <w:r w:rsidR="00C91BB9">
      <w:rPr>
        <w:b/>
        <w:noProof/>
      </w:rPr>
      <w:t>3</w:t>
    </w:r>
    <w:r w:rsidRPr="004D2B47">
      <w:rPr>
        <w:b/>
        <w:noProof/>
      </w:rPr>
      <w:fldChar w:fldCharType="end"/>
    </w:r>
  </w:p>
  <w:p w:rsidR="00D14D31" w:rsidRPr="0099001C" w:rsidRDefault="00D14D31" w:rsidP="001E4813">
    <w:pPr>
      <w:pStyle w:val="Footer"/>
      <w:tabs>
        <w:tab w:val="right" w:pos="12600"/>
      </w:tabs>
      <w:jc w:val="right"/>
      <w:rPr>
        <w:b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31" w:rsidRDefault="00D14D31" w:rsidP="004D2B47">
    <w:pPr>
      <w:pStyle w:val="Footer"/>
    </w:pPr>
    <w:r>
      <w:rPr>
        <w:sz w:val="20"/>
      </w:rPr>
      <w:t>GE.15-</w:t>
    </w:r>
    <w:r w:rsidR="00F17D83"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4" name="Picture 14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4D31" w:rsidRPr="004D2B47" w:rsidRDefault="00D14D31" w:rsidP="004D2B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604" w:rsidRPr="000B175B" w:rsidRDefault="0042560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25604" w:rsidRPr="00FC68B7" w:rsidRDefault="0042560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25604" w:rsidRDefault="00425604"/>
  </w:footnote>
  <w:footnote w:id="2">
    <w:p w:rsidR="00296CB0" w:rsidRPr="00296CB0" w:rsidRDefault="00296CB0" w:rsidP="00296CB0">
      <w:pPr>
        <w:pStyle w:val="FootnoteText"/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In accordance </w:t>
      </w:r>
      <w:r w:rsidRPr="00384EC2">
        <w:t>with</w:t>
      </w:r>
      <w:r>
        <w:t xml:space="preserve"> the programme of work of the Sub-Committee for 2015-2016 approved by the Committee at its seventh session (refer to ST/SG/AC.10/C.3/92, paragraph 95 and ST/SG/AC.10/42, para. 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31" w:rsidRPr="006C6A56" w:rsidRDefault="000E422C" w:rsidP="006C6A56">
    <w:pPr>
      <w:pStyle w:val="Header"/>
    </w:pPr>
    <w:r>
      <w:t>ST/SG/AC.10/C.3/2015/</w:t>
    </w:r>
    <w:r w:rsidR="007D77ED">
      <w:t>51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31" w:rsidRPr="001F676B" w:rsidRDefault="007D77ED" w:rsidP="00C42500">
    <w:pPr>
      <w:pStyle w:val="Header"/>
      <w:pBdr>
        <w:bottom w:val="single" w:sz="4" w:space="1" w:color="auto"/>
      </w:pBdr>
      <w:jc w:val="right"/>
    </w:pPr>
    <w:r>
      <w:t>ST/SG/AC.10/C.3/2015/51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pt;height:18pt" o:bullet="t">
        <v:imagedata r:id="rId1" o:title=""/>
      </v:shape>
    </w:pict>
  </w:numPicBullet>
  <w:abstractNum w:abstractNumId="0">
    <w:nsid w:val="00211106"/>
    <w:multiLevelType w:val="multilevel"/>
    <w:tmpl w:val="72849632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9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025348B"/>
    <w:multiLevelType w:val="hybridMultilevel"/>
    <w:tmpl w:val="6FC2BDBE"/>
    <w:lvl w:ilvl="0" w:tplc="A80690AC">
      <w:start w:val="1"/>
      <w:numFmt w:val="lowerLetter"/>
      <w:lvlText w:val="(%1)"/>
      <w:lvlJc w:val="left"/>
      <w:pPr>
        <w:ind w:left="1055" w:hanging="360"/>
      </w:pPr>
      <w:rPr>
        <w:rFonts w:ascii="Times New Roman" w:eastAsiaTheme="minorHAnsi" w:hAnsi="Times New Roman" w:cs="Times New Roman" w:hint="default"/>
        <w:color w:val="000000" w:themeColor="text1"/>
        <w:sz w:val="20"/>
      </w:rPr>
    </w:lvl>
    <w:lvl w:ilvl="1" w:tplc="04090019">
      <w:start w:val="1"/>
      <w:numFmt w:val="lowerLetter"/>
      <w:lvlText w:val="%2."/>
      <w:lvlJc w:val="left"/>
      <w:pPr>
        <w:ind w:left="1775" w:hanging="360"/>
      </w:pPr>
    </w:lvl>
    <w:lvl w:ilvl="2" w:tplc="0409001B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>
    <w:nsid w:val="014B4E9C"/>
    <w:multiLevelType w:val="hybridMultilevel"/>
    <w:tmpl w:val="FFCA7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E95B97"/>
    <w:multiLevelType w:val="multilevel"/>
    <w:tmpl w:val="FB628A2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7335541"/>
    <w:multiLevelType w:val="hybridMultilevel"/>
    <w:tmpl w:val="C0B8D074"/>
    <w:lvl w:ilvl="0" w:tplc="0F126C2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9B76CF2"/>
    <w:multiLevelType w:val="hybridMultilevel"/>
    <w:tmpl w:val="AB486EF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C5F72"/>
    <w:multiLevelType w:val="hybridMultilevel"/>
    <w:tmpl w:val="99FCD014"/>
    <w:lvl w:ilvl="0" w:tplc="61FA1426">
      <w:start w:val="1"/>
      <w:numFmt w:val="decimal"/>
      <w:lvlText w:val="%1."/>
      <w:lvlJc w:val="left"/>
      <w:pPr>
        <w:ind w:left="1494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4040835"/>
    <w:multiLevelType w:val="hybridMultilevel"/>
    <w:tmpl w:val="776E3C86"/>
    <w:lvl w:ilvl="0" w:tplc="08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4F81C80"/>
    <w:multiLevelType w:val="hybridMultilevel"/>
    <w:tmpl w:val="F2006C08"/>
    <w:lvl w:ilvl="0" w:tplc="FD8698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E44C12"/>
    <w:multiLevelType w:val="hybridMultilevel"/>
    <w:tmpl w:val="604E07AA"/>
    <w:lvl w:ilvl="0" w:tplc="258CE916">
      <w:start w:val="1"/>
      <w:numFmt w:val="lowerLetter"/>
      <w:lvlText w:val="(%1)"/>
      <w:lvlJc w:val="left"/>
      <w:pPr>
        <w:ind w:left="1055" w:hanging="36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775" w:hanging="360"/>
      </w:pPr>
    </w:lvl>
    <w:lvl w:ilvl="2" w:tplc="0409001B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1">
    <w:nsid w:val="1B385D50"/>
    <w:multiLevelType w:val="hybridMultilevel"/>
    <w:tmpl w:val="D7348178"/>
    <w:lvl w:ilvl="0" w:tplc="55FC1880">
      <w:start w:val="1"/>
      <w:numFmt w:val="decimal"/>
      <w:lvlText w:val="(%1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>
    <w:nsid w:val="200D59DD"/>
    <w:multiLevelType w:val="hybridMultilevel"/>
    <w:tmpl w:val="D44CF84C"/>
    <w:lvl w:ilvl="0" w:tplc="61AC70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20AC192F"/>
    <w:multiLevelType w:val="hybridMultilevel"/>
    <w:tmpl w:val="741E22A6"/>
    <w:lvl w:ilvl="0" w:tplc="7946167C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F12816A8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2666D7B"/>
    <w:multiLevelType w:val="hybridMultilevel"/>
    <w:tmpl w:val="B19EA34C"/>
    <w:lvl w:ilvl="0" w:tplc="39388C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5473BB9"/>
    <w:multiLevelType w:val="hybridMultilevel"/>
    <w:tmpl w:val="9C48DE16"/>
    <w:lvl w:ilvl="0" w:tplc="E89A1B5A">
      <w:start w:val="1"/>
      <w:numFmt w:val="lowerLetter"/>
      <w:lvlText w:val="%1)"/>
      <w:lvlJc w:val="left"/>
      <w:pPr>
        <w:ind w:left="56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40118"/>
    <w:multiLevelType w:val="hybridMultilevel"/>
    <w:tmpl w:val="9A24E8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556B86"/>
    <w:multiLevelType w:val="hybridMultilevel"/>
    <w:tmpl w:val="A7481782"/>
    <w:lvl w:ilvl="0" w:tplc="06D228D4">
      <w:start w:val="1"/>
      <w:numFmt w:val="lowerLetter"/>
      <w:lvlText w:val="(%1)"/>
      <w:lvlJc w:val="left"/>
      <w:pPr>
        <w:tabs>
          <w:tab w:val="num" w:pos="2271"/>
        </w:tabs>
        <w:ind w:left="2271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8">
    <w:nsid w:val="2ECA257B"/>
    <w:multiLevelType w:val="hybridMultilevel"/>
    <w:tmpl w:val="3E90A262"/>
    <w:lvl w:ilvl="0" w:tplc="AC84F1B4">
      <w:start w:val="110"/>
      <w:numFmt w:val="decimal"/>
      <w:lvlText w:val="%1"/>
      <w:lvlJc w:val="left"/>
      <w:pPr>
        <w:tabs>
          <w:tab w:val="num" w:pos="2985"/>
        </w:tabs>
        <w:ind w:left="2985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>
    <w:nsid w:val="2F371BC8"/>
    <w:multiLevelType w:val="hybridMultilevel"/>
    <w:tmpl w:val="14788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140DB"/>
    <w:multiLevelType w:val="hybridMultilevel"/>
    <w:tmpl w:val="E4EA6080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5913412"/>
    <w:multiLevelType w:val="hybridMultilevel"/>
    <w:tmpl w:val="97F043D8"/>
    <w:lvl w:ilvl="0" w:tplc="32DA1E4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37A91095"/>
    <w:multiLevelType w:val="hybridMultilevel"/>
    <w:tmpl w:val="8356F9A0"/>
    <w:lvl w:ilvl="0" w:tplc="2B6ACB68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3AE23527"/>
    <w:multiLevelType w:val="hybridMultilevel"/>
    <w:tmpl w:val="C1B4B00C"/>
    <w:lvl w:ilvl="0" w:tplc="080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8090001">
      <w:start w:val="1"/>
      <w:numFmt w:val="bullet"/>
      <w:lvlText w:val=""/>
      <w:lvlJc w:val="left"/>
      <w:pPr>
        <w:tabs>
          <w:tab w:val="num" w:pos="2356"/>
        </w:tabs>
        <w:ind w:left="2356" w:hanging="360"/>
      </w:pPr>
      <w:rPr>
        <w:rFonts w:ascii="Symbol" w:hAnsi="Symbol" w:hint="default"/>
      </w:rPr>
    </w:lvl>
    <w:lvl w:ilvl="2" w:tplc="5FDAAAC6">
      <w:start w:val="1"/>
      <w:numFmt w:val="lowerLetter"/>
      <w:lvlText w:val="(%3)"/>
      <w:lvlJc w:val="left"/>
      <w:pPr>
        <w:tabs>
          <w:tab w:val="num" w:pos="3256"/>
        </w:tabs>
        <w:ind w:left="3256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4">
    <w:nsid w:val="3EDC5090"/>
    <w:multiLevelType w:val="hybridMultilevel"/>
    <w:tmpl w:val="BBB466BE"/>
    <w:lvl w:ilvl="0" w:tplc="A3C08296">
      <w:start w:val="1"/>
      <w:numFmt w:val="decimal"/>
      <w:lvlText w:val="(%1)"/>
      <w:lvlJc w:val="left"/>
      <w:pPr>
        <w:ind w:left="1495" w:hanging="360"/>
      </w:pPr>
      <w:rPr>
        <w:rFonts w:ascii="Times New Roman" w:eastAsiaTheme="minorHAnsi" w:hAnsi="Times New Roman" w:cs="Times New Roman" w:hint="default"/>
        <w:sz w:val="20"/>
        <w:u w:val="none"/>
      </w:rPr>
    </w:lvl>
    <w:lvl w:ilvl="1" w:tplc="014039BE">
      <w:start w:val="1"/>
      <w:numFmt w:val="lowerLetter"/>
      <w:lvlText w:val="(%2)"/>
      <w:lvlJc w:val="left"/>
      <w:pPr>
        <w:ind w:left="1775" w:hanging="360"/>
      </w:pPr>
      <w:rPr>
        <w:rFonts w:ascii="Times New Roman" w:eastAsiaTheme="minorHAnsi" w:hAnsi="Times New Roman" w:cs="Times New Roman" w:hint="default"/>
        <w:sz w:val="20"/>
      </w:rPr>
    </w:lvl>
    <w:lvl w:ilvl="2" w:tplc="B46AF0DC">
      <w:start w:val="1"/>
      <w:numFmt w:val="lowerRoman"/>
      <w:lvlText w:val="(%3)"/>
      <w:lvlJc w:val="left"/>
      <w:pPr>
        <w:ind w:left="2495" w:hanging="18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5">
    <w:nsid w:val="476C2B34"/>
    <w:multiLevelType w:val="hybridMultilevel"/>
    <w:tmpl w:val="8B44160C"/>
    <w:lvl w:ilvl="0" w:tplc="0AA49AAE">
      <w:start w:val="1"/>
      <w:numFmt w:val="lowerLetter"/>
      <w:lvlText w:val="%1)"/>
      <w:lvlJc w:val="left"/>
      <w:pPr>
        <w:ind w:left="951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671" w:hanging="360"/>
      </w:pPr>
    </w:lvl>
    <w:lvl w:ilvl="2" w:tplc="0809001B" w:tentative="1">
      <w:start w:val="1"/>
      <w:numFmt w:val="lowerRoman"/>
      <w:lvlText w:val="%3."/>
      <w:lvlJc w:val="right"/>
      <w:pPr>
        <w:ind w:left="2391" w:hanging="180"/>
      </w:pPr>
    </w:lvl>
    <w:lvl w:ilvl="3" w:tplc="0809000F" w:tentative="1">
      <w:start w:val="1"/>
      <w:numFmt w:val="decimal"/>
      <w:lvlText w:val="%4."/>
      <w:lvlJc w:val="left"/>
      <w:pPr>
        <w:ind w:left="3111" w:hanging="360"/>
      </w:pPr>
    </w:lvl>
    <w:lvl w:ilvl="4" w:tplc="08090019" w:tentative="1">
      <w:start w:val="1"/>
      <w:numFmt w:val="lowerLetter"/>
      <w:lvlText w:val="%5."/>
      <w:lvlJc w:val="left"/>
      <w:pPr>
        <w:ind w:left="3831" w:hanging="360"/>
      </w:pPr>
    </w:lvl>
    <w:lvl w:ilvl="5" w:tplc="0809001B" w:tentative="1">
      <w:start w:val="1"/>
      <w:numFmt w:val="lowerRoman"/>
      <w:lvlText w:val="%6."/>
      <w:lvlJc w:val="right"/>
      <w:pPr>
        <w:ind w:left="4551" w:hanging="180"/>
      </w:pPr>
    </w:lvl>
    <w:lvl w:ilvl="6" w:tplc="0809000F" w:tentative="1">
      <w:start w:val="1"/>
      <w:numFmt w:val="decimal"/>
      <w:lvlText w:val="%7."/>
      <w:lvlJc w:val="left"/>
      <w:pPr>
        <w:ind w:left="5271" w:hanging="360"/>
      </w:pPr>
    </w:lvl>
    <w:lvl w:ilvl="7" w:tplc="08090019" w:tentative="1">
      <w:start w:val="1"/>
      <w:numFmt w:val="lowerLetter"/>
      <w:lvlText w:val="%8."/>
      <w:lvlJc w:val="left"/>
      <w:pPr>
        <w:ind w:left="5991" w:hanging="360"/>
      </w:pPr>
    </w:lvl>
    <w:lvl w:ilvl="8" w:tplc="080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26">
    <w:nsid w:val="494E0A9E"/>
    <w:multiLevelType w:val="hybridMultilevel"/>
    <w:tmpl w:val="560C91C4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F872BD8"/>
    <w:multiLevelType w:val="hybridMultilevel"/>
    <w:tmpl w:val="8ADE01C0"/>
    <w:lvl w:ilvl="0" w:tplc="174AB058">
      <w:start w:val="1"/>
      <w:numFmt w:val="lowerLetter"/>
      <w:lvlText w:val="%1)"/>
      <w:lvlJc w:val="left"/>
      <w:pPr>
        <w:ind w:left="951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671" w:hanging="360"/>
      </w:pPr>
    </w:lvl>
    <w:lvl w:ilvl="2" w:tplc="0809001B" w:tentative="1">
      <w:start w:val="1"/>
      <w:numFmt w:val="lowerRoman"/>
      <w:lvlText w:val="%3."/>
      <w:lvlJc w:val="right"/>
      <w:pPr>
        <w:ind w:left="2391" w:hanging="180"/>
      </w:pPr>
    </w:lvl>
    <w:lvl w:ilvl="3" w:tplc="0809000F" w:tentative="1">
      <w:start w:val="1"/>
      <w:numFmt w:val="decimal"/>
      <w:lvlText w:val="%4."/>
      <w:lvlJc w:val="left"/>
      <w:pPr>
        <w:ind w:left="3111" w:hanging="360"/>
      </w:pPr>
    </w:lvl>
    <w:lvl w:ilvl="4" w:tplc="08090019" w:tentative="1">
      <w:start w:val="1"/>
      <w:numFmt w:val="lowerLetter"/>
      <w:lvlText w:val="%5."/>
      <w:lvlJc w:val="left"/>
      <w:pPr>
        <w:ind w:left="3831" w:hanging="360"/>
      </w:pPr>
    </w:lvl>
    <w:lvl w:ilvl="5" w:tplc="0809001B" w:tentative="1">
      <w:start w:val="1"/>
      <w:numFmt w:val="lowerRoman"/>
      <w:lvlText w:val="%6."/>
      <w:lvlJc w:val="right"/>
      <w:pPr>
        <w:ind w:left="4551" w:hanging="180"/>
      </w:pPr>
    </w:lvl>
    <w:lvl w:ilvl="6" w:tplc="0809000F" w:tentative="1">
      <w:start w:val="1"/>
      <w:numFmt w:val="decimal"/>
      <w:lvlText w:val="%7."/>
      <w:lvlJc w:val="left"/>
      <w:pPr>
        <w:ind w:left="5271" w:hanging="360"/>
      </w:pPr>
    </w:lvl>
    <w:lvl w:ilvl="7" w:tplc="08090019" w:tentative="1">
      <w:start w:val="1"/>
      <w:numFmt w:val="lowerLetter"/>
      <w:lvlText w:val="%8."/>
      <w:lvlJc w:val="left"/>
      <w:pPr>
        <w:ind w:left="5991" w:hanging="360"/>
      </w:pPr>
    </w:lvl>
    <w:lvl w:ilvl="8" w:tplc="080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28">
    <w:nsid w:val="4F9E2917"/>
    <w:multiLevelType w:val="hybridMultilevel"/>
    <w:tmpl w:val="2DAA2A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D31F9C"/>
    <w:multiLevelType w:val="hybridMultilevel"/>
    <w:tmpl w:val="3C18F000"/>
    <w:lvl w:ilvl="0" w:tplc="7CA447B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AA7794"/>
    <w:multiLevelType w:val="hybridMultilevel"/>
    <w:tmpl w:val="91D4FB2A"/>
    <w:lvl w:ilvl="0" w:tplc="FFFFFFFF">
      <w:start w:val="3"/>
      <w:numFmt w:val="lowerRoman"/>
      <w:lvlText w:val="(%1)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31">
    <w:nsid w:val="54F054EB"/>
    <w:multiLevelType w:val="hybridMultilevel"/>
    <w:tmpl w:val="0DC21E06"/>
    <w:lvl w:ilvl="0" w:tplc="A5F077DE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2">
    <w:nsid w:val="557D5BAD"/>
    <w:multiLevelType w:val="multilevel"/>
    <w:tmpl w:val="405456EC"/>
    <w:lvl w:ilvl="0">
      <w:start w:val="1"/>
      <w:numFmt w:val="lowerLetter"/>
      <w:lvlText w:val="%1)"/>
      <w:lvlJc w:val="left"/>
      <w:pPr>
        <w:ind w:left="95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71" w:hanging="360"/>
      </w:pPr>
    </w:lvl>
    <w:lvl w:ilvl="2">
      <w:start w:val="1"/>
      <w:numFmt w:val="lowerRoman"/>
      <w:lvlText w:val="%3."/>
      <w:lvlJc w:val="right"/>
      <w:pPr>
        <w:ind w:left="2391" w:hanging="180"/>
      </w:pPr>
    </w:lvl>
    <w:lvl w:ilvl="3">
      <w:start w:val="1"/>
      <w:numFmt w:val="decimal"/>
      <w:lvlText w:val="%4."/>
      <w:lvlJc w:val="left"/>
      <w:pPr>
        <w:ind w:left="3111" w:hanging="360"/>
      </w:pPr>
    </w:lvl>
    <w:lvl w:ilvl="4">
      <w:start w:val="1"/>
      <w:numFmt w:val="lowerLetter"/>
      <w:lvlText w:val="%5."/>
      <w:lvlJc w:val="left"/>
      <w:pPr>
        <w:ind w:left="3831" w:hanging="360"/>
      </w:pPr>
    </w:lvl>
    <w:lvl w:ilvl="5">
      <w:start w:val="1"/>
      <w:numFmt w:val="lowerRoman"/>
      <w:lvlText w:val="%6."/>
      <w:lvlJc w:val="right"/>
      <w:pPr>
        <w:ind w:left="4551" w:hanging="180"/>
      </w:pPr>
    </w:lvl>
    <w:lvl w:ilvl="6">
      <w:start w:val="1"/>
      <w:numFmt w:val="decimal"/>
      <w:lvlText w:val="%7."/>
      <w:lvlJc w:val="left"/>
      <w:pPr>
        <w:ind w:left="5271" w:hanging="360"/>
      </w:pPr>
    </w:lvl>
    <w:lvl w:ilvl="7">
      <w:start w:val="1"/>
      <w:numFmt w:val="lowerLetter"/>
      <w:lvlText w:val="%8."/>
      <w:lvlJc w:val="left"/>
      <w:pPr>
        <w:ind w:left="5991" w:hanging="360"/>
      </w:pPr>
    </w:lvl>
    <w:lvl w:ilvl="8">
      <w:start w:val="1"/>
      <w:numFmt w:val="lowerRoman"/>
      <w:lvlText w:val="%9."/>
      <w:lvlJc w:val="right"/>
      <w:pPr>
        <w:ind w:left="6711" w:hanging="180"/>
      </w:pPr>
    </w:lvl>
  </w:abstractNum>
  <w:abstractNum w:abstractNumId="33">
    <w:nsid w:val="57760DB2"/>
    <w:multiLevelType w:val="hybridMultilevel"/>
    <w:tmpl w:val="BA5E469C"/>
    <w:lvl w:ilvl="0" w:tplc="08090017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5412E9"/>
    <w:multiLevelType w:val="hybridMultilevel"/>
    <w:tmpl w:val="5922EB30"/>
    <w:lvl w:ilvl="0" w:tplc="B278210E">
      <w:start w:val="19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5BA76018"/>
    <w:multiLevelType w:val="hybridMultilevel"/>
    <w:tmpl w:val="86F026E4"/>
    <w:lvl w:ilvl="0" w:tplc="1BC6F69C">
      <w:start w:val="1"/>
      <w:numFmt w:val="decimal"/>
      <w:lvlText w:val="%1."/>
      <w:lvlJc w:val="left"/>
      <w:pPr>
        <w:ind w:left="257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94" w:hanging="360"/>
      </w:pPr>
    </w:lvl>
    <w:lvl w:ilvl="2" w:tplc="0809001B" w:tentative="1">
      <w:start w:val="1"/>
      <w:numFmt w:val="lowerRoman"/>
      <w:lvlText w:val="%3."/>
      <w:lvlJc w:val="right"/>
      <w:pPr>
        <w:ind w:left="4014" w:hanging="180"/>
      </w:pPr>
    </w:lvl>
    <w:lvl w:ilvl="3" w:tplc="0809000F" w:tentative="1">
      <w:start w:val="1"/>
      <w:numFmt w:val="decimal"/>
      <w:lvlText w:val="%4."/>
      <w:lvlJc w:val="left"/>
      <w:pPr>
        <w:ind w:left="4734" w:hanging="360"/>
      </w:pPr>
    </w:lvl>
    <w:lvl w:ilvl="4" w:tplc="08090019" w:tentative="1">
      <w:start w:val="1"/>
      <w:numFmt w:val="lowerLetter"/>
      <w:lvlText w:val="%5."/>
      <w:lvlJc w:val="left"/>
      <w:pPr>
        <w:ind w:left="5454" w:hanging="360"/>
      </w:pPr>
    </w:lvl>
    <w:lvl w:ilvl="5" w:tplc="0809001B" w:tentative="1">
      <w:start w:val="1"/>
      <w:numFmt w:val="lowerRoman"/>
      <w:lvlText w:val="%6."/>
      <w:lvlJc w:val="right"/>
      <w:pPr>
        <w:ind w:left="6174" w:hanging="180"/>
      </w:pPr>
    </w:lvl>
    <w:lvl w:ilvl="6" w:tplc="0809000F" w:tentative="1">
      <w:start w:val="1"/>
      <w:numFmt w:val="decimal"/>
      <w:lvlText w:val="%7."/>
      <w:lvlJc w:val="left"/>
      <w:pPr>
        <w:ind w:left="6894" w:hanging="360"/>
      </w:pPr>
    </w:lvl>
    <w:lvl w:ilvl="7" w:tplc="08090019" w:tentative="1">
      <w:start w:val="1"/>
      <w:numFmt w:val="lowerLetter"/>
      <w:lvlText w:val="%8."/>
      <w:lvlJc w:val="left"/>
      <w:pPr>
        <w:ind w:left="7614" w:hanging="360"/>
      </w:pPr>
    </w:lvl>
    <w:lvl w:ilvl="8" w:tplc="0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6">
    <w:nsid w:val="5CCE2091"/>
    <w:multiLevelType w:val="hybridMultilevel"/>
    <w:tmpl w:val="0142B066"/>
    <w:lvl w:ilvl="0" w:tplc="BCD02BAE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7">
    <w:nsid w:val="5D3F0A74"/>
    <w:multiLevelType w:val="hybridMultilevel"/>
    <w:tmpl w:val="52563128"/>
    <w:lvl w:ilvl="0" w:tplc="855CAFE4">
      <w:start w:val="1"/>
      <w:numFmt w:val="lowerLetter"/>
      <w:lvlText w:val="(%1)"/>
      <w:lvlJc w:val="left"/>
      <w:pPr>
        <w:ind w:left="22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8">
    <w:nsid w:val="5F2E3E16"/>
    <w:multiLevelType w:val="hybridMultilevel"/>
    <w:tmpl w:val="2568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152BEE"/>
    <w:multiLevelType w:val="hybridMultilevel"/>
    <w:tmpl w:val="830A7B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E1645C"/>
    <w:multiLevelType w:val="hybridMultilevel"/>
    <w:tmpl w:val="408825C2"/>
    <w:lvl w:ilvl="0" w:tplc="0A92C090">
      <w:start w:val="1"/>
      <w:numFmt w:val="decimal"/>
      <w:lvlText w:val="%1-"/>
      <w:lvlJc w:val="left"/>
      <w:pPr>
        <w:tabs>
          <w:tab w:val="num" w:pos="2839"/>
        </w:tabs>
        <w:ind w:left="283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59"/>
        </w:tabs>
        <w:ind w:left="3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79"/>
        </w:tabs>
        <w:ind w:left="4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99"/>
        </w:tabs>
        <w:ind w:left="4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19"/>
        </w:tabs>
        <w:ind w:left="5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39"/>
        </w:tabs>
        <w:ind w:left="6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59"/>
        </w:tabs>
        <w:ind w:left="7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79"/>
        </w:tabs>
        <w:ind w:left="7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99"/>
        </w:tabs>
        <w:ind w:left="8599" w:hanging="180"/>
      </w:pPr>
    </w:lvl>
  </w:abstractNum>
  <w:abstractNum w:abstractNumId="42">
    <w:nsid w:val="700371EE"/>
    <w:multiLevelType w:val="hybridMultilevel"/>
    <w:tmpl w:val="EF367684"/>
    <w:lvl w:ilvl="0" w:tplc="5EF40AB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3">
    <w:nsid w:val="71E81394"/>
    <w:multiLevelType w:val="hybridMultilevel"/>
    <w:tmpl w:val="8AE6215A"/>
    <w:lvl w:ilvl="0" w:tplc="F07EDA76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44">
    <w:nsid w:val="7377697B"/>
    <w:multiLevelType w:val="hybridMultilevel"/>
    <w:tmpl w:val="2EE681CA"/>
    <w:lvl w:ilvl="0" w:tplc="E26A9B16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>
    <w:nsid w:val="75DA75A8"/>
    <w:multiLevelType w:val="hybridMultilevel"/>
    <w:tmpl w:val="CFCA34F2"/>
    <w:lvl w:ilvl="0" w:tplc="52447F9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>
    <w:nsid w:val="78AA5AFA"/>
    <w:multiLevelType w:val="hybridMultilevel"/>
    <w:tmpl w:val="1910EEFE"/>
    <w:lvl w:ilvl="0" w:tplc="25908730">
      <w:start w:val="1"/>
      <w:numFmt w:val="lowerLetter"/>
      <w:lvlText w:val="(%1)"/>
      <w:lvlJc w:val="left"/>
      <w:pPr>
        <w:ind w:left="1055" w:hanging="360"/>
      </w:pPr>
      <w:rPr>
        <w:rFonts w:ascii="Times New Roman" w:eastAsiaTheme="minorHAnsi" w:hAnsi="Times New Roman" w:cs="Times New Roman" w:hint="default"/>
        <w:color w:val="000000" w:themeColor="text1"/>
        <w:sz w:val="20"/>
      </w:rPr>
    </w:lvl>
    <w:lvl w:ilvl="1" w:tplc="04090019">
      <w:start w:val="1"/>
      <w:numFmt w:val="lowerLetter"/>
      <w:lvlText w:val="%2."/>
      <w:lvlJc w:val="left"/>
      <w:pPr>
        <w:ind w:left="1775" w:hanging="360"/>
      </w:pPr>
    </w:lvl>
    <w:lvl w:ilvl="2" w:tplc="0409001B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47">
    <w:nsid w:val="7D8E7484"/>
    <w:multiLevelType w:val="hybridMultilevel"/>
    <w:tmpl w:val="8DB00C92"/>
    <w:lvl w:ilvl="0" w:tplc="388EFB20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0"/>
  </w:num>
  <w:num w:numId="3">
    <w:abstractNumId w:val="0"/>
  </w:num>
  <w:num w:numId="4">
    <w:abstractNumId w:val="43"/>
  </w:num>
  <w:num w:numId="5">
    <w:abstractNumId w:val="30"/>
  </w:num>
  <w:num w:numId="6">
    <w:abstractNumId w:val="4"/>
  </w:num>
  <w:num w:numId="7">
    <w:abstractNumId w:val="13"/>
  </w:num>
  <w:num w:numId="8">
    <w:abstractNumId w:val="22"/>
  </w:num>
  <w:num w:numId="9">
    <w:abstractNumId w:val="41"/>
  </w:num>
  <w:num w:numId="10">
    <w:abstractNumId w:val="18"/>
  </w:num>
  <w:num w:numId="11">
    <w:abstractNumId w:val="2"/>
  </w:num>
  <w:num w:numId="12">
    <w:abstractNumId w:val="17"/>
  </w:num>
  <w:num w:numId="13">
    <w:abstractNumId w:val="44"/>
  </w:num>
  <w:num w:numId="14">
    <w:abstractNumId w:val="36"/>
  </w:num>
  <w:num w:numId="15">
    <w:abstractNumId w:val="38"/>
  </w:num>
  <w:num w:numId="16">
    <w:abstractNumId w:val="16"/>
  </w:num>
  <w:num w:numId="17">
    <w:abstractNumId w:val="9"/>
  </w:num>
  <w:num w:numId="18">
    <w:abstractNumId w:val="12"/>
  </w:num>
  <w:num w:numId="19">
    <w:abstractNumId w:val="21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6"/>
  </w:num>
  <w:num w:numId="24">
    <w:abstractNumId w:val="8"/>
  </w:num>
  <w:num w:numId="25">
    <w:abstractNumId w:val="34"/>
  </w:num>
  <w:num w:numId="26">
    <w:abstractNumId w:val="45"/>
  </w:num>
  <w:num w:numId="27">
    <w:abstractNumId w:val="19"/>
  </w:num>
  <w:num w:numId="28">
    <w:abstractNumId w:val="15"/>
  </w:num>
  <w:num w:numId="29">
    <w:abstractNumId w:val="31"/>
  </w:num>
  <w:num w:numId="30">
    <w:abstractNumId w:val="42"/>
  </w:num>
  <w:num w:numId="31">
    <w:abstractNumId w:val="33"/>
  </w:num>
  <w:num w:numId="32">
    <w:abstractNumId w:val="39"/>
  </w:num>
  <w:num w:numId="33">
    <w:abstractNumId w:val="20"/>
  </w:num>
  <w:num w:numId="34">
    <w:abstractNumId w:val="25"/>
  </w:num>
  <w:num w:numId="35">
    <w:abstractNumId w:val="27"/>
  </w:num>
  <w:num w:numId="36">
    <w:abstractNumId w:val="32"/>
  </w:num>
  <w:num w:numId="37">
    <w:abstractNumId w:val="37"/>
  </w:num>
  <w:num w:numId="38">
    <w:abstractNumId w:val="29"/>
  </w:num>
  <w:num w:numId="39">
    <w:abstractNumId w:val="28"/>
  </w:num>
  <w:num w:numId="40">
    <w:abstractNumId w:val="6"/>
  </w:num>
  <w:num w:numId="41">
    <w:abstractNumId w:val="23"/>
  </w:num>
  <w:num w:numId="42">
    <w:abstractNumId w:val="35"/>
  </w:num>
  <w:num w:numId="43">
    <w:abstractNumId w:val="11"/>
  </w:num>
  <w:num w:numId="44">
    <w:abstractNumId w:val="24"/>
  </w:num>
  <w:num w:numId="45">
    <w:abstractNumId w:val="46"/>
  </w:num>
  <w:num w:numId="46">
    <w:abstractNumId w:val="10"/>
  </w:num>
  <w:num w:numId="47">
    <w:abstractNumId w:val="1"/>
  </w:num>
  <w:num w:numId="48">
    <w:abstractNumId w:val="5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AU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2EFA"/>
    <w:rsid w:val="00003332"/>
    <w:rsid w:val="00006396"/>
    <w:rsid w:val="00010879"/>
    <w:rsid w:val="000171FC"/>
    <w:rsid w:val="00025C10"/>
    <w:rsid w:val="000261F6"/>
    <w:rsid w:val="00031523"/>
    <w:rsid w:val="00034899"/>
    <w:rsid w:val="000426AF"/>
    <w:rsid w:val="00044CD7"/>
    <w:rsid w:val="00050F6B"/>
    <w:rsid w:val="0005340B"/>
    <w:rsid w:val="00057262"/>
    <w:rsid w:val="00057EF1"/>
    <w:rsid w:val="00060C82"/>
    <w:rsid w:val="00067341"/>
    <w:rsid w:val="00072C8C"/>
    <w:rsid w:val="0007325A"/>
    <w:rsid w:val="00082670"/>
    <w:rsid w:val="00083A13"/>
    <w:rsid w:val="00090264"/>
    <w:rsid w:val="000918C2"/>
    <w:rsid w:val="000931C0"/>
    <w:rsid w:val="00094053"/>
    <w:rsid w:val="000B0DCA"/>
    <w:rsid w:val="000B175B"/>
    <w:rsid w:val="000B3A0F"/>
    <w:rsid w:val="000B3E43"/>
    <w:rsid w:val="000C2795"/>
    <w:rsid w:val="000C64FF"/>
    <w:rsid w:val="000C69A6"/>
    <w:rsid w:val="000D13B5"/>
    <w:rsid w:val="000D7C1B"/>
    <w:rsid w:val="000E0415"/>
    <w:rsid w:val="000E143F"/>
    <w:rsid w:val="000E2262"/>
    <w:rsid w:val="000E2FEC"/>
    <w:rsid w:val="000E422C"/>
    <w:rsid w:val="000E6156"/>
    <w:rsid w:val="000F1AC1"/>
    <w:rsid w:val="000F4524"/>
    <w:rsid w:val="00105FDD"/>
    <w:rsid w:val="00106D46"/>
    <w:rsid w:val="0011529F"/>
    <w:rsid w:val="001156AA"/>
    <w:rsid w:val="001220B8"/>
    <w:rsid w:val="001223F7"/>
    <w:rsid w:val="001262C0"/>
    <w:rsid w:val="00126EA1"/>
    <w:rsid w:val="0012741E"/>
    <w:rsid w:val="00133C7A"/>
    <w:rsid w:val="00133ED6"/>
    <w:rsid w:val="00135DFB"/>
    <w:rsid w:val="00137553"/>
    <w:rsid w:val="001418E8"/>
    <w:rsid w:val="00141EC8"/>
    <w:rsid w:val="00145FFD"/>
    <w:rsid w:val="0014740A"/>
    <w:rsid w:val="001575DE"/>
    <w:rsid w:val="001604C0"/>
    <w:rsid w:val="00161DED"/>
    <w:rsid w:val="00162157"/>
    <w:rsid w:val="00162703"/>
    <w:rsid w:val="00165F70"/>
    <w:rsid w:val="001666A1"/>
    <w:rsid w:val="00172938"/>
    <w:rsid w:val="00172A5D"/>
    <w:rsid w:val="00173C41"/>
    <w:rsid w:val="00173E97"/>
    <w:rsid w:val="001811F3"/>
    <w:rsid w:val="0018298B"/>
    <w:rsid w:val="001832E3"/>
    <w:rsid w:val="001844FC"/>
    <w:rsid w:val="00186037"/>
    <w:rsid w:val="001A1256"/>
    <w:rsid w:val="001B4B04"/>
    <w:rsid w:val="001B7882"/>
    <w:rsid w:val="001C0A2D"/>
    <w:rsid w:val="001C544D"/>
    <w:rsid w:val="001C6663"/>
    <w:rsid w:val="001C7895"/>
    <w:rsid w:val="001D26DF"/>
    <w:rsid w:val="001D3183"/>
    <w:rsid w:val="001D76EA"/>
    <w:rsid w:val="001E0EC3"/>
    <w:rsid w:val="001E1304"/>
    <w:rsid w:val="001E2993"/>
    <w:rsid w:val="001E2A42"/>
    <w:rsid w:val="001E31A8"/>
    <w:rsid w:val="001E31B0"/>
    <w:rsid w:val="001E428B"/>
    <w:rsid w:val="001E4813"/>
    <w:rsid w:val="001F3254"/>
    <w:rsid w:val="001F676B"/>
    <w:rsid w:val="001F6DAB"/>
    <w:rsid w:val="001F7D95"/>
    <w:rsid w:val="00202F2F"/>
    <w:rsid w:val="0020313C"/>
    <w:rsid w:val="0020331F"/>
    <w:rsid w:val="00210BF9"/>
    <w:rsid w:val="00211E0B"/>
    <w:rsid w:val="00214740"/>
    <w:rsid w:val="00222C94"/>
    <w:rsid w:val="00226CF5"/>
    <w:rsid w:val="00227F88"/>
    <w:rsid w:val="00232E70"/>
    <w:rsid w:val="0023451F"/>
    <w:rsid w:val="002405A7"/>
    <w:rsid w:val="00240C33"/>
    <w:rsid w:val="00241101"/>
    <w:rsid w:val="00241341"/>
    <w:rsid w:val="00246F3E"/>
    <w:rsid w:val="0025408A"/>
    <w:rsid w:val="00260DAB"/>
    <w:rsid w:val="00266C4D"/>
    <w:rsid w:val="00267F1A"/>
    <w:rsid w:val="00270492"/>
    <w:rsid w:val="00273540"/>
    <w:rsid w:val="00276A34"/>
    <w:rsid w:val="002775FB"/>
    <w:rsid w:val="0028097F"/>
    <w:rsid w:val="00280C9A"/>
    <w:rsid w:val="00281563"/>
    <w:rsid w:val="002851D6"/>
    <w:rsid w:val="00291560"/>
    <w:rsid w:val="0029653B"/>
    <w:rsid w:val="00296CB0"/>
    <w:rsid w:val="002B2B8E"/>
    <w:rsid w:val="002B4232"/>
    <w:rsid w:val="002B772A"/>
    <w:rsid w:val="002C479A"/>
    <w:rsid w:val="002D1193"/>
    <w:rsid w:val="002D5E30"/>
    <w:rsid w:val="002D78BB"/>
    <w:rsid w:val="002E03D9"/>
    <w:rsid w:val="002E1B9A"/>
    <w:rsid w:val="002E42C4"/>
    <w:rsid w:val="002E45A0"/>
    <w:rsid w:val="002E4DC6"/>
    <w:rsid w:val="002E6B09"/>
    <w:rsid w:val="002F25CB"/>
    <w:rsid w:val="002F6E0F"/>
    <w:rsid w:val="00302CC0"/>
    <w:rsid w:val="00307A6D"/>
    <w:rsid w:val="003107FA"/>
    <w:rsid w:val="00311C15"/>
    <w:rsid w:val="00317109"/>
    <w:rsid w:val="00320DED"/>
    <w:rsid w:val="00321C05"/>
    <w:rsid w:val="00321F07"/>
    <w:rsid w:val="003229D8"/>
    <w:rsid w:val="00326AA8"/>
    <w:rsid w:val="00330C63"/>
    <w:rsid w:val="00330D86"/>
    <w:rsid w:val="0033308E"/>
    <w:rsid w:val="00334089"/>
    <w:rsid w:val="00334336"/>
    <w:rsid w:val="0033745A"/>
    <w:rsid w:val="003447BB"/>
    <w:rsid w:val="00353734"/>
    <w:rsid w:val="00355FB8"/>
    <w:rsid w:val="00357B6F"/>
    <w:rsid w:val="0036347F"/>
    <w:rsid w:val="00365502"/>
    <w:rsid w:val="003742FC"/>
    <w:rsid w:val="00380BCF"/>
    <w:rsid w:val="00381E3F"/>
    <w:rsid w:val="00383E1A"/>
    <w:rsid w:val="00391104"/>
    <w:rsid w:val="0039277A"/>
    <w:rsid w:val="003972E0"/>
    <w:rsid w:val="00397DE2"/>
    <w:rsid w:val="003A2B2B"/>
    <w:rsid w:val="003A2D25"/>
    <w:rsid w:val="003A7C4B"/>
    <w:rsid w:val="003A7F0D"/>
    <w:rsid w:val="003B0241"/>
    <w:rsid w:val="003C2CC4"/>
    <w:rsid w:val="003C3936"/>
    <w:rsid w:val="003C550C"/>
    <w:rsid w:val="003D3902"/>
    <w:rsid w:val="003D4B23"/>
    <w:rsid w:val="003D5BA1"/>
    <w:rsid w:val="003D67BE"/>
    <w:rsid w:val="003E14E7"/>
    <w:rsid w:val="003E7507"/>
    <w:rsid w:val="003F1ED3"/>
    <w:rsid w:val="003F2DCE"/>
    <w:rsid w:val="003F32D9"/>
    <w:rsid w:val="003F6500"/>
    <w:rsid w:val="00402B95"/>
    <w:rsid w:val="00403098"/>
    <w:rsid w:val="004108D5"/>
    <w:rsid w:val="004143A7"/>
    <w:rsid w:val="00417151"/>
    <w:rsid w:val="00424A40"/>
    <w:rsid w:val="00425604"/>
    <w:rsid w:val="0043151B"/>
    <w:rsid w:val="004325CB"/>
    <w:rsid w:val="00435EE3"/>
    <w:rsid w:val="00436DEF"/>
    <w:rsid w:val="00436F0D"/>
    <w:rsid w:val="00442BB5"/>
    <w:rsid w:val="004445A1"/>
    <w:rsid w:val="00444AB1"/>
    <w:rsid w:val="00446DE4"/>
    <w:rsid w:val="00447ACD"/>
    <w:rsid w:val="004501A7"/>
    <w:rsid w:val="00456125"/>
    <w:rsid w:val="0045727E"/>
    <w:rsid w:val="00462C74"/>
    <w:rsid w:val="00466172"/>
    <w:rsid w:val="004735DE"/>
    <w:rsid w:val="0047798C"/>
    <w:rsid w:val="0048539B"/>
    <w:rsid w:val="00486182"/>
    <w:rsid w:val="0049238A"/>
    <w:rsid w:val="004936EA"/>
    <w:rsid w:val="004949D0"/>
    <w:rsid w:val="00496094"/>
    <w:rsid w:val="004A0699"/>
    <w:rsid w:val="004A0F33"/>
    <w:rsid w:val="004A41CA"/>
    <w:rsid w:val="004A6FCE"/>
    <w:rsid w:val="004A7278"/>
    <w:rsid w:val="004A7FFD"/>
    <w:rsid w:val="004B1385"/>
    <w:rsid w:val="004B40B2"/>
    <w:rsid w:val="004C3136"/>
    <w:rsid w:val="004C4490"/>
    <w:rsid w:val="004C6784"/>
    <w:rsid w:val="004D2B47"/>
    <w:rsid w:val="004D4668"/>
    <w:rsid w:val="004E0E90"/>
    <w:rsid w:val="004E6063"/>
    <w:rsid w:val="004E73A9"/>
    <w:rsid w:val="004F471F"/>
    <w:rsid w:val="004F4928"/>
    <w:rsid w:val="004F61BB"/>
    <w:rsid w:val="004F721F"/>
    <w:rsid w:val="004F7E77"/>
    <w:rsid w:val="005026D3"/>
    <w:rsid w:val="00503228"/>
    <w:rsid w:val="00505384"/>
    <w:rsid w:val="00510A10"/>
    <w:rsid w:val="00512AD1"/>
    <w:rsid w:val="00514641"/>
    <w:rsid w:val="0053290B"/>
    <w:rsid w:val="005414C0"/>
    <w:rsid w:val="005420F2"/>
    <w:rsid w:val="00546CE7"/>
    <w:rsid w:val="005528AD"/>
    <w:rsid w:val="00557BBE"/>
    <w:rsid w:val="005602BC"/>
    <w:rsid w:val="00563AEA"/>
    <w:rsid w:val="00564A8C"/>
    <w:rsid w:val="005654A8"/>
    <w:rsid w:val="0056584E"/>
    <w:rsid w:val="00567492"/>
    <w:rsid w:val="00567738"/>
    <w:rsid w:val="00573D0D"/>
    <w:rsid w:val="00592B8C"/>
    <w:rsid w:val="005964D7"/>
    <w:rsid w:val="00596940"/>
    <w:rsid w:val="005A6006"/>
    <w:rsid w:val="005B12DD"/>
    <w:rsid w:val="005B3DB3"/>
    <w:rsid w:val="005B675E"/>
    <w:rsid w:val="005B793F"/>
    <w:rsid w:val="005C2712"/>
    <w:rsid w:val="005C7F7F"/>
    <w:rsid w:val="005D01BA"/>
    <w:rsid w:val="005D0566"/>
    <w:rsid w:val="005D0CAA"/>
    <w:rsid w:val="005D19CB"/>
    <w:rsid w:val="005D69A1"/>
    <w:rsid w:val="005E2937"/>
    <w:rsid w:val="005E3584"/>
    <w:rsid w:val="005E6E5F"/>
    <w:rsid w:val="005F1684"/>
    <w:rsid w:val="005F491C"/>
    <w:rsid w:val="005F57B5"/>
    <w:rsid w:val="0060091E"/>
    <w:rsid w:val="00603986"/>
    <w:rsid w:val="00610339"/>
    <w:rsid w:val="00611FB1"/>
    <w:rsid w:val="00611FC4"/>
    <w:rsid w:val="00612594"/>
    <w:rsid w:val="00613135"/>
    <w:rsid w:val="00613225"/>
    <w:rsid w:val="0061540F"/>
    <w:rsid w:val="006176FB"/>
    <w:rsid w:val="0062451C"/>
    <w:rsid w:val="00624CB0"/>
    <w:rsid w:val="00625C1C"/>
    <w:rsid w:val="00627ED0"/>
    <w:rsid w:val="00632A8B"/>
    <w:rsid w:val="00633F2A"/>
    <w:rsid w:val="0063576C"/>
    <w:rsid w:val="006362E9"/>
    <w:rsid w:val="00636C93"/>
    <w:rsid w:val="006407F2"/>
    <w:rsid w:val="00640B26"/>
    <w:rsid w:val="00640CF4"/>
    <w:rsid w:val="0064418D"/>
    <w:rsid w:val="00644ED8"/>
    <w:rsid w:val="006522E7"/>
    <w:rsid w:val="00652520"/>
    <w:rsid w:val="00661E02"/>
    <w:rsid w:val="00665396"/>
    <w:rsid w:val="00665595"/>
    <w:rsid w:val="00666BC5"/>
    <w:rsid w:val="00671353"/>
    <w:rsid w:val="0068160A"/>
    <w:rsid w:val="00686869"/>
    <w:rsid w:val="0069084B"/>
    <w:rsid w:val="00695A9B"/>
    <w:rsid w:val="0069661B"/>
    <w:rsid w:val="006A4EF7"/>
    <w:rsid w:val="006A7392"/>
    <w:rsid w:val="006A7A99"/>
    <w:rsid w:val="006B4ADA"/>
    <w:rsid w:val="006C4388"/>
    <w:rsid w:val="006C52A3"/>
    <w:rsid w:val="006C5A35"/>
    <w:rsid w:val="006C6A56"/>
    <w:rsid w:val="006D255B"/>
    <w:rsid w:val="006D3B96"/>
    <w:rsid w:val="006D5429"/>
    <w:rsid w:val="006D7CD5"/>
    <w:rsid w:val="006E0290"/>
    <w:rsid w:val="006E5505"/>
    <w:rsid w:val="006E564B"/>
    <w:rsid w:val="006F02D2"/>
    <w:rsid w:val="006F1EFF"/>
    <w:rsid w:val="006F5878"/>
    <w:rsid w:val="00700E34"/>
    <w:rsid w:val="007032EE"/>
    <w:rsid w:val="007044B5"/>
    <w:rsid w:val="00704BCD"/>
    <w:rsid w:val="00711902"/>
    <w:rsid w:val="00712121"/>
    <w:rsid w:val="007218CD"/>
    <w:rsid w:val="0072632A"/>
    <w:rsid w:val="00733AAE"/>
    <w:rsid w:val="007364F9"/>
    <w:rsid w:val="00744DCF"/>
    <w:rsid w:val="00745FD6"/>
    <w:rsid w:val="00751118"/>
    <w:rsid w:val="007540E2"/>
    <w:rsid w:val="00771D8B"/>
    <w:rsid w:val="00771EB6"/>
    <w:rsid w:val="00772712"/>
    <w:rsid w:val="00772BD6"/>
    <w:rsid w:val="00773288"/>
    <w:rsid w:val="0077426A"/>
    <w:rsid w:val="00774A1A"/>
    <w:rsid w:val="00780488"/>
    <w:rsid w:val="00782570"/>
    <w:rsid w:val="00783A99"/>
    <w:rsid w:val="00784BBB"/>
    <w:rsid w:val="00786D50"/>
    <w:rsid w:val="00796047"/>
    <w:rsid w:val="0079606E"/>
    <w:rsid w:val="00796E0D"/>
    <w:rsid w:val="007A08BF"/>
    <w:rsid w:val="007A1923"/>
    <w:rsid w:val="007A2F0F"/>
    <w:rsid w:val="007B2609"/>
    <w:rsid w:val="007B3310"/>
    <w:rsid w:val="007B5103"/>
    <w:rsid w:val="007B5960"/>
    <w:rsid w:val="007B6BA5"/>
    <w:rsid w:val="007B75D7"/>
    <w:rsid w:val="007C0652"/>
    <w:rsid w:val="007C3390"/>
    <w:rsid w:val="007C4F4B"/>
    <w:rsid w:val="007C4F77"/>
    <w:rsid w:val="007C5B1C"/>
    <w:rsid w:val="007D1BCB"/>
    <w:rsid w:val="007D3ADF"/>
    <w:rsid w:val="007D4DE2"/>
    <w:rsid w:val="007D5953"/>
    <w:rsid w:val="007D77ED"/>
    <w:rsid w:val="007E028F"/>
    <w:rsid w:val="007E0778"/>
    <w:rsid w:val="007E6FFB"/>
    <w:rsid w:val="007F0B83"/>
    <w:rsid w:val="007F1818"/>
    <w:rsid w:val="007F272B"/>
    <w:rsid w:val="007F4FCD"/>
    <w:rsid w:val="007F6611"/>
    <w:rsid w:val="007F768B"/>
    <w:rsid w:val="00804B55"/>
    <w:rsid w:val="00805178"/>
    <w:rsid w:val="008128DA"/>
    <w:rsid w:val="00814E2C"/>
    <w:rsid w:val="00816268"/>
    <w:rsid w:val="00816EDB"/>
    <w:rsid w:val="008175E9"/>
    <w:rsid w:val="00820837"/>
    <w:rsid w:val="00820A38"/>
    <w:rsid w:val="00821EB9"/>
    <w:rsid w:val="008242D7"/>
    <w:rsid w:val="00826BFB"/>
    <w:rsid w:val="00827E05"/>
    <w:rsid w:val="00830DAF"/>
    <w:rsid w:val="008311A3"/>
    <w:rsid w:val="00834E73"/>
    <w:rsid w:val="00837DE6"/>
    <w:rsid w:val="00841D79"/>
    <w:rsid w:val="008467F9"/>
    <w:rsid w:val="008577F2"/>
    <w:rsid w:val="0086198E"/>
    <w:rsid w:val="0086423F"/>
    <w:rsid w:val="008703E7"/>
    <w:rsid w:val="00871FD5"/>
    <w:rsid w:val="00872C11"/>
    <w:rsid w:val="00874E70"/>
    <w:rsid w:val="00875242"/>
    <w:rsid w:val="00876710"/>
    <w:rsid w:val="00881AAD"/>
    <w:rsid w:val="008846DF"/>
    <w:rsid w:val="00884D20"/>
    <w:rsid w:val="008979B1"/>
    <w:rsid w:val="008A296D"/>
    <w:rsid w:val="008A6B25"/>
    <w:rsid w:val="008A6C4F"/>
    <w:rsid w:val="008B01F9"/>
    <w:rsid w:val="008B6F6E"/>
    <w:rsid w:val="008D54CD"/>
    <w:rsid w:val="008E09AC"/>
    <w:rsid w:val="008E0E46"/>
    <w:rsid w:val="008E3A08"/>
    <w:rsid w:val="008E3D2D"/>
    <w:rsid w:val="008E61B9"/>
    <w:rsid w:val="008F00F7"/>
    <w:rsid w:val="008F1782"/>
    <w:rsid w:val="008F4AB2"/>
    <w:rsid w:val="00903E58"/>
    <w:rsid w:val="00906E93"/>
    <w:rsid w:val="0090771C"/>
    <w:rsid w:val="00907AD2"/>
    <w:rsid w:val="009104B2"/>
    <w:rsid w:val="009111C7"/>
    <w:rsid w:val="0091455F"/>
    <w:rsid w:val="00921B66"/>
    <w:rsid w:val="00921D21"/>
    <w:rsid w:val="00922876"/>
    <w:rsid w:val="00925353"/>
    <w:rsid w:val="00934214"/>
    <w:rsid w:val="00934CB1"/>
    <w:rsid w:val="009402C2"/>
    <w:rsid w:val="00940685"/>
    <w:rsid w:val="00941D3C"/>
    <w:rsid w:val="00944D6A"/>
    <w:rsid w:val="00951741"/>
    <w:rsid w:val="009616A8"/>
    <w:rsid w:val="009619F2"/>
    <w:rsid w:val="00963CBA"/>
    <w:rsid w:val="009647D9"/>
    <w:rsid w:val="0096733F"/>
    <w:rsid w:val="009727E1"/>
    <w:rsid w:val="009749CD"/>
    <w:rsid w:val="009749EA"/>
    <w:rsid w:val="00974A8D"/>
    <w:rsid w:val="00975AAB"/>
    <w:rsid w:val="009772DC"/>
    <w:rsid w:val="0097794A"/>
    <w:rsid w:val="00980F54"/>
    <w:rsid w:val="00982212"/>
    <w:rsid w:val="00984B5E"/>
    <w:rsid w:val="0099001C"/>
    <w:rsid w:val="009905DF"/>
    <w:rsid w:val="00991261"/>
    <w:rsid w:val="00991AD0"/>
    <w:rsid w:val="00995E5B"/>
    <w:rsid w:val="009A3BA9"/>
    <w:rsid w:val="009A3FBD"/>
    <w:rsid w:val="009B0651"/>
    <w:rsid w:val="009B10F0"/>
    <w:rsid w:val="009B4ACF"/>
    <w:rsid w:val="009C418B"/>
    <w:rsid w:val="009D1575"/>
    <w:rsid w:val="009D1BEF"/>
    <w:rsid w:val="009F2B82"/>
    <w:rsid w:val="009F3A17"/>
    <w:rsid w:val="009F4329"/>
    <w:rsid w:val="009F4AA8"/>
    <w:rsid w:val="00A071D1"/>
    <w:rsid w:val="00A116E4"/>
    <w:rsid w:val="00A11C1F"/>
    <w:rsid w:val="00A132BB"/>
    <w:rsid w:val="00A1427D"/>
    <w:rsid w:val="00A1540E"/>
    <w:rsid w:val="00A20839"/>
    <w:rsid w:val="00A21501"/>
    <w:rsid w:val="00A3172C"/>
    <w:rsid w:val="00A33628"/>
    <w:rsid w:val="00A37036"/>
    <w:rsid w:val="00A37B8D"/>
    <w:rsid w:val="00A41E7E"/>
    <w:rsid w:val="00A4329A"/>
    <w:rsid w:val="00A4390F"/>
    <w:rsid w:val="00A45273"/>
    <w:rsid w:val="00A47FEB"/>
    <w:rsid w:val="00A51BA2"/>
    <w:rsid w:val="00A63E4B"/>
    <w:rsid w:val="00A727F1"/>
    <w:rsid w:val="00A72F22"/>
    <w:rsid w:val="00A748A6"/>
    <w:rsid w:val="00A805EB"/>
    <w:rsid w:val="00A879A4"/>
    <w:rsid w:val="00A9385C"/>
    <w:rsid w:val="00AB4928"/>
    <w:rsid w:val="00AB6DCD"/>
    <w:rsid w:val="00AC0025"/>
    <w:rsid w:val="00AC0759"/>
    <w:rsid w:val="00AC3F5A"/>
    <w:rsid w:val="00AC7A26"/>
    <w:rsid w:val="00AD3A50"/>
    <w:rsid w:val="00AD701B"/>
    <w:rsid w:val="00AD7C47"/>
    <w:rsid w:val="00AE0162"/>
    <w:rsid w:val="00AE3D03"/>
    <w:rsid w:val="00AE52B5"/>
    <w:rsid w:val="00AF04A4"/>
    <w:rsid w:val="00AF0D0C"/>
    <w:rsid w:val="00AF29B1"/>
    <w:rsid w:val="00AF2C25"/>
    <w:rsid w:val="00AF4E86"/>
    <w:rsid w:val="00AF5976"/>
    <w:rsid w:val="00B0110F"/>
    <w:rsid w:val="00B109BD"/>
    <w:rsid w:val="00B10A66"/>
    <w:rsid w:val="00B12377"/>
    <w:rsid w:val="00B12EF7"/>
    <w:rsid w:val="00B16F5D"/>
    <w:rsid w:val="00B23B3C"/>
    <w:rsid w:val="00B30179"/>
    <w:rsid w:val="00B30550"/>
    <w:rsid w:val="00B33D93"/>
    <w:rsid w:val="00B33EC0"/>
    <w:rsid w:val="00B356B8"/>
    <w:rsid w:val="00B35B6B"/>
    <w:rsid w:val="00B37624"/>
    <w:rsid w:val="00B37A59"/>
    <w:rsid w:val="00B45CC5"/>
    <w:rsid w:val="00B5175E"/>
    <w:rsid w:val="00B52A3E"/>
    <w:rsid w:val="00B55627"/>
    <w:rsid w:val="00B56CD8"/>
    <w:rsid w:val="00B6108E"/>
    <w:rsid w:val="00B6525E"/>
    <w:rsid w:val="00B712CD"/>
    <w:rsid w:val="00B72447"/>
    <w:rsid w:val="00B73E97"/>
    <w:rsid w:val="00B77DD4"/>
    <w:rsid w:val="00B81E12"/>
    <w:rsid w:val="00B84719"/>
    <w:rsid w:val="00B84DCC"/>
    <w:rsid w:val="00BA0EA4"/>
    <w:rsid w:val="00BA6636"/>
    <w:rsid w:val="00BA6971"/>
    <w:rsid w:val="00BB2320"/>
    <w:rsid w:val="00BB2F7E"/>
    <w:rsid w:val="00BB5B2E"/>
    <w:rsid w:val="00BC0DBB"/>
    <w:rsid w:val="00BC74E9"/>
    <w:rsid w:val="00BD14E2"/>
    <w:rsid w:val="00BD2146"/>
    <w:rsid w:val="00BD2A07"/>
    <w:rsid w:val="00BD4F5F"/>
    <w:rsid w:val="00BD4FA8"/>
    <w:rsid w:val="00BE4F74"/>
    <w:rsid w:val="00BE5308"/>
    <w:rsid w:val="00BE618E"/>
    <w:rsid w:val="00BF0594"/>
    <w:rsid w:val="00BF5C71"/>
    <w:rsid w:val="00BF6291"/>
    <w:rsid w:val="00C04153"/>
    <w:rsid w:val="00C06CA3"/>
    <w:rsid w:val="00C11909"/>
    <w:rsid w:val="00C12F7A"/>
    <w:rsid w:val="00C143B4"/>
    <w:rsid w:val="00C17699"/>
    <w:rsid w:val="00C27434"/>
    <w:rsid w:val="00C309A6"/>
    <w:rsid w:val="00C31B61"/>
    <w:rsid w:val="00C3396E"/>
    <w:rsid w:val="00C344F3"/>
    <w:rsid w:val="00C35E00"/>
    <w:rsid w:val="00C407EE"/>
    <w:rsid w:val="00C41A28"/>
    <w:rsid w:val="00C42500"/>
    <w:rsid w:val="00C45639"/>
    <w:rsid w:val="00C463DD"/>
    <w:rsid w:val="00C54918"/>
    <w:rsid w:val="00C54CCB"/>
    <w:rsid w:val="00C54FF0"/>
    <w:rsid w:val="00C5771E"/>
    <w:rsid w:val="00C65812"/>
    <w:rsid w:val="00C70D56"/>
    <w:rsid w:val="00C730DE"/>
    <w:rsid w:val="00C73C64"/>
    <w:rsid w:val="00C745C3"/>
    <w:rsid w:val="00C74DB9"/>
    <w:rsid w:val="00C756ED"/>
    <w:rsid w:val="00C75C4B"/>
    <w:rsid w:val="00C77A18"/>
    <w:rsid w:val="00C83514"/>
    <w:rsid w:val="00C84FF4"/>
    <w:rsid w:val="00C87A98"/>
    <w:rsid w:val="00C91BB9"/>
    <w:rsid w:val="00C92529"/>
    <w:rsid w:val="00C92E61"/>
    <w:rsid w:val="00C933B6"/>
    <w:rsid w:val="00C94465"/>
    <w:rsid w:val="00CA3F9A"/>
    <w:rsid w:val="00CA4B0E"/>
    <w:rsid w:val="00CA5B67"/>
    <w:rsid w:val="00CC4C79"/>
    <w:rsid w:val="00CC72A0"/>
    <w:rsid w:val="00CD41A4"/>
    <w:rsid w:val="00CD455E"/>
    <w:rsid w:val="00CD7BE6"/>
    <w:rsid w:val="00CE3368"/>
    <w:rsid w:val="00CE4A8F"/>
    <w:rsid w:val="00CE5435"/>
    <w:rsid w:val="00CF2D57"/>
    <w:rsid w:val="00CF41EA"/>
    <w:rsid w:val="00CF5B31"/>
    <w:rsid w:val="00D0099B"/>
    <w:rsid w:val="00D02EA9"/>
    <w:rsid w:val="00D02F6D"/>
    <w:rsid w:val="00D056CB"/>
    <w:rsid w:val="00D06632"/>
    <w:rsid w:val="00D076BD"/>
    <w:rsid w:val="00D11A2D"/>
    <w:rsid w:val="00D14D31"/>
    <w:rsid w:val="00D2031B"/>
    <w:rsid w:val="00D21958"/>
    <w:rsid w:val="00D22716"/>
    <w:rsid w:val="00D228C0"/>
    <w:rsid w:val="00D2325E"/>
    <w:rsid w:val="00D25FE2"/>
    <w:rsid w:val="00D317BB"/>
    <w:rsid w:val="00D3344B"/>
    <w:rsid w:val="00D43252"/>
    <w:rsid w:val="00D4433A"/>
    <w:rsid w:val="00D44EAE"/>
    <w:rsid w:val="00D4733B"/>
    <w:rsid w:val="00D70CF6"/>
    <w:rsid w:val="00D8399D"/>
    <w:rsid w:val="00D918A3"/>
    <w:rsid w:val="00D924F4"/>
    <w:rsid w:val="00D938D5"/>
    <w:rsid w:val="00D94AE2"/>
    <w:rsid w:val="00D978C6"/>
    <w:rsid w:val="00D978F3"/>
    <w:rsid w:val="00DA67AD"/>
    <w:rsid w:val="00DB5D0F"/>
    <w:rsid w:val="00DC1A84"/>
    <w:rsid w:val="00DC3242"/>
    <w:rsid w:val="00DC5FDF"/>
    <w:rsid w:val="00DD222A"/>
    <w:rsid w:val="00DE0D41"/>
    <w:rsid w:val="00DE3A0C"/>
    <w:rsid w:val="00DE78DA"/>
    <w:rsid w:val="00DF07FE"/>
    <w:rsid w:val="00DF12F7"/>
    <w:rsid w:val="00DF6FDE"/>
    <w:rsid w:val="00E02C81"/>
    <w:rsid w:val="00E05851"/>
    <w:rsid w:val="00E05E6F"/>
    <w:rsid w:val="00E130AB"/>
    <w:rsid w:val="00E201CB"/>
    <w:rsid w:val="00E2307D"/>
    <w:rsid w:val="00E24B3E"/>
    <w:rsid w:val="00E31E80"/>
    <w:rsid w:val="00E33C28"/>
    <w:rsid w:val="00E36F0F"/>
    <w:rsid w:val="00E37E28"/>
    <w:rsid w:val="00E4094C"/>
    <w:rsid w:val="00E41868"/>
    <w:rsid w:val="00E42808"/>
    <w:rsid w:val="00E43853"/>
    <w:rsid w:val="00E470C5"/>
    <w:rsid w:val="00E54137"/>
    <w:rsid w:val="00E62142"/>
    <w:rsid w:val="00E6496A"/>
    <w:rsid w:val="00E651A3"/>
    <w:rsid w:val="00E678EB"/>
    <w:rsid w:val="00E7260F"/>
    <w:rsid w:val="00E73F7D"/>
    <w:rsid w:val="00E7733E"/>
    <w:rsid w:val="00E81BAA"/>
    <w:rsid w:val="00E84D9D"/>
    <w:rsid w:val="00E87921"/>
    <w:rsid w:val="00E87BE1"/>
    <w:rsid w:val="00E930F6"/>
    <w:rsid w:val="00E93B8F"/>
    <w:rsid w:val="00E96630"/>
    <w:rsid w:val="00EA0CBB"/>
    <w:rsid w:val="00EA264E"/>
    <w:rsid w:val="00EA5690"/>
    <w:rsid w:val="00EB31E8"/>
    <w:rsid w:val="00EB6485"/>
    <w:rsid w:val="00EB7B03"/>
    <w:rsid w:val="00EC3A43"/>
    <w:rsid w:val="00EC3D7E"/>
    <w:rsid w:val="00EC5A8A"/>
    <w:rsid w:val="00EC5FED"/>
    <w:rsid w:val="00EC7CB8"/>
    <w:rsid w:val="00ED42EB"/>
    <w:rsid w:val="00ED7A2A"/>
    <w:rsid w:val="00ED7E78"/>
    <w:rsid w:val="00EE6D04"/>
    <w:rsid w:val="00EF1D7F"/>
    <w:rsid w:val="00EF381F"/>
    <w:rsid w:val="00EF444E"/>
    <w:rsid w:val="00EF66AA"/>
    <w:rsid w:val="00F0058A"/>
    <w:rsid w:val="00F04DB0"/>
    <w:rsid w:val="00F065D0"/>
    <w:rsid w:val="00F10CCD"/>
    <w:rsid w:val="00F13FE3"/>
    <w:rsid w:val="00F14C89"/>
    <w:rsid w:val="00F17D83"/>
    <w:rsid w:val="00F20D16"/>
    <w:rsid w:val="00F212B0"/>
    <w:rsid w:val="00F227EE"/>
    <w:rsid w:val="00F26772"/>
    <w:rsid w:val="00F27C48"/>
    <w:rsid w:val="00F307F9"/>
    <w:rsid w:val="00F35D16"/>
    <w:rsid w:val="00F42A78"/>
    <w:rsid w:val="00F43F14"/>
    <w:rsid w:val="00F4559F"/>
    <w:rsid w:val="00F461BF"/>
    <w:rsid w:val="00F46448"/>
    <w:rsid w:val="00F50610"/>
    <w:rsid w:val="00F53EDA"/>
    <w:rsid w:val="00F56BFE"/>
    <w:rsid w:val="00F61902"/>
    <w:rsid w:val="00F6227B"/>
    <w:rsid w:val="00F66579"/>
    <w:rsid w:val="00F708A8"/>
    <w:rsid w:val="00F715B6"/>
    <w:rsid w:val="00F719A2"/>
    <w:rsid w:val="00F71B6B"/>
    <w:rsid w:val="00F77293"/>
    <w:rsid w:val="00F7753D"/>
    <w:rsid w:val="00F805CA"/>
    <w:rsid w:val="00F80636"/>
    <w:rsid w:val="00F82D69"/>
    <w:rsid w:val="00F83C0F"/>
    <w:rsid w:val="00F85F34"/>
    <w:rsid w:val="00F87929"/>
    <w:rsid w:val="00FA06F7"/>
    <w:rsid w:val="00FA18D9"/>
    <w:rsid w:val="00FA5CA3"/>
    <w:rsid w:val="00FA62FA"/>
    <w:rsid w:val="00FB171A"/>
    <w:rsid w:val="00FB24B1"/>
    <w:rsid w:val="00FB3028"/>
    <w:rsid w:val="00FB3851"/>
    <w:rsid w:val="00FB3D8C"/>
    <w:rsid w:val="00FB75E7"/>
    <w:rsid w:val="00FC24D4"/>
    <w:rsid w:val="00FC348E"/>
    <w:rsid w:val="00FC68B7"/>
    <w:rsid w:val="00FD0E1B"/>
    <w:rsid w:val="00FD3F13"/>
    <w:rsid w:val="00FD62CD"/>
    <w:rsid w:val="00FD7BF6"/>
    <w:rsid w:val="00FE13F7"/>
    <w:rsid w:val="00FE5180"/>
    <w:rsid w:val="00FE646C"/>
    <w:rsid w:val="00FF037D"/>
    <w:rsid w:val="00FF0EC1"/>
    <w:rsid w:val="00FF116A"/>
    <w:rsid w:val="00FF3A32"/>
    <w:rsid w:val="00FF55DD"/>
    <w:rsid w:val="00FF5677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napToGrid w:val="0"/>
      <w:sz w:val="22"/>
      <w:lang w:val="en-US"/>
    </w:rPr>
  </w:style>
  <w:style w:type="paragraph" w:styleId="BodyText">
    <w:name w:val="Body Tex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BodyTextIndent">
    <w:name w:val="Body Text Inden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paragraph" w:styleId="BodyTextIndent2">
    <w:name w:val="Body Text Indent 2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paragraph" w:styleId="BodyTextIndent3">
    <w:name w:val="Body Text Indent 3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paragraph" w:styleId="BodyText2">
    <w:name w:val="Body Text 2"/>
    <w:basedOn w:val="Normal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paragraph" w:styleId="BodyText3">
    <w:name w:val="Body Text 3"/>
    <w:basedOn w:val="Normal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paragraph" w:customStyle="1" w:styleId="Num-DocParagraph">
    <w:name w:val="Num-Doc Paragraph"/>
    <w:basedOn w:val="BodyText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rsid w:val="00C73C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rsid w:val="00C73C64"/>
  </w:style>
  <w:style w:type="paragraph" w:styleId="BalloonText">
    <w:name w:val="Balloon Text"/>
    <w:basedOn w:val="Normal"/>
    <w:semiHidden/>
    <w:rsid w:val="009B10F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F4329"/>
    <w:rPr>
      <w:sz w:val="16"/>
      <w:szCs w:val="16"/>
    </w:rPr>
  </w:style>
  <w:style w:type="paragraph" w:styleId="CommentText">
    <w:name w:val="annotation text"/>
    <w:basedOn w:val="Normal"/>
    <w:semiHidden/>
    <w:rsid w:val="009F4329"/>
  </w:style>
  <w:style w:type="paragraph" w:styleId="CommentSubject">
    <w:name w:val="annotation subject"/>
    <w:basedOn w:val="CommentText"/>
    <w:next w:val="CommentText"/>
    <w:semiHidden/>
    <w:rsid w:val="009F4329"/>
    <w:rPr>
      <w:b/>
      <w:bCs/>
    </w:rPr>
  </w:style>
  <w:style w:type="paragraph" w:customStyle="1" w:styleId="Docs">
    <w:name w:val="Docs"/>
    <w:basedOn w:val="Normal"/>
    <w:rsid w:val="00EF66AA"/>
    <w:pPr>
      <w:keepNext/>
      <w:widowControl w:val="0"/>
      <w:spacing w:after="240" w:line="240" w:lineRule="auto"/>
    </w:pPr>
    <w:rPr>
      <w:rFonts w:eastAsia="Lucida Sans Unicode"/>
      <w:kern w:val="1"/>
      <w:sz w:val="24"/>
      <w:szCs w:val="24"/>
      <w:lang w:val="en-US"/>
    </w:rPr>
  </w:style>
  <w:style w:type="character" w:customStyle="1" w:styleId="FootnoteTextChar">
    <w:name w:val="Footnote Text Char"/>
    <w:aliases w:val="5_G Char"/>
    <w:link w:val="FootnoteText"/>
    <w:rsid w:val="000171FC"/>
    <w:rPr>
      <w:sz w:val="18"/>
      <w:lang w:eastAsia="en-US"/>
    </w:rPr>
  </w:style>
  <w:style w:type="paragraph" w:styleId="Caption">
    <w:name w:val="caption"/>
    <w:basedOn w:val="Normal"/>
    <w:next w:val="Normal"/>
    <w:uiPriority w:val="35"/>
    <w:qFormat/>
    <w:rsid w:val="00874E70"/>
    <w:pPr>
      <w:tabs>
        <w:tab w:val="left" w:pos="851"/>
      </w:tabs>
      <w:suppressAutoHyphens w:val="0"/>
      <w:spacing w:line="240" w:lineRule="auto"/>
      <w:jc w:val="both"/>
    </w:pPr>
    <w:rPr>
      <w:rFonts w:ascii="Arial" w:eastAsia="Batang" w:hAnsi="Arial"/>
      <w:b/>
      <w:bCs/>
    </w:rPr>
  </w:style>
  <w:style w:type="table" w:customStyle="1" w:styleId="TableGrid1">
    <w:name w:val="Table Grid1"/>
    <w:basedOn w:val="TableNormal"/>
    <w:next w:val="TableGrid"/>
    <w:rsid w:val="004A6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D938D5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A1256"/>
    <w:pPr>
      <w:ind w:left="720"/>
      <w:contextualSpacing/>
    </w:pPr>
  </w:style>
  <w:style w:type="character" w:customStyle="1" w:styleId="SingleTxtGChar">
    <w:name w:val="_ Single Txt_G Char"/>
    <w:link w:val="SingleTxtG"/>
    <w:rsid w:val="001A1256"/>
    <w:rPr>
      <w:lang w:eastAsia="en-US"/>
    </w:rPr>
  </w:style>
  <w:style w:type="character" w:customStyle="1" w:styleId="HeaderChar">
    <w:name w:val="Header Char"/>
    <w:aliases w:val="6_G Char"/>
    <w:link w:val="Header"/>
    <w:rsid w:val="006C6A56"/>
    <w:rPr>
      <w:b/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4D2B47"/>
    <w:rPr>
      <w:sz w:val="16"/>
      <w:lang w:eastAsia="en-US"/>
    </w:rPr>
  </w:style>
  <w:style w:type="paragraph" w:styleId="NoSpacing">
    <w:name w:val="No Spacing"/>
    <w:uiPriority w:val="1"/>
    <w:qFormat/>
    <w:rsid w:val="00E678EB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aliases w:val="Table_G Char"/>
    <w:link w:val="Heading1"/>
    <w:rsid w:val="004A7278"/>
    <w:rPr>
      <w:lang w:eastAsia="en-US"/>
    </w:rPr>
  </w:style>
  <w:style w:type="paragraph" w:styleId="Revision">
    <w:name w:val="Revision"/>
    <w:hidden/>
    <w:uiPriority w:val="99"/>
    <w:semiHidden/>
    <w:rsid w:val="00E84D9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napToGrid w:val="0"/>
      <w:sz w:val="22"/>
      <w:lang w:val="en-US"/>
    </w:rPr>
  </w:style>
  <w:style w:type="paragraph" w:styleId="BodyText">
    <w:name w:val="Body Tex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BodyTextIndent">
    <w:name w:val="Body Text Inden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paragraph" w:styleId="BodyTextIndent2">
    <w:name w:val="Body Text Indent 2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paragraph" w:styleId="BodyTextIndent3">
    <w:name w:val="Body Text Indent 3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paragraph" w:styleId="BodyText2">
    <w:name w:val="Body Text 2"/>
    <w:basedOn w:val="Normal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paragraph" w:styleId="BodyText3">
    <w:name w:val="Body Text 3"/>
    <w:basedOn w:val="Normal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paragraph" w:customStyle="1" w:styleId="Num-DocParagraph">
    <w:name w:val="Num-Doc Paragraph"/>
    <w:basedOn w:val="BodyText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rsid w:val="00C73C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rsid w:val="00C73C64"/>
  </w:style>
  <w:style w:type="paragraph" w:styleId="BalloonText">
    <w:name w:val="Balloon Text"/>
    <w:basedOn w:val="Normal"/>
    <w:semiHidden/>
    <w:rsid w:val="009B10F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F4329"/>
    <w:rPr>
      <w:sz w:val="16"/>
      <w:szCs w:val="16"/>
    </w:rPr>
  </w:style>
  <w:style w:type="paragraph" w:styleId="CommentText">
    <w:name w:val="annotation text"/>
    <w:basedOn w:val="Normal"/>
    <w:semiHidden/>
    <w:rsid w:val="009F4329"/>
  </w:style>
  <w:style w:type="paragraph" w:styleId="CommentSubject">
    <w:name w:val="annotation subject"/>
    <w:basedOn w:val="CommentText"/>
    <w:next w:val="CommentText"/>
    <w:semiHidden/>
    <w:rsid w:val="009F4329"/>
    <w:rPr>
      <w:b/>
      <w:bCs/>
    </w:rPr>
  </w:style>
  <w:style w:type="paragraph" w:customStyle="1" w:styleId="Docs">
    <w:name w:val="Docs"/>
    <w:basedOn w:val="Normal"/>
    <w:rsid w:val="00EF66AA"/>
    <w:pPr>
      <w:keepNext/>
      <w:widowControl w:val="0"/>
      <w:spacing w:after="240" w:line="240" w:lineRule="auto"/>
    </w:pPr>
    <w:rPr>
      <w:rFonts w:eastAsia="Lucida Sans Unicode"/>
      <w:kern w:val="1"/>
      <w:sz w:val="24"/>
      <w:szCs w:val="24"/>
      <w:lang w:val="en-US"/>
    </w:rPr>
  </w:style>
  <w:style w:type="character" w:customStyle="1" w:styleId="FootnoteTextChar">
    <w:name w:val="Footnote Text Char"/>
    <w:aliases w:val="5_G Char"/>
    <w:link w:val="FootnoteText"/>
    <w:rsid w:val="000171FC"/>
    <w:rPr>
      <w:sz w:val="18"/>
      <w:lang w:eastAsia="en-US"/>
    </w:rPr>
  </w:style>
  <w:style w:type="paragraph" w:styleId="Caption">
    <w:name w:val="caption"/>
    <w:basedOn w:val="Normal"/>
    <w:next w:val="Normal"/>
    <w:uiPriority w:val="35"/>
    <w:qFormat/>
    <w:rsid w:val="00874E70"/>
    <w:pPr>
      <w:tabs>
        <w:tab w:val="left" w:pos="851"/>
      </w:tabs>
      <w:suppressAutoHyphens w:val="0"/>
      <w:spacing w:line="240" w:lineRule="auto"/>
      <w:jc w:val="both"/>
    </w:pPr>
    <w:rPr>
      <w:rFonts w:ascii="Arial" w:eastAsia="Batang" w:hAnsi="Arial"/>
      <w:b/>
      <w:bCs/>
    </w:rPr>
  </w:style>
  <w:style w:type="table" w:customStyle="1" w:styleId="TableGrid1">
    <w:name w:val="Table Grid1"/>
    <w:basedOn w:val="TableNormal"/>
    <w:next w:val="TableGrid"/>
    <w:rsid w:val="004A6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D938D5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A1256"/>
    <w:pPr>
      <w:ind w:left="720"/>
      <w:contextualSpacing/>
    </w:pPr>
  </w:style>
  <w:style w:type="character" w:customStyle="1" w:styleId="SingleTxtGChar">
    <w:name w:val="_ Single Txt_G Char"/>
    <w:link w:val="SingleTxtG"/>
    <w:rsid w:val="001A1256"/>
    <w:rPr>
      <w:lang w:eastAsia="en-US"/>
    </w:rPr>
  </w:style>
  <w:style w:type="character" w:customStyle="1" w:styleId="HeaderChar">
    <w:name w:val="Header Char"/>
    <w:aliases w:val="6_G Char"/>
    <w:link w:val="Header"/>
    <w:rsid w:val="006C6A56"/>
    <w:rPr>
      <w:b/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4D2B47"/>
    <w:rPr>
      <w:sz w:val="16"/>
      <w:lang w:eastAsia="en-US"/>
    </w:rPr>
  </w:style>
  <w:style w:type="paragraph" w:styleId="NoSpacing">
    <w:name w:val="No Spacing"/>
    <w:uiPriority w:val="1"/>
    <w:qFormat/>
    <w:rsid w:val="00E678EB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aliases w:val="Table_G Char"/>
    <w:link w:val="Heading1"/>
    <w:rsid w:val="004A7278"/>
    <w:rPr>
      <w:lang w:eastAsia="en-US"/>
    </w:rPr>
  </w:style>
  <w:style w:type="paragraph" w:styleId="Revision">
    <w:name w:val="Revision"/>
    <w:hidden/>
    <w:uiPriority w:val="99"/>
    <w:semiHidden/>
    <w:rsid w:val="00E84D9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8BE2C-EB13-49F0-AF6E-A2B69699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34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UN/SCEGHS/19/INF</vt:lpstr>
      <vt:lpstr>UN/SCEGHS/19/INF</vt:lpstr>
    </vt:vector>
  </TitlesOfParts>
  <Company>CSD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10</cp:revision>
  <cp:lastPrinted>2015-09-07T14:41:00Z</cp:lastPrinted>
  <dcterms:created xsi:type="dcterms:W3CDTF">2015-09-04T14:36:00Z</dcterms:created>
  <dcterms:modified xsi:type="dcterms:W3CDTF">2015-09-07T14:45:00Z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