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48539B" w:rsidRPr="006500BA" w:rsidTr="00FE646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39B" w:rsidRPr="006500BA" w:rsidRDefault="0048539B" w:rsidP="00FE646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539B" w:rsidRPr="00FE646C" w:rsidRDefault="0048539B" w:rsidP="00FE646C">
            <w:pPr>
              <w:spacing w:after="80" w:line="340" w:lineRule="exact"/>
              <w:rPr>
                <w:sz w:val="28"/>
                <w:szCs w:val="28"/>
              </w:rPr>
            </w:pPr>
            <w:r w:rsidRPr="00FE646C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539B" w:rsidRPr="006500BA" w:rsidRDefault="0048539B" w:rsidP="00F81429">
            <w:pPr>
              <w:jc w:val="right"/>
            </w:pPr>
            <w:r w:rsidRPr="0084791C">
              <w:rPr>
                <w:sz w:val="40"/>
              </w:rPr>
              <w:t>ST</w:t>
            </w:r>
            <w:r w:rsidRPr="0084791C">
              <w:t>/SG/AC.10/C.3/201</w:t>
            </w:r>
            <w:r w:rsidR="00BF6291" w:rsidRPr="0084791C">
              <w:t>5</w:t>
            </w:r>
            <w:r w:rsidRPr="0084791C">
              <w:t>/</w:t>
            </w:r>
            <w:r w:rsidR="0084791C">
              <w:t>49</w:t>
            </w:r>
            <w:r w:rsidR="006964C6">
              <w:t>−</w:t>
            </w:r>
            <w:r w:rsidR="00F81429" w:rsidRPr="0084791C">
              <w:rPr>
                <w:sz w:val="40"/>
              </w:rPr>
              <w:t>ST</w:t>
            </w:r>
            <w:r w:rsidR="00F81429">
              <w:t>/SG/AC.10/C.4</w:t>
            </w:r>
            <w:r w:rsidR="00F81429" w:rsidRPr="0084791C">
              <w:t>/2015/</w:t>
            </w:r>
            <w:r w:rsidR="00F81429">
              <w:t>12</w:t>
            </w:r>
          </w:p>
        </w:tc>
      </w:tr>
      <w:tr w:rsidR="0048539B" w:rsidRPr="006500BA" w:rsidTr="00FE646C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539B" w:rsidRPr="006500BA" w:rsidRDefault="00D4637B" w:rsidP="00FE646C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7550" cy="590550"/>
                  <wp:effectExtent l="0" t="0" r="6350" b="0"/>
                  <wp:docPr id="5" name="Picture 2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539B" w:rsidRPr="00FE646C" w:rsidRDefault="0048539B" w:rsidP="00FE646C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E646C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539B" w:rsidRDefault="00E4094C" w:rsidP="00E4094C">
            <w:pPr>
              <w:spacing w:before="240" w:line="240" w:lineRule="exact"/>
            </w:pPr>
            <w:r>
              <w:t>Distr.: General</w:t>
            </w:r>
            <w:r w:rsidR="00934214">
              <w:br/>
            </w:r>
            <w:r w:rsidR="00F81429">
              <w:t>8</w:t>
            </w:r>
            <w:r w:rsidR="0084791C">
              <w:t xml:space="preserve"> September 2015</w:t>
            </w:r>
          </w:p>
          <w:p w:rsidR="0048539B" w:rsidRDefault="0048539B" w:rsidP="00FE646C">
            <w:pPr>
              <w:spacing w:line="240" w:lineRule="exact"/>
            </w:pPr>
          </w:p>
          <w:p w:rsidR="0048539B" w:rsidRPr="006500BA" w:rsidRDefault="0048539B" w:rsidP="00FE646C">
            <w:pPr>
              <w:spacing w:line="240" w:lineRule="exact"/>
            </w:pPr>
            <w:r>
              <w:t>Original: English</w:t>
            </w:r>
          </w:p>
        </w:tc>
      </w:tr>
    </w:tbl>
    <w:p w:rsidR="0048539B" w:rsidRPr="006500BA" w:rsidRDefault="0048539B" w:rsidP="0048539B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:rsidR="0048539B" w:rsidRDefault="0048539B" w:rsidP="00F81429">
      <w:pPr>
        <w:spacing w:before="100" w:after="240"/>
        <w:rPr>
          <w:b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819"/>
      </w:tblGrid>
      <w:tr w:rsidR="00F81429" w:rsidTr="007B5881">
        <w:tc>
          <w:tcPr>
            <w:tcW w:w="4820" w:type="dxa"/>
            <w:shd w:val="clear" w:color="auto" w:fill="auto"/>
          </w:tcPr>
          <w:p w:rsidR="00F81429" w:rsidRPr="000216CC" w:rsidRDefault="00F81429" w:rsidP="00B17C43">
            <w:pPr>
              <w:spacing w:before="120" w:after="120"/>
              <w:rPr>
                <w:b/>
              </w:rPr>
            </w:pPr>
            <w:r w:rsidRPr="000216CC">
              <w:rPr>
                <w:b/>
              </w:rPr>
              <w:t xml:space="preserve">Sub-Committee of Experts on the Transport </w:t>
            </w:r>
            <w:r w:rsidRPr="000216CC">
              <w:rPr>
                <w:b/>
              </w:rPr>
              <w:br/>
              <w:t xml:space="preserve">of Dangerous Goods </w:t>
            </w:r>
          </w:p>
        </w:tc>
        <w:tc>
          <w:tcPr>
            <w:tcW w:w="4819" w:type="dxa"/>
            <w:shd w:val="clear" w:color="auto" w:fill="auto"/>
          </w:tcPr>
          <w:p w:rsidR="00F81429" w:rsidRPr="000216CC" w:rsidRDefault="00F81429" w:rsidP="007B5881">
            <w:pPr>
              <w:spacing w:before="120"/>
              <w:rPr>
                <w:b/>
              </w:rPr>
            </w:pPr>
            <w:r w:rsidRPr="000216CC">
              <w:rPr>
                <w:b/>
              </w:rPr>
              <w:t xml:space="preserve">Sub-Committee of Experts on the Globally Harmonized System of Classification and Labelling of Chemicals </w:t>
            </w:r>
          </w:p>
        </w:tc>
      </w:tr>
      <w:tr w:rsidR="00F81429" w:rsidTr="007B5881">
        <w:tc>
          <w:tcPr>
            <w:tcW w:w="4820" w:type="dxa"/>
            <w:shd w:val="clear" w:color="auto" w:fill="auto"/>
          </w:tcPr>
          <w:p w:rsidR="00F81429" w:rsidRPr="000216CC" w:rsidRDefault="00F81429" w:rsidP="007B5881">
            <w:pPr>
              <w:rPr>
                <w:b/>
              </w:rPr>
            </w:pPr>
            <w:r>
              <w:rPr>
                <w:b/>
              </w:rPr>
              <w:t>Forty-eighth session</w:t>
            </w:r>
          </w:p>
        </w:tc>
        <w:tc>
          <w:tcPr>
            <w:tcW w:w="4819" w:type="dxa"/>
            <w:shd w:val="clear" w:color="auto" w:fill="auto"/>
          </w:tcPr>
          <w:p w:rsidR="00F81429" w:rsidRPr="000216CC" w:rsidRDefault="00F81429" w:rsidP="007B5881">
            <w:pPr>
              <w:rPr>
                <w:b/>
              </w:rPr>
            </w:pPr>
            <w:r>
              <w:rPr>
                <w:b/>
              </w:rPr>
              <w:t>Thirtieth session</w:t>
            </w:r>
          </w:p>
        </w:tc>
      </w:tr>
      <w:tr w:rsidR="00F81429" w:rsidTr="007B5881">
        <w:tc>
          <w:tcPr>
            <w:tcW w:w="4820" w:type="dxa"/>
            <w:shd w:val="clear" w:color="auto" w:fill="auto"/>
          </w:tcPr>
          <w:p w:rsidR="00F81429" w:rsidRDefault="00F81429" w:rsidP="007B5881">
            <w:pPr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Geneva, 30 November – 9 December 2015</w:t>
            </w:r>
          </w:p>
          <w:p w:rsidR="00F81429" w:rsidRPr="006500BA" w:rsidRDefault="00F81429" w:rsidP="007B5881">
            <w:r w:rsidRPr="006500BA">
              <w:t xml:space="preserve">Item </w:t>
            </w:r>
            <w:r>
              <w:t>10 (b)</w:t>
            </w:r>
            <w:r w:rsidRPr="006500BA">
              <w:t xml:space="preserve"> of the provisional agenda</w:t>
            </w:r>
          </w:p>
          <w:p w:rsidR="00F81429" w:rsidRPr="003C655D" w:rsidRDefault="00F81429" w:rsidP="007B5881">
            <w:r w:rsidRPr="00977E87">
              <w:rPr>
                <w:b/>
              </w:rPr>
              <w:t>Issues relating to the Globally Harmonized System of Classification and Labelling of Chemicals</w:t>
            </w:r>
            <w:r w:rsidRPr="00F81429">
              <w:rPr>
                <w:b/>
              </w:rPr>
              <w:t>: tests and criteria for oxidizing liquids and solids</w:t>
            </w:r>
          </w:p>
        </w:tc>
        <w:tc>
          <w:tcPr>
            <w:tcW w:w="4819" w:type="dxa"/>
            <w:shd w:val="clear" w:color="auto" w:fill="auto"/>
          </w:tcPr>
          <w:p w:rsidR="00F81429" w:rsidRPr="003C655D" w:rsidRDefault="00F81429" w:rsidP="007B5881">
            <w:r w:rsidRPr="003C655D">
              <w:t xml:space="preserve">Geneva, </w:t>
            </w:r>
            <w:r>
              <w:t xml:space="preserve">9 </w:t>
            </w:r>
            <w:r w:rsidR="006964C6">
              <w:t>–</w:t>
            </w:r>
            <w:r>
              <w:t xml:space="preserve"> 11 December 2015</w:t>
            </w:r>
          </w:p>
          <w:p w:rsidR="00F81429" w:rsidRPr="005176CD" w:rsidRDefault="00F81429" w:rsidP="007B588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  <w:r w:rsidRPr="003C655D">
              <w:t xml:space="preserve">Item </w:t>
            </w:r>
            <w:r w:rsidR="00B17C43">
              <w:t>2</w:t>
            </w:r>
            <w:r>
              <w:t xml:space="preserve"> </w:t>
            </w:r>
            <w:r w:rsidRPr="003C655D">
              <w:t>of the provisional agenda</w:t>
            </w:r>
            <w:r>
              <w:br/>
            </w:r>
            <w:r w:rsidR="00B17C43" w:rsidRPr="00B17C43">
              <w:rPr>
                <w:b/>
              </w:rPr>
              <w:t>Joint work with the Sub-</w:t>
            </w:r>
            <w:bookmarkStart w:id="0" w:name="_GoBack"/>
            <w:bookmarkEnd w:id="0"/>
            <w:r w:rsidR="00B17C43" w:rsidRPr="00B17C43">
              <w:rPr>
                <w:b/>
              </w:rPr>
              <w:t>Committee of Experts on the Transport of Dangerous Goods (TDG Sub-Committee)</w:t>
            </w:r>
          </w:p>
          <w:p w:rsidR="00F81429" w:rsidRPr="007B2BA8" w:rsidRDefault="00F81429" w:rsidP="007B5881">
            <w:pPr>
              <w:rPr>
                <w:b/>
              </w:rPr>
            </w:pPr>
          </w:p>
        </w:tc>
      </w:tr>
    </w:tbl>
    <w:p w:rsidR="00A90BAF" w:rsidRDefault="008077A2" w:rsidP="00EB665C">
      <w:pPr>
        <w:pStyle w:val="HChG"/>
        <w:spacing w:before="240" w:after="120"/>
      </w:pPr>
      <w:r>
        <w:tab/>
      </w:r>
      <w:r>
        <w:tab/>
        <w:t xml:space="preserve">Round Robin testing programme </w:t>
      </w:r>
      <w:r w:rsidR="009912E0">
        <w:t>– Test O.2: Test for oxidizing liquids</w:t>
      </w:r>
      <w:r>
        <w:t xml:space="preserve"> and </w:t>
      </w:r>
      <w:r w:rsidR="009912E0">
        <w:t>Test O.3: Test for oxidizing sol</w:t>
      </w:r>
      <w:r w:rsidR="0084791C">
        <w:t>ids</w:t>
      </w:r>
    </w:p>
    <w:p w:rsidR="00A90BAF" w:rsidRDefault="008077A2" w:rsidP="00EB665C">
      <w:pPr>
        <w:pStyle w:val="HChG"/>
        <w:spacing w:before="240" w:after="120"/>
      </w:pPr>
      <w:r>
        <w:tab/>
      </w:r>
      <w:r>
        <w:tab/>
      </w:r>
      <w:r w:rsidR="00D804C8">
        <w:t xml:space="preserve">Second </w:t>
      </w:r>
      <w:r w:rsidR="00F81429">
        <w:t>r</w:t>
      </w:r>
      <w:r>
        <w:t>eport on progress</w:t>
      </w:r>
    </w:p>
    <w:p w:rsidR="008077A2" w:rsidRDefault="008077A2" w:rsidP="00EB665C">
      <w:pPr>
        <w:pStyle w:val="H1G"/>
        <w:keepNext w:val="0"/>
        <w:keepLines w:val="0"/>
        <w:spacing w:before="240" w:after="120"/>
        <w:jc w:val="both"/>
      </w:pPr>
      <w:r>
        <w:tab/>
      </w:r>
      <w:r>
        <w:tab/>
        <w:t>Transmitted by the expert from France</w:t>
      </w:r>
      <w:r>
        <w:rPr>
          <w:rStyle w:val="FootnoteReference"/>
        </w:rPr>
        <w:footnoteReference w:id="2"/>
      </w:r>
    </w:p>
    <w:p w:rsidR="008077A2" w:rsidRDefault="008077A2" w:rsidP="008077A2">
      <w:pPr>
        <w:pStyle w:val="HChG"/>
        <w:keepNext w:val="0"/>
        <w:keepLines w:val="0"/>
      </w:pPr>
      <w:r>
        <w:tab/>
      </w:r>
      <w:r>
        <w:tab/>
        <w:t>Introduction</w:t>
      </w:r>
    </w:p>
    <w:p w:rsidR="008077A2" w:rsidRDefault="008077A2" w:rsidP="008077A2">
      <w:pPr>
        <w:pStyle w:val="SingleTxtG"/>
      </w:pPr>
      <w:r>
        <w:t>1.</w:t>
      </w:r>
      <w:r>
        <w:tab/>
        <w:t xml:space="preserve">During its seventh session the Committee approved the programme of work of </w:t>
      </w:r>
      <w:r w:rsidR="009912E0">
        <w:t>its two s</w:t>
      </w:r>
      <w:r>
        <w:t>ub-</w:t>
      </w:r>
      <w:r w:rsidR="009912E0">
        <w:t>c</w:t>
      </w:r>
      <w:r>
        <w:t>ommittees</w:t>
      </w:r>
      <w:r w:rsidR="009912E0">
        <w:t xml:space="preserve"> for the biennium 2015–2016 (see</w:t>
      </w:r>
      <w:r>
        <w:t xml:space="preserve"> ST/SG/AC.10/42, para 15; ST/SG/AC.10/C.3/92, para 95; ST/SG/AC.10/C.4/56, annex III</w:t>
      </w:r>
      <w:r w:rsidR="009912E0">
        <w:t>)</w:t>
      </w:r>
      <w:r>
        <w:t>. This programme of work includes the tests and criteria for oxidizing liquids and solids.</w:t>
      </w:r>
    </w:p>
    <w:p w:rsidR="00F95DAC" w:rsidRDefault="00C45AC3" w:rsidP="00C45AC3">
      <w:pPr>
        <w:pStyle w:val="SingleTxtG"/>
      </w:pPr>
      <w:r>
        <w:t>2.</w:t>
      </w:r>
      <w:r>
        <w:tab/>
      </w:r>
      <w:r w:rsidR="00645215">
        <w:t>T</w:t>
      </w:r>
      <w:r w:rsidR="009912E0">
        <w:t>he c</w:t>
      </w:r>
      <w:r w:rsidR="008077A2">
        <w:t>alendar for the Round Robi</w:t>
      </w:r>
      <w:r>
        <w:t xml:space="preserve">n Testing (RRT) Programme in </w:t>
      </w:r>
      <w:r w:rsidR="008077A2">
        <w:t xml:space="preserve">Tests O.2 and O.3 </w:t>
      </w:r>
      <w:r w:rsidR="00645215">
        <w:t xml:space="preserve">indicated by the expert from France in ST/SG/AC.10/C.3/2014/95-ST/SG/AC.10/C.4/2014/19 </w:t>
      </w:r>
      <w:r w:rsidR="008077A2">
        <w:t xml:space="preserve">has been </w:t>
      </w:r>
      <w:r>
        <w:t>applied</w:t>
      </w:r>
      <w:r w:rsidR="00F95DAC">
        <w:t xml:space="preserve">. </w:t>
      </w:r>
    </w:p>
    <w:p w:rsidR="00C45AC3" w:rsidRDefault="00F95DAC" w:rsidP="00C45AC3">
      <w:pPr>
        <w:pStyle w:val="SingleTxtG"/>
      </w:pPr>
      <w:r>
        <w:t>3</w:t>
      </w:r>
      <w:r>
        <w:tab/>
        <w:t>From this RRT programme, t</w:t>
      </w:r>
      <w:r w:rsidR="00C45AC3">
        <w:t xml:space="preserve">he </w:t>
      </w:r>
      <w:r w:rsidR="008077A2">
        <w:t>Step 1</w:t>
      </w:r>
      <w:r w:rsidR="009912E0">
        <w:t>: “Test O.2: test</w:t>
      </w:r>
      <w:r w:rsidR="008077A2">
        <w:t xml:space="preserve"> for oxidizing liquids</w:t>
      </w:r>
      <w:r w:rsidR="009912E0">
        <w:t>.”</w:t>
      </w:r>
      <w:r>
        <w:t xml:space="preserve"> is c</w:t>
      </w:r>
      <w:r w:rsidR="00645215">
        <w:t>ompleted</w:t>
      </w:r>
      <w:r w:rsidR="0094031E">
        <w:t xml:space="preserve"> and the Step 2: “</w:t>
      </w:r>
      <w:r>
        <w:t>Test O.3: test for oxidizing solids.” is launched</w:t>
      </w:r>
      <w:r w:rsidR="00645215">
        <w:t>.</w:t>
      </w:r>
    </w:p>
    <w:p w:rsidR="00EB665C" w:rsidRDefault="0084791C" w:rsidP="00F81429">
      <w:pPr>
        <w:pStyle w:val="HChG"/>
        <w:keepNext w:val="0"/>
        <w:keepLines w:val="0"/>
        <w:ind w:left="1135" w:hanging="284"/>
      </w:pPr>
      <w:r>
        <w:lastRenderedPageBreak/>
        <w:tab/>
      </w:r>
      <w:r w:rsidR="00D804C8">
        <w:t xml:space="preserve">Second </w:t>
      </w:r>
      <w:r w:rsidR="00F81429">
        <w:t>r</w:t>
      </w:r>
      <w:r w:rsidR="00EB665C">
        <w:t xml:space="preserve">eport on </w:t>
      </w:r>
      <w:r w:rsidR="00EB665C" w:rsidRPr="00EB665C">
        <w:t>progress</w:t>
      </w:r>
      <w:r w:rsidR="00EB665C">
        <w:t xml:space="preserve"> </w:t>
      </w:r>
    </w:p>
    <w:p w:rsidR="0094031E" w:rsidRDefault="0084791C" w:rsidP="00F81429">
      <w:pPr>
        <w:pStyle w:val="H1G"/>
        <w:keepNext w:val="0"/>
        <w:keepLines w:val="0"/>
      </w:pPr>
      <w:r>
        <w:tab/>
      </w:r>
      <w:r>
        <w:tab/>
      </w:r>
      <w:r w:rsidR="0094031E">
        <w:t>Step 1: “Test O.2: test for oxidizing liquids.”</w:t>
      </w:r>
    </w:p>
    <w:p w:rsidR="00EB665C" w:rsidRDefault="003069D1" w:rsidP="00F81429">
      <w:pPr>
        <w:pStyle w:val="SingleTxtG"/>
      </w:pPr>
      <w:r>
        <w:t>4</w:t>
      </w:r>
      <w:r w:rsidR="00C45AC3">
        <w:t>.</w:t>
      </w:r>
      <w:r w:rsidR="00C45AC3">
        <w:tab/>
      </w:r>
      <w:r w:rsidR="00EB665C">
        <w:t>F</w:t>
      </w:r>
      <w:r w:rsidR="009912E0">
        <w:t>ollowing</w:t>
      </w:r>
      <w:r w:rsidR="00EB665C">
        <w:t xml:space="preserve"> the invitation sent by INERIS</w:t>
      </w:r>
      <w:r w:rsidR="009912E0">
        <w:t xml:space="preserve"> (</w:t>
      </w:r>
      <w:proofErr w:type="spellStart"/>
      <w:r w:rsidR="009912E0">
        <w:t>Institut</w:t>
      </w:r>
      <w:proofErr w:type="spellEnd"/>
      <w:r w:rsidR="009912E0">
        <w:t xml:space="preserve"> National de </w:t>
      </w:r>
      <w:proofErr w:type="spellStart"/>
      <w:r w:rsidR="009912E0">
        <w:t>l’E</w:t>
      </w:r>
      <w:r w:rsidR="00C45AC3">
        <w:t>nvironnement</w:t>
      </w:r>
      <w:proofErr w:type="spellEnd"/>
      <w:r w:rsidR="00C45AC3">
        <w:t xml:space="preserve"> </w:t>
      </w:r>
      <w:proofErr w:type="spellStart"/>
      <w:r w:rsidR="009912E0">
        <w:t>I</w:t>
      </w:r>
      <w:r w:rsidR="00C45AC3">
        <w:t>ndustriel</w:t>
      </w:r>
      <w:proofErr w:type="spellEnd"/>
      <w:r w:rsidR="00C45AC3">
        <w:t xml:space="preserve"> </w:t>
      </w:r>
      <w:proofErr w:type="gramStart"/>
      <w:r w:rsidR="00C45AC3">
        <w:t>et</w:t>
      </w:r>
      <w:proofErr w:type="gramEnd"/>
      <w:r w:rsidR="00C45AC3">
        <w:t xml:space="preserve"> des </w:t>
      </w:r>
      <w:proofErr w:type="spellStart"/>
      <w:r w:rsidR="00C45AC3">
        <w:t>Risques</w:t>
      </w:r>
      <w:proofErr w:type="spellEnd"/>
      <w:r w:rsidR="00C45AC3">
        <w:t>)</w:t>
      </w:r>
      <w:r w:rsidR="00EB665C">
        <w:t>, France</w:t>
      </w:r>
      <w:r w:rsidR="009912E0">
        <w:t>,</w:t>
      </w:r>
      <w:r w:rsidR="00EB665C">
        <w:t xml:space="preserve"> in September 2014, </w:t>
      </w:r>
      <w:r w:rsidR="0047127E">
        <w:t>eleven</w:t>
      </w:r>
      <w:r w:rsidR="00927CB6">
        <w:t xml:space="preserve"> </w:t>
      </w:r>
      <w:r w:rsidR="00EB665C">
        <w:t xml:space="preserve">laboratories from </w:t>
      </w:r>
      <w:r w:rsidR="00B64908">
        <w:t>seven</w:t>
      </w:r>
      <w:r w:rsidR="00927CB6">
        <w:t xml:space="preserve"> </w:t>
      </w:r>
      <w:r w:rsidR="00EB665C">
        <w:t xml:space="preserve">countries </w:t>
      </w:r>
      <w:r w:rsidR="009912E0">
        <w:t>have confirmed</w:t>
      </w:r>
      <w:r w:rsidR="00EB665C">
        <w:t xml:space="preserve"> their willingness to participate in this RRT Programme.</w:t>
      </w:r>
    </w:p>
    <w:p w:rsidR="008506EA" w:rsidRPr="00176792" w:rsidRDefault="003069D1" w:rsidP="00F81429">
      <w:pPr>
        <w:pStyle w:val="SingleTxtG"/>
      </w:pPr>
      <w:r>
        <w:rPr>
          <w:lang w:val="en-US"/>
        </w:rPr>
        <w:t>5</w:t>
      </w:r>
      <w:r w:rsidR="00C45AC3">
        <w:rPr>
          <w:lang w:val="en-US"/>
        </w:rPr>
        <w:t>.</w:t>
      </w:r>
      <w:r w:rsidR="00C45AC3">
        <w:rPr>
          <w:lang w:val="en-US"/>
        </w:rPr>
        <w:tab/>
      </w:r>
      <w:r w:rsidR="007022A6" w:rsidRPr="00176792">
        <w:rPr>
          <w:lang w:val="en-US"/>
        </w:rPr>
        <w:t xml:space="preserve">As leading laboratory for the RRT INERIS selected three cellulose candidates as replacement cellulose in Test O.2 and shipped together with the final approved </w:t>
      </w:r>
      <w:r w:rsidR="007022A6" w:rsidRPr="00176792">
        <w:t xml:space="preserve">RRT </w:t>
      </w:r>
      <w:r w:rsidR="00B304B1">
        <w:t>P</w:t>
      </w:r>
      <w:r w:rsidR="007022A6" w:rsidRPr="00176792">
        <w:t>rogramme for Test O.2 (step 1) in February 2015.</w:t>
      </w:r>
      <w:r w:rsidR="007022A6">
        <w:t xml:space="preserve"> The names and grades of the reference substances and </w:t>
      </w:r>
      <w:r w:rsidR="00B304B1">
        <w:t xml:space="preserve">test </w:t>
      </w:r>
      <w:r w:rsidR="007022A6">
        <w:t>sample</w:t>
      </w:r>
      <w:r w:rsidR="00B304B1">
        <w:t>s</w:t>
      </w:r>
      <w:r w:rsidR="007022A6">
        <w:t xml:space="preserve"> of oxidizing liquids were defined in the programme but were not delivered by INERIS.</w:t>
      </w:r>
    </w:p>
    <w:p w:rsidR="003C4745" w:rsidRDefault="003069D1" w:rsidP="00F81429">
      <w:pPr>
        <w:pStyle w:val="SingleTxtG"/>
      </w:pPr>
      <w:r>
        <w:t>6</w:t>
      </w:r>
      <w:r w:rsidR="008506EA">
        <w:t>.</w:t>
      </w:r>
      <w:r w:rsidR="008506EA">
        <w:tab/>
      </w:r>
      <w:r w:rsidR="007022A6" w:rsidRPr="00176792">
        <w:t>The results from the different</w:t>
      </w:r>
      <w:r w:rsidR="00B64908">
        <w:t xml:space="preserve"> participating</w:t>
      </w:r>
      <w:r w:rsidR="007022A6" w:rsidRPr="00176792">
        <w:t xml:space="preserve"> laboratories</w:t>
      </w:r>
      <w:r w:rsidR="00B64908">
        <w:t xml:space="preserve"> for this step 1</w:t>
      </w:r>
      <w:r w:rsidR="007022A6" w:rsidRPr="00176792">
        <w:t xml:space="preserve"> were received </w:t>
      </w:r>
      <w:r w:rsidR="008506EA">
        <w:t xml:space="preserve">mainly </w:t>
      </w:r>
      <w:r w:rsidR="007022A6" w:rsidRPr="00176792">
        <w:t>from end of April to mid of June</w:t>
      </w:r>
      <w:r w:rsidR="007022A6">
        <w:t xml:space="preserve"> 2015</w:t>
      </w:r>
      <w:r w:rsidR="007022A6" w:rsidRPr="00176792">
        <w:t xml:space="preserve"> and </w:t>
      </w:r>
      <w:r w:rsidR="00F95DAC">
        <w:t>end of August for the latest one.</w:t>
      </w:r>
    </w:p>
    <w:p w:rsidR="00EB665C" w:rsidRDefault="003069D1" w:rsidP="00F81429">
      <w:pPr>
        <w:pStyle w:val="SingleTxtG"/>
      </w:pPr>
      <w:r>
        <w:t>7</w:t>
      </w:r>
      <w:r w:rsidR="00C45AC3">
        <w:t>.</w:t>
      </w:r>
      <w:r w:rsidR="00C45AC3">
        <w:tab/>
      </w:r>
      <w:r w:rsidR="00A36A24">
        <w:t xml:space="preserve">At this stage, the </w:t>
      </w:r>
      <w:r w:rsidR="00D804C8">
        <w:t>results</w:t>
      </w:r>
      <w:r w:rsidR="00A36A24">
        <w:t xml:space="preserve"> of </w:t>
      </w:r>
      <w:r w:rsidR="008506EA">
        <w:t>one</w:t>
      </w:r>
      <w:r w:rsidR="00A36A24">
        <w:t xml:space="preserve"> laboratory have not been evaluated</w:t>
      </w:r>
      <w:r w:rsidR="008506EA">
        <w:t xml:space="preserve"> and are not yet part of the results presented below</w:t>
      </w:r>
      <w:r w:rsidR="00A36A24">
        <w:t xml:space="preserve">. </w:t>
      </w:r>
      <w:r w:rsidR="00A36A24" w:rsidRPr="00920103">
        <w:t xml:space="preserve">However, the following </w:t>
      </w:r>
      <w:r w:rsidR="00A36A24">
        <w:t>trends</w:t>
      </w:r>
      <w:r w:rsidR="00A36A24" w:rsidRPr="00920103">
        <w:t xml:space="preserve"> can be observed</w:t>
      </w:r>
      <w:r w:rsidR="0054225A">
        <w:t>:</w:t>
      </w:r>
    </w:p>
    <w:p w:rsidR="00E12C3C" w:rsidRDefault="004A6506" w:rsidP="00F81429">
      <w:pPr>
        <w:pStyle w:val="SingleTxtG"/>
        <w:ind w:left="1701"/>
      </w:pPr>
      <w:r>
        <w:t>(</w:t>
      </w:r>
      <w:proofErr w:type="spellStart"/>
      <w:r>
        <w:t>i</w:t>
      </w:r>
      <w:proofErr w:type="spellEnd"/>
      <w:r>
        <w:t>)</w:t>
      </w:r>
      <w:r>
        <w:tab/>
      </w:r>
      <w:r w:rsidR="00E54CFD">
        <w:t xml:space="preserve">The results </w:t>
      </w:r>
      <w:r w:rsidR="008506EA">
        <w:t xml:space="preserve">with the different celluloses </w:t>
      </w:r>
      <w:r w:rsidR="003069D1">
        <w:t xml:space="preserve">for the three reference substances in Test O.2 </w:t>
      </w:r>
      <w:r w:rsidR="00E54CFD">
        <w:t xml:space="preserve">are </w:t>
      </w:r>
      <w:r w:rsidR="008506EA">
        <w:t xml:space="preserve">compared </w:t>
      </w:r>
      <w:r w:rsidR="00AE07A7">
        <w:t xml:space="preserve">in </w:t>
      </w:r>
      <w:r w:rsidR="00D60B0D">
        <w:fldChar w:fldCharType="begin"/>
      </w:r>
      <w:r w:rsidR="008506EA">
        <w:instrText xml:space="preserve"> REF _Ref429042654 \h </w:instrText>
      </w:r>
      <w:r w:rsidR="00D60B0D">
        <w:fldChar w:fldCharType="separate"/>
      </w:r>
      <w:r w:rsidR="006964C6">
        <w:t xml:space="preserve">Table </w:t>
      </w:r>
      <w:r w:rsidR="006964C6">
        <w:rPr>
          <w:noProof/>
        </w:rPr>
        <w:t>1</w:t>
      </w:r>
      <w:r w:rsidR="00D60B0D">
        <w:fldChar w:fldCharType="end"/>
      </w:r>
      <w:r w:rsidR="00B304B1">
        <w:t xml:space="preserve"> below, allowing comparison with results obtained </w:t>
      </w:r>
      <w:r w:rsidR="00D804C8">
        <w:t>with</w:t>
      </w:r>
      <w:r w:rsidR="00B304B1">
        <w:t xml:space="preserve"> the cellulose grade WHATMAN CF11 to be </w:t>
      </w:r>
      <w:proofErr w:type="gramStart"/>
      <w:r w:rsidR="00B304B1">
        <w:t>replaced.</w:t>
      </w:r>
      <w:r w:rsidR="00E54CFD">
        <w:t>:</w:t>
      </w:r>
      <w:proofErr w:type="gramEnd"/>
    </w:p>
    <w:tbl>
      <w:tblPr>
        <w:tblW w:w="0" w:type="auto"/>
        <w:jc w:val="center"/>
        <w:tblInd w:w="156" w:type="dxa"/>
        <w:tblBorders>
          <w:top w:val="single" w:sz="6" w:space="0" w:color="1F497D" w:themeColor="text2"/>
          <w:left w:val="single" w:sz="6" w:space="0" w:color="1F497D" w:themeColor="text2"/>
          <w:bottom w:val="single" w:sz="6" w:space="0" w:color="1F497D" w:themeColor="text2"/>
          <w:right w:val="single" w:sz="6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"/>
        <w:gridCol w:w="1768"/>
        <w:gridCol w:w="1513"/>
        <w:gridCol w:w="1769"/>
        <w:gridCol w:w="1413"/>
      </w:tblGrid>
      <w:tr w:rsidR="008506EA" w:rsidRPr="000340B3" w:rsidTr="008506EA">
        <w:trPr>
          <w:trHeight w:val="247"/>
          <w:jc w:val="center"/>
        </w:trPr>
        <w:tc>
          <w:tcPr>
            <w:tcW w:w="0" w:type="auto"/>
            <w:vAlign w:val="center"/>
          </w:tcPr>
          <w:p w:rsidR="00E12C3C" w:rsidRDefault="006A2A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6A2AD9">
              <w:rPr>
                <w:b/>
                <w:color w:val="000000"/>
                <w:szCs w:val="22"/>
              </w:rPr>
              <w:t>Celluloses</w:t>
            </w:r>
          </w:p>
        </w:tc>
        <w:tc>
          <w:tcPr>
            <w:tcW w:w="0" w:type="auto"/>
          </w:tcPr>
          <w:p w:rsidR="008506EA" w:rsidRPr="00E54CFD" w:rsidRDefault="006A2AD9" w:rsidP="008506E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6A2AD9">
              <w:rPr>
                <w:b/>
                <w:color w:val="000000"/>
                <w:szCs w:val="22"/>
              </w:rPr>
              <w:t>WHATMAN CF11</w:t>
            </w:r>
          </w:p>
        </w:tc>
        <w:tc>
          <w:tcPr>
            <w:tcW w:w="0" w:type="auto"/>
          </w:tcPr>
          <w:p w:rsidR="008506EA" w:rsidRPr="00E54CFD" w:rsidRDefault="006A2AD9" w:rsidP="008506E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6A2AD9">
              <w:rPr>
                <w:b/>
                <w:color w:val="000000"/>
                <w:szCs w:val="22"/>
              </w:rPr>
              <w:t>ARBOCEL B00</w:t>
            </w:r>
          </w:p>
        </w:tc>
        <w:tc>
          <w:tcPr>
            <w:tcW w:w="0" w:type="auto"/>
          </w:tcPr>
          <w:p w:rsidR="008506EA" w:rsidRPr="00E54CFD" w:rsidRDefault="006A2AD9" w:rsidP="008506E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6A2AD9">
              <w:rPr>
                <w:b/>
                <w:color w:val="000000"/>
                <w:szCs w:val="22"/>
              </w:rPr>
              <w:t>TECHNOCEL 150</w:t>
            </w:r>
          </w:p>
        </w:tc>
        <w:tc>
          <w:tcPr>
            <w:tcW w:w="0" w:type="auto"/>
          </w:tcPr>
          <w:p w:rsidR="008506EA" w:rsidRPr="00E54CFD" w:rsidRDefault="006A2AD9" w:rsidP="008506E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  <w:r w:rsidRPr="006A2AD9">
              <w:rPr>
                <w:b/>
                <w:color w:val="000000"/>
                <w:szCs w:val="22"/>
              </w:rPr>
              <w:t>SIGMA C6288</w:t>
            </w:r>
          </w:p>
        </w:tc>
      </w:tr>
      <w:tr w:rsidR="008506EA" w:rsidRPr="00D2089D" w:rsidTr="008506EA">
        <w:trPr>
          <w:trHeight w:val="247"/>
          <w:jc w:val="center"/>
        </w:trPr>
        <w:tc>
          <w:tcPr>
            <w:tcW w:w="0" w:type="auto"/>
            <w:vAlign w:val="center"/>
          </w:tcPr>
          <w:p w:rsidR="00E12C3C" w:rsidRDefault="00E12C3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12C3C" w:rsidRDefault="008506EA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Time</w:t>
            </w:r>
            <w:r w:rsidR="006A2AD9" w:rsidRPr="006A2AD9">
              <w:rPr>
                <w:color w:val="000000"/>
                <w:szCs w:val="22"/>
              </w:rPr>
              <w:t xml:space="preserve"> (</w:t>
            </w:r>
            <w:proofErr w:type="spellStart"/>
            <w:r w:rsidR="006A2AD9" w:rsidRPr="006A2AD9">
              <w:rPr>
                <w:color w:val="000000"/>
                <w:szCs w:val="22"/>
              </w:rPr>
              <w:t>ms</w:t>
            </w:r>
            <w:proofErr w:type="spellEnd"/>
            <w:r w:rsidR="006A2AD9" w:rsidRPr="006A2AD9">
              <w:rPr>
                <w:color w:val="000000"/>
                <w:szCs w:val="22"/>
              </w:rPr>
              <w:t>)</w:t>
            </w:r>
          </w:p>
        </w:tc>
        <w:tc>
          <w:tcPr>
            <w:tcW w:w="0" w:type="auto"/>
            <w:tcBorders>
              <w:bottom w:val="single" w:sz="6" w:space="0" w:color="1F497D" w:themeColor="text2"/>
            </w:tcBorders>
            <w:vAlign w:val="center"/>
          </w:tcPr>
          <w:p w:rsidR="00E12C3C" w:rsidRDefault="006A2A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val="en-US"/>
              </w:rPr>
            </w:pPr>
            <w:r w:rsidRPr="006A2AD9">
              <w:rPr>
                <w:color w:val="000000"/>
                <w:szCs w:val="22"/>
                <w:lang w:val="en-US"/>
              </w:rPr>
              <w:t>Mean (</w:t>
            </w:r>
            <w:proofErr w:type="spellStart"/>
            <w:r w:rsidRPr="006A2AD9">
              <w:rPr>
                <w:color w:val="000000"/>
                <w:szCs w:val="22"/>
                <w:lang w:val="en-US"/>
              </w:rPr>
              <w:t>ms</w:t>
            </w:r>
            <w:proofErr w:type="spellEnd"/>
            <w:r w:rsidRPr="006A2AD9">
              <w:rPr>
                <w:color w:val="000000"/>
                <w:szCs w:val="22"/>
                <w:lang w:val="en-US"/>
              </w:rPr>
              <w:t>)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E12C3C" w:rsidRDefault="008506EA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Cs w:val="22"/>
                <w:lang w:val="en-US"/>
              </w:rPr>
              <w:t>Mean</w:t>
            </w:r>
            <w:r w:rsidR="006A2AD9" w:rsidRPr="006A2AD9">
              <w:rPr>
                <w:color w:val="000000"/>
                <w:szCs w:val="22"/>
                <w:lang w:val="en-US"/>
              </w:rPr>
              <w:t xml:space="preserve"> (</w:t>
            </w:r>
            <w:proofErr w:type="spellStart"/>
            <w:r w:rsidR="006A2AD9" w:rsidRPr="006A2AD9">
              <w:rPr>
                <w:color w:val="000000"/>
                <w:szCs w:val="22"/>
                <w:lang w:val="en-US"/>
              </w:rPr>
              <w:t>ms</w:t>
            </w:r>
            <w:proofErr w:type="spellEnd"/>
            <w:r w:rsidR="006A2AD9" w:rsidRPr="006A2AD9">
              <w:rPr>
                <w:color w:val="000000"/>
                <w:szCs w:val="22"/>
                <w:lang w:val="en-US"/>
              </w:rPr>
              <w:t>)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E12C3C" w:rsidRDefault="008506EA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Cs w:val="22"/>
                <w:lang w:val="en-US"/>
              </w:rPr>
              <w:t>Mean</w:t>
            </w:r>
            <w:r w:rsidR="006A2AD9" w:rsidRPr="006A2AD9">
              <w:rPr>
                <w:color w:val="000000"/>
                <w:szCs w:val="22"/>
                <w:lang w:val="en-US"/>
              </w:rPr>
              <w:t xml:space="preserve"> (</w:t>
            </w:r>
            <w:proofErr w:type="spellStart"/>
            <w:r w:rsidR="006A2AD9" w:rsidRPr="006A2AD9">
              <w:rPr>
                <w:color w:val="000000"/>
                <w:szCs w:val="22"/>
                <w:lang w:val="en-US"/>
              </w:rPr>
              <w:t>ms</w:t>
            </w:r>
            <w:proofErr w:type="spellEnd"/>
            <w:r w:rsidR="006A2AD9" w:rsidRPr="006A2AD9">
              <w:rPr>
                <w:color w:val="000000"/>
                <w:szCs w:val="22"/>
                <w:lang w:val="en-US"/>
              </w:rPr>
              <w:t>)</w:t>
            </w:r>
          </w:p>
        </w:tc>
      </w:tr>
      <w:tr w:rsidR="008506EA" w:rsidRPr="00D2089D" w:rsidTr="008506EA">
        <w:trPr>
          <w:trHeight w:val="24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12C3C" w:rsidRDefault="008506EA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  <w:lang w:val="en-US"/>
              </w:rPr>
              <w:t>PG</w:t>
            </w:r>
            <w:r w:rsidR="006A2AD9" w:rsidRPr="006A2AD9">
              <w:rPr>
                <w:b/>
                <w:color w:val="000000"/>
                <w:szCs w:val="22"/>
                <w:lang w:val="en-US"/>
              </w:rPr>
              <w:t xml:space="preserve"> III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2C3C" w:rsidRDefault="006A2AD9">
            <w:pPr>
              <w:jc w:val="center"/>
              <w:rPr>
                <w:color w:val="000000"/>
                <w:szCs w:val="22"/>
                <w:lang w:val="en-US"/>
              </w:rPr>
            </w:pPr>
            <w:r w:rsidRPr="006A2AD9">
              <w:rPr>
                <w:color w:val="000000"/>
                <w:szCs w:val="22"/>
                <w:lang w:val="en-US"/>
              </w:rPr>
              <w:t>4767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2C3C" w:rsidRDefault="006A2AD9">
            <w:pPr>
              <w:jc w:val="center"/>
              <w:rPr>
                <w:szCs w:val="22"/>
                <w:lang w:val="en-US"/>
              </w:rPr>
            </w:pPr>
            <w:r w:rsidRPr="006A2AD9">
              <w:rPr>
                <w:color w:val="000000"/>
                <w:szCs w:val="22"/>
                <w:lang w:val="en-US"/>
              </w:rPr>
              <w:t>3005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2C3C" w:rsidRDefault="006A2AD9">
            <w:pPr>
              <w:jc w:val="center"/>
              <w:rPr>
                <w:szCs w:val="22"/>
                <w:lang w:val="en-US"/>
              </w:rPr>
            </w:pPr>
            <w:r w:rsidRPr="006A2AD9">
              <w:rPr>
                <w:szCs w:val="22"/>
                <w:lang w:val="en-US"/>
              </w:rPr>
              <w:t>3014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2C3C" w:rsidRDefault="006A2AD9">
            <w:pPr>
              <w:jc w:val="center"/>
              <w:rPr>
                <w:szCs w:val="22"/>
                <w:lang w:val="en-US"/>
              </w:rPr>
            </w:pPr>
            <w:r w:rsidRPr="006A2AD9">
              <w:rPr>
                <w:szCs w:val="22"/>
                <w:lang w:val="en-US"/>
              </w:rPr>
              <w:t>3126</w:t>
            </w:r>
          </w:p>
        </w:tc>
      </w:tr>
      <w:tr w:rsidR="008506EA" w:rsidRPr="00D2089D" w:rsidTr="008506EA">
        <w:trPr>
          <w:trHeight w:val="24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12C3C" w:rsidRDefault="008506EA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  <w:lang w:val="en-US"/>
              </w:rPr>
              <w:t>PG</w:t>
            </w:r>
            <w:r w:rsidR="006A2AD9" w:rsidRPr="006A2AD9">
              <w:rPr>
                <w:b/>
                <w:color w:val="000000"/>
                <w:szCs w:val="22"/>
                <w:lang w:val="en-US"/>
              </w:rPr>
              <w:t xml:space="preserve"> 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2C3C" w:rsidRDefault="006A2AD9">
            <w:pPr>
              <w:jc w:val="center"/>
              <w:rPr>
                <w:color w:val="000000"/>
                <w:szCs w:val="22"/>
                <w:lang w:val="en-US"/>
              </w:rPr>
            </w:pPr>
            <w:r w:rsidRPr="006A2AD9">
              <w:rPr>
                <w:color w:val="000000"/>
                <w:szCs w:val="22"/>
                <w:lang w:val="en-US"/>
              </w:rPr>
              <w:t>2555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2C3C" w:rsidRDefault="006A2AD9">
            <w:pPr>
              <w:jc w:val="center"/>
              <w:rPr>
                <w:bCs/>
                <w:szCs w:val="22"/>
                <w:lang w:val="en-US"/>
              </w:rPr>
            </w:pPr>
            <w:r w:rsidRPr="006A2AD9">
              <w:rPr>
                <w:color w:val="000000"/>
                <w:szCs w:val="22"/>
                <w:lang w:val="en-US"/>
              </w:rPr>
              <w:t>1672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2C3C" w:rsidRDefault="006A2AD9">
            <w:pPr>
              <w:jc w:val="center"/>
              <w:rPr>
                <w:szCs w:val="22"/>
                <w:lang w:val="en-US"/>
              </w:rPr>
            </w:pPr>
            <w:r w:rsidRPr="006A2AD9">
              <w:rPr>
                <w:szCs w:val="22"/>
                <w:lang w:val="en-US"/>
              </w:rPr>
              <w:t>1753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2C3C" w:rsidRDefault="006A2AD9">
            <w:pPr>
              <w:jc w:val="center"/>
              <w:rPr>
                <w:szCs w:val="22"/>
                <w:lang w:val="en-US"/>
              </w:rPr>
            </w:pPr>
            <w:r w:rsidRPr="006A2AD9">
              <w:rPr>
                <w:szCs w:val="22"/>
                <w:lang w:val="en-US"/>
              </w:rPr>
              <w:t>932</w:t>
            </w:r>
          </w:p>
        </w:tc>
      </w:tr>
      <w:tr w:rsidR="008506EA" w:rsidRPr="00D2089D" w:rsidTr="008506EA">
        <w:trPr>
          <w:trHeight w:val="24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12C3C" w:rsidRDefault="008506EA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  <w:lang w:val="en-US"/>
              </w:rPr>
            </w:pPr>
            <w:r>
              <w:rPr>
                <w:b/>
                <w:color w:val="000000"/>
                <w:szCs w:val="22"/>
                <w:lang w:val="en-US"/>
              </w:rPr>
              <w:t>PG</w:t>
            </w:r>
            <w:r w:rsidR="006A2AD9" w:rsidRPr="006A2AD9">
              <w:rPr>
                <w:b/>
                <w:color w:val="000000"/>
                <w:szCs w:val="22"/>
                <w:lang w:val="en-US"/>
              </w:rPr>
              <w:t xml:space="preserve"> 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2C3C" w:rsidRDefault="006A2AD9">
            <w:pPr>
              <w:jc w:val="center"/>
              <w:rPr>
                <w:color w:val="000000"/>
                <w:szCs w:val="22"/>
                <w:lang w:val="en-US"/>
              </w:rPr>
            </w:pPr>
            <w:r w:rsidRPr="006A2AD9">
              <w:rPr>
                <w:color w:val="000000"/>
                <w:szCs w:val="22"/>
                <w:lang w:val="en-US"/>
              </w:rPr>
              <w:t>121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2C3C" w:rsidRDefault="006A2AD9">
            <w:pPr>
              <w:jc w:val="center"/>
              <w:rPr>
                <w:szCs w:val="22"/>
                <w:lang w:val="en-US"/>
              </w:rPr>
            </w:pPr>
            <w:r w:rsidRPr="006A2AD9">
              <w:rPr>
                <w:color w:val="000000"/>
                <w:szCs w:val="22"/>
                <w:lang w:val="en-US"/>
              </w:rPr>
              <w:t>107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2C3C" w:rsidRDefault="006A2AD9">
            <w:pPr>
              <w:jc w:val="center"/>
              <w:rPr>
                <w:szCs w:val="22"/>
                <w:lang w:val="en-US"/>
              </w:rPr>
            </w:pPr>
            <w:r w:rsidRPr="006A2AD9">
              <w:rPr>
                <w:szCs w:val="22"/>
                <w:lang w:val="en-US"/>
              </w:rPr>
              <w:t>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2C3C" w:rsidRDefault="006A2AD9">
            <w:pPr>
              <w:jc w:val="center"/>
              <w:rPr>
                <w:szCs w:val="22"/>
                <w:lang w:val="en-US"/>
              </w:rPr>
            </w:pPr>
            <w:r w:rsidRPr="006A2AD9">
              <w:rPr>
                <w:szCs w:val="22"/>
                <w:lang w:val="en-US"/>
              </w:rPr>
              <w:t>94</w:t>
            </w:r>
          </w:p>
        </w:tc>
      </w:tr>
    </w:tbl>
    <w:p w:rsidR="00E12C3C" w:rsidRDefault="008506EA" w:rsidP="0084791C">
      <w:pPr>
        <w:pStyle w:val="Caption"/>
        <w:spacing w:before="120" w:after="120"/>
        <w:jc w:val="center"/>
      </w:pPr>
      <w:bookmarkStart w:id="1" w:name="_Ref429042654"/>
      <w:r>
        <w:t xml:space="preserve">Table </w:t>
      </w:r>
      <w:r w:rsidR="00D60B0D">
        <w:fldChar w:fldCharType="begin"/>
      </w:r>
      <w:r>
        <w:instrText xml:space="preserve"> SEQ Tableau \* ARABIC </w:instrText>
      </w:r>
      <w:r w:rsidR="00D60B0D">
        <w:fldChar w:fldCharType="separate"/>
      </w:r>
      <w:r w:rsidR="006964C6">
        <w:rPr>
          <w:noProof/>
        </w:rPr>
        <w:t>1</w:t>
      </w:r>
      <w:r w:rsidR="00D60B0D">
        <w:fldChar w:fldCharType="end"/>
      </w:r>
      <w:bookmarkEnd w:id="1"/>
      <w:r w:rsidR="006A2AD9" w:rsidRPr="006A2AD9">
        <w:rPr>
          <w:b w:val="0"/>
        </w:rPr>
        <w:t>:</w:t>
      </w:r>
      <w:r w:rsidR="006866B1">
        <w:rPr>
          <w:b w:val="0"/>
        </w:rPr>
        <w:t xml:space="preserve"> </w:t>
      </w:r>
      <w:r w:rsidR="006A2AD9" w:rsidRPr="006A2AD9">
        <w:rPr>
          <w:b w:val="0"/>
        </w:rPr>
        <w:t xml:space="preserve">Results </w:t>
      </w:r>
      <w:r w:rsidR="006A2AD9">
        <w:rPr>
          <w:b w:val="0"/>
        </w:rPr>
        <w:t xml:space="preserve">for three cellulose </w:t>
      </w:r>
      <w:r w:rsidR="00B304B1">
        <w:rPr>
          <w:b w:val="0"/>
        </w:rPr>
        <w:t xml:space="preserve">candidates </w:t>
      </w:r>
      <w:r w:rsidR="003069D1">
        <w:rPr>
          <w:b w:val="0"/>
        </w:rPr>
        <w:t>(</w:t>
      </w:r>
      <w:r w:rsidR="006866B1">
        <w:rPr>
          <w:b w:val="0"/>
        </w:rPr>
        <w:t>a</w:t>
      </w:r>
      <w:r w:rsidR="006A2AD9" w:rsidRPr="006A2AD9">
        <w:rPr>
          <w:b w:val="0"/>
        </w:rPr>
        <w:t>fter statistical treatment</w:t>
      </w:r>
      <w:r w:rsidR="003069D1">
        <w:rPr>
          <w:b w:val="0"/>
        </w:rPr>
        <w:t xml:space="preserve">) </w:t>
      </w:r>
      <w:r w:rsidR="0084791C">
        <w:rPr>
          <w:b w:val="0"/>
        </w:rPr>
        <w:br/>
      </w:r>
      <w:r w:rsidR="003069D1">
        <w:rPr>
          <w:b w:val="0"/>
        </w:rPr>
        <w:t>compared to</w:t>
      </w:r>
      <w:r w:rsidR="00B304B1">
        <w:rPr>
          <w:b w:val="0"/>
        </w:rPr>
        <w:t xml:space="preserve"> cellulose</w:t>
      </w:r>
      <w:r w:rsidR="003069D1">
        <w:rPr>
          <w:b w:val="0"/>
        </w:rPr>
        <w:t xml:space="preserve"> WHATMAN</w:t>
      </w:r>
      <w:r>
        <w:rPr>
          <w:b w:val="0"/>
        </w:rPr>
        <w:t xml:space="preserve"> CF11</w:t>
      </w:r>
    </w:p>
    <w:p w:rsidR="00E12C3C" w:rsidRDefault="006A2AD9">
      <w:pPr>
        <w:pStyle w:val="SingleTxtG"/>
        <w:ind w:left="1701"/>
      </w:pPr>
      <w:r w:rsidRPr="006A2AD9">
        <w:t>The values of the mean pressure rise time for the three cellul</w:t>
      </w:r>
      <w:r w:rsidRPr="00B304B1">
        <w:t>ose</w:t>
      </w:r>
      <w:r w:rsidR="00B304B1" w:rsidRPr="00B304B1">
        <w:t xml:space="preserve"> candidates </w:t>
      </w:r>
      <w:r w:rsidRPr="00B304B1">
        <w:t>a</w:t>
      </w:r>
      <w:r w:rsidRPr="006A2AD9">
        <w:t xml:space="preserve">re lower than those obtained for the </w:t>
      </w:r>
      <w:r w:rsidR="00B304B1">
        <w:t xml:space="preserve">cellulose </w:t>
      </w:r>
      <w:r w:rsidRPr="006A2AD9">
        <w:t>W</w:t>
      </w:r>
      <w:r w:rsidR="003069D1">
        <w:t>HATMAN</w:t>
      </w:r>
      <w:r w:rsidRPr="006A2AD9">
        <w:t xml:space="preserve"> CF11. </w:t>
      </w:r>
      <w:r w:rsidR="005A1F77">
        <w:t xml:space="preserve">As first selection criteria, we decided to use </w:t>
      </w:r>
      <w:r w:rsidR="005A1F77" w:rsidRPr="006A2AD9">
        <w:t>the ratios</w:t>
      </w:r>
      <w:r w:rsidR="005A1F77">
        <w:t xml:space="preserve"> of mean pressure rise times</w:t>
      </w:r>
      <w:r w:rsidR="005A1F77" w:rsidRPr="006A2AD9">
        <w:t xml:space="preserve"> </w:t>
      </w:r>
      <w:r w:rsidR="005A1F77">
        <w:t>between packing group</w:t>
      </w:r>
      <w:r w:rsidR="00D804C8">
        <w:t>s</w:t>
      </w:r>
      <w:r w:rsidR="005A1F77">
        <w:t xml:space="preserve">: </w:t>
      </w:r>
      <w:r w:rsidR="005A1F77" w:rsidRPr="006A2AD9">
        <w:t>PG</w:t>
      </w:r>
      <w:r w:rsidR="005A1F77">
        <w:t> </w:t>
      </w:r>
      <w:r w:rsidR="005A1F77" w:rsidRPr="006A2AD9">
        <w:t>II</w:t>
      </w:r>
      <w:r w:rsidR="005A1F77">
        <w:t>I</w:t>
      </w:r>
      <w:r w:rsidR="005A1F77" w:rsidRPr="006A2AD9">
        <w:t xml:space="preserve"> / PG</w:t>
      </w:r>
      <w:r w:rsidR="005A1F77">
        <w:t> </w:t>
      </w:r>
      <w:r w:rsidR="005A1F77" w:rsidRPr="006A2AD9">
        <w:t>I</w:t>
      </w:r>
      <w:r w:rsidR="005A1F77">
        <w:t>I</w:t>
      </w:r>
      <w:r w:rsidR="005A1F77" w:rsidRPr="006A2AD9">
        <w:t>, PG</w:t>
      </w:r>
      <w:r w:rsidR="005A1F77">
        <w:t> </w:t>
      </w:r>
      <w:r w:rsidR="005A1F77" w:rsidRPr="006A2AD9">
        <w:t>II / PG</w:t>
      </w:r>
      <w:r w:rsidR="005A1F77">
        <w:t> </w:t>
      </w:r>
      <w:r w:rsidR="005A1F77" w:rsidRPr="006A2AD9">
        <w:t>I and PG</w:t>
      </w:r>
      <w:r w:rsidR="005A1F77">
        <w:t> </w:t>
      </w:r>
      <w:r w:rsidR="005A1F77" w:rsidRPr="006A2AD9">
        <w:t>III / PG</w:t>
      </w:r>
      <w:r w:rsidR="005A1F77">
        <w:t> </w:t>
      </w:r>
      <w:r w:rsidR="005A1F77" w:rsidRPr="006A2AD9">
        <w:t>I</w:t>
      </w:r>
      <w:r w:rsidR="005A1F77">
        <w:t>. These ratios</w:t>
      </w:r>
      <w:r w:rsidRPr="006A2AD9">
        <w:t xml:space="preserve"> for celluloses </w:t>
      </w:r>
      <w:r w:rsidR="003069D1" w:rsidRPr="003069D1">
        <w:t xml:space="preserve">ARBOCEL B00 </w:t>
      </w:r>
      <w:r w:rsidR="003069D1">
        <w:t xml:space="preserve">and </w:t>
      </w:r>
      <w:r w:rsidRPr="006A2AD9">
        <w:t xml:space="preserve">TECHNOCEL 150 remain </w:t>
      </w:r>
      <w:r w:rsidR="003069D1">
        <w:t>similar</w:t>
      </w:r>
      <w:r w:rsidRPr="006A2AD9">
        <w:t xml:space="preserve"> </w:t>
      </w:r>
      <w:r w:rsidR="003069D1">
        <w:t>to</w:t>
      </w:r>
      <w:r w:rsidRPr="006A2AD9">
        <w:t xml:space="preserve"> those obtained for </w:t>
      </w:r>
      <w:r w:rsidR="00B304B1">
        <w:t xml:space="preserve">cellulose </w:t>
      </w:r>
      <w:r w:rsidRPr="006A2AD9">
        <w:t>WHATMAN CF11</w:t>
      </w:r>
      <w:r w:rsidR="005A1F77">
        <w:t xml:space="preserve"> while the ratios for cellulose SIGMA C6288 are more different.</w:t>
      </w:r>
    </w:p>
    <w:p w:rsidR="00E12C3C" w:rsidRDefault="004A6506" w:rsidP="0084791C">
      <w:pPr>
        <w:spacing w:after="120"/>
        <w:ind w:left="1701" w:right="1134"/>
        <w:rPr>
          <w:lang w:val="en-US"/>
        </w:rPr>
      </w:pPr>
      <w:r>
        <w:rPr>
          <w:lang w:val="en-US"/>
        </w:rPr>
        <w:t>(ii)</w:t>
      </w:r>
      <w:r>
        <w:rPr>
          <w:lang w:val="en-US"/>
        </w:rPr>
        <w:tab/>
      </w:r>
      <w:r w:rsidR="00D86420">
        <w:rPr>
          <w:lang w:val="en-US"/>
        </w:rPr>
        <w:t xml:space="preserve">The classification </w:t>
      </w:r>
      <w:r w:rsidR="0094031E">
        <w:rPr>
          <w:lang w:val="en-US"/>
        </w:rPr>
        <w:t>achieved for</w:t>
      </w:r>
      <w:r w:rsidR="00D86420">
        <w:rPr>
          <w:lang w:val="en-US"/>
        </w:rPr>
        <w:t xml:space="preserve"> the three liquid samples</w:t>
      </w:r>
      <w:r w:rsidR="00B304B1">
        <w:rPr>
          <w:lang w:val="en-US"/>
        </w:rPr>
        <w:t xml:space="preserve"> of oxidizing substances tested in the frame of this</w:t>
      </w:r>
      <w:r w:rsidR="0094031E">
        <w:rPr>
          <w:lang w:val="en-US"/>
        </w:rPr>
        <w:t xml:space="preserve"> RRT</w:t>
      </w:r>
      <w:r w:rsidR="00B304B1">
        <w:rPr>
          <w:lang w:val="en-US"/>
        </w:rPr>
        <w:t xml:space="preserve"> </w:t>
      </w:r>
      <w:proofErr w:type="spellStart"/>
      <w:r w:rsidR="00B304B1">
        <w:rPr>
          <w:lang w:val="en-US"/>
        </w:rPr>
        <w:t>Programme</w:t>
      </w:r>
      <w:proofErr w:type="spellEnd"/>
      <w:r w:rsidR="0094031E">
        <w:rPr>
          <w:lang w:val="en-US"/>
        </w:rPr>
        <w:t xml:space="preserve"> </w:t>
      </w:r>
      <w:r w:rsidR="00D86420">
        <w:rPr>
          <w:lang w:val="en-US"/>
        </w:rPr>
        <w:t xml:space="preserve">with the </w:t>
      </w:r>
      <w:r w:rsidR="0094031E">
        <w:rPr>
          <w:lang w:val="en-US"/>
        </w:rPr>
        <w:t>different</w:t>
      </w:r>
      <w:r w:rsidR="00D86420">
        <w:rPr>
          <w:lang w:val="en-US"/>
        </w:rPr>
        <w:t xml:space="preserve"> celluloses </w:t>
      </w:r>
      <w:r w:rsidR="0094031E">
        <w:rPr>
          <w:lang w:val="en-US"/>
        </w:rPr>
        <w:t>remain</w:t>
      </w:r>
      <w:r w:rsidR="00D86420">
        <w:rPr>
          <w:lang w:val="en-US"/>
        </w:rPr>
        <w:t xml:space="preserve"> </w:t>
      </w:r>
      <w:r w:rsidR="0094031E">
        <w:rPr>
          <w:lang w:val="en-US"/>
        </w:rPr>
        <w:t>comparable</w:t>
      </w:r>
      <w:r w:rsidR="00D86420">
        <w:rPr>
          <w:lang w:val="en-US"/>
        </w:rPr>
        <w:t>:</w:t>
      </w:r>
    </w:p>
    <w:p w:rsidR="00E12C3C" w:rsidRDefault="006866B1">
      <w:pPr>
        <w:numPr>
          <w:ilvl w:val="0"/>
          <w:numId w:val="24"/>
        </w:numPr>
        <w:tabs>
          <w:tab w:val="left" w:pos="2127"/>
          <w:tab w:val="left" w:pos="6804"/>
        </w:tabs>
        <w:ind w:left="2127"/>
        <w:rPr>
          <w:lang w:val="en-US"/>
        </w:rPr>
      </w:pPr>
      <w:proofErr w:type="spellStart"/>
      <w:r>
        <w:rPr>
          <w:lang w:val="en-US"/>
        </w:rPr>
        <w:t>Perchloric</w:t>
      </w:r>
      <w:proofErr w:type="spellEnd"/>
      <w:r>
        <w:rPr>
          <w:lang w:val="en-US"/>
        </w:rPr>
        <w:t xml:space="preserve"> acid </w:t>
      </w:r>
      <w:r w:rsidRPr="006866B1">
        <w:rPr>
          <w:lang w:val="en-US"/>
        </w:rPr>
        <w:t xml:space="preserve">70% </w:t>
      </w:r>
      <w:r>
        <w:rPr>
          <w:lang w:val="en-US"/>
        </w:rPr>
        <w:tab/>
      </w:r>
      <w:r>
        <w:rPr>
          <w:lang w:val="en-US"/>
        </w:rPr>
        <w:tab/>
        <w:t>Div. 5.1 PG</w:t>
      </w:r>
      <w:r w:rsidR="003069D1">
        <w:rPr>
          <w:lang w:val="en-US"/>
        </w:rPr>
        <w:t xml:space="preserve"> I</w:t>
      </w:r>
      <w:r w:rsidRPr="006866B1">
        <w:rPr>
          <w:lang w:val="en-US"/>
        </w:rPr>
        <w:t xml:space="preserve"> ,</w:t>
      </w:r>
    </w:p>
    <w:p w:rsidR="00E12C3C" w:rsidRDefault="006866B1">
      <w:pPr>
        <w:numPr>
          <w:ilvl w:val="0"/>
          <w:numId w:val="24"/>
        </w:numPr>
        <w:tabs>
          <w:tab w:val="left" w:pos="2127"/>
          <w:tab w:val="left" w:pos="6804"/>
        </w:tabs>
        <w:ind w:left="2127"/>
        <w:rPr>
          <w:lang w:val="en-US"/>
        </w:rPr>
      </w:pPr>
      <w:proofErr w:type="spellStart"/>
      <w:r>
        <w:rPr>
          <w:lang w:val="en-US"/>
        </w:rPr>
        <w:t>Perchloric</w:t>
      </w:r>
      <w:proofErr w:type="spellEnd"/>
      <w:r>
        <w:rPr>
          <w:lang w:val="en-US"/>
        </w:rPr>
        <w:t xml:space="preserve"> acid </w:t>
      </w:r>
      <w:r w:rsidRPr="006866B1">
        <w:rPr>
          <w:lang w:val="en-US"/>
        </w:rPr>
        <w:t xml:space="preserve">40% </w:t>
      </w:r>
      <w:r>
        <w:rPr>
          <w:lang w:val="en-US"/>
        </w:rPr>
        <w:tab/>
      </w:r>
      <w:r>
        <w:rPr>
          <w:lang w:val="en-US"/>
        </w:rPr>
        <w:tab/>
        <w:t>Div. 5.1 PG</w:t>
      </w:r>
      <w:r w:rsidR="003069D1">
        <w:rPr>
          <w:lang w:val="en-US"/>
        </w:rPr>
        <w:t xml:space="preserve"> </w:t>
      </w:r>
      <w:r w:rsidRPr="006866B1">
        <w:rPr>
          <w:lang w:val="en-US"/>
        </w:rPr>
        <w:t>II ,</w:t>
      </w:r>
    </w:p>
    <w:p w:rsidR="00E12C3C" w:rsidRDefault="006866B1">
      <w:pPr>
        <w:numPr>
          <w:ilvl w:val="0"/>
          <w:numId w:val="24"/>
        </w:numPr>
        <w:tabs>
          <w:tab w:val="left" w:pos="2127"/>
          <w:tab w:val="left" w:pos="6804"/>
        </w:tabs>
        <w:spacing w:after="120"/>
        <w:ind w:left="2126" w:hanging="357"/>
        <w:rPr>
          <w:lang w:val="en-US"/>
        </w:rPr>
      </w:pPr>
      <w:r>
        <w:rPr>
          <w:lang w:val="en-US"/>
        </w:rPr>
        <w:t>S</w:t>
      </w:r>
      <w:r w:rsidRPr="006866B1">
        <w:rPr>
          <w:lang w:val="en-US"/>
        </w:rPr>
        <w:t xml:space="preserve">odium nitrate in aqueous solution at 45 % 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Not</w:t>
      </w:r>
      <w:proofErr w:type="gramEnd"/>
      <w:r>
        <w:rPr>
          <w:lang w:val="en-US"/>
        </w:rPr>
        <w:t xml:space="preserve"> div. 5.1</w:t>
      </w:r>
      <w:r w:rsidR="004C2808">
        <w:rPr>
          <w:lang w:val="en-US"/>
        </w:rPr>
        <w:t>.</w:t>
      </w:r>
    </w:p>
    <w:p w:rsidR="00E12C3C" w:rsidRDefault="00220C2D">
      <w:pPr>
        <w:pStyle w:val="SingleTxtG"/>
      </w:pPr>
      <w:r>
        <w:t>8.</w:t>
      </w:r>
      <w:r>
        <w:tab/>
      </w:r>
      <w:r w:rsidR="00E326F4">
        <w:t xml:space="preserve">At this </w:t>
      </w:r>
      <w:r w:rsidR="00B304B1">
        <w:t>stage</w:t>
      </w:r>
      <w:r w:rsidR="00E326F4">
        <w:t xml:space="preserve"> the </w:t>
      </w:r>
      <w:r w:rsidR="00E326F4" w:rsidRPr="003069D1">
        <w:t xml:space="preserve">celluloses ARBOCEL B00 </w:t>
      </w:r>
      <w:r w:rsidR="00E326F4">
        <w:t xml:space="preserve">and </w:t>
      </w:r>
      <w:r w:rsidR="00E326F4" w:rsidRPr="003069D1">
        <w:t>TECHNOCEL 150</w:t>
      </w:r>
      <w:r w:rsidR="00E326F4" w:rsidRPr="00E326F4">
        <w:t xml:space="preserve"> </w:t>
      </w:r>
      <w:r w:rsidR="00E326F4">
        <w:t xml:space="preserve">were judged to </w:t>
      </w:r>
      <w:r w:rsidR="00E57497">
        <w:t>give</w:t>
      </w:r>
      <w:r w:rsidR="00E326F4">
        <w:t xml:space="preserve"> results of equivalent quality </w:t>
      </w:r>
      <w:r w:rsidR="00E57497">
        <w:t>compare</w:t>
      </w:r>
      <w:r w:rsidR="00B304B1">
        <w:t>d</w:t>
      </w:r>
      <w:r w:rsidR="00E57497">
        <w:t xml:space="preserve"> </w:t>
      </w:r>
      <w:r w:rsidR="00E326F4">
        <w:t>to the</w:t>
      </w:r>
      <w:r w:rsidR="00B304B1">
        <w:t xml:space="preserve"> one with</w:t>
      </w:r>
      <w:r w:rsidR="00E326F4">
        <w:t xml:space="preserve"> cellulose WHATMAN CF11. </w:t>
      </w:r>
      <w:r w:rsidR="00E326F4" w:rsidRPr="002313B4">
        <w:t>Th</w:t>
      </w:r>
      <w:r w:rsidR="00E326F4">
        <w:t>is was</w:t>
      </w:r>
      <w:r w:rsidR="00E326F4" w:rsidRPr="002313B4">
        <w:t xml:space="preserve"> </w:t>
      </w:r>
      <w:r w:rsidR="006A2AD9">
        <w:t xml:space="preserve">deemed to be encouraging to start with the next step (see </w:t>
      </w:r>
      <w:r w:rsidR="006A2AD9" w:rsidRPr="006A2AD9">
        <w:t>para 10 to 14).</w:t>
      </w:r>
    </w:p>
    <w:p w:rsidR="00E12C3C" w:rsidRDefault="002313B4" w:rsidP="0092443A">
      <w:pPr>
        <w:pStyle w:val="SingleTxtG"/>
        <w:pageBreakBefore/>
      </w:pPr>
      <w:r>
        <w:lastRenderedPageBreak/>
        <w:t>9.</w:t>
      </w:r>
      <w:r>
        <w:tab/>
      </w:r>
      <w:r w:rsidR="00220C2D" w:rsidRPr="00DA6851">
        <w:t>The</w:t>
      </w:r>
      <w:r>
        <w:t xml:space="preserve"> values presented in </w:t>
      </w:r>
      <w:r w:rsidR="00D60B0D">
        <w:fldChar w:fldCharType="begin"/>
      </w:r>
      <w:r>
        <w:instrText xml:space="preserve"> REF _Ref429042654 \h </w:instrText>
      </w:r>
      <w:r w:rsidR="00D60B0D">
        <w:fldChar w:fldCharType="separate"/>
      </w:r>
      <w:r w:rsidR="006964C6">
        <w:t xml:space="preserve">Table </w:t>
      </w:r>
      <w:r w:rsidR="006964C6">
        <w:rPr>
          <w:noProof/>
        </w:rPr>
        <w:t>1</w:t>
      </w:r>
      <w:r w:rsidR="00D60B0D">
        <w:fldChar w:fldCharType="end"/>
      </w:r>
      <w:r>
        <w:t xml:space="preserve"> will be revised to incorporate the latest result. Then a proposal could be made</w:t>
      </w:r>
      <w:r w:rsidR="00D804C8">
        <w:t xml:space="preserve"> later</w:t>
      </w:r>
      <w:r>
        <w:t xml:space="preserve"> for </w:t>
      </w:r>
      <w:r w:rsidR="00220C2D" w:rsidRPr="00DA6851">
        <w:t>some adjustments regarding the times taken as references for classification when comparing the times obtained with the replacement cellulose</w:t>
      </w:r>
      <w:r>
        <w:t>(s)</w:t>
      </w:r>
      <w:r w:rsidR="00220C2D" w:rsidRPr="00DA6851">
        <w:t xml:space="preserve"> and with the </w:t>
      </w:r>
      <w:proofErr w:type="spellStart"/>
      <w:r w:rsidR="00220C2D" w:rsidRPr="00DA6851">
        <w:t>Whatman</w:t>
      </w:r>
      <w:proofErr w:type="spellEnd"/>
      <w:r w:rsidR="00220C2D" w:rsidRPr="00DA6851">
        <w:t xml:space="preserve"> CF11 cellulose</w:t>
      </w:r>
      <w:r>
        <w:t xml:space="preserve"> for the reference substances.</w:t>
      </w:r>
    </w:p>
    <w:p w:rsidR="00351AA4" w:rsidRDefault="0084791C" w:rsidP="0084791C">
      <w:pPr>
        <w:pStyle w:val="H1G"/>
      </w:pPr>
      <w:r>
        <w:tab/>
      </w:r>
      <w:r>
        <w:tab/>
      </w:r>
      <w:r w:rsidR="0094031E">
        <w:t>Step 2: “Test O.3: test for oxidizing solids.”</w:t>
      </w:r>
    </w:p>
    <w:p w:rsidR="002313B4" w:rsidRDefault="00E57497">
      <w:pPr>
        <w:pStyle w:val="SingleTxtG"/>
      </w:pPr>
      <w:r>
        <w:t>10.</w:t>
      </w:r>
      <w:r w:rsidR="002313B4">
        <w:tab/>
      </w:r>
      <w:r>
        <w:t>From the Step 1 (see para 4 to 9)</w:t>
      </w:r>
      <w:r w:rsidR="006A2628">
        <w:t xml:space="preserve">, as </w:t>
      </w:r>
      <w:r w:rsidR="006A2628">
        <w:rPr>
          <w:lang w:val="en-US"/>
        </w:rPr>
        <w:t>leading laboratory INERIS</w:t>
      </w:r>
      <w:r>
        <w:t xml:space="preserve"> retained two of the three candidate celluloses as potential replacement of the WHATMAN CF11</w:t>
      </w:r>
      <w:r w:rsidR="00D804C8" w:rsidRPr="00D804C8">
        <w:t xml:space="preserve"> </w:t>
      </w:r>
      <w:r w:rsidR="00D804C8">
        <w:t>cellulose</w:t>
      </w:r>
      <w:r>
        <w:t>.</w:t>
      </w:r>
    </w:p>
    <w:p w:rsidR="006A2628" w:rsidRDefault="006A2628">
      <w:pPr>
        <w:pStyle w:val="SingleTxtG"/>
      </w:pPr>
      <w:r>
        <w:t>11.</w:t>
      </w:r>
      <w:r>
        <w:tab/>
        <w:t>Two other laboratories have expressed their willingness to join the RRT programme for the Step 2, which brings the number of participant</w:t>
      </w:r>
      <w:r w:rsidR="00B304B1">
        <w:t>s</w:t>
      </w:r>
      <w:r>
        <w:t xml:space="preserve"> to 13 labs from </w:t>
      </w:r>
      <w:r w:rsidR="00D804C8">
        <w:t>9</w:t>
      </w:r>
      <w:r>
        <w:t xml:space="preserve"> countries.</w:t>
      </w:r>
    </w:p>
    <w:p w:rsidR="006A2628" w:rsidRDefault="006A2AD9" w:rsidP="00351AA4">
      <w:pPr>
        <w:pStyle w:val="SingleTxtG"/>
      </w:pPr>
      <w:r>
        <w:t>12.</w:t>
      </w:r>
      <w:r>
        <w:tab/>
        <w:t xml:space="preserve">A draft RRT Programme for Test O.3 (step 2) was circulated among the participants during </w:t>
      </w:r>
      <w:r w:rsidR="00B304B1">
        <w:t>August 2015</w:t>
      </w:r>
      <w:r>
        <w:t>. Based on the comments received, the final approved RRT Programme has been issued and samples of the two celluloses (</w:t>
      </w:r>
      <w:r w:rsidRPr="006A2AD9">
        <w:t xml:space="preserve">TECHNOCEL 150 and ARBOCEL B00) have been shipped to the participating laboratories </w:t>
      </w:r>
      <w:r>
        <w:t>early September 2015</w:t>
      </w:r>
      <w:r w:rsidR="006A2628">
        <w:t>.</w:t>
      </w:r>
    </w:p>
    <w:p w:rsidR="006A2628" w:rsidRDefault="0084791C" w:rsidP="00351AA4">
      <w:pPr>
        <w:pStyle w:val="SingleTxtG"/>
      </w:pPr>
      <w:r>
        <w:t>13</w:t>
      </w:r>
      <w:r w:rsidR="006A2628">
        <w:t>.</w:t>
      </w:r>
      <w:r w:rsidR="006A2628">
        <w:tab/>
      </w:r>
      <w:r w:rsidR="00D2038D">
        <w:t xml:space="preserve">The overall results from the participating laboratories are expected by November 2015 </w:t>
      </w:r>
      <w:r w:rsidR="00B304B1">
        <w:t>in order to present</w:t>
      </w:r>
      <w:r w:rsidR="00D2038D">
        <w:t xml:space="preserve"> those first results to the </w:t>
      </w:r>
      <w:r w:rsidR="00B304B1">
        <w:t>S</w:t>
      </w:r>
      <w:r w:rsidR="00D2038D">
        <w:t>ub-</w:t>
      </w:r>
      <w:r w:rsidR="00B304B1">
        <w:t>C</w:t>
      </w:r>
      <w:r w:rsidR="00D2038D">
        <w:t>ommittees in November/December 2015.</w:t>
      </w:r>
    </w:p>
    <w:p w:rsidR="00EB665C" w:rsidRDefault="002313B4" w:rsidP="00C45AC3">
      <w:pPr>
        <w:pStyle w:val="SingleTxtG"/>
      </w:pPr>
      <w:r>
        <w:t>1</w:t>
      </w:r>
      <w:r w:rsidR="0084791C">
        <w:t>4</w:t>
      </w:r>
      <w:r w:rsidR="00C45AC3">
        <w:t>.</w:t>
      </w:r>
      <w:r w:rsidR="00C45AC3">
        <w:tab/>
      </w:r>
      <w:r w:rsidR="007E7FE8">
        <w:t>The next steps of the RRT p</w:t>
      </w:r>
      <w:r w:rsidR="00EB665C">
        <w:t>rogramme are identified in ST/SG/AC.10/C.4/2014/95- ST/SG/AC.10/C.3/2014/19, see table in para 1.</w:t>
      </w:r>
    </w:p>
    <w:p w:rsidR="008077A2" w:rsidRPr="00C45AC3" w:rsidRDefault="00C45AC3" w:rsidP="00C45AC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90BAF" w:rsidRDefault="00A90BAF" w:rsidP="00C45AC3">
      <w:pPr>
        <w:pStyle w:val="SingleTxtG"/>
      </w:pPr>
    </w:p>
    <w:p w:rsidR="00A90BAF" w:rsidRDefault="00A90BAF" w:rsidP="00083A13">
      <w:pPr>
        <w:rPr>
          <w:b/>
        </w:rPr>
      </w:pPr>
    </w:p>
    <w:sectPr w:rsidR="00A90BAF" w:rsidSect="00E05E6F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C3C" w:rsidRDefault="00E12C3C"/>
  </w:endnote>
  <w:endnote w:type="continuationSeparator" w:id="0">
    <w:p w:rsidR="00E12C3C" w:rsidRDefault="00E12C3C"/>
  </w:endnote>
  <w:endnote w:type="continuationNotice" w:id="1">
    <w:p w:rsidR="00E12C3C" w:rsidRDefault="00E12C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C3C" w:rsidRPr="0099001C" w:rsidRDefault="00D4637B" w:rsidP="0099001C">
    <w:pPr>
      <w:pStyle w:val="Footer"/>
      <w:tabs>
        <w:tab w:val="right" w:pos="9638"/>
      </w:tabs>
      <w:rPr>
        <w:sz w:val="18"/>
      </w:rPr>
    </w:pPr>
    <w:r>
      <w:rPr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column">
                <wp:posOffset>8509000</wp:posOffset>
              </wp:positionH>
              <wp:positionV relativeFrom="paragraph">
                <wp:posOffset>-5629275</wp:posOffset>
              </wp:positionV>
              <wp:extent cx="381000" cy="1257300"/>
              <wp:effectExtent l="3175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2C3C" w:rsidRPr="00512AD1" w:rsidRDefault="00E12C3C" w:rsidP="00D44EAE">
                          <w:pPr>
                            <w:pStyle w:val="Header"/>
                            <w:pBdr>
                              <w:bottom w:val="single" w:sz="4" w:space="31" w:color="auto"/>
                            </w:pBdr>
                            <w:rPr>
                              <w:lang w:val="fr-CH"/>
                            </w:rPr>
                          </w:pPr>
                          <w:r>
                            <w:rPr>
                              <w:lang w:val="fr-CH"/>
                            </w:rPr>
                            <w:t>UN/SCETDG/37/INF.7</w:t>
                          </w:r>
                        </w:p>
                        <w:p w:rsidR="00E12C3C" w:rsidRDefault="00E12C3C" w:rsidP="00D44EAE"/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670pt;margin-top:-443.25pt;width:30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" stroked="f">
              <v:textbox style="layout-flow:vertical">
                <w:txbxContent>
                  <w:p w:rsidR="00E12C3C" w:rsidRPr="00512AD1" w:rsidRDefault="00E12C3C" w:rsidP="00D44EAE">
                    <w:pPr>
                      <w:pStyle w:val="Header"/>
                      <w:pBdr>
                        <w:bottom w:val="single" w:sz="4" w:space="31" w:color="auto"/>
                      </w:pBdr>
                      <w:rPr>
                        <w:lang w:val="fr-CH"/>
                      </w:rPr>
                    </w:pPr>
                    <w:r>
                      <w:rPr>
                        <w:lang w:val="fr-CH"/>
                      </w:rPr>
                      <w:t>UN/SCETDG/37/INF.7</w:t>
                    </w:r>
                  </w:p>
                  <w:p w:rsidR="00E12C3C" w:rsidRDefault="00E12C3C" w:rsidP="00D44EAE"/>
                </w:txbxContent>
              </v:textbox>
              <w10:anchorlock/>
            </v:shape>
          </w:pict>
        </mc:Fallback>
      </mc:AlternateContent>
    </w:r>
    <w:r w:rsidR="00D60B0D">
      <w:rPr>
        <w:rStyle w:val="PageNumber"/>
      </w:rPr>
      <w:fldChar w:fldCharType="begin"/>
    </w:r>
    <w:r w:rsidR="00E12C3C">
      <w:rPr>
        <w:rStyle w:val="PageNumber"/>
      </w:rPr>
      <w:instrText xml:space="preserve"> PAGE </w:instrText>
    </w:r>
    <w:r w:rsidR="00D60B0D">
      <w:rPr>
        <w:rStyle w:val="PageNumber"/>
      </w:rPr>
      <w:fldChar w:fldCharType="separate"/>
    </w:r>
    <w:r w:rsidR="00B17C43">
      <w:rPr>
        <w:rStyle w:val="PageNumber"/>
        <w:noProof/>
      </w:rPr>
      <w:t>2</w:t>
    </w:r>
    <w:r w:rsidR="00D60B0D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C3C" w:rsidRPr="0099001C" w:rsidRDefault="00D60B0D" w:rsidP="001E4813">
    <w:pPr>
      <w:pStyle w:val="Footer"/>
      <w:tabs>
        <w:tab w:val="right" w:pos="12600"/>
      </w:tabs>
      <w:jc w:val="right"/>
      <w:rPr>
        <w:b/>
        <w:sz w:val="18"/>
      </w:rPr>
    </w:pPr>
    <w:r>
      <w:rPr>
        <w:rStyle w:val="PageNumber"/>
      </w:rPr>
      <w:fldChar w:fldCharType="begin"/>
    </w:r>
    <w:r w:rsidR="00E12C3C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17C43">
      <w:rPr>
        <w:rStyle w:val="PageNumber"/>
        <w:noProof/>
      </w:rPr>
      <w:t>3</w:t>
    </w:r>
    <w:r>
      <w:rPr>
        <w:rStyle w:val="PageNumber"/>
      </w:rPr>
      <w:fldChar w:fldCharType="end"/>
    </w:r>
    <w:r w:rsidR="00D4637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column">
                <wp:posOffset>8509000</wp:posOffset>
              </wp:positionH>
              <wp:positionV relativeFrom="paragraph">
                <wp:posOffset>-1171575</wp:posOffset>
              </wp:positionV>
              <wp:extent cx="381000" cy="1257300"/>
              <wp:effectExtent l="3175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2C3C" w:rsidRPr="00512AD1" w:rsidRDefault="00E12C3C" w:rsidP="00D44EAE">
                          <w:pPr>
                            <w:pStyle w:val="Header"/>
                            <w:pBdr>
                              <w:bottom w:val="single" w:sz="4" w:space="31" w:color="auto"/>
                            </w:pBdr>
                            <w:rPr>
                              <w:lang w:val="fr-CH"/>
                            </w:rPr>
                          </w:pPr>
                          <w:r>
                            <w:rPr>
                              <w:lang w:val="fr-CH"/>
                            </w:rPr>
                            <w:t>UN/SCETDG/37/INF.7</w:t>
                          </w:r>
                        </w:p>
                        <w:p w:rsidR="00E12C3C" w:rsidRDefault="00E12C3C" w:rsidP="00D44EAE"/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670pt;margin-top:-92.25pt;width:30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" stroked="f">
              <v:textbox style="layout-flow:vertical">
                <w:txbxContent>
                  <w:p w:rsidR="00E12C3C" w:rsidRPr="00512AD1" w:rsidRDefault="00E12C3C" w:rsidP="00D44EAE">
                    <w:pPr>
                      <w:pStyle w:val="Header"/>
                      <w:pBdr>
                        <w:bottom w:val="single" w:sz="4" w:space="31" w:color="auto"/>
                      </w:pBdr>
                      <w:rPr>
                        <w:lang w:val="fr-CH"/>
                      </w:rPr>
                    </w:pPr>
                    <w:r>
                      <w:rPr>
                        <w:lang w:val="fr-CH"/>
                      </w:rPr>
                      <w:t>UN/SCETDG/37/INF.7</w:t>
                    </w:r>
                  </w:p>
                  <w:p w:rsidR="00E12C3C" w:rsidRDefault="00E12C3C" w:rsidP="00D44EAE"/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C3C" w:rsidRPr="0099001C" w:rsidRDefault="00D4637B"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5274945</wp:posOffset>
          </wp:positionH>
          <wp:positionV relativeFrom="paragraph">
            <wp:posOffset>-85725</wp:posOffset>
          </wp:positionV>
          <wp:extent cx="930275" cy="230505"/>
          <wp:effectExtent l="0" t="0" r="3175" b="0"/>
          <wp:wrapNone/>
          <wp:docPr id="12" name="Picture 1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column">
                <wp:posOffset>8636000</wp:posOffset>
              </wp:positionH>
              <wp:positionV relativeFrom="paragraph">
                <wp:posOffset>-5836920</wp:posOffset>
              </wp:positionV>
              <wp:extent cx="396875" cy="1419225"/>
              <wp:effectExtent l="0" t="190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1419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2C3C" w:rsidRPr="001811F3" w:rsidRDefault="00D4637B">
                          <w:pPr>
                            <w:rPr>
                              <w:b/>
                              <w:sz w:val="18"/>
                              <w:lang w:val="fr-CH"/>
                            </w:rPr>
                          </w:pPr>
                          <w:r>
                            <w:rPr>
                              <w:b/>
                              <w:noProof/>
                              <w:sz w:val="18"/>
                              <w:lang w:eastAsia="en-GB"/>
                            </w:rPr>
                            <w:drawing>
                              <wp:inline distT="0" distB="0" distL="0" distR="0">
                                <wp:extent cx="406400" cy="1327150"/>
                                <wp:effectExtent l="0" t="0" r="0" b="635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6400" cy="1327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vert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680pt;margin-top:-459.6pt;width:31.25pt;height:111.7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" stroked="f">
              <v:textbox style="layout-flow:vertical">
                <w:txbxContent>
                  <w:p w:rsidR="00E12C3C" w:rsidRPr="001811F3" w:rsidRDefault="00D4637B">
                    <w:pPr>
                      <w:rPr>
                        <w:b/>
                        <w:sz w:val="18"/>
                        <w:lang w:val="fr-CH"/>
                      </w:rPr>
                    </w:pPr>
                    <w:r>
                      <w:rPr>
                        <w:b/>
                        <w:noProof/>
                        <w:sz w:val="18"/>
                        <w:lang w:eastAsia="en-GB"/>
                      </w:rPr>
                      <w:drawing>
                        <wp:inline distT="0" distB="0" distL="0" distR="0">
                          <wp:extent cx="406400" cy="1327150"/>
                          <wp:effectExtent l="0" t="0" r="0" b="635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6400" cy="1327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  <w:r w:rsidR="00E12C3C">
      <w:t>GE.15-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C3C" w:rsidRPr="000B175B" w:rsidRDefault="00E12C3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12C3C" w:rsidRPr="00FC68B7" w:rsidRDefault="00E12C3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12C3C" w:rsidRDefault="00E12C3C"/>
  </w:footnote>
  <w:footnote w:id="2">
    <w:p w:rsidR="00E12C3C" w:rsidRPr="006547FF" w:rsidRDefault="00E12C3C" w:rsidP="005361F5">
      <w:pPr>
        <w:pStyle w:val="FootnoteText"/>
        <w:tabs>
          <w:tab w:val="left" w:pos="1418"/>
        </w:tabs>
        <w:ind w:firstLine="0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554D27">
        <w:t>In accordance with the programme of wo</w:t>
      </w:r>
      <w:r>
        <w:t>rk of the Sub-Committee for 2015</w:t>
      </w:r>
      <w:r w:rsidRPr="00554D27">
        <w:t>–201</w:t>
      </w:r>
      <w:r>
        <w:t>6</w:t>
      </w:r>
      <w:r w:rsidRPr="00554D27">
        <w:t xml:space="preserve"> approved by the Committee at its </w:t>
      </w:r>
      <w:r>
        <w:t>seven</w:t>
      </w:r>
      <w:r w:rsidRPr="00554D27">
        <w:t>th session (</w:t>
      </w:r>
      <w:r>
        <w:t>see</w:t>
      </w:r>
      <w:r w:rsidRPr="00554D27">
        <w:t xml:space="preserve"> </w:t>
      </w:r>
      <w:r w:rsidRPr="00A04E8C">
        <w:t>ST/SG/AC.10/C.3/92, paragraph 95</w:t>
      </w:r>
      <w:r>
        <w:t xml:space="preserve"> and ST/SG/AC.10/</w:t>
      </w:r>
      <w:r w:rsidRPr="00A04E8C">
        <w:t>4</w:t>
      </w:r>
      <w:r>
        <w:t>2</w:t>
      </w:r>
      <w:r w:rsidRPr="00A04E8C">
        <w:t>, para. 1</w:t>
      </w:r>
      <w:r>
        <w:t>5</w:t>
      </w:r>
      <w:r w:rsidRPr="00554D27"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C3C" w:rsidRPr="00FB3D8C" w:rsidRDefault="0084791C" w:rsidP="00FB3D8C">
    <w:pPr>
      <w:pStyle w:val="Header"/>
    </w:pPr>
    <w:r>
      <w:t>ST/SG/AC.10/C.3/2015/49</w:t>
    </w:r>
    <w:r w:rsidR="00F81429">
      <w:br/>
      <w:t>ST/SG/AC.10/C.4/2015/12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C3C" w:rsidRPr="001E4813" w:rsidRDefault="0084791C" w:rsidP="001E4813">
    <w:pPr>
      <w:pStyle w:val="Header"/>
      <w:jc w:val="right"/>
      <w:rPr>
        <w:lang w:val="fr-CH"/>
      </w:rPr>
    </w:pPr>
    <w:r>
      <w:rPr>
        <w:lang w:val="fr-CH"/>
      </w:rPr>
      <w:t>ST/SG/AC.10/C.3/2015/49</w:t>
    </w:r>
    <w:r w:rsidR="00F81429">
      <w:rPr>
        <w:lang w:val="fr-CH"/>
      </w:rPr>
      <w:br/>
      <w:t>ST/SG/AC.10/C.4/2015/12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0pt;height:18pt" o:bullet="t">
        <v:imagedata r:id="rId1" o:title=""/>
      </v:shape>
    </w:pict>
  </w:numPicBullet>
  <w:abstractNum w:abstractNumId="0">
    <w:nsid w:val="00211106"/>
    <w:multiLevelType w:val="multilevel"/>
    <w:tmpl w:val="72849632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9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14B4E9C"/>
    <w:multiLevelType w:val="hybridMultilevel"/>
    <w:tmpl w:val="FFCA7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E95B97"/>
    <w:multiLevelType w:val="multilevel"/>
    <w:tmpl w:val="FB628A22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4F81C80"/>
    <w:multiLevelType w:val="hybridMultilevel"/>
    <w:tmpl w:val="F2006C08"/>
    <w:lvl w:ilvl="0" w:tplc="FD86984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0D59DD"/>
    <w:multiLevelType w:val="hybridMultilevel"/>
    <w:tmpl w:val="D44CF84C"/>
    <w:lvl w:ilvl="0" w:tplc="61AC70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0AC192F"/>
    <w:multiLevelType w:val="hybridMultilevel"/>
    <w:tmpl w:val="741E22A6"/>
    <w:lvl w:ilvl="0" w:tplc="7946167C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cs="Times New Roman" w:hint="default"/>
      </w:rPr>
    </w:lvl>
    <w:lvl w:ilvl="1" w:tplc="F12816A8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2666D7B"/>
    <w:multiLevelType w:val="hybridMultilevel"/>
    <w:tmpl w:val="B19EA34C"/>
    <w:lvl w:ilvl="0" w:tplc="39388C4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28940118"/>
    <w:multiLevelType w:val="hybridMultilevel"/>
    <w:tmpl w:val="9A24E8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556B86"/>
    <w:multiLevelType w:val="hybridMultilevel"/>
    <w:tmpl w:val="A7481782"/>
    <w:lvl w:ilvl="0" w:tplc="06D228D4">
      <w:start w:val="1"/>
      <w:numFmt w:val="lowerLetter"/>
      <w:lvlText w:val="(%1)"/>
      <w:lvlJc w:val="left"/>
      <w:pPr>
        <w:tabs>
          <w:tab w:val="num" w:pos="2271"/>
        </w:tabs>
        <w:ind w:left="2271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0">
    <w:nsid w:val="2ECA257B"/>
    <w:multiLevelType w:val="hybridMultilevel"/>
    <w:tmpl w:val="3E90A262"/>
    <w:lvl w:ilvl="0" w:tplc="AC84F1B4">
      <w:start w:val="110"/>
      <w:numFmt w:val="decimal"/>
      <w:lvlText w:val="%1"/>
      <w:lvlJc w:val="left"/>
      <w:pPr>
        <w:tabs>
          <w:tab w:val="num" w:pos="2985"/>
        </w:tabs>
        <w:ind w:left="2985" w:hanging="16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1">
    <w:nsid w:val="32FD40E1"/>
    <w:multiLevelType w:val="hybridMultilevel"/>
    <w:tmpl w:val="0798BE22"/>
    <w:lvl w:ilvl="0" w:tplc="7858278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35913412"/>
    <w:multiLevelType w:val="hybridMultilevel"/>
    <w:tmpl w:val="97F043D8"/>
    <w:lvl w:ilvl="0" w:tplc="32DA1E4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37A91095"/>
    <w:multiLevelType w:val="hybridMultilevel"/>
    <w:tmpl w:val="8356F9A0"/>
    <w:lvl w:ilvl="0" w:tplc="2B6ACB68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40245CD9"/>
    <w:multiLevelType w:val="hybridMultilevel"/>
    <w:tmpl w:val="04882E16"/>
    <w:lvl w:ilvl="0" w:tplc="9DCACE32">
      <w:start w:val="1"/>
      <w:numFmt w:val="bullet"/>
      <w:lvlText w:val="a"/>
      <w:lvlJc w:val="left"/>
      <w:pPr>
        <w:ind w:left="360" w:hanging="360"/>
      </w:pPr>
      <w:rPr>
        <w:rFonts w:ascii="Webdings" w:hAnsi="Webdings" w:hint="default"/>
        <w:color w:val="1F497D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F32D0F"/>
    <w:multiLevelType w:val="hybridMultilevel"/>
    <w:tmpl w:val="9806B7A8"/>
    <w:lvl w:ilvl="0" w:tplc="9DCACE32">
      <w:start w:val="1"/>
      <w:numFmt w:val="bullet"/>
      <w:lvlText w:val="a"/>
      <w:lvlJc w:val="left"/>
      <w:pPr>
        <w:ind w:left="4374" w:hanging="360"/>
      </w:pPr>
      <w:rPr>
        <w:rFonts w:ascii="Webdings" w:hAnsi="Webdings" w:hint="default"/>
        <w:color w:val="1F497D"/>
      </w:rPr>
    </w:lvl>
    <w:lvl w:ilvl="1" w:tplc="040C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6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4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134" w:hanging="360"/>
      </w:pPr>
      <w:rPr>
        <w:rFonts w:ascii="Wingdings" w:hAnsi="Wingdings" w:hint="default"/>
      </w:rPr>
    </w:lvl>
  </w:abstractNum>
  <w:abstractNum w:abstractNumId="16">
    <w:nsid w:val="53AA7794"/>
    <w:multiLevelType w:val="hybridMultilevel"/>
    <w:tmpl w:val="91D4FB2A"/>
    <w:lvl w:ilvl="0" w:tplc="FFFFFFFF">
      <w:start w:val="3"/>
      <w:numFmt w:val="lowerRoman"/>
      <w:lvlText w:val="(%1)"/>
      <w:lvlJc w:val="left"/>
      <w:pPr>
        <w:tabs>
          <w:tab w:val="num" w:pos="1905"/>
        </w:tabs>
        <w:ind w:left="190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7">
    <w:nsid w:val="5CCE2091"/>
    <w:multiLevelType w:val="hybridMultilevel"/>
    <w:tmpl w:val="0142B066"/>
    <w:lvl w:ilvl="0" w:tplc="BCD02BAE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8">
    <w:nsid w:val="5F2E3E16"/>
    <w:multiLevelType w:val="hybridMultilevel"/>
    <w:tmpl w:val="25686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E1645C"/>
    <w:multiLevelType w:val="hybridMultilevel"/>
    <w:tmpl w:val="408825C2"/>
    <w:lvl w:ilvl="0" w:tplc="0A92C090">
      <w:start w:val="1"/>
      <w:numFmt w:val="decimal"/>
      <w:lvlText w:val="%1-"/>
      <w:lvlJc w:val="left"/>
      <w:pPr>
        <w:tabs>
          <w:tab w:val="num" w:pos="2839"/>
        </w:tabs>
        <w:ind w:left="283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59"/>
        </w:tabs>
        <w:ind w:left="35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79"/>
        </w:tabs>
        <w:ind w:left="42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99"/>
        </w:tabs>
        <w:ind w:left="49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19"/>
        </w:tabs>
        <w:ind w:left="57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39"/>
        </w:tabs>
        <w:ind w:left="64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59"/>
        </w:tabs>
        <w:ind w:left="71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79"/>
        </w:tabs>
        <w:ind w:left="78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99"/>
        </w:tabs>
        <w:ind w:left="8599" w:hanging="180"/>
      </w:pPr>
    </w:lvl>
  </w:abstractNum>
  <w:abstractNum w:abstractNumId="21">
    <w:nsid w:val="71E81394"/>
    <w:multiLevelType w:val="hybridMultilevel"/>
    <w:tmpl w:val="8AE6215A"/>
    <w:lvl w:ilvl="0" w:tplc="F07EDA76">
      <w:start w:val="1"/>
      <w:numFmt w:val="bullet"/>
      <w:lvlText w:val=""/>
      <w:lvlJc w:val="left"/>
      <w:pPr>
        <w:tabs>
          <w:tab w:val="num" w:pos="952"/>
        </w:tabs>
        <w:ind w:left="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64"/>
        </w:tabs>
        <w:ind w:left="9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84"/>
        </w:tabs>
        <w:ind w:left="1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04"/>
        </w:tabs>
        <w:ind w:left="2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24"/>
        </w:tabs>
        <w:ind w:left="31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44"/>
        </w:tabs>
        <w:ind w:left="3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64"/>
        </w:tabs>
        <w:ind w:left="4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84"/>
        </w:tabs>
        <w:ind w:left="52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04"/>
        </w:tabs>
        <w:ind w:left="6004" w:hanging="360"/>
      </w:pPr>
      <w:rPr>
        <w:rFonts w:ascii="Wingdings" w:hAnsi="Wingdings" w:hint="default"/>
      </w:rPr>
    </w:lvl>
  </w:abstractNum>
  <w:abstractNum w:abstractNumId="22">
    <w:nsid w:val="7377697B"/>
    <w:multiLevelType w:val="hybridMultilevel"/>
    <w:tmpl w:val="2EE681CA"/>
    <w:lvl w:ilvl="0" w:tplc="E26A9B16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9"/>
  </w:num>
  <w:num w:numId="3">
    <w:abstractNumId w:val="0"/>
  </w:num>
  <w:num w:numId="4">
    <w:abstractNumId w:val="21"/>
  </w:num>
  <w:num w:numId="5">
    <w:abstractNumId w:val="16"/>
  </w:num>
  <w:num w:numId="6">
    <w:abstractNumId w:val="3"/>
  </w:num>
  <w:num w:numId="7">
    <w:abstractNumId w:val="6"/>
  </w:num>
  <w:num w:numId="8">
    <w:abstractNumId w:val="13"/>
  </w:num>
  <w:num w:numId="9">
    <w:abstractNumId w:val="20"/>
  </w:num>
  <w:num w:numId="10">
    <w:abstractNumId w:val="10"/>
  </w:num>
  <w:num w:numId="11">
    <w:abstractNumId w:val="1"/>
  </w:num>
  <w:num w:numId="12">
    <w:abstractNumId w:val="9"/>
  </w:num>
  <w:num w:numId="13">
    <w:abstractNumId w:val="22"/>
  </w:num>
  <w:num w:numId="14">
    <w:abstractNumId w:val="17"/>
  </w:num>
  <w:num w:numId="15">
    <w:abstractNumId w:val="18"/>
  </w:num>
  <w:num w:numId="16">
    <w:abstractNumId w:val="8"/>
  </w:num>
  <w:num w:numId="17">
    <w:abstractNumId w:val="4"/>
  </w:num>
  <w:num w:numId="18">
    <w:abstractNumId w:val="5"/>
  </w:num>
  <w:num w:numId="19">
    <w:abstractNumId w:val="12"/>
  </w:num>
  <w:num w:numId="20">
    <w:abstractNumId w:val="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n-AU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1C"/>
    <w:rsid w:val="00002EFA"/>
    <w:rsid w:val="00003332"/>
    <w:rsid w:val="000171FC"/>
    <w:rsid w:val="00025C10"/>
    <w:rsid w:val="000261F6"/>
    <w:rsid w:val="00034899"/>
    <w:rsid w:val="000426AF"/>
    <w:rsid w:val="00050F6B"/>
    <w:rsid w:val="0005340B"/>
    <w:rsid w:val="00057262"/>
    <w:rsid w:val="00057EF1"/>
    <w:rsid w:val="00060C82"/>
    <w:rsid w:val="00067341"/>
    <w:rsid w:val="00072C8C"/>
    <w:rsid w:val="0007325A"/>
    <w:rsid w:val="00083A13"/>
    <w:rsid w:val="00086D5D"/>
    <w:rsid w:val="000931C0"/>
    <w:rsid w:val="00094053"/>
    <w:rsid w:val="000B0DCA"/>
    <w:rsid w:val="000B175B"/>
    <w:rsid w:val="000B3A0F"/>
    <w:rsid w:val="000C64FF"/>
    <w:rsid w:val="000C69A6"/>
    <w:rsid w:val="000D13B5"/>
    <w:rsid w:val="000E0415"/>
    <w:rsid w:val="000E2262"/>
    <w:rsid w:val="000E2FEC"/>
    <w:rsid w:val="00105FDD"/>
    <w:rsid w:val="0011529F"/>
    <w:rsid w:val="001156AA"/>
    <w:rsid w:val="001220B8"/>
    <w:rsid w:val="001262C0"/>
    <w:rsid w:val="00126EA1"/>
    <w:rsid w:val="00133C7A"/>
    <w:rsid w:val="00133ED6"/>
    <w:rsid w:val="00137553"/>
    <w:rsid w:val="001418E8"/>
    <w:rsid w:val="00145FFD"/>
    <w:rsid w:val="00153BE2"/>
    <w:rsid w:val="001604C0"/>
    <w:rsid w:val="00161DED"/>
    <w:rsid w:val="00162157"/>
    <w:rsid w:val="00162703"/>
    <w:rsid w:val="00172A5D"/>
    <w:rsid w:val="00173C41"/>
    <w:rsid w:val="00173E97"/>
    <w:rsid w:val="001811F3"/>
    <w:rsid w:val="001832E3"/>
    <w:rsid w:val="00186037"/>
    <w:rsid w:val="001B4B04"/>
    <w:rsid w:val="001B7882"/>
    <w:rsid w:val="001C0A2D"/>
    <w:rsid w:val="001C22F5"/>
    <w:rsid w:val="001C6663"/>
    <w:rsid w:val="001C7895"/>
    <w:rsid w:val="001D26DF"/>
    <w:rsid w:val="001D3183"/>
    <w:rsid w:val="001E0EC3"/>
    <w:rsid w:val="001E2993"/>
    <w:rsid w:val="001E2A42"/>
    <w:rsid w:val="001E428B"/>
    <w:rsid w:val="001E4813"/>
    <w:rsid w:val="00202F2F"/>
    <w:rsid w:val="0020313C"/>
    <w:rsid w:val="00211E0B"/>
    <w:rsid w:val="00220C2D"/>
    <w:rsid w:val="002313B4"/>
    <w:rsid w:val="00232E70"/>
    <w:rsid w:val="002405A7"/>
    <w:rsid w:val="00240C33"/>
    <w:rsid w:val="00241101"/>
    <w:rsid w:val="00246F3E"/>
    <w:rsid w:val="002474F6"/>
    <w:rsid w:val="00260DAB"/>
    <w:rsid w:val="00267F1A"/>
    <w:rsid w:val="00270492"/>
    <w:rsid w:val="002775FB"/>
    <w:rsid w:val="00280C9A"/>
    <w:rsid w:val="00281563"/>
    <w:rsid w:val="00291560"/>
    <w:rsid w:val="0029653B"/>
    <w:rsid w:val="002A77EF"/>
    <w:rsid w:val="002B4232"/>
    <w:rsid w:val="002D5E30"/>
    <w:rsid w:val="002D78BB"/>
    <w:rsid w:val="002E03D9"/>
    <w:rsid w:val="002E42C4"/>
    <w:rsid w:val="002E45A0"/>
    <w:rsid w:val="002E4DC6"/>
    <w:rsid w:val="002E6B09"/>
    <w:rsid w:val="002F5830"/>
    <w:rsid w:val="002F6E0F"/>
    <w:rsid w:val="00302CC0"/>
    <w:rsid w:val="003069D1"/>
    <w:rsid w:val="003107FA"/>
    <w:rsid w:val="00311C15"/>
    <w:rsid w:val="00317109"/>
    <w:rsid w:val="003229D8"/>
    <w:rsid w:val="00330D86"/>
    <w:rsid w:val="00334089"/>
    <w:rsid w:val="0033745A"/>
    <w:rsid w:val="00351AA4"/>
    <w:rsid w:val="00355FB8"/>
    <w:rsid w:val="00361EA7"/>
    <w:rsid w:val="0036347F"/>
    <w:rsid w:val="00365502"/>
    <w:rsid w:val="003742FC"/>
    <w:rsid w:val="00391104"/>
    <w:rsid w:val="0039277A"/>
    <w:rsid w:val="003972E0"/>
    <w:rsid w:val="00397DE2"/>
    <w:rsid w:val="003A2B2B"/>
    <w:rsid w:val="003A7F0D"/>
    <w:rsid w:val="003B0241"/>
    <w:rsid w:val="003C2CC4"/>
    <w:rsid w:val="003C3936"/>
    <w:rsid w:val="003C4745"/>
    <w:rsid w:val="003D4B23"/>
    <w:rsid w:val="003D5BA1"/>
    <w:rsid w:val="003E7507"/>
    <w:rsid w:val="003F08D2"/>
    <w:rsid w:val="003F1ED3"/>
    <w:rsid w:val="003F32D9"/>
    <w:rsid w:val="003F6500"/>
    <w:rsid w:val="00403098"/>
    <w:rsid w:val="004143A7"/>
    <w:rsid w:val="00424A40"/>
    <w:rsid w:val="004325CB"/>
    <w:rsid w:val="00435EE3"/>
    <w:rsid w:val="00436DEF"/>
    <w:rsid w:val="00442BB5"/>
    <w:rsid w:val="00446DE4"/>
    <w:rsid w:val="00447ACD"/>
    <w:rsid w:val="004501A7"/>
    <w:rsid w:val="00453490"/>
    <w:rsid w:val="0047127E"/>
    <w:rsid w:val="004735DE"/>
    <w:rsid w:val="0047798C"/>
    <w:rsid w:val="0048539B"/>
    <w:rsid w:val="0049238A"/>
    <w:rsid w:val="004936EA"/>
    <w:rsid w:val="004949D0"/>
    <w:rsid w:val="004A0699"/>
    <w:rsid w:val="004A0F33"/>
    <w:rsid w:val="004A41CA"/>
    <w:rsid w:val="004A6506"/>
    <w:rsid w:val="004A7FFD"/>
    <w:rsid w:val="004B1385"/>
    <w:rsid w:val="004B40B2"/>
    <w:rsid w:val="004C2808"/>
    <w:rsid w:val="004C3136"/>
    <w:rsid w:val="004E0E90"/>
    <w:rsid w:val="004F4928"/>
    <w:rsid w:val="004F721F"/>
    <w:rsid w:val="004F7E77"/>
    <w:rsid w:val="00503228"/>
    <w:rsid w:val="00505384"/>
    <w:rsid w:val="00512AD1"/>
    <w:rsid w:val="00514641"/>
    <w:rsid w:val="0053290B"/>
    <w:rsid w:val="005361F5"/>
    <w:rsid w:val="005414C0"/>
    <w:rsid w:val="005420F2"/>
    <w:rsid w:val="0054225A"/>
    <w:rsid w:val="00557BBE"/>
    <w:rsid w:val="005602BC"/>
    <w:rsid w:val="0056340C"/>
    <w:rsid w:val="00564A8C"/>
    <w:rsid w:val="0056584E"/>
    <w:rsid w:val="00567492"/>
    <w:rsid w:val="00567C01"/>
    <w:rsid w:val="00592B8C"/>
    <w:rsid w:val="005964D7"/>
    <w:rsid w:val="00596940"/>
    <w:rsid w:val="005A1F77"/>
    <w:rsid w:val="005A6006"/>
    <w:rsid w:val="005B12DD"/>
    <w:rsid w:val="005B18A8"/>
    <w:rsid w:val="005B3DB3"/>
    <w:rsid w:val="005B675E"/>
    <w:rsid w:val="005B793F"/>
    <w:rsid w:val="005D01BA"/>
    <w:rsid w:val="005D0566"/>
    <w:rsid w:val="005E3584"/>
    <w:rsid w:val="005F1684"/>
    <w:rsid w:val="005F491C"/>
    <w:rsid w:val="005F57B5"/>
    <w:rsid w:val="00603986"/>
    <w:rsid w:val="00610339"/>
    <w:rsid w:val="00610B44"/>
    <w:rsid w:val="00611FB1"/>
    <w:rsid w:val="00611FC4"/>
    <w:rsid w:val="00612594"/>
    <w:rsid w:val="00613135"/>
    <w:rsid w:val="00613225"/>
    <w:rsid w:val="0061540F"/>
    <w:rsid w:val="006176FB"/>
    <w:rsid w:val="00624CB0"/>
    <w:rsid w:val="00627ED0"/>
    <w:rsid w:val="00633F2A"/>
    <w:rsid w:val="0063576C"/>
    <w:rsid w:val="006362E9"/>
    <w:rsid w:val="00640B26"/>
    <w:rsid w:val="0064418D"/>
    <w:rsid w:val="00645215"/>
    <w:rsid w:val="006522E7"/>
    <w:rsid w:val="00652520"/>
    <w:rsid w:val="00665016"/>
    <w:rsid w:val="00665396"/>
    <w:rsid w:val="00665595"/>
    <w:rsid w:val="006866B1"/>
    <w:rsid w:val="00695A9B"/>
    <w:rsid w:val="006964C6"/>
    <w:rsid w:val="006A2628"/>
    <w:rsid w:val="006A2AD9"/>
    <w:rsid w:val="006A2B0E"/>
    <w:rsid w:val="006A7392"/>
    <w:rsid w:val="006A7A99"/>
    <w:rsid w:val="006B4ADA"/>
    <w:rsid w:val="006C52A3"/>
    <w:rsid w:val="006D5429"/>
    <w:rsid w:val="006D7CD5"/>
    <w:rsid w:val="006E0290"/>
    <w:rsid w:val="006E564B"/>
    <w:rsid w:val="006F02D2"/>
    <w:rsid w:val="006F19E0"/>
    <w:rsid w:val="006F1EFF"/>
    <w:rsid w:val="006F51E2"/>
    <w:rsid w:val="006F62A8"/>
    <w:rsid w:val="007022A6"/>
    <w:rsid w:val="007032EE"/>
    <w:rsid w:val="00704BCD"/>
    <w:rsid w:val="00707019"/>
    <w:rsid w:val="007218CD"/>
    <w:rsid w:val="0072632A"/>
    <w:rsid w:val="007327B6"/>
    <w:rsid w:val="00733AAE"/>
    <w:rsid w:val="00744DCF"/>
    <w:rsid w:val="00750DA2"/>
    <w:rsid w:val="00771D8B"/>
    <w:rsid w:val="00772712"/>
    <w:rsid w:val="00772BD6"/>
    <w:rsid w:val="00773288"/>
    <w:rsid w:val="0077426A"/>
    <w:rsid w:val="00774A1A"/>
    <w:rsid w:val="00780488"/>
    <w:rsid w:val="00782570"/>
    <w:rsid w:val="00783A99"/>
    <w:rsid w:val="00784BBB"/>
    <w:rsid w:val="00794225"/>
    <w:rsid w:val="0079606E"/>
    <w:rsid w:val="00796E0D"/>
    <w:rsid w:val="007A1923"/>
    <w:rsid w:val="007B3310"/>
    <w:rsid w:val="007B5103"/>
    <w:rsid w:val="007B5960"/>
    <w:rsid w:val="007B6BA5"/>
    <w:rsid w:val="007B74CC"/>
    <w:rsid w:val="007C3390"/>
    <w:rsid w:val="007C4F4B"/>
    <w:rsid w:val="007C4F77"/>
    <w:rsid w:val="007D1BCB"/>
    <w:rsid w:val="007D3ADF"/>
    <w:rsid w:val="007D4DE2"/>
    <w:rsid w:val="007E028F"/>
    <w:rsid w:val="007E0778"/>
    <w:rsid w:val="007E7FE8"/>
    <w:rsid w:val="007F0B83"/>
    <w:rsid w:val="007F272B"/>
    <w:rsid w:val="007F4FCD"/>
    <w:rsid w:val="007F6611"/>
    <w:rsid w:val="007F768B"/>
    <w:rsid w:val="00805178"/>
    <w:rsid w:val="008077A2"/>
    <w:rsid w:val="008175E9"/>
    <w:rsid w:val="008242D7"/>
    <w:rsid w:val="00826BFB"/>
    <w:rsid w:val="00827E05"/>
    <w:rsid w:val="00830DAF"/>
    <w:rsid w:val="008311A3"/>
    <w:rsid w:val="008467F9"/>
    <w:rsid w:val="0084791C"/>
    <w:rsid w:val="008506EA"/>
    <w:rsid w:val="008577F2"/>
    <w:rsid w:val="0086423F"/>
    <w:rsid w:val="008703E7"/>
    <w:rsid w:val="00871FD5"/>
    <w:rsid w:val="008729DD"/>
    <w:rsid w:val="00872C11"/>
    <w:rsid w:val="00876710"/>
    <w:rsid w:val="00876A0D"/>
    <w:rsid w:val="00884D20"/>
    <w:rsid w:val="00887A9C"/>
    <w:rsid w:val="008979B1"/>
    <w:rsid w:val="008A296D"/>
    <w:rsid w:val="008A6B25"/>
    <w:rsid w:val="008A6C4F"/>
    <w:rsid w:val="008B01F9"/>
    <w:rsid w:val="008B51D4"/>
    <w:rsid w:val="008B6F6E"/>
    <w:rsid w:val="008D54CD"/>
    <w:rsid w:val="008E09AC"/>
    <w:rsid w:val="008E0E46"/>
    <w:rsid w:val="008E3D2D"/>
    <w:rsid w:val="008E6A29"/>
    <w:rsid w:val="008F1782"/>
    <w:rsid w:val="008F4AB2"/>
    <w:rsid w:val="00903E58"/>
    <w:rsid w:val="00906E93"/>
    <w:rsid w:val="00907AD2"/>
    <w:rsid w:val="009104B2"/>
    <w:rsid w:val="009111C7"/>
    <w:rsid w:val="0091455F"/>
    <w:rsid w:val="00921B66"/>
    <w:rsid w:val="00922876"/>
    <w:rsid w:val="0092443A"/>
    <w:rsid w:val="00925353"/>
    <w:rsid w:val="00927CB6"/>
    <w:rsid w:val="00934214"/>
    <w:rsid w:val="00934744"/>
    <w:rsid w:val="009402C2"/>
    <w:rsid w:val="0094031E"/>
    <w:rsid w:val="00940685"/>
    <w:rsid w:val="00941D3C"/>
    <w:rsid w:val="00951741"/>
    <w:rsid w:val="009616A8"/>
    <w:rsid w:val="009619F2"/>
    <w:rsid w:val="00963CBA"/>
    <w:rsid w:val="009647D9"/>
    <w:rsid w:val="009650BE"/>
    <w:rsid w:val="009727E1"/>
    <w:rsid w:val="00973F12"/>
    <w:rsid w:val="009749EA"/>
    <w:rsid w:val="00974A8D"/>
    <w:rsid w:val="00975AAB"/>
    <w:rsid w:val="009772DC"/>
    <w:rsid w:val="0097794A"/>
    <w:rsid w:val="0099001C"/>
    <w:rsid w:val="00991261"/>
    <w:rsid w:val="009912E0"/>
    <w:rsid w:val="009A1965"/>
    <w:rsid w:val="009A3BA9"/>
    <w:rsid w:val="009B10F0"/>
    <w:rsid w:val="009B4ACF"/>
    <w:rsid w:val="009C418B"/>
    <w:rsid w:val="009D1BEF"/>
    <w:rsid w:val="009F3A17"/>
    <w:rsid w:val="009F4329"/>
    <w:rsid w:val="00A071D1"/>
    <w:rsid w:val="00A11C1F"/>
    <w:rsid w:val="00A1427D"/>
    <w:rsid w:val="00A1540E"/>
    <w:rsid w:val="00A237DE"/>
    <w:rsid w:val="00A3172C"/>
    <w:rsid w:val="00A33628"/>
    <w:rsid w:val="00A36A24"/>
    <w:rsid w:val="00A37B8D"/>
    <w:rsid w:val="00A4329A"/>
    <w:rsid w:val="00A4390F"/>
    <w:rsid w:val="00A47FEB"/>
    <w:rsid w:val="00A51BA2"/>
    <w:rsid w:val="00A72F22"/>
    <w:rsid w:val="00A748A6"/>
    <w:rsid w:val="00A805EB"/>
    <w:rsid w:val="00A879A4"/>
    <w:rsid w:val="00A90BAF"/>
    <w:rsid w:val="00A9352A"/>
    <w:rsid w:val="00AB6DCD"/>
    <w:rsid w:val="00AC0759"/>
    <w:rsid w:val="00AC3F5A"/>
    <w:rsid w:val="00AD3A50"/>
    <w:rsid w:val="00AD701B"/>
    <w:rsid w:val="00AD7C47"/>
    <w:rsid w:val="00AE07A7"/>
    <w:rsid w:val="00AE3D03"/>
    <w:rsid w:val="00AE52B5"/>
    <w:rsid w:val="00AF04A4"/>
    <w:rsid w:val="00AF0D0C"/>
    <w:rsid w:val="00AF4E86"/>
    <w:rsid w:val="00AF5976"/>
    <w:rsid w:val="00B109BD"/>
    <w:rsid w:val="00B10A66"/>
    <w:rsid w:val="00B12377"/>
    <w:rsid w:val="00B12EF7"/>
    <w:rsid w:val="00B16420"/>
    <w:rsid w:val="00B16F5D"/>
    <w:rsid w:val="00B17C43"/>
    <w:rsid w:val="00B30179"/>
    <w:rsid w:val="00B304B1"/>
    <w:rsid w:val="00B33D93"/>
    <w:rsid w:val="00B33EC0"/>
    <w:rsid w:val="00B356B8"/>
    <w:rsid w:val="00B35B6B"/>
    <w:rsid w:val="00B37A59"/>
    <w:rsid w:val="00B45CC5"/>
    <w:rsid w:val="00B52A3E"/>
    <w:rsid w:val="00B55627"/>
    <w:rsid w:val="00B6108E"/>
    <w:rsid w:val="00B64908"/>
    <w:rsid w:val="00B712CD"/>
    <w:rsid w:val="00B72447"/>
    <w:rsid w:val="00B81E12"/>
    <w:rsid w:val="00BA0EA4"/>
    <w:rsid w:val="00BA6971"/>
    <w:rsid w:val="00BC6323"/>
    <w:rsid w:val="00BC74E9"/>
    <w:rsid w:val="00BD14E2"/>
    <w:rsid w:val="00BD2146"/>
    <w:rsid w:val="00BD2A07"/>
    <w:rsid w:val="00BD4FA8"/>
    <w:rsid w:val="00BD6B83"/>
    <w:rsid w:val="00BE4F74"/>
    <w:rsid w:val="00BE618E"/>
    <w:rsid w:val="00BF0594"/>
    <w:rsid w:val="00BF5C71"/>
    <w:rsid w:val="00BF6291"/>
    <w:rsid w:val="00C04153"/>
    <w:rsid w:val="00C143B4"/>
    <w:rsid w:val="00C17699"/>
    <w:rsid w:val="00C27434"/>
    <w:rsid w:val="00C309A6"/>
    <w:rsid w:val="00C31B61"/>
    <w:rsid w:val="00C3396E"/>
    <w:rsid w:val="00C36BE7"/>
    <w:rsid w:val="00C407EE"/>
    <w:rsid w:val="00C41A28"/>
    <w:rsid w:val="00C45639"/>
    <w:rsid w:val="00C45AC3"/>
    <w:rsid w:val="00C463DD"/>
    <w:rsid w:val="00C54CCB"/>
    <w:rsid w:val="00C54FF0"/>
    <w:rsid w:val="00C65812"/>
    <w:rsid w:val="00C70D56"/>
    <w:rsid w:val="00C73C64"/>
    <w:rsid w:val="00C745C3"/>
    <w:rsid w:val="00C74DB9"/>
    <w:rsid w:val="00C756ED"/>
    <w:rsid w:val="00C75C4B"/>
    <w:rsid w:val="00C77A18"/>
    <w:rsid w:val="00C84FF4"/>
    <w:rsid w:val="00C85660"/>
    <w:rsid w:val="00C87A98"/>
    <w:rsid w:val="00C92E61"/>
    <w:rsid w:val="00C94465"/>
    <w:rsid w:val="00CA4B0E"/>
    <w:rsid w:val="00CA5B67"/>
    <w:rsid w:val="00CD455E"/>
    <w:rsid w:val="00CE3368"/>
    <w:rsid w:val="00CE4A8F"/>
    <w:rsid w:val="00CE5435"/>
    <w:rsid w:val="00CF15D6"/>
    <w:rsid w:val="00CF41EA"/>
    <w:rsid w:val="00CF5B31"/>
    <w:rsid w:val="00D0099B"/>
    <w:rsid w:val="00D02F6D"/>
    <w:rsid w:val="00D11A2D"/>
    <w:rsid w:val="00D2031B"/>
    <w:rsid w:val="00D2038D"/>
    <w:rsid w:val="00D228C0"/>
    <w:rsid w:val="00D25FE2"/>
    <w:rsid w:val="00D317BB"/>
    <w:rsid w:val="00D3344B"/>
    <w:rsid w:val="00D43252"/>
    <w:rsid w:val="00D4433A"/>
    <w:rsid w:val="00D44EAE"/>
    <w:rsid w:val="00D4637B"/>
    <w:rsid w:val="00D60B0D"/>
    <w:rsid w:val="00D804C8"/>
    <w:rsid w:val="00D8399D"/>
    <w:rsid w:val="00D86420"/>
    <w:rsid w:val="00D924F4"/>
    <w:rsid w:val="00D978C6"/>
    <w:rsid w:val="00D978F3"/>
    <w:rsid w:val="00DA67AD"/>
    <w:rsid w:val="00DB5D0F"/>
    <w:rsid w:val="00DC1A84"/>
    <w:rsid w:val="00DC3242"/>
    <w:rsid w:val="00DD222A"/>
    <w:rsid w:val="00DE3A0C"/>
    <w:rsid w:val="00DE78DA"/>
    <w:rsid w:val="00DF12F7"/>
    <w:rsid w:val="00E02C81"/>
    <w:rsid w:val="00E05E6F"/>
    <w:rsid w:val="00E12C3C"/>
    <w:rsid w:val="00E130AB"/>
    <w:rsid w:val="00E201CB"/>
    <w:rsid w:val="00E2307D"/>
    <w:rsid w:val="00E24B3E"/>
    <w:rsid w:val="00E31E80"/>
    <w:rsid w:val="00E326F4"/>
    <w:rsid w:val="00E37E28"/>
    <w:rsid w:val="00E4094C"/>
    <w:rsid w:val="00E41868"/>
    <w:rsid w:val="00E42808"/>
    <w:rsid w:val="00E43853"/>
    <w:rsid w:val="00E470C5"/>
    <w:rsid w:val="00E54137"/>
    <w:rsid w:val="00E54CFD"/>
    <w:rsid w:val="00E57497"/>
    <w:rsid w:val="00E62142"/>
    <w:rsid w:val="00E7260F"/>
    <w:rsid w:val="00E7733E"/>
    <w:rsid w:val="00E87921"/>
    <w:rsid w:val="00E93B8F"/>
    <w:rsid w:val="00E96630"/>
    <w:rsid w:val="00EA264E"/>
    <w:rsid w:val="00EA5690"/>
    <w:rsid w:val="00EB31E8"/>
    <w:rsid w:val="00EB665C"/>
    <w:rsid w:val="00EB7B03"/>
    <w:rsid w:val="00EC3D7E"/>
    <w:rsid w:val="00EC5A8A"/>
    <w:rsid w:val="00EC7CB8"/>
    <w:rsid w:val="00ED42EB"/>
    <w:rsid w:val="00ED7A2A"/>
    <w:rsid w:val="00ED7E78"/>
    <w:rsid w:val="00EE6D04"/>
    <w:rsid w:val="00EF1D7F"/>
    <w:rsid w:val="00EF381F"/>
    <w:rsid w:val="00EF66AA"/>
    <w:rsid w:val="00F0058A"/>
    <w:rsid w:val="00F065D0"/>
    <w:rsid w:val="00F10CCD"/>
    <w:rsid w:val="00F13FE3"/>
    <w:rsid w:val="00F14C89"/>
    <w:rsid w:val="00F227EE"/>
    <w:rsid w:val="00F4559F"/>
    <w:rsid w:val="00F461BF"/>
    <w:rsid w:val="00F50610"/>
    <w:rsid w:val="00F53EDA"/>
    <w:rsid w:val="00F54D72"/>
    <w:rsid w:val="00F56BFE"/>
    <w:rsid w:val="00F6227B"/>
    <w:rsid w:val="00F708A8"/>
    <w:rsid w:val="00F719A2"/>
    <w:rsid w:val="00F7753D"/>
    <w:rsid w:val="00F805CA"/>
    <w:rsid w:val="00F80636"/>
    <w:rsid w:val="00F81429"/>
    <w:rsid w:val="00F83C0F"/>
    <w:rsid w:val="00F85F34"/>
    <w:rsid w:val="00F95DAC"/>
    <w:rsid w:val="00FA06F7"/>
    <w:rsid w:val="00FA5CA3"/>
    <w:rsid w:val="00FB171A"/>
    <w:rsid w:val="00FB3D8C"/>
    <w:rsid w:val="00FC24D4"/>
    <w:rsid w:val="00FC68B7"/>
    <w:rsid w:val="00FD0E1B"/>
    <w:rsid w:val="00FD3F13"/>
    <w:rsid w:val="00FD7BF6"/>
    <w:rsid w:val="00FE13F7"/>
    <w:rsid w:val="00FE646C"/>
    <w:rsid w:val="00FF0EC1"/>
    <w:rsid w:val="00FF116A"/>
    <w:rsid w:val="00FF5677"/>
    <w:rsid w:val="00F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styleId="FootnoteReference">
    <w:name w:val="footnote reference"/>
    <w:aliases w:val="4_G,Footnote Reference/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uiPriority w:val="99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tyle1">
    <w:name w:val="Style1"/>
    <w:basedOn w:val="Normal"/>
    <w:rsid w:val="004A7FFD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customStyle="1" w:styleId="NumDocPara">
    <w:name w:val="Num©Doc Para"/>
    <w:basedOn w:val="Normal"/>
    <w:rsid w:val="00133C7A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pacing w:line="240" w:lineRule="auto"/>
    </w:pPr>
    <w:rPr>
      <w:snapToGrid w:val="0"/>
      <w:sz w:val="22"/>
      <w:lang w:val="en-US"/>
    </w:rPr>
  </w:style>
  <w:style w:type="paragraph" w:styleId="BodyText">
    <w:name w:val="Body Text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styleId="BodyTextIndent">
    <w:name w:val="Body Text Indent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1985" w:hanging="567"/>
      <w:jc w:val="both"/>
    </w:pPr>
    <w:rPr>
      <w:sz w:val="22"/>
    </w:rPr>
  </w:style>
  <w:style w:type="paragraph" w:styleId="BodyTextIndent2">
    <w:name w:val="Body Text Indent 2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1134"/>
      <w:jc w:val="both"/>
    </w:pPr>
    <w:rPr>
      <w:sz w:val="22"/>
    </w:rPr>
  </w:style>
  <w:style w:type="paragraph" w:styleId="BodyTextIndent3">
    <w:name w:val="Body Text Indent 3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567"/>
      <w:jc w:val="both"/>
    </w:pPr>
    <w:rPr>
      <w:sz w:val="22"/>
    </w:rPr>
  </w:style>
  <w:style w:type="paragraph" w:styleId="BodyText2">
    <w:name w:val="Body Text 2"/>
    <w:basedOn w:val="Normal"/>
    <w:rsid w:val="00FE13F7"/>
    <w:pPr>
      <w:tabs>
        <w:tab w:val="left" w:pos="-43"/>
        <w:tab w:val="left" w:pos="240"/>
        <w:tab w:val="left" w:pos="556"/>
        <w:tab w:val="left" w:pos="1126"/>
        <w:tab w:val="left" w:pos="1418"/>
        <w:tab w:val="left" w:pos="1846"/>
        <w:tab w:val="left" w:pos="1985"/>
        <w:tab w:val="left" w:pos="2566"/>
        <w:tab w:val="left" w:pos="3119"/>
        <w:tab w:val="left" w:pos="3286"/>
        <w:tab w:val="left" w:pos="3686"/>
        <w:tab w:val="left" w:pos="4006"/>
        <w:tab w:val="left" w:pos="4253"/>
        <w:tab w:val="left" w:pos="4726"/>
        <w:tab w:val="left" w:pos="4820"/>
        <w:tab w:val="left" w:pos="5446"/>
        <w:tab w:val="left" w:pos="6166"/>
        <w:tab w:val="left" w:pos="6886"/>
        <w:tab w:val="left" w:pos="7606"/>
        <w:tab w:val="left" w:pos="8326"/>
        <w:tab w:val="left" w:pos="9046"/>
        <w:tab w:val="left" w:pos="9316"/>
      </w:tabs>
      <w:suppressAutoHyphens w:val="0"/>
      <w:spacing w:before="40" w:after="40" w:line="240" w:lineRule="auto"/>
    </w:pPr>
    <w:rPr>
      <w:b/>
      <w:sz w:val="22"/>
    </w:rPr>
  </w:style>
  <w:style w:type="paragraph" w:styleId="BodyText3">
    <w:name w:val="Body Text 3"/>
    <w:basedOn w:val="Normal"/>
    <w:rsid w:val="00FE13F7"/>
    <w:pPr>
      <w:keepNext/>
      <w:keepLines/>
      <w:tabs>
        <w:tab w:val="left" w:pos="-22"/>
        <w:tab w:val="left" w:pos="1076"/>
        <w:tab w:val="left" w:pos="1418"/>
        <w:tab w:val="left" w:pos="1700"/>
        <w:tab w:val="left" w:pos="1985"/>
        <w:tab w:val="left" w:pos="2244"/>
        <w:tab w:val="left" w:pos="2552"/>
        <w:tab w:val="left" w:pos="2834"/>
        <w:tab w:val="left" w:pos="3119"/>
        <w:tab w:val="left" w:pos="3378"/>
        <w:tab w:val="left" w:pos="3686"/>
        <w:tab w:val="left" w:pos="3945"/>
        <w:tab w:val="left" w:pos="4253"/>
        <w:tab w:val="left" w:pos="4536"/>
        <w:tab w:val="left" w:pos="4820"/>
        <w:tab w:val="left" w:pos="5040"/>
        <w:tab w:val="left" w:pos="5544"/>
        <w:tab w:val="left" w:pos="6048"/>
        <w:tab w:val="left" w:pos="6552"/>
        <w:tab w:val="left" w:pos="7056"/>
        <w:tab w:val="left" w:pos="7560"/>
        <w:tab w:val="left" w:pos="8064"/>
        <w:tab w:val="left" w:pos="8568"/>
        <w:tab w:val="left" w:pos="9072"/>
        <w:tab w:val="left" w:pos="9576"/>
      </w:tabs>
      <w:suppressAutoHyphens w:val="0"/>
      <w:spacing w:line="228" w:lineRule="exact"/>
    </w:pPr>
    <w:rPr>
      <w:sz w:val="22"/>
    </w:rPr>
  </w:style>
  <w:style w:type="paragraph" w:customStyle="1" w:styleId="Num-DocParagraph">
    <w:name w:val="Num-Doc Paragraph"/>
    <w:basedOn w:val="BodyText"/>
    <w:rsid w:val="00FE13F7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left" w:pos="851"/>
        <w:tab w:val="left" w:pos="1191"/>
        <w:tab w:val="left" w:pos="1531"/>
      </w:tabs>
      <w:spacing w:after="240"/>
    </w:pPr>
    <w:rPr>
      <w:rFonts w:ascii="Times" w:hAnsi="Times"/>
    </w:rPr>
  </w:style>
  <w:style w:type="paragraph" w:styleId="BlockText">
    <w:name w:val="Block Text"/>
    <w:basedOn w:val="Normal"/>
    <w:rsid w:val="00FE13F7"/>
    <w:pPr>
      <w:suppressAutoHyphens w:val="0"/>
      <w:spacing w:after="120" w:line="240" w:lineRule="auto"/>
      <w:ind w:left="1440" w:right="1440"/>
    </w:pPr>
    <w:rPr>
      <w:sz w:val="22"/>
      <w:szCs w:val="24"/>
    </w:rPr>
  </w:style>
  <w:style w:type="paragraph" w:styleId="NormalWeb">
    <w:name w:val="Normal (Web)"/>
    <w:basedOn w:val="Normal"/>
    <w:rsid w:val="00C94465"/>
    <w:pPr>
      <w:suppressAutoHyphens w:val="0"/>
      <w:spacing w:line="240" w:lineRule="auto"/>
    </w:pPr>
    <w:rPr>
      <w:sz w:val="24"/>
      <w:szCs w:val="24"/>
      <w:lang w:val="fr-FR"/>
    </w:rPr>
  </w:style>
  <w:style w:type="paragraph" w:customStyle="1" w:styleId="a">
    <w:name w:val="Абзац списка"/>
    <w:basedOn w:val="Normal"/>
    <w:rsid w:val="00C73C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refresult">
    <w:name w:val="ref_result"/>
    <w:basedOn w:val="DefaultParagraphFont"/>
    <w:rsid w:val="00C73C64"/>
  </w:style>
  <w:style w:type="paragraph" w:styleId="BalloonText">
    <w:name w:val="Balloon Text"/>
    <w:basedOn w:val="Normal"/>
    <w:semiHidden/>
    <w:rsid w:val="009B10F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F4329"/>
    <w:rPr>
      <w:sz w:val="16"/>
      <w:szCs w:val="16"/>
    </w:rPr>
  </w:style>
  <w:style w:type="paragraph" w:styleId="CommentText">
    <w:name w:val="annotation text"/>
    <w:basedOn w:val="Normal"/>
    <w:semiHidden/>
    <w:rsid w:val="009F4329"/>
  </w:style>
  <w:style w:type="paragraph" w:styleId="CommentSubject">
    <w:name w:val="annotation subject"/>
    <w:basedOn w:val="CommentText"/>
    <w:next w:val="CommentText"/>
    <w:semiHidden/>
    <w:rsid w:val="009F4329"/>
    <w:rPr>
      <w:b/>
      <w:bCs/>
    </w:rPr>
  </w:style>
  <w:style w:type="paragraph" w:customStyle="1" w:styleId="Docs">
    <w:name w:val="Docs"/>
    <w:basedOn w:val="Normal"/>
    <w:rsid w:val="00EF66AA"/>
    <w:pPr>
      <w:keepNext/>
      <w:widowControl w:val="0"/>
      <w:spacing w:after="240" w:line="240" w:lineRule="auto"/>
    </w:pPr>
    <w:rPr>
      <w:rFonts w:eastAsia="Lucida Sans Unicode"/>
      <w:kern w:val="1"/>
      <w:sz w:val="24"/>
      <w:szCs w:val="24"/>
      <w:lang w:val="en-US"/>
    </w:rPr>
  </w:style>
  <w:style w:type="character" w:customStyle="1" w:styleId="FootnoteTextChar">
    <w:name w:val="Footnote Text Char"/>
    <w:aliases w:val="5_G Char"/>
    <w:link w:val="FootnoteText"/>
    <w:uiPriority w:val="99"/>
    <w:rsid w:val="000171FC"/>
    <w:rPr>
      <w:sz w:val="18"/>
      <w:lang w:eastAsia="en-US"/>
    </w:rPr>
  </w:style>
  <w:style w:type="character" w:customStyle="1" w:styleId="H1GChar">
    <w:name w:val="_ H_1_G Char"/>
    <w:link w:val="H1G"/>
    <w:locked/>
    <w:rsid w:val="008077A2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8077A2"/>
    <w:rPr>
      <w:lang w:eastAsia="en-US"/>
    </w:rPr>
  </w:style>
  <w:style w:type="paragraph" w:styleId="ListParagraph">
    <w:name w:val="List Paragraph"/>
    <w:basedOn w:val="Normal"/>
    <w:uiPriority w:val="34"/>
    <w:qFormat/>
    <w:rsid w:val="00EB665C"/>
    <w:pPr>
      <w:suppressAutoHyphens w:val="0"/>
      <w:spacing w:after="200" w:line="276" w:lineRule="auto"/>
      <w:ind w:left="720"/>
      <w:contextualSpacing/>
    </w:pPr>
    <w:rPr>
      <w:rFonts w:ascii="Arial" w:eastAsia="SimSun" w:hAnsi="Arial" w:cs="Arial Unicode MS"/>
      <w:szCs w:val="36"/>
      <w:lang w:val="en-US" w:eastAsia="zh-CN"/>
    </w:rPr>
  </w:style>
  <w:style w:type="paragraph" w:styleId="Caption">
    <w:name w:val="caption"/>
    <w:basedOn w:val="Normal"/>
    <w:next w:val="Normal"/>
    <w:unhideWhenUsed/>
    <w:qFormat/>
    <w:rsid w:val="00AE07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styleId="FootnoteReference">
    <w:name w:val="footnote reference"/>
    <w:aliases w:val="4_G,Footnote Reference/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uiPriority w:val="99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tyle1">
    <w:name w:val="Style1"/>
    <w:basedOn w:val="Normal"/>
    <w:rsid w:val="004A7FFD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customStyle="1" w:styleId="NumDocPara">
    <w:name w:val="Num©Doc Para"/>
    <w:basedOn w:val="Normal"/>
    <w:rsid w:val="00133C7A"/>
    <w:pPr>
      <w:widowControl w:val="0"/>
      <w:tabs>
        <w:tab w:val="left" w:pos="0"/>
        <w:tab w:val="left" w:pos="850"/>
        <w:tab w:val="left" w:pos="1190"/>
        <w:tab w:val="left" w:pos="153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 w:val="0"/>
      <w:spacing w:line="240" w:lineRule="auto"/>
    </w:pPr>
    <w:rPr>
      <w:snapToGrid w:val="0"/>
      <w:sz w:val="22"/>
      <w:lang w:val="en-US"/>
    </w:rPr>
  </w:style>
  <w:style w:type="paragraph" w:styleId="BodyText">
    <w:name w:val="Body Text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  <w:style w:type="paragraph" w:styleId="BodyTextIndent">
    <w:name w:val="Body Text Indent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1985" w:hanging="567"/>
      <w:jc w:val="both"/>
    </w:pPr>
    <w:rPr>
      <w:sz w:val="22"/>
    </w:rPr>
  </w:style>
  <w:style w:type="paragraph" w:styleId="BodyTextIndent2">
    <w:name w:val="Body Text Indent 2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1134"/>
      <w:jc w:val="both"/>
    </w:pPr>
    <w:rPr>
      <w:sz w:val="22"/>
    </w:rPr>
  </w:style>
  <w:style w:type="paragraph" w:styleId="BodyTextIndent3">
    <w:name w:val="Body Text Indent 3"/>
    <w:basedOn w:val="Normal"/>
    <w:rsid w:val="00FE13F7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ind w:left="2552" w:hanging="567"/>
      <w:jc w:val="both"/>
    </w:pPr>
    <w:rPr>
      <w:sz w:val="22"/>
    </w:rPr>
  </w:style>
  <w:style w:type="paragraph" w:styleId="BodyText2">
    <w:name w:val="Body Text 2"/>
    <w:basedOn w:val="Normal"/>
    <w:rsid w:val="00FE13F7"/>
    <w:pPr>
      <w:tabs>
        <w:tab w:val="left" w:pos="-43"/>
        <w:tab w:val="left" w:pos="240"/>
        <w:tab w:val="left" w:pos="556"/>
        <w:tab w:val="left" w:pos="1126"/>
        <w:tab w:val="left" w:pos="1418"/>
        <w:tab w:val="left" w:pos="1846"/>
        <w:tab w:val="left" w:pos="1985"/>
        <w:tab w:val="left" w:pos="2566"/>
        <w:tab w:val="left" w:pos="3119"/>
        <w:tab w:val="left" w:pos="3286"/>
        <w:tab w:val="left" w:pos="3686"/>
        <w:tab w:val="left" w:pos="4006"/>
        <w:tab w:val="left" w:pos="4253"/>
        <w:tab w:val="left" w:pos="4726"/>
        <w:tab w:val="left" w:pos="4820"/>
        <w:tab w:val="left" w:pos="5446"/>
        <w:tab w:val="left" w:pos="6166"/>
        <w:tab w:val="left" w:pos="6886"/>
        <w:tab w:val="left" w:pos="7606"/>
        <w:tab w:val="left" w:pos="8326"/>
        <w:tab w:val="left" w:pos="9046"/>
        <w:tab w:val="left" w:pos="9316"/>
      </w:tabs>
      <w:suppressAutoHyphens w:val="0"/>
      <w:spacing w:before="40" w:after="40" w:line="240" w:lineRule="auto"/>
    </w:pPr>
    <w:rPr>
      <w:b/>
      <w:sz w:val="22"/>
    </w:rPr>
  </w:style>
  <w:style w:type="paragraph" w:styleId="BodyText3">
    <w:name w:val="Body Text 3"/>
    <w:basedOn w:val="Normal"/>
    <w:rsid w:val="00FE13F7"/>
    <w:pPr>
      <w:keepNext/>
      <w:keepLines/>
      <w:tabs>
        <w:tab w:val="left" w:pos="-22"/>
        <w:tab w:val="left" w:pos="1076"/>
        <w:tab w:val="left" w:pos="1418"/>
        <w:tab w:val="left" w:pos="1700"/>
        <w:tab w:val="left" w:pos="1985"/>
        <w:tab w:val="left" w:pos="2244"/>
        <w:tab w:val="left" w:pos="2552"/>
        <w:tab w:val="left" w:pos="2834"/>
        <w:tab w:val="left" w:pos="3119"/>
        <w:tab w:val="left" w:pos="3378"/>
        <w:tab w:val="left" w:pos="3686"/>
        <w:tab w:val="left" w:pos="3945"/>
        <w:tab w:val="left" w:pos="4253"/>
        <w:tab w:val="left" w:pos="4536"/>
        <w:tab w:val="left" w:pos="4820"/>
        <w:tab w:val="left" w:pos="5040"/>
        <w:tab w:val="left" w:pos="5544"/>
        <w:tab w:val="left" w:pos="6048"/>
        <w:tab w:val="left" w:pos="6552"/>
        <w:tab w:val="left" w:pos="7056"/>
        <w:tab w:val="left" w:pos="7560"/>
        <w:tab w:val="left" w:pos="8064"/>
        <w:tab w:val="left" w:pos="8568"/>
        <w:tab w:val="left" w:pos="9072"/>
        <w:tab w:val="left" w:pos="9576"/>
      </w:tabs>
      <w:suppressAutoHyphens w:val="0"/>
      <w:spacing w:line="228" w:lineRule="exact"/>
    </w:pPr>
    <w:rPr>
      <w:sz w:val="22"/>
    </w:rPr>
  </w:style>
  <w:style w:type="paragraph" w:customStyle="1" w:styleId="Num-DocParagraph">
    <w:name w:val="Num-Doc Paragraph"/>
    <w:basedOn w:val="BodyText"/>
    <w:rsid w:val="00FE13F7"/>
    <w:pPr>
      <w:tabs>
        <w:tab w:val="clear" w:pos="1418"/>
        <w:tab w:val="clear" w:pos="1985"/>
        <w:tab w:val="clear" w:pos="2552"/>
        <w:tab w:val="clear" w:pos="3119"/>
        <w:tab w:val="clear" w:pos="3686"/>
        <w:tab w:val="clear" w:pos="4253"/>
        <w:tab w:val="clear" w:pos="4820"/>
        <w:tab w:val="left" w:pos="851"/>
        <w:tab w:val="left" w:pos="1191"/>
        <w:tab w:val="left" w:pos="1531"/>
      </w:tabs>
      <w:spacing w:after="240"/>
    </w:pPr>
    <w:rPr>
      <w:rFonts w:ascii="Times" w:hAnsi="Times"/>
    </w:rPr>
  </w:style>
  <w:style w:type="paragraph" w:styleId="BlockText">
    <w:name w:val="Block Text"/>
    <w:basedOn w:val="Normal"/>
    <w:rsid w:val="00FE13F7"/>
    <w:pPr>
      <w:suppressAutoHyphens w:val="0"/>
      <w:spacing w:after="120" w:line="240" w:lineRule="auto"/>
      <w:ind w:left="1440" w:right="1440"/>
    </w:pPr>
    <w:rPr>
      <w:sz w:val="22"/>
      <w:szCs w:val="24"/>
    </w:rPr>
  </w:style>
  <w:style w:type="paragraph" w:styleId="NormalWeb">
    <w:name w:val="Normal (Web)"/>
    <w:basedOn w:val="Normal"/>
    <w:rsid w:val="00C94465"/>
    <w:pPr>
      <w:suppressAutoHyphens w:val="0"/>
      <w:spacing w:line="240" w:lineRule="auto"/>
    </w:pPr>
    <w:rPr>
      <w:sz w:val="24"/>
      <w:szCs w:val="24"/>
      <w:lang w:val="fr-FR"/>
    </w:rPr>
  </w:style>
  <w:style w:type="paragraph" w:customStyle="1" w:styleId="a">
    <w:name w:val="Абзац списка"/>
    <w:basedOn w:val="Normal"/>
    <w:rsid w:val="00C73C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refresult">
    <w:name w:val="ref_result"/>
    <w:basedOn w:val="DefaultParagraphFont"/>
    <w:rsid w:val="00C73C64"/>
  </w:style>
  <w:style w:type="paragraph" w:styleId="BalloonText">
    <w:name w:val="Balloon Text"/>
    <w:basedOn w:val="Normal"/>
    <w:semiHidden/>
    <w:rsid w:val="009B10F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9F4329"/>
    <w:rPr>
      <w:sz w:val="16"/>
      <w:szCs w:val="16"/>
    </w:rPr>
  </w:style>
  <w:style w:type="paragraph" w:styleId="CommentText">
    <w:name w:val="annotation text"/>
    <w:basedOn w:val="Normal"/>
    <w:semiHidden/>
    <w:rsid w:val="009F4329"/>
  </w:style>
  <w:style w:type="paragraph" w:styleId="CommentSubject">
    <w:name w:val="annotation subject"/>
    <w:basedOn w:val="CommentText"/>
    <w:next w:val="CommentText"/>
    <w:semiHidden/>
    <w:rsid w:val="009F4329"/>
    <w:rPr>
      <w:b/>
      <w:bCs/>
    </w:rPr>
  </w:style>
  <w:style w:type="paragraph" w:customStyle="1" w:styleId="Docs">
    <w:name w:val="Docs"/>
    <w:basedOn w:val="Normal"/>
    <w:rsid w:val="00EF66AA"/>
    <w:pPr>
      <w:keepNext/>
      <w:widowControl w:val="0"/>
      <w:spacing w:after="240" w:line="240" w:lineRule="auto"/>
    </w:pPr>
    <w:rPr>
      <w:rFonts w:eastAsia="Lucida Sans Unicode"/>
      <w:kern w:val="1"/>
      <w:sz w:val="24"/>
      <w:szCs w:val="24"/>
      <w:lang w:val="en-US"/>
    </w:rPr>
  </w:style>
  <w:style w:type="character" w:customStyle="1" w:styleId="FootnoteTextChar">
    <w:name w:val="Footnote Text Char"/>
    <w:aliases w:val="5_G Char"/>
    <w:link w:val="FootnoteText"/>
    <w:uiPriority w:val="99"/>
    <w:rsid w:val="000171FC"/>
    <w:rPr>
      <w:sz w:val="18"/>
      <w:lang w:eastAsia="en-US"/>
    </w:rPr>
  </w:style>
  <w:style w:type="character" w:customStyle="1" w:styleId="H1GChar">
    <w:name w:val="_ H_1_G Char"/>
    <w:link w:val="H1G"/>
    <w:locked/>
    <w:rsid w:val="008077A2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8077A2"/>
    <w:rPr>
      <w:lang w:eastAsia="en-US"/>
    </w:rPr>
  </w:style>
  <w:style w:type="paragraph" w:styleId="ListParagraph">
    <w:name w:val="List Paragraph"/>
    <w:basedOn w:val="Normal"/>
    <w:uiPriority w:val="34"/>
    <w:qFormat/>
    <w:rsid w:val="00EB665C"/>
    <w:pPr>
      <w:suppressAutoHyphens w:val="0"/>
      <w:spacing w:after="200" w:line="276" w:lineRule="auto"/>
      <w:ind w:left="720"/>
      <w:contextualSpacing/>
    </w:pPr>
    <w:rPr>
      <w:rFonts w:ascii="Arial" w:eastAsia="SimSun" w:hAnsi="Arial" w:cs="Arial Unicode MS"/>
      <w:szCs w:val="36"/>
      <w:lang w:val="en-US" w:eastAsia="zh-CN"/>
    </w:rPr>
  </w:style>
  <w:style w:type="paragraph" w:styleId="Caption">
    <w:name w:val="caption"/>
    <w:basedOn w:val="Normal"/>
    <w:next w:val="Normal"/>
    <w:unhideWhenUsed/>
    <w:qFormat/>
    <w:rsid w:val="00AE07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image" Target="media/image2.w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0.emf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ot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D16C3-5FBD-48F5-A7AA-8934BB00501C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A728E0A5-53B3-46D4-A9E0-1F415DB84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27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UN/SCEGHS/19/INF</vt:lpstr>
      <vt:lpstr>UN/SCEGHS/19/INF</vt:lpstr>
      <vt:lpstr>UN/SCEGHS/19/INF</vt:lpstr>
    </vt:vector>
  </TitlesOfParts>
  <Company>CSD</Company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 Berthet</cp:lastModifiedBy>
  <cp:revision>7</cp:revision>
  <cp:lastPrinted>2015-09-08T09:27:00Z</cp:lastPrinted>
  <dcterms:created xsi:type="dcterms:W3CDTF">2015-09-04T14:00:00Z</dcterms:created>
  <dcterms:modified xsi:type="dcterms:W3CDTF">2015-09-08T12:21:00Z</dcterms:modified>
</cp:coreProperties>
</file>