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E7" w:rsidRDefault="009F48E7" w:rsidP="009F48E7">
      <w:pPr>
        <w:spacing w:line="240" w:lineRule="auto"/>
        <w:rPr>
          <w:sz w:val="2"/>
        </w:rPr>
        <w:sectPr w:rsidR="009F48E7" w:rsidSect="009F48E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945E73" w:rsidRPr="00945E73" w:rsidRDefault="00945E73" w:rsidP="007B6CE7">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45E73">
        <w:rPr>
          <w:lang w:val="fr-CH"/>
        </w:rPr>
        <w:lastRenderedPageBreak/>
        <w:t xml:space="preserve">Comité d’experts du transport des marchandises dangereuses </w:t>
      </w:r>
      <w:r w:rsidRPr="00945E73">
        <w:rPr>
          <w:lang w:val="fr-CH"/>
        </w:rPr>
        <w:br/>
        <w:t xml:space="preserve">et du Système général harmonisé de classification </w:t>
      </w:r>
      <w:r w:rsidRPr="00945E73">
        <w:rPr>
          <w:lang w:val="fr-CH"/>
        </w:rPr>
        <w:br/>
        <w:t>et d’étiquetage des produits chimiques</w:t>
      </w:r>
    </w:p>
    <w:p w:rsidR="00945E73" w:rsidRPr="007B6CE7" w:rsidRDefault="00945E73" w:rsidP="007B6C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45E73" w:rsidRPr="00945E73" w:rsidRDefault="00945E73" w:rsidP="007B6C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45E73">
        <w:rPr>
          <w:lang w:val="fr-CH"/>
        </w:rPr>
        <w:t>Sous-Comité d’experts du transport des marchandises dangereuses</w:t>
      </w:r>
    </w:p>
    <w:p w:rsidR="00945E73" w:rsidRPr="007B6CE7" w:rsidRDefault="00945E73" w:rsidP="007B6C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945E73" w:rsidRPr="00945E73" w:rsidRDefault="00945E73" w:rsidP="007B6C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945E73">
        <w:rPr>
          <w:lang w:val="fr-CH"/>
        </w:rPr>
        <w:t>Quarante-huitième session</w:t>
      </w:r>
    </w:p>
    <w:p w:rsidR="00945E73" w:rsidRPr="00945E73" w:rsidRDefault="00945E73" w:rsidP="007B6C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45E73">
        <w:rPr>
          <w:lang w:val="fr-CH"/>
        </w:rPr>
        <w:t>Genève, 30 novembre-9 décembre 2015</w:t>
      </w:r>
    </w:p>
    <w:p w:rsidR="00945E73" w:rsidRPr="00945E73" w:rsidRDefault="00945E73" w:rsidP="007B6CE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945E73">
        <w:rPr>
          <w:lang w:val="fr-CH"/>
        </w:rPr>
        <w:t>Point 7 de l’ordre du jour provisoire</w:t>
      </w:r>
    </w:p>
    <w:p w:rsidR="00945E73" w:rsidRDefault="00945E73" w:rsidP="007B6CE7">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945E73">
        <w:rPr>
          <w:lang w:val="fr-CH"/>
        </w:rPr>
        <w:t xml:space="preserve">Harmonisation générale des règlements de transport </w:t>
      </w:r>
      <w:r w:rsidRPr="00945E73">
        <w:rPr>
          <w:lang w:val="fr-CH"/>
        </w:rPr>
        <w:br/>
      </w:r>
      <w:r w:rsidRPr="007B6CE7">
        <w:t>des marchandises dangereuses ave</w:t>
      </w:r>
      <w:bookmarkStart w:id="2" w:name="insstart"/>
      <w:bookmarkEnd w:id="2"/>
      <w:r w:rsidRPr="007B6CE7">
        <w:t>c le Règlement type</w:t>
      </w:r>
    </w:p>
    <w:p w:rsidR="007B6CE7" w:rsidRPr="007B6CE7" w:rsidRDefault="007B6CE7" w:rsidP="007B6CE7">
      <w:pPr>
        <w:pStyle w:val="SingleTxt"/>
        <w:spacing w:after="0" w:line="120" w:lineRule="exact"/>
        <w:rPr>
          <w:sz w:val="10"/>
        </w:rPr>
      </w:pPr>
    </w:p>
    <w:p w:rsidR="007B6CE7" w:rsidRPr="007B6CE7" w:rsidRDefault="007B6CE7" w:rsidP="007B6CE7">
      <w:pPr>
        <w:pStyle w:val="SingleTxt"/>
        <w:spacing w:after="0" w:line="120" w:lineRule="exact"/>
        <w:rPr>
          <w:sz w:val="10"/>
        </w:rPr>
      </w:pPr>
    </w:p>
    <w:p w:rsidR="007B6CE7" w:rsidRPr="007B6CE7" w:rsidRDefault="007B6CE7" w:rsidP="007B6CE7">
      <w:pPr>
        <w:pStyle w:val="SingleTxt"/>
        <w:spacing w:after="0" w:line="120" w:lineRule="exact"/>
        <w:rPr>
          <w:sz w:val="10"/>
        </w:rPr>
      </w:pPr>
    </w:p>
    <w:p w:rsidR="00945E73" w:rsidRDefault="007B6CE7" w:rsidP="007B6C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945E73" w:rsidRPr="00945E73">
        <w:rPr>
          <w:lang w:val="fr-CH"/>
        </w:rPr>
        <w:t>Proposition d’insérer la définition de l’</w:t>
      </w:r>
      <w:r w:rsidR="00087637">
        <w:rPr>
          <w:lang w:val="fr-CH"/>
        </w:rPr>
        <w:t>« </w:t>
      </w:r>
      <w:r w:rsidR="00945E73" w:rsidRPr="00945E73">
        <w:rPr>
          <w:lang w:val="fr-CH"/>
        </w:rPr>
        <w:t xml:space="preserve">acier </w:t>
      </w:r>
      <w:r>
        <w:rPr>
          <w:lang w:val="fr-CH"/>
        </w:rPr>
        <w:br/>
      </w:r>
      <w:r w:rsidR="00945E73" w:rsidRPr="00945E73">
        <w:rPr>
          <w:lang w:val="fr-CH"/>
        </w:rPr>
        <w:t xml:space="preserve">de référence » dans la section 1.2.1 </w:t>
      </w:r>
      <w:r w:rsidR="005721A9">
        <w:rPr>
          <w:lang w:val="fr-CH"/>
        </w:rPr>
        <w:br/>
      </w:r>
      <w:r w:rsidR="00945E73" w:rsidRPr="00945E73">
        <w:rPr>
          <w:lang w:val="fr-CH"/>
        </w:rPr>
        <w:t>du Règlement type</w:t>
      </w:r>
    </w:p>
    <w:p w:rsidR="007B6CE7" w:rsidRPr="007B6CE7" w:rsidRDefault="007B6CE7" w:rsidP="007B6CE7">
      <w:pPr>
        <w:pStyle w:val="SingleTxt"/>
        <w:spacing w:after="0" w:line="120" w:lineRule="exact"/>
        <w:rPr>
          <w:sz w:val="10"/>
          <w:lang w:val="fr-CH"/>
        </w:rPr>
      </w:pPr>
    </w:p>
    <w:p w:rsidR="007B6CE7" w:rsidRPr="007B6CE7" w:rsidRDefault="007B6CE7" w:rsidP="007B6CE7">
      <w:pPr>
        <w:pStyle w:val="SingleTxt"/>
        <w:spacing w:after="0" w:line="120" w:lineRule="exact"/>
        <w:rPr>
          <w:sz w:val="10"/>
          <w:lang w:val="fr-CH"/>
        </w:rPr>
      </w:pPr>
    </w:p>
    <w:p w:rsidR="00945E73" w:rsidRDefault="00945E73" w:rsidP="007B6C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45E73">
        <w:rPr>
          <w:lang w:val="fr-CH"/>
        </w:rPr>
        <w:tab/>
      </w:r>
      <w:r w:rsidRPr="00945E73">
        <w:rPr>
          <w:lang w:val="fr-CH"/>
        </w:rPr>
        <w:tab/>
        <w:t>Communication de l’observateur de la Roumanie</w:t>
      </w:r>
      <w:r w:rsidR="007B6CE7" w:rsidRPr="007B6CE7">
        <w:rPr>
          <w:rStyle w:val="FootnoteReference"/>
          <w:b w:val="0"/>
          <w:sz w:val="20"/>
          <w:szCs w:val="20"/>
          <w:lang w:val="fr-CH"/>
        </w:rPr>
        <w:footnoteReference w:id="1"/>
      </w:r>
    </w:p>
    <w:p w:rsidR="007B6CE7" w:rsidRPr="007B6CE7" w:rsidRDefault="007B6CE7" w:rsidP="007B6CE7">
      <w:pPr>
        <w:pStyle w:val="SingleTxt"/>
        <w:spacing w:after="0" w:line="120" w:lineRule="exact"/>
        <w:rPr>
          <w:sz w:val="10"/>
          <w:lang w:val="fr-CH"/>
        </w:rPr>
      </w:pPr>
    </w:p>
    <w:p w:rsidR="007B6CE7" w:rsidRPr="007B6CE7" w:rsidRDefault="007B6CE7" w:rsidP="007B6CE7">
      <w:pPr>
        <w:pStyle w:val="SingleTxt"/>
        <w:spacing w:after="0" w:line="120" w:lineRule="exact"/>
        <w:rPr>
          <w:sz w:val="10"/>
          <w:lang w:val="fr-CH"/>
        </w:rPr>
      </w:pPr>
    </w:p>
    <w:p w:rsidR="00945E73" w:rsidRDefault="00945E73" w:rsidP="007B6C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45E73">
        <w:rPr>
          <w:lang w:val="fr-CH"/>
        </w:rPr>
        <w:tab/>
      </w:r>
      <w:r w:rsidRPr="00945E73">
        <w:rPr>
          <w:lang w:val="fr-CH"/>
        </w:rPr>
        <w:tab/>
        <w:t>Introduction</w:t>
      </w:r>
    </w:p>
    <w:p w:rsidR="007B6CE7" w:rsidRPr="007B6CE7" w:rsidRDefault="007B6CE7" w:rsidP="007B6CE7">
      <w:pPr>
        <w:pStyle w:val="SingleTxt"/>
        <w:spacing w:after="0" w:line="120" w:lineRule="exact"/>
        <w:rPr>
          <w:sz w:val="10"/>
          <w:lang w:val="fr-CH"/>
        </w:rPr>
      </w:pPr>
    </w:p>
    <w:p w:rsidR="007B6CE7" w:rsidRPr="007B6CE7" w:rsidRDefault="007B6CE7" w:rsidP="007B6CE7">
      <w:pPr>
        <w:pStyle w:val="SingleTxt"/>
        <w:spacing w:after="0" w:line="120" w:lineRule="exact"/>
        <w:rPr>
          <w:sz w:val="10"/>
          <w:lang w:val="fr-CH"/>
        </w:rPr>
      </w:pPr>
    </w:p>
    <w:p w:rsidR="00945E73" w:rsidRPr="00945E73" w:rsidRDefault="00945E73" w:rsidP="00610FD1">
      <w:pPr>
        <w:pStyle w:val="SingleTxt"/>
        <w:numPr>
          <w:ilvl w:val="0"/>
          <w:numId w:val="8"/>
        </w:numPr>
        <w:tabs>
          <w:tab w:val="clear" w:pos="475"/>
          <w:tab w:val="num" w:pos="1742"/>
        </w:tabs>
        <w:ind w:left="1267"/>
        <w:rPr>
          <w:lang w:val="fr-CH"/>
        </w:rPr>
      </w:pPr>
      <w:r w:rsidRPr="00945E73">
        <w:rPr>
          <w:lang w:val="fr-CH"/>
        </w:rPr>
        <w:t>Dans le texte actuel du Règlement type, la définition de l’</w:t>
      </w:r>
      <w:r w:rsidR="005721A9">
        <w:rPr>
          <w:lang w:val="fr-CH"/>
        </w:rPr>
        <w:t>« </w:t>
      </w:r>
      <w:r w:rsidRPr="00945E73">
        <w:rPr>
          <w:lang w:val="fr-CH"/>
        </w:rPr>
        <w:t>acier de référence</w:t>
      </w:r>
      <w:r w:rsidR="005721A9">
        <w:rPr>
          <w:lang w:val="fr-CH"/>
        </w:rPr>
        <w:t> »</w:t>
      </w:r>
      <w:r w:rsidRPr="00945E73">
        <w:rPr>
          <w:lang w:val="fr-CH"/>
        </w:rPr>
        <w:t xml:space="preserve"> figure aux sous-sections 6.7.2.1, 6.7.3.1 et 6.7.4.1.</w:t>
      </w:r>
    </w:p>
    <w:p w:rsidR="00945E73" w:rsidRPr="00945E73" w:rsidRDefault="00945E73" w:rsidP="007B6CE7">
      <w:pPr>
        <w:pStyle w:val="SingleTxt"/>
        <w:numPr>
          <w:ilvl w:val="0"/>
          <w:numId w:val="8"/>
        </w:numPr>
        <w:tabs>
          <w:tab w:val="clear" w:pos="475"/>
          <w:tab w:val="num" w:pos="1742"/>
        </w:tabs>
        <w:ind w:left="1267"/>
        <w:rPr>
          <w:lang w:val="fr-CH"/>
        </w:rPr>
      </w:pPr>
      <w:r w:rsidRPr="00945E73">
        <w:rPr>
          <w:lang w:val="fr-CH"/>
        </w:rPr>
        <w:t>Dans le texte actuel du RID/ADR/AND, cette même définition, qui figure à la section 1.2.1 et aux sous-sections 6.7.2.1, 6.7.3.1 et 6.7.4.1, est libellée comme suit</w:t>
      </w:r>
      <w:r w:rsidR="00610FD1">
        <w:rPr>
          <w:lang w:val="fr-CH"/>
        </w:rPr>
        <w:t> </w:t>
      </w:r>
      <w:r w:rsidRPr="00945E73">
        <w:rPr>
          <w:lang w:val="fr-CH"/>
        </w:rPr>
        <w:t>:</w:t>
      </w:r>
    </w:p>
    <w:p w:rsidR="00945E73" w:rsidRPr="00945E73" w:rsidRDefault="00971F71" w:rsidP="00610FD1">
      <w:pPr>
        <w:pStyle w:val="SingleTxt"/>
        <w:ind w:left="1742" w:hanging="475"/>
        <w:rPr>
          <w:lang w:val="fr-CH"/>
        </w:rPr>
      </w:pPr>
      <w:r>
        <w:rPr>
          <w:lang w:val="fr-CH"/>
        </w:rPr>
        <w:tab/>
      </w:r>
      <w:r w:rsidR="007B6CE7">
        <w:rPr>
          <w:lang w:val="fr-CH"/>
        </w:rPr>
        <w:t>« </w:t>
      </w:r>
      <w:r w:rsidR="00945E73" w:rsidRPr="00945E73">
        <w:rPr>
          <w:lang w:val="fr-CH"/>
        </w:rPr>
        <w:t xml:space="preserve">[Dans l’ADR on entend par] </w:t>
      </w:r>
      <w:r w:rsidR="007B6CE7">
        <w:rPr>
          <w:lang w:val="fr-CH"/>
        </w:rPr>
        <w:t>“</w:t>
      </w:r>
      <w:r w:rsidR="00945E73" w:rsidRPr="00945E73">
        <w:rPr>
          <w:i/>
          <w:iCs/>
          <w:lang w:val="fr-CH"/>
        </w:rPr>
        <w:t>Acier de référence</w:t>
      </w:r>
      <w:r w:rsidR="007B6CE7">
        <w:rPr>
          <w:iCs/>
          <w:lang w:val="fr-CH"/>
        </w:rPr>
        <w:t>”</w:t>
      </w:r>
      <w:r w:rsidR="00945E73" w:rsidRPr="00945E73">
        <w:rPr>
          <w:i/>
          <w:iCs/>
          <w:lang w:val="fr-CH"/>
        </w:rPr>
        <w:t xml:space="preserve"> </w:t>
      </w:r>
      <w:r w:rsidR="00945E73" w:rsidRPr="00945E73">
        <w:rPr>
          <w:iCs/>
          <w:lang w:val="fr-CH"/>
        </w:rPr>
        <w:t xml:space="preserve">un acier ayant une résistance à la traction de </w:t>
      </w:r>
      <w:r w:rsidR="00945E73" w:rsidRPr="00945E73">
        <w:rPr>
          <w:lang w:val="fr-CH"/>
        </w:rPr>
        <w:t>370 N/mm</w:t>
      </w:r>
      <w:r w:rsidR="00945E73" w:rsidRPr="00945E73">
        <w:rPr>
          <w:vertAlign w:val="superscript"/>
          <w:lang w:val="fr-CH"/>
        </w:rPr>
        <w:t>2</w:t>
      </w:r>
      <w:r w:rsidR="00945E73" w:rsidRPr="00945E73">
        <w:rPr>
          <w:lang w:val="fr-CH"/>
        </w:rPr>
        <w:t xml:space="preserve"> et un allongement à la rupture de 27 %;</w:t>
      </w:r>
      <w:r w:rsidR="007B6CE7">
        <w:rPr>
          <w:lang w:val="fr-CH"/>
        </w:rPr>
        <w:t> »</w:t>
      </w:r>
    </w:p>
    <w:p w:rsidR="00945E73" w:rsidRPr="00945E73" w:rsidRDefault="00945E73" w:rsidP="007B6CE7">
      <w:pPr>
        <w:pStyle w:val="SingleTxt"/>
        <w:numPr>
          <w:ilvl w:val="0"/>
          <w:numId w:val="8"/>
        </w:numPr>
        <w:tabs>
          <w:tab w:val="clear" w:pos="475"/>
          <w:tab w:val="num" w:pos="1742"/>
        </w:tabs>
        <w:ind w:left="1267"/>
        <w:rPr>
          <w:lang w:val="fr-CH"/>
        </w:rPr>
      </w:pPr>
      <w:r w:rsidRPr="00945E73">
        <w:rPr>
          <w:lang w:val="fr-CH"/>
        </w:rPr>
        <w:t>En étudiant la question de plus près, l’observateur de la Roumanie s’est aperçu que la définition de l’</w:t>
      </w:r>
      <w:r w:rsidR="005721A9">
        <w:rPr>
          <w:lang w:val="fr-CH"/>
        </w:rPr>
        <w:t>« </w:t>
      </w:r>
      <w:r w:rsidRPr="00945E73">
        <w:rPr>
          <w:lang w:val="fr-CH"/>
        </w:rPr>
        <w:t>acier de référence</w:t>
      </w:r>
      <w:r w:rsidR="005721A9">
        <w:rPr>
          <w:lang w:val="fr-CH"/>
        </w:rPr>
        <w:t> »</w:t>
      </w:r>
      <w:r w:rsidR="00470AD8">
        <w:rPr>
          <w:lang w:val="fr-CH"/>
        </w:rPr>
        <w:t xml:space="preserve"> </w:t>
      </w:r>
      <w:r w:rsidRPr="00945E73">
        <w:rPr>
          <w:lang w:val="fr-CH"/>
        </w:rPr>
        <w:t xml:space="preserve">figurait à la section 1.2.1 du RID/ADR depuis 2001 (première édition restructurée), en parallèle des définitions équivalentes qui se trouvent aux sous-sections 6.7.2.1, 6.7.3.1 et 6.7.4.1. </w:t>
      </w:r>
    </w:p>
    <w:p w:rsidR="00945E73" w:rsidRPr="00945E73" w:rsidRDefault="00945E73" w:rsidP="007B6CE7">
      <w:pPr>
        <w:pStyle w:val="SingleTxt"/>
        <w:numPr>
          <w:ilvl w:val="0"/>
          <w:numId w:val="8"/>
        </w:numPr>
        <w:tabs>
          <w:tab w:val="clear" w:pos="475"/>
          <w:tab w:val="num" w:pos="1742"/>
        </w:tabs>
        <w:ind w:left="1267"/>
        <w:rPr>
          <w:lang w:val="fr-CH"/>
        </w:rPr>
      </w:pPr>
      <w:r w:rsidRPr="00945E73">
        <w:rPr>
          <w:lang w:val="fr-CH"/>
        </w:rPr>
        <w:t>L’observateur de la Roumanie participant à la quarante-septième session du Sous-Comité d’experts du transport des marchandises dangereuses, en juin 2015, a proposé, dans le document informel INF.30,</w:t>
      </w:r>
      <w:r w:rsidR="007B6CE7">
        <w:rPr>
          <w:lang w:val="fr-CH"/>
        </w:rPr>
        <w:t xml:space="preserve"> de supprimer la définition de l’« </w:t>
      </w:r>
      <w:r w:rsidRPr="00945E73">
        <w:rPr>
          <w:lang w:val="fr-CH"/>
        </w:rPr>
        <w:t>acier de référence</w:t>
      </w:r>
      <w:r w:rsidR="007B6CE7">
        <w:rPr>
          <w:lang w:val="fr-CH"/>
        </w:rPr>
        <w:t> »</w:t>
      </w:r>
      <w:r w:rsidRPr="00945E73">
        <w:rPr>
          <w:lang w:val="fr-CH"/>
        </w:rPr>
        <w:t xml:space="preserve"> qui figure actuellement aux sous-sections 6.7.2.1, 6.7.3.1 et 6.7.4.1.</w:t>
      </w:r>
    </w:p>
    <w:p w:rsidR="00945E73" w:rsidRPr="00945E73" w:rsidRDefault="00945E73" w:rsidP="00945E73">
      <w:pPr>
        <w:pStyle w:val="SingleTxt"/>
        <w:rPr>
          <w:lang w:val="fr-CH"/>
        </w:rPr>
      </w:pPr>
      <w:r w:rsidRPr="00945E73">
        <w:rPr>
          <w:lang w:val="fr-CH"/>
        </w:rPr>
        <w:br w:type="page"/>
      </w:r>
    </w:p>
    <w:p w:rsidR="00945E73" w:rsidRPr="00945E73" w:rsidRDefault="00945E73" w:rsidP="007B6CE7">
      <w:pPr>
        <w:pStyle w:val="SingleTxt"/>
        <w:numPr>
          <w:ilvl w:val="0"/>
          <w:numId w:val="8"/>
        </w:numPr>
        <w:tabs>
          <w:tab w:val="clear" w:pos="475"/>
          <w:tab w:val="num" w:pos="1742"/>
        </w:tabs>
        <w:ind w:left="1267"/>
        <w:rPr>
          <w:lang w:val="fr-CH"/>
        </w:rPr>
      </w:pPr>
      <w:r w:rsidRPr="00945E73">
        <w:rPr>
          <w:lang w:val="fr-CH"/>
        </w:rPr>
        <w:lastRenderedPageBreak/>
        <w:t>Le document informel a été examiné et le Sous-Comité a pris la décision suivante</w:t>
      </w:r>
      <w:r w:rsidR="005721A9">
        <w:rPr>
          <w:lang w:val="fr-CH"/>
        </w:rPr>
        <w:t> </w:t>
      </w:r>
      <w:r w:rsidRPr="00945E73">
        <w:rPr>
          <w:lang w:val="fr-CH"/>
        </w:rPr>
        <w:t>:</w:t>
      </w:r>
    </w:p>
    <w:p w:rsidR="00945E73" w:rsidRPr="00945E73" w:rsidRDefault="00971F71" w:rsidP="005721A9">
      <w:pPr>
        <w:pStyle w:val="SingleTxt"/>
        <w:ind w:left="1742" w:hanging="475"/>
        <w:rPr>
          <w:lang w:val="fr-CH"/>
        </w:rPr>
      </w:pPr>
      <w:r>
        <w:rPr>
          <w:lang w:val="fr-CH"/>
        </w:rPr>
        <w:tab/>
        <w:t>« 76.</w:t>
      </w:r>
      <w:r w:rsidR="005721A9">
        <w:rPr>
          <w:lang w:val="fr-CH"/>
        </w:rPr>
        <w:tab/>
      </w:r>
      <w:r w:rsidR="00945E73" w:rsidRPr="00945E73">
        <w:rPr>
          <w:lang w:val="fr-CH"/>
        </w:rPr>
        <w:t>L’observateur de la Roumanie a été invité à soumettre sa proposition (à savoir déplacer la définition de l’</w:t>
      </w:r>
      <w:r w:rsidR="005721A9">
        <w:rPr>
          <w:lang w:val="fr-CH"/>
        </w:rPr>
        <w:t>“</w:t>
      </w:r>
      <w:r w:rsidR="00945E73" w:rsidRPr="00945E73">
        <w:rPr>
          <w:lang w:val="fr-CH"/>
        </w:rPr>
        <w:t>acier de référence”, actuellement donnée à trois reprises au chapitre 6.7, vers le chapitre 1.2) sous forme de document officiel pour examen à la prochaine session. Il a également été invité à vérifier que la définition donnée au chapitre 6.7 reste valable lorsque le terme est utilisé dans d’autres chapitres, par exemple au paragraphe 6.5.5.1.6 relatif aux GRV.</w:t>
      </w:r>
      <w:r w:rsidR="005721A9">
        <w:rPr>
          <w:lang w:val="fr-CH"/>
        </w:rPr>
        <w:t> </w:t>
      </w:r>
      <w:r w:rsidR="00945E73" w:rsidRPr="00945E73">
        <w:rPr>
          <w:lang w:val="fr-CH"/>
        </w:rPr>
        <w:t>».</w:t>
      </w:r>
    </w:p>
    <w:p w:rsidR="00945E73" w:rsidRPr="00945E73" w:rsidRDefault="00945E73" w:rsidP="007B6CE7">
      <w:pPr>
        <w:pStyle w:val="SingleTxt"/>
        <w:numPr>
          <w:ilvl w:val="0"/>
          <w:numId w:val="8"/>
        </w:numPr>
        <w:tabs>
          <w:tab w:val="clear" w:pos="475"/>
          <w:tab w:val="num" w:pos="1742"/>
        </w:tabs>
        <w:ind w:left="1267"/>
        <w:rPr>
          <w:lang w:val="fr-CH"/>
        </w:rPr>
      </w:pPr>
      <w:r w:rsidRPr="00945E73">
        <w:rPr>
          <w:lang w:val="fr-CH"/>
        </w:rPr>
        <w:t xml:space="preserve">La présente proposition est conforme aux Principes directeurs concernant le chapitre 1.2 (Définitions et unités de mesure), qui disposent ce qui suit: </w:t>
      </w:r>
      <w:r w:rsidR="005721A9">
        <w:rPr>
          <w:lang w:val="fr-CH"/>
        </w:rPr>
        <w:t>« </w:t>
      </w:r>
      <w:r w:rsidRPr="00945E73">
        <w:rPr>
          <w:i/>
          <w:lang w:val="fr-CH"/>
        </w:rPr>
        <w:t xml:space="preserve">Ce chapitre contient les définitions et unités de mesures d’application générale utilisées dans l’ensemble du Règlement type. Cependant, certaines définitions supplémentaires qui se rapportent à des chapitres particuliers du Règlement type figurent au début des chapitres concernés (par exemple, la définition de </w:t>
      </w:r>
      <w:r w:rsidR="005721A9">
        <w:rPr>
          <w:i/>
          <w:lang w:val="fr-CH"/>
        </w:rPr>
        <w:t>“</w:t>
      </w:r>
      <w:r w:rsidRPr="00945E73">
        <w:rPr>
          <w:i/>
          <w:lang w:val="fr-CH"/>
        </w:rPr>
        <w:t>sûreté” donnée au Nota 2 du chapitre 1.4).</w:t>
      </w:r>
      <w:r w:rsidR="005721A9">
        <w:rPr>
          <w:lang w:val="fr-CH"/>
        </w:rPr>
        <w:t> </w:t>
      </w:r>
      <w:r w:rsidRPr="00945E73">
        <w:rPr>
          <w:lang w:val="fr-CH"/>
        </w:rPr>
        <w:t>»</w:t>
      </w:r>
      <w:r w:rsidR="00971F71">
        <w:rPr>
          <w:lang w:val="fr-CH"/>
        </w:rPr>
        <w:t>.</w:t>
      </w:r>
      <w:r w:rsidRPr="00945E73">
        <w:rPr>
          <w:lang w:val="fr-CH"/>
        </w:rPr>
        <w:t xml:space="preserve"> En effet, le terme </w:t>
      </w:r>
      <w:r w:rsidR="005721A9">
        <w:rPr>
          <w:lang w:val="fr-CH"/>
        </w:rPr>
        <w:t>« </w:t>
      </w:r>
      <w:r w:rsidRPr="00945E73">
        <w:rPr>
          <w:lang w:val="fr-CH"/>
        </w:rPr>
        <w:t>acier de référence</w:t>
      </w:r>
      <w:r w:rsidR="005721A9">
        <w:rPr>
          <w:lang w:val="fr-CH"/>
        </w:rPr>
        <w:t> »</w:t>
      </w:r>
      <w:r w:rsidRPr="00945E73">
        <w:rPr>
          <w:lang w:val="fr-CH"/>
        </w:rPr>
        <w:t xml:space="preserve"> est aussi utilisé aux chapitres</w:t>
      </w:r>
      <w:r w:rsidR="00971F71">
        <w:rPr>
          <w:lang w:val="fr-CH"/>
        </w:rPr>
        <w:t> </w:t>
      </w:r>
      <w:r w:rsidRPr="00945E73">
        <w:rPr>
          <w:lang w:val="fr-CH"/>
        </w:rPr>
        <w:t>4.2 et 6.5 (voir par exemple les paragraphes 4.2.5.2.2, 4.2.5.2.6 et 6.5.5.1.6).</w:t>
      </w:r>
    </w:p>
    <w:p w:rsidR="00945E73" w:rsidRDefault="00945E73" w:rsidP="007B6CE7">
      <w:pPr>
        <w:pStyle w:val="SingleTxt"/>
        <w:numPr>
          <w:ilvl w:val="0"/>
          <w:numId w:val="8"/>
        </w:numPr>
        <w:tabs>
          <w:tab w:val="clear" w:pos="475"/>
          <w:tab w:val="num" w:pos="1742"/>
        </w:tabs>
        <w:ind w:left="1267"/>
        <w:rPr>
          <w:lang w:val="fr-CH"/>
        </w:rPr>
      </w:pPr>
      <w:r w:rsidRPr="00945E73">
        <w:rPr>
          <w:lang w:val="fr-CH"/>
        </w:rPr>
        <w:t>Afin de tenir compte de la manière spécifique dont l’acier de référence est défini ou sélectionné pour les GRV métalliques, il est proposé d’ajouter un Nota sous la définition de l’</w:t>
      </w:r>
      <w:r w:rsidR="005721A9">
        <w:rPr>
          <w:lang w:val="fr-CH"/>
        </w:rPr>
        <w:t>« </w:t>
      </w:r>
      <w:r w:rsidRPr="00945E73">
        <w:rPr>
          <w:lang w:val="fr-CH"/>
        </w:rPr>
        <w:t>acier de référence</w:t>
      </w:r>
      <w:r w:rsidR="005721A9">
        <w:rPr>
          <w:lang w:val="fr-CH"/>
        </w:rPr>
        <w:t> »</w:t>
      </w:r>
      <w:r w:rsidRPr="00945E73">
        <w:rPr>
          <w:lang w:val="fr-CH"/>
        </w:rPr>
        <w:t xml:space="preserve"> à la section 1.2.1. Les prescriptions de la sous-section 6.5.5.1 (Prescriptions particulières applicables aux GRV métalliques)</w:t>
      </w:r>
      <w:r w:rsidRPr="00945E73">
        <w:rPr>
          <w:i/>
          <w:lang w:val="fr-CH"/>
        </w:rPr>
        <w:t xml:space="preserve"> </w:t>
      </w:r>
      <w:r w:rsidRPr="00945E73">
        <w:rPr>
          <w:lang w:val="fr-CH"/>
        </w:rPr>
        <w:t>offrent une certaine souplesse dans le choix d’</w:t>
      </w:r>
      <w:r w:rsidRPr="00945E73">
        <w:rPr>
          <w:u w:val="single"/>
          <w:lang w:val="fr-CH"/>
        </w:rPr>
        <w:t>un</w:t>
      </w:r>
      <w:r w:rsidRPr="00945E73">
        <w:rPr>
          <w:lang w:val="fr-CH"/>
        </w:rPr>
        <w:t xml:space="preserve"> acier de référence (voir l’alinéa</w:t>
      </w:r>
      <w:r w:rsidR="00971F71">
        <w:rPr>
          <w:lang w:val="fr-CH"/>
        </w:rPr>
        <w:t> </w:t>
      </w:r>
      <w:r w:rsidRPr="00971F71">
        <w:rPr>
          <w:lang w:val="fr-CH"/>
        </w:rPr>
        <w:t>a</w:t>
      </w:r>
      <w:r w:rsidR="00971F71" w:rsidRPr="00971F71">
        <w:rPr>
          <w:lang w:val="fr-CH"/>
        </w:rPr>
        <w:t>)</w:t>
      </w:r>
      <w:r w:rsidRPr="00945E73">
        <w:rPr>
          <w:i/>
          <w:lang w:val="fr-CH"/>
        </w:rPr>
        <w:t xml:space="preserve"> </w:t>
      </w:r>
      <w:r w:rsidRPr="00945E73">
        <w:rPr>
          <w:lang w:val="fr-CH"/>
        </w:rPr>
        <w:t xml:space="preserve">du paragraphe 6.5.5.1.6: </w:t>
      </w:r>
      <w:r w:rsidRPr="00945E73">
        <w:rPr>
          <w:i/>
          <w:lang w:val="fr-CH"/>
        </w:rPr>
        <w:t>Dans le cas d’</w:t>
      </w:r>
      <w:r w:rsidRPr="00945E73">
        <w:rPr>
          <w:i/>
          <w:u w:val="single"/>
          <w:lang w:val="fr-CH"/>
        </w:rPr>
        <w:t>un acier de référence</w:t>
      </w:r>
      <w:r w:rsidRPr="00945E73">
        <w:rPr>
          <w:i/>
          <w:lang w:val="fr-CH"/>
        </w:rPr>
        <w:t xml:space="preserve"> dont le produit </w:t>
      </w:r>
      <w:proofErr w:type="spellStart"/>
      <w:r w:rsidRPr="00945E73">
        <w:rPr>
          <w:i/>
          <w:lang w:val="fr-CH"/>
        </w:rPr>
        <w:t>R</w:t>
      </w:r>
      <w:r w:rsidRPr="00945E73">
        <w:rPr>
          <w:i/>
          <w:vertAlign w:val="subscript"/>
          <w:lang w:val="fr-CH"/>
        </w:rPr>
        <w:t>m</w:t>
      </w:r>
      <w:proofErr w:type="spellEnd"/>
      <w:r w:rsidRPr="00945E73">
        <w:rPr>
          <w:i/>
          <w:lang w:val="fr-CH"/>
        </w:rPr>
        <w:t xml:space="preserve"> x </w:t>
      </w:r>
      <w:proofErr w:type="spellStart"/>
      <w:r w:rsidRPr="00945E73">
        <w:rPr>
          <w:i/>
          <w:lang w:val="fr-CH"/>
        </w:rPr>
        <w:t>A</w:t>
      </w:r>
      <w:r w:rsidRPr="00945E73">
        <w:rPr>
          <w:i/>
          <w:vertAlign w:val="subscript"/>
          <w:lang w:val="fr-CH"/>
        </w:rPr>
        <w:t>o</w:t>
      </w:r>
      <w:proofErr w:type="spellEnd"/>
      <w:r w:rsidRPr="00945E73">
        <w:rPr>
          <w:i/>
          <w:lang w:val="fr-CH"/>
        </w:rPr>
        <w:t xml:space="preserve"> = 10 000, l’épaisseur de la paroi ne doit pas être inférieure aux valeurs suivantes:</w:t>
      </w:r>
      <w:r w:rsidRPr="00945E73">
        <w:rPr>
          <w:lang w:val="fr-CH"/>
        </w:rPr>
        <w:t>[…]). La présente proposition ne modifie pas ces dispositions.</w:t>
      </w:r>
    </w:p>
    <w:p w:rsidR="005721A9" w:rsidRPr="005721A9" w:rsidRDefault="005721A9" w:rsidP="005721A9">
      <w:pPr>
        <w:pStyle w:val="SingleTxt"/>
        <w:spacing w:after="0" w:line="120" w:lineRule="exact"/>
        <w:rPr>
          <w:sz w:val="10"/>
          <w:lang w:val="fr-CH"/>
        </w:rPr>
      </w:pPr>
    </w:p>
    <w:p w:rsidR="005721A9" w:rsidRPr="005721A9" w:rsidRDefault="005721A9" w:rsidP="005721A9">
      <w:pPr>
        <w:pStyle w:val="SingleTxt"/>
        <w:spacing w:after="0" w:line="120" w:lineRule="exact"/>
        <w:rPr>
          <w:sz w:val="10"/>
          <w:lang w:val="fr-CH"/>
        </w:rPr>
      </w:pPr>
    </w:p>
    <w:p w:rsidR="00945E73" w:rsidRDefault="00945E73" w:rsidP="005721A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945E73">
        <w:rPr>
          <w:lang w:val="fr-CH"/>
        </w:rPr>
        <w:tab/>
      </w:r>
      <w:r w:rsidRPr="00945E73">
        <w:rPr>
          <w:lang w:val="fr-CH"/>
        </w:rPr>
        <w:tab/>
        <w:t>Proposition</w:t>
      </w:r>
    </w:p>
    <w:p w:rsidR="005721A9" w:rsidRPr="005721A9" w:rsidRDefault="005721A9" w:rsidP="005721A9">
      <w:pPr>
        <w:pStyle w:val="SingleTxt"/>
        <w:spacing w:after="0" w:line="120" w:lineRule="exact"/>
        <w:rPr>
          <w:b/>
          <w:sz w:val="10"/>
          <w:lang w:val="fr-CH"/>
        </w:rPr>
      </w:pPr>
    </w:p>
    <w:p w:rsidR="005721A9" w:rsidRPr="005721A9" w:rsidRDefault="005721A9" w:rsidP="005721A9">
      <w:pPr>
        <w:pStyle w:val="SingleTxt"/>
        <w:spacing w:after="0" w:line="120" w:lineRule="exact"/>
        <w:rPr>
          <w:b/>
          <w:sz w:val="10"/>
          <w:lang w:val="fr-CH"/>
        </w:rPr>
      </w:pPr>
    </w:p>
    <w:p w:rsidR="00945E73" w:rsidRPr="00945E73" w:rsidRDefault="00945E73" w:rsidP="007B6CE7">
      <w:pPr>
        <w:pStyle w:val="SingleTxt"/>
        <w:numPr>
          <w:ilvl w:val="0"/>
          <w:numId w:val="8"/>
        </w:numPr>
        <w:tabs>
          <w:tab w:val="clear" w:pos="475"/>
          <w:tab w:val="num" w:pos="1742"/>
        </w:tabs>
        <w:ind w:left="1267"/>
        <w:rPr>
          <w:lang w:val="fr-CH"/>
        </w:rPr>
      </w:pPr>
      <w:r w:rsidRPr="00945E73">
        <w:rPr>
          <w:lang w:val="fr-CH"/>
        </w:rPr>
        <w:t>À la section 1.2.1 (Définitions), ajouter une définition de l’</w:t>
      </w:r>
      <w:r w:rsidR="005721A9">
        <w:rPr>
          <w:lang w:val="fr-CH"/>
        </w:rPr>
        <w:t>« </w:t>
      </w:r>
      <w:r w:rsidRPr="00945E73">
        <w:rPr>
          <w:lang w:val="fr-CH"/>
        </w:rPr>
        <w:t>acier de référence</w:t>
      </w:r>
      <w:r w:rsidR="005721A9">
        <w:rPr>
          <w:lang w:val="fr-CH"/>
        </w:rPr>
        <w:t> »,</w:t>
      </w:r>
      <w:r w:rsidRPr="00945E73">
        <w:rPr>
          <w:lang w:val="fr-CH"/>
        </w:rPr>
        <w:t xml:space="preserve"> libellée comme suit</w:t>
      </w:r>
      <w:r w:rsidR="005721A9">
        <w:rPr>
          <w:lang w:val="fr-CH"/>
        </w:rPr>
        <w:t> </w:t>
      </w:r>
      <w:r w:rsidRPr="00945E73">
        <w:rPr>
          <w:lang w:val="fr-CH"/>
        </w:rPr>
        <w:t>:</w:t>
      </w:r>
    </w:p>
    <w:p w:rsidR="00945E73" w:rsidRPr="00945E73" w:rsidRDefault="00971F71" w:rsidP="005721A9">
      <w:pPr>
        <w:pStyle w:val="SingleTxt"/>
        <w:ind w:left="1742" w:hanging="475"/>
        <w:rPr>
          <w:lang w:val="fr-CH"/>
        </w:rPr>
      </w:pPr>
      <w:r>
        <w:rPr>
          <w:lang w:val="fr-CH"/>
        </w:rPr>
        <w:tab/>
      </w:r>
      <w:r w:rsidR="005721A9">
        <w:rPr>
          <w:lang w:val="fr-CH"/>
        </w:rPr>
        <w:t>« </w:t>
      </w:r>
      <w:r w:rsidR="00945E73" w:rsidRPr="00945E73">
        <w:rPr>
          <w:i/>
          <w:iCs/>
          <w:lang w:val="fr-CH"/>
        </w:rPr>
        <w:t>Acier de référence</w:t>
      </w:r>
      <w:r w:rsidR="005721A9">
        <w:rPr>
          <w:iCs/>
          <w:lang w:val="fr-CH"/>
        </w:rPr>
        <w:t> »</w:t>
      </w:r>
      <w:r w:rsidR="00945E73" w:rsidRPr="00945E73">
        <w:rPr>
          <w:i/>
          <w:iCs/>
          <w:lang w:val="fr-CH"/>
        </w:rPr>
        <w:t xml:space="preserve"> </w:t>
      </w:r>
      <w:r w:rsidR="00945E73" w:rsidRPr="00945E73">
        <w:rPr>
          <w:iCs/>
          <w:lang w:val="fr-CH"/>
        </w:rPr>
        <w:t xml:space="preserve">un acier ayant une résistance à la traction de </w:t>
      </w:r>
      <w:r w:rsidR="005721A9">
        <w:rPr>
          <w:lang w:val="fr-CH"/>
        </w:rPr>
        <w:t>370 </w:t>
      </w:r>
      <w:r w:rsidR="00945E73" w:rsidRPr="00945E73">
        <w:rPr>
          <w:lang w:val="fr-CH"/>
        </w:rPr>
        <w:t>N/mm</w:t>
      </w:r>
      <w:r w:rsidR="00945E73" w:rsidRPr="00945E73">
        <w:rPr>
          <w:vertAlign w:val="superscript"/>
          <w:lang w:val="fr-CH"/>
        </w:rPr>
        <w:t>2</w:t>
      </w:r>
      <w:r w:rsidR="00945E73" w:rsidRPr="00945E73">
        <w:rPr>
          <w:lang w:val="fr-CH"/>
        </w:rPr>
        <w:t xml:space="preserve"> et un allongement à la rupture de 27 %;</w:t>
      </w:r>
      <w:r w:rsidR="005721A9">
        <w:rPr>
          <w:lang w:val="fr-CH"/>
        </w:rPr>
        <w:t> ».</w:t>
      </w:r>
    </w:p>
    <w:p w:rsidR="00945E73" w:rsidRPr="00945E73" w:rsidRDefault="00971F71" w:rsidP="005721A9">
      <w:pPr>
        <w:pStyle w:val="SingleTxt"/>
        <w:ind w:left="1742" w:hanging="475"/>
        <w:rPr>
          <w:lang w:val="fr-CH"/>
        </w:rPr>
      </w:pPr>
      <w:r>
        <w:rPr>
          <w:b/>
          <w:lang w:val="fr-CH"/>
        </w:rPr>
        <w:tab/>
      </w:r>
      <w:r w:rsidR="00945E73" w:rsidRPr="00945E73">
        <w:rPr>
          <w:b/>
          <w:lang w:val="fr-CH"/>
        </w:rPr>
        <w:t>Nota</w:t>
      </w:r>
      <w:r w:rsidR="005721A9">
        <w:rPr>
          <w:b/>
          <w:lang w:val="fr-CH"/>
        </w:rPr>
        <w:t> </w:t>
      </w:r>
      <w:r w:rsidR="00945E73" w:rsidRPr="00945E73">
        <w:rPr>
          <w:b/>
          <w:lang w:val="fr-CH"/>
        </w:rPr>
        <w:t>:</w:t>
      </w:r>
      <w:r w:rsidR="00945E73" w:rsidRPr="00945E73">
        <w:rPr>
          <w:lang w:val="fr-CH"/>
        </w:rPr>
        <w:t xml:space="preserve"> </w:t>
      </w:r>
      <w:r w:rsidR="00945E73" w:rsidRPr="00945E73">
        <w:rPr>
          <w:lang w:val="fr-CH"/>
        </w:rPr>
        <w:tab/>
        <w:t xml:space="preserve">Pour les GRV métalliques, voir la sous-section 6.5.5.1. </w:t>
      </w:r>
    </w:p>
    <w:p w:rsidR="009F48E7" w:rsidRPr="00945E73" w:rsidRDefault="00945E73" w:rsidP="007B6CE7">
      <w:pPr>
        <w:pStyle w:val="SingleTxt"/>
        <w:numPr>
          <w:ilvl w:val="0"/>
          <w:numId w:val="8"/>
        </w:numPr>
        <w:tabs>
          <w:tab w:val="clear" w:pos="475"/>
          <w:tab w:val="num" w:pos="1742"/>
        </w:tabs>
        <w:ind w:left="1267"/>
        <w:rPr>
          <w:lang w:val="fr-CH"/>
        </w:rPr>
      </w:pPr>
      <w:r w:rsidRPr="00945E73">
        <w:rPr>
          <w:lang w:val="fr-CH"/>
        </w:rPr>
        <w:t>Supprimer les définitions de l’</w:t>
      </w:r>
      <w:r w:rsidR="005721A9">
        <w:rPr>
          <w:lang w:val="fr-CH"/>
        </w:rPr>
        <w:t>« </w:t>
      </w:r>
      <w:r w:rsidRPr="00945E73">
        <w:rPr>
          <w:lang w:val="fr-CH"/>
        </w:rPr>
        <w:t>acier de référence » qui figurent aux sous-sections 6.7.2.1, 6.7.3.1 et 6.7.4.1.</w:t>
      </w:r>
    </w:p>
    <w:p w:rsidR="00945E73" w:rsidRPr="00945E73" w:rsidRDefault="00945E73" w:rsidP="00945E73">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945E73" w:rsidRPr="00945E73" w:rsidSect="009F48E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0-12T09:50:00Z" w:initials="Start">
    <w:p w:rsidR="009F48E7" w:rsidRDefault="009F48E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NO&gt;&gt;N1520040F&lt;&lt;ODS JOB NO&gt;&gt;</w:t>
      </w:r>
    </w:p>
    <w:p w:rsidR="009F48E7" w:rsidRDefault="009F48E7">
      <w:pPr>
        <w:pStyle w:val="CommentText"/>
      </w:pPr>
      <w:r>
        <w:t>&lt;&lt;ODS DOC SYMBOL1&gt;&gt;ST/SG/AC.10/C.3/2015/44&lt;&lt;ODS DOC SYMBOL1&gt;&gt;</w:t>
      </w:r>
    </w:p>
    <w:p w:rsidR="009F48E7" w:rsidRDefault="009F48E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2F" w:rsidRDefault="00EE0C2F" w:rsidP="00F3330B">
      <w:pPr>
        <w:spacing w:line="240" w:lineRule="auto"/>
      </w:pPr>
      <w:r>
        <w:separator/>
      </w:r>
    </w:p>
  </w:endnote>
  <w:endnote w:type="continuationSeparator" w:id="0">
    <w:p w:rsidR="00EE0C2F" w:rsidRDefault="00EE0C2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F48E7" w:rsidTr="009F48E7">
      <w:trPr>
        <w:jc w:val="center"/>
      </w:trPr>
      <w:tc>
        <w:tcPr>
          <w:tcW w:w="5126" w:type="dxa"/>
          <w:shd w:val="clear" w:color="auto" w:fill="auto"/>
        </w:tcPr>
        <w:p w:rsidR="009F48E7" w:rsidRPr="009F48E7" w:rsidRDefault="009F48E7" w:rsidP="009F48E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BF9">
            <w:rPr>
              <w:b w:val="0"/>
              <w:w w:val="103"/>
              <w:sz w:val="14"/>
            </w:rPr>
            <w:t>GE.15-15020</w:t>
          </w:r>
          <w:r>
            <w:rPr>
              <w:b w:val="0"/>
              <w:w w:val="103"/>
              <w:sz w:val="14"/>
            </w:rPr>
            <w:fldChar w:fldCharType="end"/>
          </w:r>
        </w:p>
      </w:tc>
      <w:tc>
        <w:tcPr>
          <w:tcW w:w="5127" w:type="dxa"/>
          <w:shd w:val="clear" w:color="auto" w:fill="auto"/>
        </w:tcPr>
        <w:p w:rsidR="009F48E7" w:rsidRPr="009F48E7" w:rsidRDefault="009F48E7" w:rsidP="009F48E7">
          <w:pPr>
            <w:pStyle w:val="Footer"/>
            <w:rPr>
              <w:w w:val="103"/>
            </w:rPr>
          </w:pPr>
          <w:r>
            <w:rPr>
              <w:w w:val="103"/>
            </w:rPr>
            <w:fldChar w:fldCharType="begin"/>
          </w:r>
          <w:r>
            <w:rPr>
              <w:w w:val="103"/>
            </w:rPr>
            <w:instrText xml:space="preserve"> PAGE  \* Arabic  \* MERGEFORMAT </w:instrText>
          </w:r>
          <w:r>
            <w:rPr>
              <w:w w:val="103"/>
            </w:rPr>
            <w:fldChar w:fldCharType="separate"/>
          </w:r>
          <w:r w:rsidR="0073529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3529B">
            <w:rPr>
              <w:noProof/>
              <w:w w:val="103"/>
            </w:rPr>
            <w:t>2</w:t>
          </w:r>
          <w:r>
            <w:rPr>
              <w:w w:val="103"/>
            </w:rPr>
            <w:fldChar w:fldCharType="end"/>
          </w:r>
        </w:p>
      </w:tc>
    </w:tr>
  </w:tbl>
  <w:p w:rsidR="009F48E7" w:rsidRPr="009F48E7" w:rsidRDefault="009F48E7" w:rsidP="009F4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F48E7" w:rsidTr="009F48E7">
      <w:trPr>
        <w:jc w:val="center"/>
      </w:trPr>
      <w:tc>
        <w:tcPr>
          <w:tcW w:w="5126" w:type="dxa"/>
          <w:shd w:val="clear" w:color="auto" w:fill="auto"/>
        </w:tcPr>
        <w:p w:rsidR="009F48E7" w:rsidRPr="009F48E7" w:rsidRDefault="009F48E7" w:rsidP="009F48E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A0BF9">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A0BF9">
            <w:rPr>
              <w:noProof/>
              <w:w w:val="103"/>
            </w:rPr>
            <w:t>2</w:t>
          </w:r>
          <w:r>
            <w:rPr>
              <w:w w:val="103"/>
            </w:rPr>
            <w:fldChar w:fldCharType="end"/>
          </w:r>
        </w:p>
      </w:tc>
      <w:tc>
        <w:tcPr>
          <w:tcW w:w="5127" w:type="dxa"/>
          <w:shd w:val="clear" w:color="auto" w:fill="auto"/>
        </w:tcPr>
        <w:p w:rsidR="009F48E7" w:rsidRPr="009F48E7" w:rsidRDefault="009F48E7" w:rsidP="009F48E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A0BF9">
            <w:rPr>
              <w:b w:val="0"/>
              <w:w w:val="103"/>
              <w:sz w:val="14"/>
            </w:rPr>
            <w:t>GE.15-15020</w:t>
          </w:r>
          <w:r>
            <w:rPr>
              <w:b w:val="0"/>
              <w:w w:val="103"/>
              <w:sz w:val="14"/>
            </w:rPr>
            <w:fldChar w:fldCharType="end"/>
          </w:r>
        </w:p>
      </w:tc>
    </w:tr>
  </w:tbl>
  <w:p w:rsidR="009F48E7" w:rsidRPr="009F48E7" w:rsidRDefault="009F48E7" w:rsidP="009F48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8E7" w:rsidRDefault="009F48E7">
    <w:pPr>
      <w:pStyle w:val="Footer"/>
    </w:pPr>
    <w:r>
      <w:rPr>
        <w:noProof/>
        <w:lang w:val="en-GB" w:eastAsia="en-GB"/>
      </w:rPr>
      <w:drawing>
        <wp:anchor distT="0" distB="0" distL="114300" distR="114300" simplePos="0" relativeHeight="251658240" behindDoc="0" locked="0" layoutInCell="1" allowOverlap="1" wp14:anchorId="029330E0" wp14:editId="63C6A0F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4&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F48E7" w:rsidTr="009F48E7">
      <w:tc>
        <w:tcPr>
          <w:tcW w:w="3859" w:type="dxa"/>
        </w:tcPr>
        <w:p w:rsidR="009F48E7" w:rsidRDefault="009F48E7" w:rsidP="009F48E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A0BF9">
            <w:rPr>
              <w:b w:val="0"/>
              <w:sz w:val="20"/>
            </w:rPr>
            <w:t>GE.15-15020 (F)</w:t>
          </w:r>
          <w:r>
            <w:rPr>
              <w:b w:val="0"/>
              <w:sz w:val="20"/>
            </w:rPr>
            <w:fldChar w:fldCharType="end"/>
          </w:r>
          <w:r>
            <w:rPr>
              <w:b w:val="0"/>
              <w:sz w:val="20"/>
            </w:rPr>
            <w:t xml:space="preserve">    </w:t>
          </w:r>
          <w:r w:rsidR="00B312F9">
            <w:rPr>
              <w:b w:val="0"/>
              <w:sz w:val="20"/>
            </w:rPr>
            <w:t>09</w:t>
          </w:r>
          <w:r>
            <w:rPr>
              <w:b w:val="0"/>
              <w:sz w:val="20"/>
            </w:rPr>
            <w:t>1015    1</w:t>
          </w:r>
          <w:r w:rsidR="007B6CE7">
            <w:rPr>
              <w:b w:val="0"/>
              <w:sz w:val="20"/>
            </w:rPr>
            <w:t>9</w:t>
          </w:r>
          <w:r>
            <w:rPr>
              <w:b w:val="0"/>
              <w:sz w:val="20"/>
            </w:rPr>
            <w:t>1015</w:t>
          </w:r>
        </w:p>
        <w:p w:rsidR="009F48E7" w:rsidRPr="009F48E7" w:rsidRDefault="009F48E7" w:rsidP="009F48E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A0BF9">
            <w:rPr>
              <w:rFonts w:ascii="Barcode 3 of 9 by request" w:hAnsi="Barcode 3 of 9 by request"/>
              <w:b w:val="0"/>
              <w:spacing w:val="0"/>
              <w:w w:val="100"/>
              <w:sz w:val="24"/>
            </w:rPr>
            <w:t>*1515020*</w:t>
          </w:r>
          <w:r>
            <w:rPr>
              <w:rFonts w:ascii="Barcode 3 of 9 by request" w:hAnsi="Barcode 3 of 9 by request"/>
              <w:b w:val="0"/>
              <w:spacing w:val="0"/>
              <w:w w:val="100"/>
              <w:sz w:val="24"/>
            </w:rPr>
            <w:fldChar w:fldCharType="end"/>
          </w:r>
        </w:p>
      </w:tc>
      <w:tc>
        <w:tcPr>
          <w:tcW w:w="5127" w:type="dxa"/>
        </w:tcPr>
        <w:p w:rsidR="009F48E7" w:rsidRDefault="009F48E7" w:rsidP="009F48E7">
          <w:pPr>
            <w:pStyle w:val="Footer"/>
            <w:spacing w:line="240" w:lineRule="atLeast"/>
            <w:jc w:val="right"/>
            <w:rPr>
              <w:b w:val="0"/>
              <w:sz w:val="20"/>
            </w:rPr>
          </w:pPr>
          <w:r>
            <w:rPr>
              <w:b w:val="0"/>
              <w:noProof/>
              <w:sz w:val="20"/>
              <w:lang w:val="en-GB" w:eastAsia="en-GB"/>
            </w:rPr>
            <w:drawing>
              <wp:inline distT="0" distB="0" distL="0" distR="0" wp14:anchorId="561B2324" wp14:editId="6A1FF80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F48E7" w:rsidRPr="009F48E7" w:rsidRDefault="009F48E7" w:rsidP="009F48E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2F" w:rsidRPr="007B6CE7" w:rsidRDefault="007B6CE7" w:rsidP="007B6CE7">
      <w:pPr>
        <w:pStyle w:val="Footer"/>
        <w:spacing w:after="80"/>
        <w:ind w:left="792"/>
        <w:rPr>
          <w:sz w:val="16"/>
        </w:rPr>
      </w:pPr>
      <w:r w:rsidRPr="007B6CE7">
        <w:rPr>
          <w:sz w:val="16"/>
        </w:rPr>
        <w:t>__________________</w:t>
      </w:r>
    </w:p>
  </w:footnote>
  <w:footnote w:type="continuationSeparator" w:id="0">
    <w:p w:rsidR="00EE0C2F" w:rsidRPr="007B6CE7" w:rsidRDefault="007B6CE7" w:rsidP="007B6CE7">
      <w:pPr>
        <w:pStyle w:val="Footer"/>
        <w:spacing w:after="80"/>
        <w:ind w:left="792"/>
        <w:rPr>
          <w:sz w:val="16"/>
        </w:rPr>
      </w:pPr>
      <w:r w:rsidRPr="007B6CE7">
        <w:rPr>
          <w:sz w:val="16"/>
        </w:rPr>
        <w:t>__________________</w:t>
      </w:r>
    </w:p>
  </w:footnote>
  <w:footnote w:id="1">
    <w:p w:rsidR="007B6CE7" w:rsidRPr="007B6CE7" w:rsidRDefault="007B6CE7" w:rsidP="007B6CE7">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41549E">
        <w:t>Conformément au programme de travail du Sous-Comité pour la période 2015-2016, adopté par le Comité à sa septième session</w:t>
      </w:r>
      <w:r w:rsidR="005721A9">
        <w:t xml:space="preserve"> (voir ST/SG/AC.10/C.3/92, par. </w:t>
      </w:r>
      <w:r w:rsidRPr="0041549E">
        <w:t>95, et ST/SG/AC.10/42, par.</w:t>
      </w:r>
      <w:r w:rsidR="005721A9">
        <w:t> </w:t>
      </w:r>
      <w:r w:rsidRPr="0041549E">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F48E7" w:rsidTr="009F48E7">
      <w:trPr>
        <w:trHeight w:hRule="exact" w:val="864"/>
        <w:jc w:val="center"/>
      </w:trPr>
      <w:tc>
        <w:tcPr>
          <w:tcW w:w="4882" w:type="dxa"/>
          <w:shd w:val="clear" w:color="auto" w:fill="auto"/>
          <w:vAlign w:val="bottom"/>
        </w:tcPr>
        <w:p w:rsidR="009F48E7" w:rsidRPr="009F48E7" w:rsidRDefault="009F48E7" w:rsidP="009F48E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0BF9">
            <w:rPr>
              <w:b/>
              <w:color w:val="000000"/>
            </w:rPr>
            <w:t>ST/SG/AC.10/C.3/2015/44</w:t>
          </w:r>
          <w:r>
            <w:rPr>
              <w:b/>
              <w:color w:val="000000"/>
            </w:rPr>
            <w:fldChar w:fldCharType="end"/>
          </w:r>
        </w:p>
      </w:tc>
      <w:tc>
        <w:tcPr>
          <w:tcW w:w="5127" w:type="dxa"/>
          <w:shd w:val="clear" w:color="auto" w:fill="auto"/>
          <w:vAlign w:val="bottom"/>
        </w:tcPr>
        <w:p w:rsidR="009F48E7" w:rsidRDefault="009F48E7" w:rsidP="009F48E7">
          <w:pPr>
            <w:pStyle w:val="Header"/>
          </w:pPr>
        </w:p>
      </w:tc>
    </w:tr>
  </w:tbl>
  <w:p w:rsidR="009F48E7" w:rsidRPr="009F48E7" w:rsidRDefault="009F48E7" w:rsidP="009F48E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F48E7" w:rsidTr="009F48E7">
      <w:trPr>
        <w:trHeight w:hRule="exact" w:val="864"/>
        <w:jc w:val="center"/>
      </w:trPr>
      <w:tc>
        <w:tcPr>
          <w:tcW w:w="4882" w:type="dxa"/>
          <w:shd w:val="clear" w:color="auto" w:fill="auto"/>
          <w:vAlign w:val="bottom"/>
        </w:tcPr>
        <w:p w:rsidR="009F48E7" w:rsidRDefault="009F48E7" w:rsidP="009F48E7">
          <w:pPr>
            <w:pStyle w:val="Header"/>
          </w:pPr>
        </w:p>
      </w:tc>
      <w:tc>
        <w:tcPr>
          <w:tcW w:w="5127" w:type="dxa"/>
          <w:shd w:val="clear" w:color="auto" w:fill="auto"/>
          <w:vAlign w:val="bottom"/>
        </w:tcPr>
        <w:p w:rsidR="009F48E7" w:rsidRPr="009F48E7" w:rsidRDefault="009F48E7" w:rsidP="009F48E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A0BF9">
            <w:rPr>
              <w:b/>
              <w:color w:val="000000"/>
            </w:rPr>
            <w:t>ST/SG/AC.10/C.3/2015/44</w:t>
          </w:r>
          <w:r>
            <w:rPr>
              <w:b/>
              <w:color w:val="000000"/>
            </w:rPr>
            <w:fldChar w:fldCharType="end"/>
          </w:r>
        </w:p>
      </w:tc>
    </w:tr>
  </w:tbl>
  <w:p w:rsidR="009F48E7" w:rsidRPr="009F48E7" w:rsidRDefault="009F48E7" w:rsidP="009F48E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F48E7" w:rsidTr="009F48E7">
      <w:trPr>
        <w:trHeight w:hRule="exact" w:val="864"/>
      </w:trPr>
      <w:tc>
        <w:tcPr>
          <w:tcW w:w="1267" w:type="dxa"/>
          <w:tcBorders>
            <w:bottom w:val="single" w:sz="4" w:space="0" w:color="auto"/>
          </w:tcBorders>
          <w:shd w:val="clear" w:color="auto" w:fill="auto"/>
          <w:vAlign w:val="bottom"/>
        </w:tcPr>
        <w:p w:rsidR="009F48E7" w:rsidRDefault="009F48E7" w:rsidP="009F48E7">
          <w:pPr>
            <w:pStyle w:val="Header"/>
            <w:spacing w:after="120"/>
          </w:pPr>
        </w:p>
      </w:tc>
      <w:tc>
        <w:tcPr>
          <w:tcW w:w="2059" w:type="dxa"/>
          <w:tcBorders>
            <w:bottom w:val="single" w:sz="4" w:space="0" w:color="auto"/>
          </w:tcBorders>
          <w:shd w:val="clear" w:color="auto" w:fill="auto"/>
          <w:vAlign w:val="bottom"/>
        </w:tcPr>
        <w:p w:rsidR="009F48E7" w:rsidRPr="009F48E7" w:rsidRDefault="009F48E7" w:rsidP="009F48E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F48E7" w:rsidRDefault="009F48E7" w:rsidP="009F48E7">
          <w:pPr>
            <w:pStyle w:val="Header"/>
            <w:spacing w:after="120"/>
          </w:pPr>
        </w:p>
      </w:tc>
      <w:tc>
        <w:tcPr>
          <w:tcW w:w="6653" w:type="dxa"/>
          <w:gridSpan w:val="4"/>
          <w:tcBorders>
            <w:bottom w:val="single" w:sz="4" w:space="0" w:color="auto"/>
          </w:tcBorders>
          <w:shd w:val="clear" w:color="auto" w:fill="auto"/>
          <w:vAlign w:val="bottom"/>
        </w:tcPr>
        <w:p w:rsidR="009F48E7" w:rsidRPr="009F48E7" w:rsidRDefault="009F48E7" w:rsidP="009F48E7">
          <w:pPr>
            <w:spacing w:after="80" w:line="240" w:lineRule="auto"/>
            <w:jc w:val="right"/>
            <w:rPr>
              <w:position w:val="-4"/>
            </w:rPr>
          </w:pPr>
          <w:r>
            <w:rPr>
              <w:position w:val="-4"/>
              <w:sz w:val="40"/>
            </w:rPr>
            <w:t>ST</w:t>
          </w:r>
          <w:r>
            <w:rPr>
              <w:position w:val="-4"/>
            </w:rPr>
            <w:t>/SG/AC.10/C.3/2015/44</w:t>
          </w:r>
        </w:p>
      </w:tc>
    </w:tr>
    <w:tr w:rsidR="009F48E7" w:rsidRPr="009F48E7" w:rsidTr="009F48E7">
      <w:trPr>
        <w:gridAfter w:val="1"/>
        <w:wAfter w:w="18" w:type="dxa"/>
        <w:trHeight w:hRule="exact" w:val="2880"/>
      </w:trPr>
      <w:tc>
        <w:tcPr>
          <w:tcW w:w="1267" w:type="dxa"/>
          <w:tcBorders>
            <w:top w:val="single" w:sz="4" w:space="0" w:color="auto"/>
            <w:bottom w:val="single" w:sz="12" w:space="0" w:color="auto"/>
          </w:tcBorders>
          <w:shd w:val="clear" w:color="auto" w:fill="auto"/>
        </w:tcPr>
        <w:p w:rsidR="009F48E7" w:rsidRPr="009F48E7" w:rsidRDefault="009F48E7" w:rsidP="009F48E7">
          <w:pPr>
            <w:pStyle w:val="Header"/>
            <w:spacing w:before="120" w:line="240" w:lineRule="auto"/>
            <w:ind w:left="-72"/>
            <w:jc w:val="center"/>
          </w:pPr>
          <w:r>
            <w:t xml:space="preserve">  </w:t>
          </w:r>
          <w:r>
            <w:rPr>
              <w:noProof/>
              <w:lang w:val="en-GB" w:eastAsia="en-GB"/>
            </w:rPr>
            <w:drawing>
              <wp:inline distT="0" distB="0" distL="0" distR="0" wp14:anchorId="4B69CEB9" wp14:editId="352C610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F48E7" w:rsidRPr="009F48E7" w:rsidRDefault="009F48E7" w:rsidP="009F48E7">
          <w:pPr>
            <w:pStyle w:val="XLarge"/>
            <w:spacing w:before="109"/>
          </w:pPr>
          <w:r>
            <w:t>Secrétariat</w:t>
          </w:r>
        </w:p>
      </w:tc>
      <w:tc>
        <w:tcPr>
          <w:tcW w:w="245" w:type="dxa"/>
          <w:tcBorders>
            <w:top w:val="single" w:sz="4" w:space="0" w:color="auto"/>
            <w:bottom w:val="single" w:sz="12" w:space="0" w:color="auto"/>
          </w:tcBorders>
          <w:shd w:val="clear" w:color="auto" w:fill="auto"/>
        </w:tcPr>
        <w:p w:rsidR="009F48E7" w:rsidRPr="009F48E7" w:rsidRDefault="009F48E7" w:rsidP="009F48E7">
          <w:pPr>
            <w:pStyle w:val="Header"/>
            <w:spacing w:before="109"/>
          </w:pPr>
        </w:p>
      </w:tc>
      <w:tc>
        <w:tcPr>
          <w:tcW w:w="3280" w:type="dxa"/>
          <w:tcBorders>
            <w:top w:val="single" w:sz="4" w:space="0" w:color="auto"/>
            <w:bottom w:val="single" w:sz="12" w:space="0" w:color="auto"/>
          </w:tcBorders>
          <w:shd w:val="clear" w:color="auto" w:fill="auto"/>
        </w:tcPr>
        <w:p w:rsidR="009F48E7" w:rsidRDefault="009F48E7" w:rsidP="009F48E7">
          <w:pPr>
            <w:pStyle w:val="Distribution"/>
            <w:rPr>
              <w:color w:val="000000"/>
            </w:rPr>
          </w:pPr>
          <w:r>
            <w:rPr>
              <w:color w:val="000000"/>
            </w:rPr>
            <w:t xml:space="preserve">Distr. </w:t>
          </w:r>
          <w:proofErr w:type="spellStart"/>
          <w:r>
            <w:rPr>
              <w:color w:val="000000"/>
            </w:rPr>
            <w:t>générale</w:t>
          </w:r>
          <w:proofErr w:type="spellEnd"/>
        </w:p>
        <w:p w:rsidR="009F48E7" w:rsidRDefault="00945E73" w:rsidP="009F48E7">
          <w:pPr>
            <w:pStyle w:val="Publication"/>
            <w:rPr>
              <w:color w:val="000000"/>
            </w:rPr>
          </w:pPr>
          <w:r>
            <w:rPr>
              <w:color w:val="000000"/>
            </w:rPr>
            <w:t xml:space="preserve">4 </w:t>
          </w:r>
          <w:proofErr w:type="spellStart"/>
          <w:r>
            <w:rPr>
              <w:color w:val="000000"/>
            </w:rPr>
            <w:t>septembre</w:t>
          </w:r>
          <w:proofErr w:type="spellEnd"/>
          <w:r w:rsidR="009F48E7">
            <w:rPr>
              <w:color w:val="000000"/>
            </w:rPr>
            <w:t xml:space="preserve"> 2015</w:t>
          </w:r>
        </w:p>
        <w:p w:rsidR="009F48E7" w:rsidRDefault="009F48E7" w:rsidP="009F48E7">
          <w:pPr>
            <w:rPr>
              <w:lang w:val="en-US"/>
            </w:rPr>
          </w:pPr>
          <w:proofErr w:type="spellStart"/>
          <w:r>
            <w:rPr>
              <w:lang w:val="en-US"/>
            </w:rPr>
            <w:t>Français</w:t>
          </w:r>
          <w:proofErr w:type="spellEnd"/>
        </w:p>
        <w:p w:rsidR="009F48E7" w:rsidRPr="009F48E7" w:rsidRDefault="009F48E7" w:rsidP="009F48E7">
          <w:pPr>
            <w:pStyle w:val="Original"/>
            <w:rPr>
              <w:color w:val="000000"/>
            </w:rPr>
          </w:pPr>
          <w:r>
            <w:rPr>
              <w:color w:val="000000"/>
            </w:rPr>
            <w:t xml:space="preserve">Original : </w:t>
          </w:r>
          <w:proofErr w:type="spellStart"/>
          <w:r>
            <w:rPr>
              <w:color w:val="000000"/>
            </w:rPr>
            <w:t>anglais</w:t>
          </w:r>
          <w:proofErr w:type="spellEnd"/>
        </w:p>
      </w:tc>
    </w:tr>
  </w:tbl>
  <w:p w:rsidR="009F48E7" w:rsidRPr="009F48E7" w:rsidRDefault="009F48E7" w:rsidP="009F48E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90D5654"/>
    <w:multiLevelType w:val="singleLevel"/>
    <w:tmpl w:val="3A949820"/>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54D07"/>
    <w:multiLevelType w:val="hybridMultilevel"/>
    <w:tmpl w:val="2078F876"/>
    <w:lvl w:ilvl="0" w:tplc="022EEC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1CA236C3"/>
    <w:multiLevelType w:val="singleLevel"/>
    <w:tmpl w:val="3A949820"/>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5"/>
  </w:num>
  <w:num w:numId="7">
    <w:abstractNumId w:val="6"/>
  </w:num>
  <w:num w:numId="8">
    <w:abstractNumId w:val="1"/>
  </w:num>
  <w:num w:numId="9">
    <w:abstractNumId w:val="5"/>
    <w:lvlOverride w:ilvl="0">
      <w:lvl w:ilvl="0" w:tplc="022EEC8A">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020*"/>
    <w:docVar w:name="CreationDt" w:val="10/12/2015 9:50: AM"/>
    <w:docVar w:name="DocCategory" w:val="Doc"/>
    <w:docVar w:name="DocType" w:val="Final"/>
    <w:docVar w:name="DutyStation" w:val="Geneva"/>
    <w:docVar w:name="FooterJN" w:val="GE.15-15020"/>
    <w:docVar w:name="jobn" w:val="GE.15-15020 (F)"/>
    <w:docVar w:name="jobnDT" w:val="GE.15-15020 (F)   121015"/>
    <w:docVar w:name="jobnDTDT" w:val="GE.15-15020 (F)   121015   121015"/>
    <w:docVar w:name="JobNo" w:val="GE.1515020F"/>
    <w:docVar w:name="JobNo2" w:val="GE.1520040F"/>
    <w:docVar w:name="LocalDrive" w:val="0"/>
    <w:docVar w:name="OandT" w:val="BEAUNEE"/>
    <w:docVar w:name="PaperSize" w:val="A4"/>
    <w:docVar w:name="sss1" w:val="ST/SG/AC.10/C.3/2015/44"/>
    <w:docVar w:name="sss2" w:val="-"/>
    <w:docVar w:name="Symbol1" w:val="ST/SG/AC.10/C.3/2015/44"/>
    <w:docVar w:name="Symbol2" w:val="-"/>
  </w:docVars>
  <w:rsids>
    <w:rsidRoot w:val="00EE0C2F"/>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87637"/>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0BF9"/>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0AD8"/>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21A9"/>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0FD1"/>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29B"/>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6CE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5E73"/>
    <w:rsid w:val="0095064A"/>
    <w:rsid w:val="00951A0B"/>
    <w:rsid w:val="009535B3"/>
    <w:rsid w:val="00953A36"/>
    <w:rsid w:val="00953F33"/>
    <w:rsid w:val="00955DBA"/>
    <w:rsid w:val="00957244"/>
    <w:rsid w:val="00962CAC"/>
    <w:rsid w:val="00964BDE"/>
    <w:rsid w:val="009676D3"/>
    <w:rsid w:val="00970A5C"/>
    <w:rsid w:val="00971E24"/>
    <w:rsid w:val="00971F71"/>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48E7"/>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0B"/>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12F9"/>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0C2F"/>
    <w:rsid w:val="00EE104D"/>
    <w:rsid w:val="00EE5F6D"/>
    <w:rsid w:val="00EE7124"/>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F48E7"/>
    <w:rPr>
      <w:sz w:val="16"/>
      <w:szCs w:val="16"/>
    </w:rPr>
  </w:style>
  <w:style w:type="paragraph" w:styleId="CommentText">
    <w:name w:val="annotation text"/>
    <w:basedOn w:val="Normal"/>
    <w:link w:val="CommentTextChar"/>
    <w:uiPriority w:val="99"/>
    <w:semiHidden/>
    <w:unhideWhenUsed/>
    <w:rsid w:val="009F48E7"/>
    <w:pPr>
      <w:spacing w:line="240" w:lineRule="auto"/>
    </w:pPr>
    <w:rPr>
      <w:szCs w:val="20"/>
    </w:rPr>
  </w:style>
  <w:style w:type="character" w:customStyle="1" w:styleId="CommentTextChar">
    <w:name w:val="Comment Text Char"/>
    <w:basedOn w:val="DefaultParagraphFont"/>
    <w:link w:val="CommentText"/>
    <w:uiPriority w:val="99"/>
    <w:semiHidden/>
    <w:rsid w:val="009F48E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F48E7"/>
    <w:rPr>
      <w:b/>
      <w:bCs/>
    </w:rPr>
  </w:style>
  <w:style w:type="character" w:customStyle="1" w:styleId="CommentSubjectChar">
    <w:name w:val="Comment Subject Char"/>
    <w:basedOn w:val="CommentTextChar"/>
    <w:link w:val="CommentSubject"/>
    <w:uiPriority w:val="99"/>
    <w:semiHidden/>
    <w:rsid w:val="009F48E7"/>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F48E7"/>
    <w:rPr>
      <w:sz w:val="16"/>
      <w:szCs w:val="16"/>
    </w:rPr>
  </w:style>
  <w:style w:type="paragraph" w:styleId="CommentText">
    <w:name w:val="annotation text"/>
    <w:basedOn w:val="Normal"/>
    <w:link w:val="CommentTextChar"/>
    <w:uiPriority w:val="99"/>
    <w:semiHidden/>
    <w:unhideWhenUsed/>
    <w:rsid w:val="009F48E7"/>
    <w:pPr>
      <w:spacing w:line="240" w:lineRule="auto"/>
    </w:pPr>
    <w:rPr>
      <w:szCs w:val="20"/>
    </w:rPr>
  </w:style>
  <w:style w:type="character" w:customStyle="1" w:styleId="CommentTextChar">
    <w:name w:val="Comment Text Char"/>
    <w:basedOn w:val="DefaultParagraphFont"/>
    <w:link w:val="CommentText"/>
    <w:uiPriority w:val="99"/>
    <w:semiHidden/>
    <w:rsid w:val="009F48E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F48E7"/>
    <w:rPr>
      <w:b/>
      <w:bCs/>
    </w:rPr>
  </w:style>
  <w:style w:type="character" w:customStyle="1" w:styleId="CommentSubjectChar">
    <w:name w:val="Comment Subject Char"/>
    <w:basedOn w:val="CommentTextChar"/>
    <w:link w:val="CommentSubject"/>
    <w:uiPriority w:val="99"/>
    <w:semiHidden/>
    <w:rsid w:val="009F48E7"/>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A926-CC55-484D-9252-188871C4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Laurence Berthet</cp:lastModifiedBy>
  <cp:revision>2</cp:revision>
  <cp:lastPrinted>2015-10-12T10:30:00Z</cp:lastPrinted>
  <dcterms:created xsi:type="dcterms:W3CDTF">2015-10-19T06:27:00Z</dcterms:created>
  <dcterms:modified xsi:type="dcterms:W3CDTF">2015-10-19T06:27:00Z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1515020F</vt:lpwstr>
  </property>
  <property fmtid="{D5CDD505-2E9C-101B-9397-08002B2CF9AE}" pid="3" name="ODSRefJobNo">
    <vt:lpwstr>1520040F</vt:lpwstr>
  </property>
  <property fmtid="{D5CDD505-2E9C-101B-9397-08002B2CF9AE}" pid="4" name="Symbol1">
    <vt:lpwstr>ST/SG/AC.10/C.3/2015/44</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12 octobre 2015</vt:lpwstr>
  </property>
  <property fmtid="{D5CDD505-2E9C-101B-9397-08002B2CF9AE}" pid="12" name="Original">
    <vt:lpwstr>anglais</vt:lpwstr>
  </property>
  <property fmtid="{D5CDD505-2E9C-101B-9397-08002B2CF9AE}" pid="13" name="Release Date">
    <vt:lpwstr>121015</vt:lpwstr>
  </property>
</Properties>
</file>