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0D4182" w:rsidTr="00FE646C">
        <w:trPr>
          <w:trHeight w:val="851"/>
        </w:trPr>
        <w:tc>
          <w:tcPr>
            <w:tcW w:w="1259" w:type="dxa"/>
            <w:tcBorders>
              <w:top w:val="nil"/>
              <w:left w:val="nil"/>
              <w:bottom w:val="single" w:sz="4" w:space="0" w:color="auto"/>
              <w:right w:val="nil"/>
            </w:tcBorders>
          </w:tcPr>
          <w:p w:rsidR="0048539B" w:rsidRPr="000D4182"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0D4182" w:rsidRDefault="0048539B" w:rsidP="00FE646C">
            <w:pPr>
              <w:spacing w:after="80" w:line="340" w:lineRule="exact"/>
              <w:rPr>
                <w:sz w:val="28"/>
                <w:szCs w:val="28"/>
              </w:rPr>
            </w:pPr>
            <w:r w:rsidRPr="000D4182">
              <w:rPr>
                <w:sz w:val="28"/>
                <w:szCs w:val="28"/>
              </w:rPr>
              <w:t>United Nations</w:t>
            </w:r>
          </w:p>
        </w:tc>
        <w:tc>
          <w:tcPr>
            <w:tcW w:w="6144" w:type="dxa"/>
            <w:gridSpan w:val="2"/>
            <w:tcBorders>
              <w:top w:val="nil"/>
              <w:left w:val="nil"/>
              <w:bottom w:val="single" w:sz="4" w:space="0" w:color="auto"/>
              <w:right w:val="nil"/>
            </w:tcBorders>
            <w:vAlign w:val="bottom"/>
          </w:tcPr>
          <w:p w:rsidR="0048539B" w:rsidRPr="000D4182" w:rsidRDefault="0048539B" w:rsidP="007243A1">
            <w:pPr>
              <w:jc w:val="right"/>
            </w:pPr>
            <w:r w:rsidRPr="000D4182">
              <w:rPr>
                <w:sz w:val="40"/>
              </w:rPr>
              <w:t>ST</w:t>
            </w:r>
            <w:r w:rsidRPr="000D4182">
              <w:t>/SG/AC.10/C.3/201</w:t>
            </w:r>
            <w:r w:rsidR="00BF6291" w:rsidRPr="000D4182">
              <w:t>5</w:t>
            </w:r>
            <w:r w:rsidRPr="000D4182">
              <w:t>/</w:t>
            </w:r>
            <w:r w:rsidR="007243A1">
              <w:t>44</w:t>
            </w:r>
          </w:p>
        </w:tc>
      </w:tr>
      <w:tr w:rsidR="0048539B" w:rsidRPr="000D4182" w:rsidTr="00FE646C">
        <w:trPr>
          <w:trHeight w:val="2835"/>
        </w:trPr>
        <w:tc>
          <w:tcPr>
            <w:tcW w:w="1259" w:type="dxa"/>
            <w:tcBorders>
              <w:top w:val="single" w:sz="4" w:space="0" w:color="auto"/>
              <w:left w:val="nil"/>
              <w:bottom w:val="single" w:sz="12" w:space="0" w:color="auto"/>
              <w:right w:val="nil"/>
            </w:tcBorders>
          </w:tcPr>
          <w:p w:rsidR="0048539B" w:rsidRPr="000D4182" w:rsidRDefault="00881651" w:rsidP="00FE646C">
            <w:pPr>
              <w:spacing w:before="120"/>
              <w:jc w:val="center"/>
            </w:pPr>
            <w:r>
              <w:rPr>
                <w:noProof/>
                <w:lang w:eastAsia="en-GB"/>
              </w:rPr>
              <w:drawing>
                <wp:inline distT="0" distB="0" distL="0" distR="0">
                  <wp:extent cx="712470"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0D4182" w:rsidRDefault="0048539B" w:rsidP="00FE646C">
            <w:pPr>
              <w:spacing w:before="120" w:line="420" w:lineRule="exact"/>
              <w:rPr>
                <w:b/>
                <w:sz w:val="40"/>
                <w:szCs w:val="40"/>
              </w:rPr>
            </w:pPr>
            <w:r w:rsidRPr="000D4182">
              <w:rPr>
                <w:b/>
                <w:sz w:val="40"/>
                <w:szCs w:val="40"/>
              </w:rPr>
              <w:t>Secretariat</w:t>
            </w:r>
          </w:p>
        </w:tc>
        <w:tc>
          <w:tcPr>
            <w:tcW w:w="2930" w:type="dxa"/>
            <w:tcBorders>
              <w:top w:val="single" w:sz="4" w:space="0" w:color="auto"/>
              <w:left w:val="nil"/>
              <w:bottom w:val="single" w:sz="12" w:space="0" w:color="auto"/>
              <w:right w:val="nil"/>
            </w:tcBorders>
          </w:tcPr>
          <w:p w:rsidR="0048539B" w:rsidRPr="000D4182" w:rsidRDefault="00E4094C" w:rsidP="00E4094C">
            <w:pPr>
              <w:spacing w:before="240" w:line="240" w:lineRule="exact"/>
            </w:pPr>
            <w:r w:rsidRPr="000D4182">
              <w:t>Distr.: General</w:t>
            </w:r>
            <w:r w:rsidR="00934214" w:rsidRPr="000D4182">
              <w:br/>
            </w:r>
            <w:r w:rsidR="004A511A">
              <w:t>4</w:t>
            </w:r>
            <w:r w:rsidR="00B30550" w:rsidRPr="000D4182">
              <w:t xml:space="preserve"> </w:t>
            </w:r>
            <w:r w:rsidR="00754889">
              <w:t>September</w:t>
            </w:r>
            <w:r w:rsidR="00B30550" w:rsidRPr="000D4182">
              <w:t xml:space="preserve"> 2015</w:t>
            </w:r>
          </w:p>
          <w:p w:rsidR="0048539B" w:rsidRPr="000D4182" w:rsidRDefault="0048539B" w:rsidP="00FE646C">
            <w:pPr>
              <w:spacing w:line="240" w:lineRule="exact"/>
            </w:pPr>
          </w:p>
          <w:p w:rsidR="0048539B" w:rsidRPr="000D4182" w:rsidRDefault="0048539B" w:rsidP="00FE646C">
            <w:pPr>
              <w:spacing w:line="240" w:lineRule="exact"/>
            </w:pPr>
            <w:r w:rsidRPr="000D4182">
              <w:t>Original: English</w:t>
            </w:r>
          </w:p>
        </w:tc>
      </w:tr>
    </w:tbl>
    <w:p w:rsidR="0048539B" w:rsidRPr="000D4182" w:rsidRDefault="0048539B" w:rsidP="0048539B">
      <w:pPr>
        <w:spacing w:before="120"/>
        <w:rPr>
          <w:b/>
          <w:sz w:val="24"/>
          <w:szCs w:val="24"/>
        </w:rPr>
      </w:pPr>
      <w:r w:rsidRPr="000D4182">
        <w:rPr>
          <w:b/>
          <w:sz w:val="24"/>
          <w:szCs w:val="24"/>
        </w:rPr>
        <w:t>Committee of Experts on the Transport of Dangerous Goods</w:t>
      </w:r>
      <w:r w:rsidRPr="000D4182">
        <w:rPr>
          <w:b/>
          <w:sz w:val="24"/>
          <w:szCs w:val="24"/>
        </w:rPr>
        <w:br/>
        <w:t>and on the Globally Harmonized System of Classification</w:t>
      </w:r>
      <w:r w:rsidRPr="000D4182">
        <w:rPr>
          <w:b/>
          <w:sz w:val="24"/>
          <w:szCs w:val="24"/>
        </w:rPr>
        <w:br/>
        <w:t>and Labelling of Chemicals</w:t>
      </w:r>
    </w:p>
    <w:p w:rsidR="0048539B" w:rsidRPr="000D4182" w:rsidRDefault="0048539B" w:rsidP="0048539B">
      <w:pPr>
        <w:spacing w:before="100"/>
        <w:rPr>
          <w:rFonts w:ascii="Helv" w:hAnsi="Helv" w:cs="Helv"/>
          <w:b/>
          <w:color w:val="000000"/>
        </w:rPr>
      </w:pPr>
      <w:r w:rsidRPr="000D4182">
        <w:rPr>
          <w:b/>
        </w:rPr>
        <w:t>Sub-Committee of Experts on the Transport of Dangerous Goods</w:t>
      </w:r>
    </w:p>
    <w:p w:rsidR="0048539B" w:rsidRPr="000D4182" w:rsidRDefault="00F708A8" w:rsidP="0048539B">
      <w:pPr>
        <w:spacing w:before="100"/>
        <w:rPr>
          <w:b/>
        </w:rPr>
      </w:pPr>
      <w:r w:rsidRPr="000D4182">
        <w:rPr>
          <w:b/>
        </w:rPr>
        <w:t>Fort</w:t>
      </w:r>
      <w:r w:rsidR="00083A13" w:rsidRPr="000D4182">
        <w:rPr>
          <w:b/>
        </w:rPr>
        <w:t>y-</w:t>
      </w:r>
      <w:r w:rsidR="000400C5" w:rsidRPr="000D4182">
        <w:rPr>
          <w:b/>
        </w:rPr>
        <w:t>eigh</w:t>
      </w:r>
      <w:r w:rsidR="00BF6291" w:rsidRPr="000D4182">
        <w:rPr>
          <w:b/>
        </w:rPr>
        <w:t>t</w:t>
      </w:r>
      <w:r w:rsidR="000400C5" w:rsidRPr="000D4182">
        <w:rPr>
          <w:b/>
        </w:rPr>
        <w:t>h</w:t>
      </w:r>
      <w:r w:rsidR="0048539B" w:rsidRPr="000D4182">
        <w:rPr>
          <w:b/>
        </w:rPr>
        <w:t xml:space="preserve"> </w:t>
      </w:r>
      <w:proofErr w:type="gramStart"/>
      <w:r w:rsidR="0048539B" w:rsidRPr="000D4182">
        <w:rPr>
          <w:b/>
        </w:rPr>
        <w:t>session</w:t>
      </w:r>
      <w:proofErr w:type="gramEnd"/>
    </w:p>
    <w:p w:rsidR="0048539B" w:rsidRPr="000D4182" w:rsidRDefault="0048539B" w:rsidP="0048539B">
      <w:r w:rsidRPr="000D4182">
        <w:t xml:space="preserve">Geneva, </w:t>
      </w:r>
      <w:r w:rsidR="007243A1">
        <w:t>30 November –</w:t>
      </w:r>
      <w:r w:rsidR="000400C5" w:rsidRPr="000D4182">
        <w:t xml:space="preserve"> 9 December 2015</w:t>
      </w:r>
    </w:p>
    <w:p w:rsidR="00C84FF4" w:rsidRPr="000D4182" w:rsidRDefault="00C84FF4" w:rsidP="00083A13">
      <w:pPr>
        <w:rPr>
          <w:b/>
        </w:rPr>
      </w:pPr>
      <w:r w:rsidRPr="000D4182">
        <w:t xml:space="preserve">Item </w:t>
      </w:r>
      <w:r w:rsidR="00430525" w:rsidRPr="000D4182">
        <w:t>7</w:t>
      </w:r>
      <w:r w:rsidRPr="000D4182">
        <w:t xml:space="preserve"> of the provisional agenda</w:t>
      </w:r>
      <w:r w:rsidRPr="000D4182">
        <w:rPr>
          <w:b/>
        </w:rPr>
        <w:t xml:space="preserve"> </w:t>
      </w:r>
    </w:p>
    <w:p w:rsidR="00430525" w:rsidRPr="000D4182" w:rsidRDefault="00430525" w:rsidP="00083A13">
      <w:pPr>
        <w:rPr>
          <w:b/>
        </w:rPr>
      </w:pPr>
      <w:r w:rsidRPr="000D4182">
        <w:rPr>
          <w:b/>
        </w:rPr>
        <w:t xml:space="preserve">Global harmonization of transport of dangerous goods </w:t>
      </w:r>
    </w:p>
    <w:p w:rsidR="00083A13" w:rsidRPr="000D4182" w:rsidRDefault="00430525" w:rsidP="00083A13">
      <w:pPr>
        <w:rPr>
          <w:b/>
        </w:rPr>
      </w:pPr>
      <w:proofErr w:type="gramStart"/>
      <w:r w:rsidRPr="000D4182">
        <w:rPr>
          <w:b/>
        </w:rPr>
        <w:t>regulations</w:t>
      </w:r>
      <w:proofErr w:type="gramEnd"/>
      <w:r w:rsidRPr="000D4182">
        <w:rPr>
          <w:b/>
        </w:rPr>
        <w:t xml:space="preserve"> with the Model Regulations</w:t>
      </w:r>
    </w:p>
    <w:p w:rsidR="00D938D5" w:rsidRPr="000D4182" w:rsidRDefault="00D938D5" w:rsidP="00D938D5">
      <w:pPr>
        <w:pStyle w:val="HChG"/>
      </w:pPr>
      <w:r w:rsidRPr="000D4182">
        <w:tab/>
      </w:r>
      <w:r w:rsidRPr="000D4182">
        <w:tab/>
      </w:r>
      <w:r w:rsidR="00430525" w:rsidRPr="000D4182">
        <w:t>Proposal to insert the definition “Reference steel” in section 1.2.1 of the UN Model Regulations</w:t>
      </w:r>
    </w:p>
    <w:p w:rsidR="00D938D5" w:rsidRPr="000D4182" w:rsidRDefault="00D938D5" w:rsidP="00D938D5">
      <w:pPr>
        <w:pStyle w:val="H1G"/>
        <w:rPr>
          <w:lang w:val="en-GB"/>
        </w:rPr>
      </w:pPr>
      <w:r w:rsidRPr="000D4182">
        <w:rPr>
          <w:lang w:val="en-GB"/>
        </w:rPr>
        <w:tab/>
      </w:r>
      <w:r w:rsidRPr="000D4182">
        <w:rPr>
          <w:lang w:val="en-GB"/>
        </w:rPr>
        <w:tab/>
        <w:t xml:space="preserve">Transmitted by the </w:t>
      </w:r>
      <w:r w:rsidR="004A511A">
        <w:rPr>
          <w:lang w:val="en-GB"/>
        </w:rPr>
        <w:t>observer</w:t>
      </w:r>
      <w:r w:rsidRPr="000D4182">
        <w:rPr>
          <w:lang w:val="en-GB"/>
        </w:rPr>
        <w:t xml:space="preserve"> from </w:t>
      </w:r>
      <w:r w:rsidR="00430525" w:rsidRPr="000D4182">
        <w:rPr>
          <w:lang w:val="en-GB"/>
        </w:rPr>
        <w:t>Romania</w:t>
      </w:r>
      <w:r w:rsidRPr="000D4182">
        <w:rPr>
          <w:rStyle w:val="FootnoteReference"/>
          <w:lang w:val="en-GB"/>
        </w:rPr>
        <w:footnoteReference w:id="2"/>
      </w:r>
    </w:p>
    <w:p w:rsidR="00D938D5" w:rsidRPr="000D4182" w:rsidRDefault="00D938D5" w:rsidP="00D938D5">
      <w:pPr>
        <w:pStyle w:val="HChG"/>
      </w:pPr>
      <w:r w:rsidRPr="000D4182">
        <w:tab/>
      </w:r>
      <w:r w:rsidRPr="000D4182">
        <w:tab/>
        <w:t>Introduction</w:t>
      </w:r>
    </w:p>
    <w:p w:rsidR="0091505C" w:rsidRPr="000D4182" w:rsidRDefault="00430525" w:rsidP="006040A1">
      <w:pPr>
        <w:pStyle w:val="SingleTxtG"/>
        <w:numPr>
          <w:ilvl w:val="0"/>
          <w:numId w:val="26"/>
        </w:numPr>
        <w:ind w:left="1134" w:firstLine="0"/>
        <w:rPr>
          <w:lang w:val="en-GB"/>
        </w:rPr>
      </w:pPr>
      <w:r w:rsidRPr="000D4182">
        <w:rPr>
          <w:lang w:val="en-GB"/>
        </w:rPr>
        <w:t xml:space="preserve">The current text of </w:t>
      </w:r>
      <w:r w:rsidR="004A511A">
        <w:rPr>
          <w:lang w:val="en-GB"/>
        </w:rPr>
        <w:t>the</w:t>
      </w:r>
      <w:r w:rsidR="00896E7E" w:rsidRPr="000D4182">
        <w:rPr>
          <w:lang w:val="en-GB"/>
        </w:rPr>
        <w:t xml:space="preserve"> Model </w:t>
      </w:r>
      <w:r w:rsidR="0066186F" w:rsidRPr="000D4182">
        <w:rPr>
          <w:lang w:val="en-GB"/>
        </w:rPr>
        <w:t xml:space="preserve">Regulations </w:t>
      </w:r>
      <w:r w:rsidR="00896E7E" w:rsidRPr="000D4182">
        <w:rPr>
          <w:lang w:val="en-GB"/>
        </w:rPr>
        <w:t xml:space="preserve">includes </w:t>
      </w:r>
      <w:r w:rsidR="0091505C" w:rsidRPr="000D4182">
        <w:rPr>
          <w:lang w:val="en-GB"/>
        </w:rPr>
        <w:t xml:space="preserve">the </w:t>
      </w:r>
      <w:r w:rsidR="00896E7E" w:rsidRPr="000D4182">
        <w:rPr>
          <w:lang w:val="en-GB"/>
        </w:rPr>
        <w:t xml:space="preserve">definition of “Reference steel” in </w:t>
      </w:r>
      <w:r w:rsidR="0091505C" w:rsidRPr="000D4182">
        <w:rPr>
          <w:lang w:val="en-GB"/>
        </w:rPr>
        <w:t>each of the sub-</w:t>
      </w:r>
      <w:r w:rsidR="00896E7E" w:rsidRPr="000D4182">
        <w:rPr>
          <w:lang w:val="en-GB"/>
        </w:rPr>
        <w:t>section</w:t>
      </w:r>
      <w:r w:rsidR="0091505C" w:rsidRPr="000D4182">
        <w:rPr>
          <w:lang w:val="en-GB"/>
        </w:rPr>
        <w:t>s</w:t>
      </w:r>
      <w:r w:rsidR="00896E7E" w:rsidRPr="000D4182">
        <w:rPr>
          <w:lang w:val="en-GB"/>
        </w:rPr>
        <w:t xml:space="preserve"> </w:t>
      </w:r>
      <w:r w:rsidR="0091505C" w:rsidRPr="000D4182">
        <w:rPr>
          <w:lang w:val="en-GB"/>
        </w:rPr>
        <w:t>6.7.2.1, 6.7.3.1 and 6.7.4.1.</w:t>
      </w:r>
    </w:p>
    <w:p w:rsidR="00430525" w:rsidRPr="000D4182" w:rsidRDefault="0091505C" w:rsidP="006040A1">
      <w:pPr>
        <w:pStyle w:val="SingleTxtG"/>
        <w:numPr>
          <w:ilvl w:val="0"/>
          <w:numId w:val="26"/>
        </w:numPr>
        <w:ind w:left="1134" w:firstLine="0"/>
        <w:rPr>
          <w:lang w:val="en-GB"/>
        </w:rPr>
      </w:pPr>
      <w:r w:rsidRPr="000D4182">
        <w:rPr>
          <w:lang w:val="en-GB"/>
        </w:rPr>
        <w:t xml:space="preserve">The current text of </w:t>
      </w:r>
      <w:r w:rsidR="00430525" w:rsidRPr="000D4182">
        <w:rPr>
          <w:lang w:val="en-GB"/>
        </w:rPr>
        <w:t xml:space="preserve">RID/ADR/ADN includes </w:t>
      </w:r>
      <w:r w:rsidRPr="000D4182">
        <w:rPr>
          <w:lang w:val="en-GB"/>
        </w:rPr>
        <w:t>the</w:t>
      </w:r>
      <w:r w:rsidR="00430525" w:rsidRPr="000D4182">
        <w:rPr>
          <w:lang w:val="en-GB"/>
        </w:rPr>
        <w:t xml:space="preserve"> </w:t>
      </w:r>
      <w:r w:rsidRPr="000D4182">
        <w:rPr>
          <w:lang w:val="en-GB"/>
        </w:rPr>
        <w:t xml:space="preserve">same </w:t>
      </w:r>
      <w:r w:rsidR="00430525" w:rsidRPr="000D4182">
        <w:rPr>
          <w:lang w:val="en-GB"/>
        </w:rPr>
        <w:t>definition of “Ref</w:t>
      </w:r>
      <w:r w:rsidRPr="000D4182">
        <w:rPr>
          <w:lang w:val="en-GB"/>
        </w:rPr>
        <w:t xml:space="preserve">erence steel” in section 1.2.1 and sub-sections 6.7.2.1, 6.7.3.1 and 6.7.4.1, </w:t>
      </w:r>
      <w:r w:rsidR="00430525" w:rsidRPr="000D4182">
        <w:rPr>
          <w:lang w:val="en-GB"/>
        </w:rPr>
        <w:t>as follows:</w:t>
      </w:r>
    </w:p>
    <w:p w:rsidR="00430525" w:rsidRPr="000D4182" w:rsidRDefault="00430525" w:rsidP="007243A1">
      <w:pPr>
        <w:pStyle w:val="SingleTxtG"/>
        <w:ind w:left="1701"/>
        <w:rPr>
          <w:lang w:val="en-GB"/>
        </w:rPr>
      </w:pPr>
      <w:r w:rsidRPr="000D4182">
        <w:rPr>
          <w:lang w:val="en-GB"/>
        </w:rPr>
        <w:t>“</w:t>
      </w:r>
      <w:r w:rsidRPr="000D4182">
        <w:rPr>
          <w:i/>
          <w:iCs/>
          <w:lang w:val="en-GB"/>
        </w:rPr>
        <w:t xml:space="preserve">Reference steel </w:t>
      </w:r>
      <w:r w:rsidRPr="000D4182">
        <w:rPr>
          <w:lang w:val="en-GB"/>
        </w:rPr>
        <w:t xml:space="preserve">means </w:t>
      </w:r>
      <w:proofErr w:type="gramStart"/>
      <w:r w:rsidRPr="000D4182">
        <w:rPr>
          <w:lang w:val="en-GB"/>
        </w:rPr>
        <w:t>a steel</w:t>
      </w:r>
      <w:proofErr w:type="gramEnd"/>
      <w:r w:rsidRPr="000D4182">
        <w:rPr>
          <w:lang w:val="en-GB"/>
        </w:rPr>
        <w:t xml:space="preserve"> with a tensile strength of 370 N/mm</w:t>
      </w:r>
      <w:r w:rsidRPr="000D4182">
        <w:rPr>
          <w:vertAlign w:val="superscript"/>
          <w:lang w:val="en-GB"/>
        </w:rPr>
        <w:t>2</w:t>
      </w:r>
      <w:r w:rsidRPr="000D4182">
        <w:rPr>
          <w:lang w:val="en-GB"/>
        </w:rPr>
        <w:t xml:space="preserve"> and an elongation at fracture of 27%;”</w:t>
      </w:r>
    </w:p>
    <w:p w:rsidR="000902A6" w:rsidRPr="000D4182" w:rsidRDefault="000902A6" w:rsidP="000902A6">
      <w:pPr>
        <w:pStyle w:val="SingleTxtG"/>
        <w:numPr>
          <w:ilvl w:val="0"/>
          <w:numId w:val="26"/>
        </w:numPr>
        <w:ind w:left="1134" w:firstLine="0"/>
        <w:rPr>
          <w:lang w:val="en-GB"/>
        </w:rPr>
      </w:pPr>
      <w:r w:rsidRPr="000D4182">
        <w:rPr>
          <w:lang w:val="en-GB"/>
        </w:rPr>
        <w:t xml:space="preserve">Further analysing the subject, the </w:t>
      </w:r>
      <w:r w:rsidR="004A511A">
        <w:rPr>
          <w:lang w:val="en-GB"/>
        </w:rPr>
        <w:t>observer</w:t>
      </w:r>
      <w:r w:rsidRPr="000D4182">
        <w:rPr>
          <w:lang w:val="en-GB"/>
        </w:rPr>
        <w:t xml:space="preserve"> from Romania found out that the definition for “Reference steel” in 1.2.1, is in place in RID/ADR since 2001 (the first restructured edition) and it coexisted with the similar texts in 6.7.2.1, 6.7.3.1 and 6.7.4.1. </w:t>
      </w:r>
    </w:p>
    <w:p w:rsidR="00430525" w:rsidRPr="000D4182" w:rsidRDefault="00430525" w:rsidP="006040A1">
      <w:pPr>
        <w:pStyle w:val="SingleTxtG"/>
        <w:numPr>
          <w:ilvl w:val="0"/>
          <w:numId w:val="26"/>
        </w:numPr>
        <w:ind w:left="1134" w:firstLine="0"/>
        <w:rPr>
          <w:lang w:val="en-GB"/>
        </w:rPr>
      </w:pPr>
      <w:r w:rsidRPr="000D4182">
        <w:rPr>
          <w:lang w:val="en-GB"/>
        </w:rPr>
        <w:t xml:space="preserve">The Romanian </w:t>
      </w:r>
      <w:r w:rsidR="004A511A">
        <w:rPr>
          <w:lang w:val="en-GB"/>
        </w:rPr>
        <w:t>observer</w:t>
      </w:r>
      <w:r w:rsidRPr="000D4182">
        <w:rPr>
          <w:lang w:val="en-GB"/>
        </w:rPr>
        <w:t xml:space="preserve"> attending the </w:t>
      </w:r>
      <w:r w:rsidR="007243A1">
        <w:rPr>
          <w:lang w:val="en-GB"/>
        </w:rPr>
        <w:t>forty-seventh</w:t>
      </w:r>
      <w:r w:rsidR="006C27FF" w:rsidRPr="000D4182">
        <w:rPr>
          <w:lang w:val="en-GB"/>
        </w:rPr>
        <w:t xml:space="preserve"> session of the Sub-Committee of Experts on the Transport of Dangerous Goods </w:t>
      </w:r>
      <w:r w:rsidR="00D06605" w:rsidRPr="000D4182">
        <w:rPr>
          <w:lang w:val="en-GB"/>
        </w:rPr>
        <w:t>of</w:t>
      </w:r>
      <w:r w:rsidRPr="000D4182">
        <w:rPr>
          <w:lang w:val="en-GB"/>
        </w:rPr>
        <w:t xml:space="preserve"> </w:t>
      </w:r>
      <w:r w:rsidR="006C27FF" w:rsidRPr="000D4182">
        <w:rPr>
          <w:lang w:val="en-GB"/>
        </w:rPr>
        <w:t>June</w:t>
      </w:r>
      <w:r w:rsidRPr="000D4182">
        <w:rPr>
          <w:lang w:val="en-GB"/>
        </w:rPr>
        <w:t xml:space="preserve"> 201</w:t>
      </w:r>
      <w:r w:rsidR="006C27FF" w:rsidRPr="000D4182">
        <w:rPr>
          <w:lang w:val="en-GB"/>
        </w:rPr>
        <w:t>5</w:t>
      </w:r>
      <w:r w:rsidRPr="000D4182">
        <w:rPr>
          <w:lang w:val="en-GB"/>
        </w:rPr>
        <w:t>, proposed in informal document INF.3</w:t>
      </w:r>
      <w:r w:rsidR="006C27FF" w:rsidRPr="000D4182">
        <w:rPr>
          <w:lang w:val="en-GB"/>
        </w:rPr>
        <w:t>0</w:t>
      </w:r>
      <w:r w:rsidRPr="000D4182">
        <w:rPr>
          <w:lang w:val="en-GB"/>
        </w:rPr>
        <w:t xml:space="preserve"> to delete the definition “</w:t>
      </w:r>
      <w:r w:rsidRPr="000D4182">
        <w:rPr>
          <w:i/>
          <w:iCs/>
          <w:lang w:val="en-GB"/>
        </w:rPr>
        <w:t>Reference steel</w:t>
      </w:r>
      <w:r w:rsidRPr="000D4182">
        <w:rPr>
          <w:lang w:val="en-GB"/>
        </w:rPr>
        <w:t>” in 6.7.2.1, 6.7.3.1 and 6.7.4.1</w:t>
      </w:r>
      <w:r w:rsidR="00986FCF" w:rsidRPr="000D4182">
        <w:rPr>
          <w:lang w:val="en-GB"/>
        </w:rPr>
        <w:t>.</w:t>
      </w:r>
    </w:p>
    <w:p w:rsidR="004A511A" w:rsidRDefault="004A511A">
      <w:pPr>
        <w:suppressAutoHyphens w:val="0"/>
        <w:spacing w:line="240" w:lineRule="auto"/>
        <w:rPr>
          <w:highlight w:val="lightGray"/>
        </w:rPr>
      </w:pPr>
      <w:r>
        <w:rPr>
          <w:highlight w:val="lightGray"/>
        </w:rPr>
        <w:br w:type="page"/>
      </w:r>
    </w:p>
    <w:p w:rsidR="00430525" w:rsidRPr="000D4182" w:rsidRDefault="004A511A" w:rsidP="004A511A">
      <w:pPr>
        <w:pStyle w:val="SingleTxtG"/>
        <w:rPr>
          <w:lang w:val="en-GB"/>
        </w:rPr>
      </w:pPr>
      <w:r>
        <w:rPr>
          <w:lang w:val="en-GB"/>
        </w:rPr>
        <w:lastRenderedPageBreak/>
        <w:t>5.</w:t>
      </w:r>
      <w:r>
        <w:rPr>
          <w:lang w:val="en-GB"/>
        </w:rPr>
        <w:tab/>
      </w:r>
      <w:bookmarkStart w:id="0" w:name="_GoBack"/>
      <w:bookmarkEnd w:id="0"/>
      <w:r>
        <w:rPr>
          <w:lang w:val="en-GB"/>
        </w:rPr>
        <w:t>The</w:t>
      </w:r>
      <w:r w:rsidR="00430525" w:rsidRPr="000D4182">
        <w:rPr>
          <w:lang w:val="en-GB"/>
        </w:rPr>
        <w:t xml:space="preserve"> document was discussed </w:t>
      </w:r>
      <w:r w:rsidR="006C27FF" w:rsidRPr="000D4182">
        <w:rPr>
          <w:lang w:val="en-GB"/>
        </w:rPr>
        <w:t xml:space="preserve">and the Sub-Committee </w:t>
      </w:r>
      <w:r w:rsidR="00430525" w:rsidRPr="000D4182">
        <w:rPr>
          <w:lang w:val="en-GB"/>
        </w:rPr>
        <w:t>decided</w:t>
      </w:r>
      <w:r w:rsidR="006C27FF" w:rsidRPr="000D4182">
        <w:rPr>
          <w:lang w:val="en-GB"/>
        </w:rPr>
        <w:t>,</w:t>
      </w:r>
      <w:r w:rsidR="00986FCF" w:rsidRPr="000D4182">
        <w:rPr>
          <w:lang w:val="en-GB"/>
        </w:rPr>
        <w:t xml:space="preserve"> as follows:</w:t>
      </w:r>
    </w:p>
    <w:p w:rsidR="00430525" w:rsidRPr="000D4182" w:rsidRDefault="00430525" w:rsidP="007243A1">
      <w:pPr>
        <w:pStyle w:val="SingleTxtG"/>
        <w:ind w:left="1701"/>
        <w:rPr>
          <w:lang w:val="en-GB"/>
        </w:rPr>
      </w:pPr>
      <w:r w:rsidRPr="000D4182">
        <w:rPr>
          <w:lang w:val="en-GB"/>
        </w:rPr>
        <w:t>“</w:t>
      </w:r>
      <w:r w:rsidR="006C27FF" w:rsidRPr="000D4182">
        <w:rPr>
          <w:lang w:val="en-GB"/>
        </w:rPr>
        <w:t>76.</w:t>
      </w:r>
      <w:r w:rsidR="006C27FF" w:rsidRPr="000D4182">
        <w:rPr>
          <w:lang w:val="en-GB"/>
        </w:rPr>
        <w:tab/>
        <w:t>The observer from Romania was invited to submit his proposal to move the definition of “Reference steel” that can be found three times in Chapter 6.7 to Chapter 1.2 through an official document at the next session. He was also invited to check that the definition given in Chapter 6.7 would also be valid when the term is used in other chapters, for example in 6.5.5.1.6 for IBCs.</w:t>
      </w:r>
      <w:proofErr w:type="gramStart"/>
      <w:r w:rsidRPr="000D4182">
        <w:rPr>
          <w:lang w:val="en-GB"/>
        </w:rPr>
        <w:t>”.</w:t>
      </w:r>
      <w:proofErr w:type="gramEnd"/>
    </w:p>
    <w:p w:rsidR="00430525" w:rsidRPr="001477CD" w:rsidRDefault="00115F92" w:rsidP="00115F92">
      <w:pPr>
        <w:pStyle w:val="SingleTxtG"/>
        <w:numPr>
          <w:ilvl w:val="0"/>
          <w:numId w:val="26"/>
        </w:numPr>
        <w:ind w:left="1134" w:firstLine="0"/>
        <w:rPr>
          <w:lang w:val="en-GB"/>
        </w:rPr>
      </w:pPr>
      <w:r w:rsidRPr="000D4182">
        <w:rPr>
          <w:lang w:val="en-GB"/>
        </w:rPr>
        <w:t xml:space="preserve">The proposal is consistent with the Guiding Principles for Chapter 1.2 – definitions and units of measurements </w:t>
      </w:r>
      <w:r w:rsidR="00A63174" w:rsidRPr="000D4182">
        <w:rPr>
          <w:lang w:val="en-GB"/>
        </w:rPr>
        <w:t xml:space="preserve">– </w:t>
      </w:r>
      <w:r w:rsidRPr="000D4182">
        <w:rPr>
          <w:lang w:val="en-GB"/>
        </w:rPr>
        <w:t>which stipulate: “</w:t>
      </w:r>
      <w:r w:rsidRPr="000D4182">
        <w:rPr>
          <w:i/>
          <w:lang w:val="en-GB"/>
        </w:rPr>
        <w:t>Definitions and units of measurements of general applicability used throughout the Model Regulations are listed here. However, some additional definitions that are specific to relevant Chapters of the Model Regulations are found at the beginning of those Chapters (such as the definition of ‘security’ found in Note 2 to Chapter 1.4.).</w:t>
      </w:r>
      <w:r w:rsidRPr="000D4182">
        <w:rPr>
          <w:lang w:val="en-GB"/>
        </w:rPr>
        <w:t xml:space="preserve">” </w:t>
      </w:r>
      <w:r w:rsidR="00430525" w:rsidRPr="000D4182">
        <w:rPr>
          <w:lang w:val="en-GB"/>
        </w:rPr>
        <w:t>because the term “</w:t>
      </w:r>
      <w:r w:rsidR="00430525" w:rsidRPr="000D4182">
        <w:rPr>
          <w:i/>
          <w:lang w:val="en-GB"/>
        </w:rPr>
        <w:t>Reference steel</w:t>
      </w:r>
      <w:r w:rsidR="00430525" w:rsidRPr="000D4182">
        <w:rPr>
          <w:lang w:val="en-GB"/>
        </w:rPr>
        <w:t>” is used in Chapter 4.2 and Chapter 6.5 also (e.g. 4.2.5</w:t>
      </w:r>
      <w:r w:rsidR="00986FCF" w:rsidRPr="000D4182">
        <w:rPr>
          <w:lang w:val="en-GB"/>
        </w:rPr>
        <w:t>.2.2, 4.2.5.2.6 and 6.5.5.1.6).</w:t>
      </w:r>
    </w:p>
    <w:p w:rsidR="006040A1" w:rsidRPr="001477CD" w:rsidRDefault="006040A1" w:rsidP="00754889">
      <w:pPr>
        <w:pStyle w:val="SingleTxtG"/>
        <w:numPr>
          <w:ilvl w:val="0"/>
          <w:numId w:val="26"/>
        </w:numPr>
        <w:ind w:left="1134" w:firstLine="0"/>
        <w:rPr>
          <w:lang w:val="en-GB"/>
        </w:rPr>
      </w:pPr>
      <w:r w:rsidRPr="001477CD">
        <w:rPr>
          <w:lang w:val="en-GB"/>
        </w:rPr>
        <w:t xml:space="preserve">In order to solve the difference </w:t>
      </w:r>
      <w:r w:rsidR="00CF7506" w:rsidRPr="001477CD">
        <w:rPr>
          <w:lang w:val="en-GB"/>
        </w:rPr>
        <w:t>in the manner of</w:t>
      </w:r>
      <w:r w:rsidRPr="001477CD">
        <w:rPr>
          <w:lang w:val="en-GB"/>
        </w:rPr>
        <w:t xml:space="preserve"> defining </w:t>
      </w:r>
      <w:r w:rsidR="008207D8" w:rsidRPr="001477CD">
        <w:rPr>
          <w:lang w:val="en-GB"/>
        </w:rPr>
        <w:t xml:space="preserve">or choosing </w:t>
      </w:r>
      <w:r w:rsidRPr="001477CD">
        <w:rPr>
          <w:lang w:val="en-GB"/>
        </w:rPr>
        <w:t>the reference steel for metal IBCs, we propose to introduce a Note under the definition of “</w:t>
      </w:r>
      <w:r w:rsidRPr="001477CD">
        <w:rPr>
          <w:i/>
          <w:lang w:val="en-GB"/>
        </w:rPr>
        <w:t>Reference steel</w:t>
      </w:r>
      <w:r w:rsidRPr="001477CD">
        <w:rPr>
          <w:lang w:val="en-GB"/>
        </w:rPr>
        <w:t xml:space="preserve">” in section 1.2.1. The instrument used in </w:t>
      </w:r>
      <w:r w:rsidR="001477CD" w:rsidRPr="001477CD">
        <w:rPr>
          <w:lang w:val="en-GB"/>
        </w:rPr>
        <w:t xml:space="preserve">sub-section </w:t>
      </w:r>
      <w:r w:rsidRPr="001477CD">
        <w:rPr>
          <w:b/>
          <w:lang w:val="en-GB"/>
        </w:rPr>
        <w:t>6.5.5.1</w:t>
      </w:r>
      <w:r w:rsidRPr="001477CD">
        <w:rPr>
          <w:lang w:val="en-GB"/>
        </w:rPr>
        <w:t xml:space="preserve"> </w:t>
      </w:r>
      <w:r w:rsidR="00792195" w:rsidRPr="001477CD">
        <w:rPr>
          <w:b/>
          <w:i/>
          <w:lang w:val="en-GB"/>
        </w:rPr>
        <w:t xml:space="preserve">Specific requirements for metal IBCs </w:t>
      </w:r>
      <w:r w:rsidRPr="001477CD">
        <w:rPr>
          <w:lang w:val="en-GB"/>
        </w:rPr>
        <w:t>offer</w:t>
      </w:r>
      <w:r w:rsidR="00CF7506" w:rsidRPr="001477CD">
        <w:rPr>
          <w:lang w:val="en-GB"/>
        </w:rPr>
        <w:t xml:space="preserve">s </w:t>
      </w:r>
      <w:r w:rsidR="00A63174" w:rsidRPr="001477CD">
        <w:rPr>
          <w:lang w:val="en-GB"/>
        </w:rPr>
        <w:t>certain</w:t>
      </w:r>
      <w:r w:rsidRPr="001477CD">
        <w:rPr>
          <w:lang w:val="en-GB"/>
        </w:rPr>
        <w:t xml:space="preserve"> flexibility for choosing </w:t>
      </w:r>
      <w:r w:rsidR="00754889" w:rsidRPr="001477CD">
        <w:rPr>
          <w:u w:val="single"/>
          <w:lang w:val="en-GB"/>
        </w:rPr>
        <w:t>a</w:t>
      </w:r>
      <w:r w:rsidR="00754889" w:rsidRPr="001477CD">
        <w:rPr>
          <w:lang w:val="en-GB"/>
        </w:rPr>
        <w:t xml:space="preserve"> </w:t>
      </w:r>
      <w:r w:rsidRPr="001477CD">
        <w:rPr>
          <w:lang w:val="en-GB"/>
        </w:rPr>
        <w:t xml:space="preserve">reference steel </w:t>
      </w:r>
      <w:r w:rsidR="00754889" w:rsidRPr="001477CD">
        <w:rPr>
          <w:lang w:val="en-GB"/>
        </w:rPr>
        <w:t xml:space="preserve">(as mentioned in 6.5.5.1.6 (a): </w:t>
      </w:r>
      <w:r w:rsidR="00754889" w:rsidRPr="001477CD">
        <w:rPr>
          <w:i/>
          <w:lang w:val="en-GB"/>
        </w:rPr>
        <w:t xml:space="preserve">For </w:t>
      </w:r>
      <w:r w:rsidR="00754889" w:rsidRPr="001477CD">
        <w:rPr>
          <w:i/>
          <w:u w:val="single"/>
          <w:lang w:val="en-GB"/>
        </w:rPr>
        <w:t>a reference steel</w:t>
      </w:r>
      <w:r w:rsidR="00754889" w:rsidRPr="001477CD">
        <w:rPr>
          <w:i/>
          <w:lang w:val="en-GB"/>
        </w:rPr>
        <w:t xml:space="preserve"> having a product of R</w:t>
      </w:r>
      <w:r w:rsidR="00754889" w:rsidRPr="001477CD">
        <w:rPr>
          <w:i/>
          <w:vertAlign w:val="subscript"/>
          <w:lang w:val="en-GB"/>
        </w:rPr>
        <w:t>m</w:t>
      </w:r>
      <w:r w:rsidR="00754889" w:rsidRPr="001477CD">
        <w:rPr>
          <w:i/>
          <w:lang w:val="en-GB"/>
        </w:rPr>
        <w:t xml:space="preserve"> x </w:t>
      </w:r>
      <w:proofErr w:type="spellStart"/>
      <w:r w:rsidR="00754889" w:rsidRPr="001477CD">
        <w:rPr>
          <w:i/>
          <w:lang w:val="en-GB"/>
        </w:rPr>
        <w:t>A</w:t>
      </w:r>
      <w:r w:rsidR="00754889" w:rsidRPr="001477CD">
        <w:rPr>
          <w:i/>
          <w:vertAlign w:val="subscript"/>
          <w:lang w:val="en-GB"/>
        </w:rPr>
        <w:t>o</w:t>
      </w:r>
      <w:proofErr w:type="spellEnd"/>
      <w:r w:rsidR="008207D8" w:rsidRPr="001477CD">
        <w:rPr>
          <w:i/>
          <w:lang w:val="en-GB"/>
        </w:rPr>
        <w:t xml:space="preserve"> = 10</w:t>
      </w:r>
      <w:r w:rsidR="00754889" w:rsidRPr="001477CD">
        <w:rPr>
          <w:i/>
          <w:lang w:val="en-GB"/>
        </w:rPr>
        <w:t>000, the wall thickness shall not be less than:</w:t>
      </w:r>
      <w:r w:rsidR="00754889" w:rsidRPr="001477CD">
        <w:rPr>
          <w:lang w:val="en-US"/>
        </w:rPr>
        <w:t>[…])</w:t>
      </w:r>
      <w:r w:rsidR="00754889" w:rsidRPr="001477CD">
        <w:rPr>
          <w:lang w:val="en-GB"/>
        </w:rPr>
        <w:t xml:space="preserve"> </w:t>
      </w:r>
      <w:r w:rsidRPr="001477CD">
        <w:rPr>
          <w:lang w:val="en-GB"/>
        </w:rPr>
        <w:t xml:space="preserve">and this </w:t>
      </w:r>
      <w:r w:rsidR="000902A6" w:rsidRPr="001477CD">
        <w:rPr>
          <w:lang w:val="en-GB"/>
        </w:rPr>
        <w:t>method</w:t>
      </w:r>
      <w:r w:rsidR="004C1E22" w:rsidRPr="001477CD">
        <w:rPr>
          <w:lang w:val="en-GB"/>
        </w:rPr>
        <w:t xml:space="preserve"> shall</w:t>
      </w:r>
      <w:r w:rsidRPr="001477CD">
        <w:rPr>
          <w:lang w:val="en-GB"/>
        </w:rPr>
        <w:t xml:space="preserve"> be maintained.</w:t>
      </w:r>
    </w:p>
    <w:p w:rsidR="00430525" w:rsidRPr="001477CD" w:rsidRDefault="00465DD4" w:rsidP="00465DD4">
      <w:pPr>
        <w:pStyle w:val="HChG"/>
      </w:pPr>
      <w:r>
        <w:tab/>
      </w:r>
      <w:r>
        <w:tab/>
      </w:r>
      <w:r w:rsidR="00430525" w:rsidRPr="001477CD">
        <w:t>Proposal</w:t>
      </w:r>
    </w:p>
    <w:p w:rsidR="00430525" w:rsidRPr="000D4182" w:rsidRDefault="00465DD4" w:rsidP="00465DD4">
      <w:pPr>
        <w:pStyle w:val="SingleTxtG"/>
        <w:rPr>
          <w:lang w:val="en-GB"/>
        </w:rPr>
      </w:pPr>
      <w:r>
        <w:rPr>
          <w:lang w:val="en-GB"/>
        </w:rPr>
        <w:t>8.</w:t>
      </w:r>
      <w:r>
        <w:rPr>
          <w:lang w:val="en-GB"/>
        </w:rPr>
        <w:tab/>
      </w:r>
      <w:r w:rsidR="00430525" w:rsidRPr="000D4182">
        <w:rPr>
          <w:lang w:val="en-GB"/>
        </w:rPr>
        <w:t xml:space="preserve">Insert </w:t>
      </w:r>
      <w:r w:rsidR="00430525" w:rsidRPr="00465DD4">
        <w:t>the</w:t>
      </w:r>
      <w:r w:rsidR="00430525" w:rsidRPr="000D4182">
        <w:rPr>
          <w:lang w:val="en-GB"/>
        </w:rPr>
        <w:t xml:space="preserve"> definition “</w:t>
      </w:r>
      <w:r w:rsidR="00430525" w:rsidRPr="000D4182">
        <w:rPr>
          <w:i/>
          <w:lang w:val="en-GB"/>
        </w:rPr>
        <w:t>Reference steel</w:t>
      </w:r>
      <w:r w:rsidR="00430525" w:rsidRPr="000D4182">
        <w:rPr>
          <w:lang w:val="en-GB"/>
        </w:rPr>
        <w:t>” in section</w:t>
      </w:r>
      <w:r w:rsidR="00986FCF" w:rsidRPr="000D4182">
        <w:rPr>
          <w:lang w:val="en-GB"/>
        </w:rPr>
        <w:t xml:space="preserve"> 1.2.1 Definitions, as follows:</w:t>
      </w:r>
    </w:p>
    <w:p w:rsidR="00754889" w:rsidRDefault="00430525" w:rsidP="00465DD4">
      <w:pPr>
        <w:pStyle w:val="SingleTxtG"/>
        <w:spacing w:before="240" w:after="240"/>
        <w:ind w:left="1701"/>
        <w:rPr>
          <w:lang w:val="en-GB"/>
        </w:rPr>
      </w:pPr>
      <w:r w:rsidRPr="000D4182">
        <w:rPr>
          <w:lang w:val="en-GB"/>
        </w:rPr>
        <w:t>“</w:t>
      </w:r>
      <w:r w:rsidRPr="000D4182">
        <w:rPr>
          <w:i/>
          <w:iCs/>
          <w:lang w:val="en-GB"/>
        </w:rPr>
        <w:t xml:space="preserve">Reference steel </w:t>
      </w:r>
      <w:r w:rsidRPr="000D4182">
        <w:rPr>
          <w:lang w:val="en-GB"/>
        </w:rPr>
        <w:t xml:space="preserve">means </w:t>
      </w:r>
      <w:proofErr w:type="gramStart"/>
      <w:r w:rsidRPr="000D4182">
        <w:rPr>
          <w:lang w:val="en-GB"/>
        </w:rPr>
        <w:t>a steel</w:t>
      </w:r>
      <w:proofErr w:type="gramEnd"/>
      <w:r w:rsidRPr="000D4182">
        <w:rPr>
          <w:lang w:val="en-GB"/>
        </w:rPr>
        <w:t xml:space="preserve"> with a tensile strength of 370 N/mm</w:t>
      </w:r>
      <w:r w:rsidRPr="000D4182">
        <w:rPr>
          <w:vertAlign w:val="superscript"/>
          <w:lang w:val="en-GB"/>
        </w:rPr>
        <w:t>2</w:t>
      </w:r>
      <w:r w:rsidRPr="000D4182">
        <w:rPr>
          <w:lang w:val="en-GB"/>
        </w:rPr>
        <w:t xml:space="preserve"> and an </w:t>
      </w:r>
      <w:r w:rsidR="00986FCF" w:rsidRPr="000D4182">
        <w:rPr>
          <w:lang w:val="en-GB"/>
        </w:rPr>
        <w:t>e</w:t>
      </w:r>
      <w:r w:rsidR="00754889">
        <w:rPr>
          <w:lang w:val="en-GB"/>
        </w:rPr>
        <w:t>longation at fracture of 27%;”</w:t>
      </w:r>
    </w:p>
    <w:p w:rsidR="00430525" w:rsidRPr="00573A0E" w:rsidRDefault="00754889" w:rsidP="00465DD4">
      <w:pPr>
        <w:pStyle w:val="SingleTxtG"/>
        <w:ind w:firstLine="567"/>
        <w:rPr>
          <w:lang w:val="en-GB"/>
        </w:rPr>
      </w:pPr>
      <w:r w:rsidRPr="000D4182">
        <w:rPr>
          <w:b/>
          <w:lang w:val="en-GB"/>
        </w:rPr>
        <w:t>Note:</w:t>
      </w:r>
      <w:r w:rsidRPr="000D4182">
        <w:rPr>
          <w:lang w:val="en-GB"/>
        </w:rPr>
        <w:t xml:space="preserve"> </w:t>
      </w:r>
      <w:r w:rsidRPr="000D4182">
        <w:rPr>
          <w:lang w:val="en-GB"/>
        </w:rPr>
        <w:tab/>
        <w:t xml:space="preserve">For metal IBCs, see 6.5.5.1. </w:t>
      </w:r>
    </w:p>
    <w:p w:rsidR="00D315F0" w:rsidRPr="00754889" w:rsidRDefault="00465DD4" w:rsidP="00465DD4">
      <w:pPr>
        <w:pStyle w:val="SingleTxtG"/>
        <w:rPr>
          <w:lang w:val="en-GB"/>
        </w:rPr>
      </w:pPr>
      <w:r>
        <w:rPr>
          <w:lang w:val="fr-CH"/>
        </w:rPr>
        <w:t>9.</w:t>
      </w:r>
      <w:r>
        <w:rPr>
          <w:lang w:val="fr-CH"/>
        </w:rPr>
        <w:tab/>
      </w:r>
      <w:r w:rsidR="00430525" w:rsidRPr="00465DD4">
        <w:t>Delete</w:t>
      </w:r>
      <w:r w:rsidR="00430525" w:rsidRPr="000D4182">
        <w:rPr>
          <w:lang w:val="en-GB"/>
        </w:rPr>
        <w:t xml:space="preserve"> the definitions of “</w:t>
      </w:r>
      <w:r w:rsidR="00430525" w:rsidRPr="000D4182">
        <w:rPr>
          <w:i/>
          <w:lang w:val="en-GB"/>
        </w:rPr>
        <w:t>Reference steel</w:t>
      </w:r>
      <w:r w:rsidR="00430525" w:rsidRPr="000D4182">
        <w:rPr>
          <w:lang w:val="en-GB"/>
        </w:rPr>
        <w:t>” from 6.7.2.1, 6.7.3.1 and 6.7.4.1</w:t>
      </w:r>
      <w:r w:rsidR="00921D21" w:rsidRPr="000D4182">
        <w:rPr>
          <w:lang w:val="en-GB"/>
        </w:rPr>
        <w:t xml:space="preserve">. </w:t>
      </w:r>
    </w:p>
    <w:p w:rsidR="00C730DE" w:rsidRPr="000D4182" w:rsidRDefault="00921D21" w:rsidP="008207D8">
      <w:pPr>
        <w:pStyle w:val="SingleTxtG"/>
        <w:spacing w:before="240" w:after="0"/>
        <w:jc w:val="center"/>
        <w:rPr>
          <w:u w:val="single"/>
          <w:lang w:val="en-GB"/>
        </w:rPr>
      </w:pPr>
      <w:r w:rsidRPr="000D4182">
        <w:rPr>
          <w:u w:val="single"/>
          <w:lang w:val="en-GB"/>
        </w:rPr>
        <w:tab/>
      </w:r>
      <w:r w:rsidRPr="000D4182">
        <w:rPr>
          <w:u w:val="single"/>
          <w:lang w:val="en-GB"/>
        </w:rPr>
        <w:tab/>
      </w:r>
      <w:r w:rsidRPr="000D4182">
        <w:rPr>
          <w:u w:val="single"/>
          <w:lang w:val="en-GB"/>
        </w:rPr>
        <w:tab/>
      </w:r>
    </w:p>
    <w:sectPr w:rsidR="00C730DE" w:rsidRPr="000D4182" w:rsidSect="00D938D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FF" w:rsidRDefault="00A65EFF"/>
  </w:endnote>
  <w:endnote w:type="continuationSeparator" w:id="0">
    <w:p w:rsidR="00A65EFF" w:rsidRDefault="00A65EFF"/>
  </w:endnote>
  <w:endnote w:type="continuationNotice" w:id="1">
    <w:p w:rsidR="00A65EFF" w:rsidRDefault="00A6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E7" w:rsidRPr="00FB75E7" w:rsidRDefault="00FB75E7">
    <w:pPr>
      <w:pStyle w:val="Footer"/>
      <w:rPr>
        <w:b/>
      </w:rPr>
    </w:pPr>
    <w:r w:rsidRPr="00FB75E7">
      <w:rPr>
        <w:b/>
      </w:rPr>
      <w:fldChar w:fldCharType="begin"/>
    </w:r>
    <w:r w:rsidRPr="00FB75E7">
      <w:rPr>
        <w:b/>
      </w:rPr>
      <w:instrText xml:space="preserve"> PAGE   \* MERGEFORMAT </w:instrText>
    </w:r>
    <w:r w:rsidRPr="00FB75E7">
      <w:rPr>
        <w:b/>
      </w:rPr>
      <w:fldChar w:fldCharType="separate"/>
    </w:r>
    <w:r w:rsidR="00D56C90">
      <w:rPr>
        <w:b/>
        <w:noProof/>
      </w:rPr>
      <w:t>2</w:t>
    </w:r>
    <w:r w:rsidRPr="00FB75E7">
      <w:rPr>
        <w:b/>
        <w:noProof/>
      </w:rPr>
      <w:fldChar w:fldCharType="end"/>
    </w:r>
  </w:p>
  <w:p w:rsidR="006A4EF7" w:rsidRPr="0099001C" w:rsidRDefault="006A4EF7"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7" w:rsidRPr="004D2B47" w:rsidRDefault="004D2B47">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2E5770">
      <w:rPr>
        <w:b/>
        <w:noProof/>
      </w:rPr>
      <w:t>3</w:t>
    </w:r>
    <w:r w:rsidRPr="004D2B47">
      <w:rPr>
        <w:b/>
        <w:noProof/>
      </w:rPr>
      <w:fldChar w:fldCharType="end"/>
    </w:r>
  </w:p>
  <w:p w:rsidR="006A4EF7" w:rsidRPr="0099001C" w:rsidRDefault="006A4EF7" w:rsidP="001E4813">
    <w:pPr>
      <w:pStyle w:val="Footer"/>
      <w:tabs>
        <w:tab w:val="right" w:pos="12600"/>
      </w:tabs>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7" w:rsidRDefault="004D2B47" w:rsidP="004D2B47">
    <w:pPr>
      <w:pStyle w:val="Footer"/>
    </w:pPr>
    <w:r>
      <w:rPr>
        <w:sz w:val="20"/>
      </w:rPr>
      <w:t>GE.15-</w:t>
    </w:r>
    <w:r w:rsidR="00881651">
      <w:rPr>
        <w:noProof/>
        <w:lang w:val="en-GB"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4" name="Picture 1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B47" w:rsidRPr="004D2B47" w:rsidRDefault="004D2B47" w:rsidP="004D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FF" w:rsidRPr="000B175B" w:rsidRDefault="00A65EFF" w:rsidP="000B175B">
      <w:pPr>
        <w:tabs>
          <w:tab w:val="right" w:pos="2155"/>
        </w:tabs>
        <w:spacing w:after="80"/>
        <w:ind w:left="680"/>
        <w:rPr>
          <w:u w:val="single"/>
        </w:rPr>
      </w:pPr>
      <w:r>
        <w:rPr>
          <w:u w:val="single"/>
        </w:rPr>
        <w:tab/>
      </w:r>
    </w:p>
  </w:footnote>
  <w:footnote w:type="continuationSeparator" w:id="0">
    <w:p w:rsidR="00A65EFF" w:rsidRPr="00FC68B7" w:rsidRDefault="00A65EFF" w:rsidP="00FC68B7">
      <w:pPr>
        <w:tabs>
          <w:tab w:val="left" w:pos="2155"/>
        </w:tabs>
        <w:spacing w:after="80"/>
        <w:ind w:left="680"/>
        <w:rPr>
          <w:u w:val="single"/>
        </w:rPr>
      </w:pPr>
      <w:r>
        <w:rPr>
          <w:u w:val="single"/>
        </w:rPr>
        <w:tab/>
      </w:r>
    </w:p>
  </w:footnote>
  <w:footnote w:type="continuationNotice" w:id="1">
    <w:p w:rsidR="00A65EFF" w:rsidRDefault="00A65EFF"/>
  </w:footnote>
  <w:footnote w:id="2">
    <w:p w:rsidR="00D938D5" w:rsidRPr="004E4BBD" w:rsidRDefault="00D938D5" w:rsidP="008E0C90">
      <w:pPr>
        <w:pStyle w:val="FootnoteText"/>
        <w:ind w:firstLine="0"/>
        <w:jc w:val="both"/>
        <w:rPr>
          <w:lang w:val="en-US"/>
        </w:rPr>
      </w:pPr>
      <w:r>
        <w:rPr>
          <w:rStyle w:val="FootnoteReference"/>
        </w:rPr>
        <w:footnoteRef/>
      </w:r>
      <w:r>
        <w:t xml:space="preserve"> </w:t>
      </w:r>
      <w:r w:rsidRPr="00554D27">
        <w:t>In accordance with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p w:rsidR="00D938D5" w:rsidRPr="00D938D5" w:rsidRDefault="00D938D5">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F7" w:rsidRPr="007243A1" w:rsidRDefault="006C6A56" w:rsidP="006C6A56">
    <w:pPr>
      <w:pStyle w:val="Header"/>
      <w:rPr>
        <w:lang w:val="fr-CH"/>
      </w:rPr>
    </w:pPr>
    <w:r>
      <w:t>ST/SG/AC.10/C.3/2015/</w:t>
    </w:r>
    <w:r w:rsidR="007243A1">
      <w:rPr>
        <w:lang w:val="fr-CH"/>
      </w:rPr>
      <w:t>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F7" w:rsidRPr="001F676B" w:rsidRDefault="004D2B47" w:rsidP="00C42500">
    <w:pPr>
      <w:pStyle w:val="Header"/>
      <w:pBdr>
        <w:bottom w:val="single" w:sz="4" w:space="1" w:color="auto"/>
      </w:pBdr>
      <w:jc w:val="right"/>
    </w:pPr>
    <w:r>
      <w:t>ST/SG/AC.10/C.3/2015/16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8F107F9"/>
    <w:multiLevelType w:val="hybridMultilevel"/>
    <w:tmpl w:val="3DA0B798"/>
    <w:lvl w:ilvl="0" w:tplc="38CEB4B6">
      <w:start w:val="1"/>
      <w:numFmt w:val="lowerLetter"/>
      <w:lvlText w:val="(%1)"/>
      <w:lvlJc w:val="left"/>
      <w:pPr>
        <w:ind w:left="1854" w:hanging="360"/>
      </w:pPr>
      <w:rPr>
        <w:rFonts w:hint="default"/>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8">
    <w:nsid w:val="1B954D07"/>
    <w:multiLevelType w:val="hybridMultilevel"/>
    <w:tmpl w:val="2078F876"/>
    <w:lvl w:ilvl="0" w:tplc="022EEC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9">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4">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5">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22"/>
  </w:num>
  <w:num w:numId="3">
    <w:abstractNumId w:val="0"/>
  </w:num>
  <w:num w:numId="4">
    <w:abstractNumId w:val="24"/>
  </w:num>
  <w:num w:numId="5">
    <w:abstractNumId w:val="18"/>
  </w:num>
  <w:num w:numId="6">
    <w:abstractNumId w:val="3"/>
  </w:num>
  <w:num w:numId="7">
    <w:abstractNumId w:val="10"/>
  </w:num>
  <w:num w:numId="8">
    <w:abstractNumId w:val="16"/>
  </w:num>
  <w:num w:numId="9">
    <w:abstractNumId w:val="23"/>
  </w:num>
  <w:num w:numId="10">
    <w:abstractNumId w:val="14"/>
  </w:num>
  <w:num w:numId="11">
    <w:abstractNumId w:val="1"/>
  </w:num>
  <w:num w:numId="12">
    <w:abstractNumId w:val="13"/>
  </w:num>
  <w:num w:numId="13">
    <w:abstractNumId w:val="25"/>
  </w:num>
  <w:num w:numId="14">
    <w:abstractNumId w:val="20"/>
  </w:num>
  <w:num w:numId="15">
    <w:abstractNumId w:val="21"/>
  </w:num>
  <w:num w:numId="16">
    <w:abstractNumId w:val="12"/>
  </w:num>
  <w:num w:numId="17">
    <w:abstractNumId w:val="6"/>
  </w:num>
  <w:num w:numId="18">
    <w:abstractNumId w:val="9"/>
  </w:num>
  <w:num w:numId="19">
    <w:abstractNumId w:val="15"/>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5"/>
  </w:num>
  <w:num w:numId="25">
    <w:abstractNumId w:val="19"/>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71FC"/>
    <w:rsid w:val="00025C10"/>
    <w:rsid w:val="000261F6"/>
    <w:rsid w:val="00034899"/>
    <w:rsid w:val="000400C5"/>
    <w:rsid w:val="000426AF"/>
    <w:rsid w:val="00044CD7"/>
    <w:rsid w:val="00050F6B"/>
    <w:rsid w:val="0005340B"/>
    <w:rsid w:val="00057262"/>
    <w:rsid w:val="00057EF1"/>
    <w:rsid w:val="00060C82"/>
    <w:rsid w:val="00067341"/>
    <w:rsid w:val="00072C8C"/>
    <w:rsid w:val="0007325A"/>
    <w:rsid w:val="00083A13"/>
    <w:rsid w:val="000902A6"/>
    <w:rsid w:val="000918C2"/>
    <w:rsid w:val="000931C0"/>
    <w:rsid w:val="00094053"/>
    <w:rsid w:val="000B0DCA"/>
    <w:rsid w:val="000B175B"/>
    <w:rsid w:val="000B3A0F"/>
    <w:rsid w:val="000C64FF"/>
    <w:rsid w:val="000C69A6"/>
    <w:rsid w:val="000D13B5"/>
    <w:rsid w:val="000D4182"/>
    <w:rsid w:val="000D7C1B"/>
    <w:rsid w:val="000E0415"/>
    <w:rsid w:val="000E2262"/>
    <w:rsid w:val="000E2FEC"/>
    <w:rsid w:val="00105FDD"/>
    <w:rsid w:val="0011529F"/>
    <w:rsid w:val="001156AA"/>
    <w:rsid w:val="00115F92"/>
    <w:rsid w:val="001220B8"/>
    <w:rsid w:val="001262C0"/>
    <w:rsid w:val="00126EA1"/>
    <w:rsid w:val="0012741E"/>
    <w:rsid w:val="00132358"/>
    <w:rsid w:val="00133C7A"/>
    <w:rsid w:val="00133ED6"/>
    <w:rsid w:val="00137553"/>
    <w:rsid w:val="001418E8"/>
    <w:rsid w:val="00145FFD"/>
    <w:rsid w:val="001477CD"/>
    <w:rsid w:val="001604C0"/>
    <w:rsid w:val="00161DED"/>
    <w:rsid w:val="00162157"/>
    <w:rsid w:val="00162703"/>
    <w:rsid w:val="00172A5D"/>
    <w:rsid w:val="00173C41"/>
    <w:rsid w:val="00173E97"/>
    <w:rsid w:val="001811F3"/>
    <w:rsid w:val="001832E3"/>
    <w:rsid w:val="00186037"/>
    <w:rsid w:val="001A1256"/>
    <w:rsid w:val="001B4B04"/>
    <w:rsid w:val="001B7882"/>
    <w:rsid w:val="001C0A2D"/>
    <w:rsid w:val="001C6663"/>
    <w:rsid w:val="001C7895"/>
    <w:rsid w:val="001D26DF"/>
    <w:rsid w:val="001D30CA"/>
    <w:rsid w:val="001D3183"/>
    <w:rsid w:val="001E0EC3"/>
    <w:rsid w:val="001E2993"/>
    <w:rsid w:val="001E2A42"/>
    <w:rsid w:val="001E428B"/>
    <w:rsid w:val="001E4813"/>
    <w:rsid w:val="001F676B"/>
    <w:rsid w:val="001F7D95"/>
    <w:rsid w:val="00202F2F"/>
    <w:rsid w:val="0020313C"/>
    <w:rsid w:val="00211E0B"/>
    <w:rsid w:val="00232E70"/>
    <w:rsid w:val="002405A7"/>
    <w:rsid w:val="00240C33"/>
    <w:rsid w:val="00241101"/>
    <w:rsid w:val="00246F3E"/>
    <w:rsid w:val="00256D65"/>
    <w:rsid w:val="00260DAB"/>
    <w:rsid w:val="00267F1A"/>
    <w:rsid w:val="00270492"/>
    <w:rsid w:val="00276A34"/>
    <w:rsid w:val="002775FB"/>
    <w:rsid w:val="00280C9A"/>
    <w:rsid w:val="00281563"/>
    <w:rsid w:val="00291560"/>
    <w:rsid w:val="0029653B"/>
    <w:rsid w:val="002B4232"/>
    <w:rsid w:val="002D5E30"/>
    <w:rsid w:val="002D78BB"/>
    <w:rsid w:val="002E03D9"/>
    <w:rsid w:val="002E42C4"/>
    <w:rsid w:val="002E45A0"/>
    <w:rsid w:val="002E4DC6"/>
    <w:rsid w:val="002E5770"/>
    <w:rsid w:val="002E6B09"/>
    <w:rsid w:val="002F6E0F"/>
    <w:rsid w:val="00302CC0"/>
    <w:rsid w:val="003107FA"/>
    <w:rsid w:val="00311C15"/>
    <w:rsid w:val="00317109"/>
    <w:rsid w:val="003229D8"/>
    <w:rsid w:val="00330C63"/>
    <w:rsid w:val="00330D86"/>
    <w:rsid w:val="00334089"/>
    <w:rsid w:val="0033745A"/>
    <w:rsid w:val="00353734"/>
    <w:rsid w:val="003554BA"/>
    <w:rsid w:val="00355FB8"/>
    <w:rsid w:val="0036347F"/>
    <w:rsid w:val="00365502"/>
    <w:rsid w:val="003742FC"/>
    <w:rsid w:val="00376A87"/>
    <w:rsid w:val="00383E1A"/>
    <w:rsid w:val="00391104"/>
    <w:rsid w:val="0039277A"/>
    <w:rsid w:val="003972E0"/>
    <w:rsid w:val="00397DE2"/>
    <w:rsid w:val="003A2B2B"/>
    <w:rsid w:val="003A7F0D"/>
    <w:rsid w:val="003B0241"/>
    <w:rsid w:val="003C2CC4"/>
    <w:rsid w:val="003C3936"/>
    <w:rsid w:val="003D4B23"/>
    <w:rsid w:val="003D5BA1"/>
    <w:rsid w:val="003E7507"/>
    <w:rsid w:val="003F1ED3"/>
    <w:rsid w:val="003F32D9"/>
    <w:rsid w:val="003F5B64"/>
    <w:rsid w:val="003F6500"/>
    <w:rsid w:val="00402B95"/>
    <w:rsid w:val="00403098"/>
    <w:rsid w:val="004108D5"/>
    <w:rsid w:val="004143A7"/>
    <w:rsid w:val="00424A40"/>
    <w:rsid w:val="00430525"/>
    <w:rsid w:val="0043151B"/>
    <w:rsid w:val="004325CB"/>
    <w:rsid w:val="00435EE3"/>
    <w:rsid w:val="00436DEF"/>
    <w:rsid w:val="00442BB5"/>
    <w:rsid w:val="00446DE4"/>
    <w:rsid w:val="00447ACD"/>
    <w:rsid w:val="004501A7"/>
    <w:rsid w:val="0045727E"/>
    <w:rsid w:val="00465DD4"/>
    <w:rsid w:val="004735DE"/>
    <w:rsid w:val="0047798C"/>
    <w:rsid w:val="0048539B"/>
    <w:rsid w:val="00486182"/>
    <w:rsid w:val="0049238A"/>
    <w:rsid w:val="004936EA"/>
    <w:rsid w:val="004949D0"/>
    <w:rsid w:val="004A0699"/>
    <w:rsid w:val="004A0F33"/>
    <w:rsid w:val="004A41CA"/>
    <w:rsid w:val="004A511A"/>
    <w:rsid w:val="004A6FCE"/>
    <w:rsid w:val="004A7FFD"/>
    <w:rsid w:val="004B1385"/>
    <w:rsid w:val="004B40B2"/>
    <w:rsid w:val="004C1E22"/>
    <w:rsid w:val="004C3136"/>
    <w:rsid w:val="004C4490"/>
    <w:rsid w:val="004D2B47"/>
    <w:rsid w:val="004D4668"/>
    <w:rsid w:val="004E0E90"/>
    <w:rsid w:val="004F4928"/>
    <w:rsid w:val="004F721F"/>
    <w:rsid w:val="004F7E77"/>
    <w:rsid w:val="00503228"/>
    <w:rsid w:val="00505384"/>
    <w:rsid w:val="00512AD1"/>
    <w:rsid w:val="00514641"/>
    <w:rsid w:val="0053290B"/>
    <w:rsid w:val="005414C0"/>
    <w:rsid w:val="005420F2"/>
    <w:rsid w:val="00557BBE"/>
    <w:rsid w:val="005602BC"/>
    <w:rsid w:val="00564A8C"/>
    <w:rsid w:val="0056584E"/>
    <w:rsid w:val="00567492"/>
    <w:rsid w:val="00567738"/>
    <w:rsid w:val="00573A0E"/>
    <w:rsid w:val="00592B8C"/>
    <w:rsid w:val="005964D7"/>
    <w:rsid w:val="00596940"/>
    <w:rsid w:val="005A6006"/>
    <w:rsid w:val="005B12DD"/>
    <w:rsid w:val="005B3DB3"/>
    <w:rsid w:val="005B675E"/>
    <w:rsid w:val="005B793F"/>
    <w:rsid w:val="005C2712"/>
    <w:rsid w:val="005D01BA"/>
    <w:rsid w:val="005D0566"/>
    <w:rsid w:val="005D69A1"/>
    <w:rsid w:val="005E3584"/>
    <w:rsid w:val="005F1684"/>
    <w:rsid w:val="005F491C"/>
    <w:rsid w:val="005F57B5"/>
    <w:rsid w:val="00603986"/>
    <w:rsid w:val="006040A1"/>
    <w:rsid w:val="00610339"/>
    <w:rsid w:val="00611FB1"/>
    <w:rsid w:val="00611FC4"/>
    <w:rsid w:val="00612594"/>
    <w:rsid w:val="00613135"/>
    <w:rsid w:val="00613225"/>
    <w:rsid w:val="0061540F"/>
    <w:rsid w:val="006176FB"/>
    <w:rsid w:val="0062451C"/>
    <w:rsid w:val="00624CB0"/>
    <w:rsid w:val="00627ED0"/>
    <w:rsid w:val="00632A8B"/>
    <w:rsid w:val="00633F2A"/>
    <w:rsid w:val="0063576C"/>
    <w:rsid w:val="006362E9"/>
    <w:rsid w:val="006407F2"/>
    <w:rsid w:val="00640B26"/>
    <w:rsid w:val="0064418D"/>
    <w:rsid w:val="0065183D"/>
    <w:rsid w:val="006522E7"/>
    <w:rsid w:val="00652520"/>
    <w:rsid w:val="0066186F"/>
    <w:rsid w:val="00661E02"/>
    <w:rsid w:val="00665396"/>
    <w:rsid w:val="00665595"/>
    <w:rsid w:val="00671353"/>
    <w:rsid w:val="00695A9B"/>
    <w:rsid w:val="006A4EF7"/>
    <w:rsid w:val="006A7392"/>
    <w:rsid w:val="006A7A99"/>
    <w:rsid w:val="006B4ADA"/>
    <w:rsid w:val="006C27FF"/>
    <w:rsid w:val="006C52A3"/>
    <w:rsid w:val="006C6A56"/>
    <w:rsid w:val="006D5429"/>
    <w:rsid w:val="006D7CD5"/>
    <w:rsid w:val="006E0290"/>
    <w:rsid w:val="006E564B"/>
    <w:rsid w:val="006F02D2"/>
    <w:rsid w:val="006F1EFF"/>
    <w:rsid w:val="007032EE"/>
    <w:rsid w:val="00704BCD"/>
    <w:rsid w:val="007218CD"/>
    <w:rsid w:val="007243A1"/>
    <w:rsid w:val="0072632A"/>
    <w:rsid w:val="00733AAE"/>
    <w:rsid w:val="00744DCF"/>
    <w:rsid w:val="007540E2"/>
    <w:rsid w:val="00754889"/>
    <w:rsid w:val="00764EE0"/>
    <w:rsid w:val="00771D8B"/>
    <w:rsid w:val="00772712"/>
    <w:rsid w:val="00772BD6"/>
    <w:rsid w:val="00773288"/>
    <w:rsid w:val="0077426A"/>
    <w:rsid w:val="00774A1A"/>
    <w:rsid w:val="00780488"/>
    <w:rsid w:val="00782570"/>
    <w:rsid w:val="00783295"/>
    <w:rsid w:val="00783A99"/>
    <w:rsid w:val="00784BBB"/>
    <w:rsid w:val="00792195"/>
    <w:rsid w:val="0079606E"/>
    <w:rsid w:val="00796E0D"/>
    <w:rsid w:val="007A1923"/>
    <w:rsid w:val="007B3310"/>
    <w:rsid w:val="007B5103"/>
    <w:rsid w:val="007B5960"/>
    <w:rsid w:val="007B6BA5"/>
    <w:rsid w:val="007C3390"/>
    <w:rsid w:val="007C4F4B"/>
    <w:rsid w:val="007C4F77"/>
    <w:rsid w:val="007D0550"/>
    <w:rsid w:val="007D1BCB"/>
    <w:rsid w:val="007D3ADF"/>
    <w:rsid w:val="007D4DE2"/>
    <w:rsid w:val="007D5953"/>
    <w:rsid w:val="007E028F"/>
    <w:rsid w:val="007E0778"/>
    <w:rsid w:val="007F0B83"/>
    <w:rsid w:val="007F272B"/>
    <w:rsid w:val="007F4FCD"/>
    <w:rsid w:val="007F6611"/>
    <w:rsid w:val="007F768B"/>
    <w:rsid w:val="008039D1"/>
    <w:rsid w:val="00805178"/>
    <w:rsid w:val="008175E9"/>
    <w:rsid w:val="008207D8"/>
    <w:rsid w:val="00820837"/>
    <w:rsid w:val="008242D7"/>
    <w:rsid w:val="00826BFB"/>
    <w:rsid w:val="00827E05"/>
    <w:rsid w:val="00830DAF"/>
    <w:rsid w:val="008311A3"/>
    <w:rsid w:val="008467F9"/>
    <w:rsid w:val="008577F2"/>
    <w:rsid w:val="0086198E"/>
    <w:rsid w:val="0086423F"/>
    <w:rsid w:val="008703E7"/>
    <w:rsid w:val="00871FD5"/>
    <w:rsid w:val="00872C11"/>
    <w:rsid w:val="00874E70"/>
    <w:rsid w:val="00875242"/>
    <w:rsid w:val="00876710"/>
    <w:rsid w:val="00881651"/>
    <w:rsid w:val="00881AAD"/>
    <w:rsid w:val="008846DF"/>
    <w:rsid w:val="00884D20"/>
    <w:rsid w:val="00896E7E"/>
    <w:rsid w:val="008979B1"/>
    <w:rsid w:val="008A296D"/>
    <w:rsid w:val="008A6B25"/>
    <w:rsid w:val="008A6C4F"/>
    <w:rsid w:val="008B01F9"/>
    <w:rsid w:val="008B6F6E"/>
    <w:rsid w:val="008D54CD"/>
    <w:rsid w:val="008E09AC"/>
    <w:rsid w:val="008E0C90"/>
    <w:rsid w:val="008E0E46"/>
    <w:rsid w:val="008E3A08"/>
    <w:rsid w:val="008E3D2D"/>
    <w:rsid w:val="008F1782"/>
    <w:rsid w:val="008F4AB2"/>
    <w:rsid w:val="00903E58"/>
    <w:rsid w:val="00906E93"/>
    <w:rsid w:val="0090771C"/>
    <w:rsid w:val="00907AD2"/>
    <w:rsid w:val="009104B2"/>
    <w:rsid w:val="009111C7"/>
    <w:rsid w:val="00913465"/>
    <w:rsid w:val="0091455F"/>
    <w:rsid w:val="0091505C"/>
    <w:rsid w:val="00921B66"/>
    <w:rsid w:val="00921D21"/>
    <w:rsid w:val="00922876"/>
    <w:rsid w:val="00925353"/>
    <w:rsid w:val="00934214"/>
    <w:rsid w:val="009402C2"/>
    <w:rsid w:val="00940685"/>
    <w:rsid w:val="00941D3C"/>
    <w:rsid w:val="00951741"/>
    <w:rsid w:val="009616A8"/>
    <w:rsid w:val="009619F2"/>
    <w:rsid w:val="00963CBA"/>
    <w:rsid w:val="00963FC7"/>
    <w:rsid w:val="009647D9"/>
    <w:rsid w:val="009727E1"/>
    <w:rsid w:val="009749EA"/>
    <w:rsid w:val="00974A8D"/>
    <w:rsid w:val="00975AAB"/>
    <w:rsid w:val="009772DC"/>
    <w:rsid w:val="0097794A"/>
    <w:rsid w:val="00982212"/>
    <w:rsid w:val="00986FCF"/>
    <w:rsid w:val="0099001C"/>
    <w:rsid w:val="00991261"/>
    <w:rsid w:val="009A3BA9"/>
    <w:rsid w:val="009B10F0"/>
    <w:rsid w:val="009B4ACF"/>
    <w:rsid w:val="009C418B"/>
    <w:rsid w:val="009D1BEF"/>
    <w:rsid w:val="009F2B82"/>
    <w:rsid w:val="009F3A17"/>
    <w:rsid w:val="009F4329"/>
    <w:rsid w:val="009F569B"/>
    <w:rsid w:val="00A071D1"/>
    <w:rsid w:val="00A11C1F"/>
    <w:rsid w:val="00A1427D"/>
    <w:rsid w:val="00A1540E"/>
    <w:rsid w:val="00A3172C"/>
    <w:rsid w:val="00A33628"/>
    <w:rsid w:val="00A37B8D"/>
    <w:rsid w:val="00A4329A"/>
    <w:rsid w:val="00A4390F"/>
    <w:rsid w:val="00A47FEB"/>
    <w:rsid w:val="00A51BA2"/>
    <w:rsid w:val="00A63174"/>
    <w:rsid w:val="00A63E4B"/>
    <w:rsid w:val="00A65EFF"/>
    <w:rsid w:val="00A72F22"/>
    <w:rsid w:val="00A748A6"/>
    <w:rsid w:val="00A805EB"/>
    <w:rsid w:val="00A8405F"/>
    <w:rsid w:val="00A879A4"/>
    <w:rsid w:val="00AB6DCD"/>
    <w:rsid w:val="00AC0759"/>
    <w:rsid w:val="00AC3F5A"/>
    <w:rsid w:val="00AD3A50"/>
    <w:rsid w:val="00AD701B"/>
    <w:rsid w:val="00AD7C47"/>
    <w:rsid w:val="00AE0162"/>
    <w:rsid w:val="00AE3D03"/>
    <w:rsid w:val="00AE52B5"/>
    <w:rsid w:val="00AF04A4"/>
    <w:rsid w:val="00AF0D0C"/>
    <w:rsid w:val="00AF4E86"/>
    <w:rsid w:val="00AF5976"/>
    <w:rsid w:val="00B109BD"/>
    <w:rsid w:val="00B10A66"/>
    <w:rsid w:val="00B12377"/>
    <w:rsid w:val="00B12EF7"/>
    <w:rsid w:val="00B16F5D"/>
    <w:rsid w:val="00B30179"/>
    <w:rsid w:val="00B30550"/>
    <w:rsid w:val="00B306E7"/>
    <w:rsid w:val="00B33D93"/>
    <w:rsid w:val="00B33EC0"/>
    <w:rsid w:val="00B356B8"/>
    <w:rsid w:val="00B35B6B"/>
    <w:rsid w:val="00B37A59"/>
    <w:rsid w:val="00B419F6"/>
    <w:rsid w:val="00B45CC5"/>
    <w:rsid w:val="00B52A3E"/>
    <w:rsid w:val="00B55627"/>
    <w:rsid w:val="00B6108E"/>
    <w:rsid w:val="00B712CD"/>
    <w:rsid w:val="00B72447"/>
    <w:rsid w:val="00B77DD4"/>
    <w:rsid w:val="00B81E12"/>
    <w:rsid w:val="00BA0EA4"/>
    <w:rsid w:val="00BA3D78"/>
    <w:rsid w:val="00BA6636"/>
    <w:rsid w:val="00BA6971"/>
    <w:rsid w:val="00BC74E9"/>
    <w:rsid w:val="00BD14E2"/>
    <w:rsid w:val="00BD2146"/>
    <w:rsid w:val="00BD2A07"/>
    <w:rsid w:val="00BD4FA8"/>
    <w:rsid w:val="00BE4F74"/>
    <w:rsid w:val="00BE5308"/>
    <w:rsid w:val="00BE618E"/>
    <w:rsid w:val="00BF0594"/>
    <w:rsid w:val="00BF5063"/>
    <w:rsid w:val="00BF5C71"/>
    <w:rsid w:val="00BF6291"/>
    <w:rsid w:val="00C0073F"/>
    <w:rsid w:val="00C04153"/>
    <w:rsid w:val="00C143B4"/>
    <w:rsid w:val="00C17699"/>
    <w:rsid w:val="00C27434"/>
    <w:rsid w:val="00C309A6"/>
    <w:rsid w:val="00C31B61"/>
    <w:rsid w:val="00C3396E"/>
    <w:rsid w:val="00C407EE"/>
    <w:rsid w:val="00C41A28"/>
    <w:rsid w:val="00C42500"/>
    <w:rsid w:val="00C45639"/>
    <w:rsid w:val="00C463DD"/>
    <w:rsid w:val="00C54CCB"/>
    <w:rsid w:val="00C54FF0"/>
    <w:rsid w:val="00C65812"/>
    <w:rsid w:val="00C70D56"/>
    <w:rsid w:val="00C730DE"/>
    <w:rsid w:val="00C73C64"/>
    <w:rsid w:val="00C745C3"/>
    <w:rsid w:val="00C74DB9"/>
    <w:rsid w:val="00C756ED"/>
    <w:rsid w:val="00C75C4B"/>
    <w:rsid w:val="00C77A18"/>
    <w:rsid w:val="00C84FF4"/>
    <w:rsid w:val="00C87A98"/>
    <w:rsid w:val="00C92E61"/>
    <w:rsid w:val="00C94465"/>
    <w:rsid w:val="00CA3F9A"/>
    <w:rsid w:val="00CA4B0E"/>
    <w:rsid w:val="00CA5B67"/>
    <w:rsid w:val="00CD455E"/>
    <w:rsid w:val="00CE3368"/>
    <w:rsid w:val="00CE4A8F"/>
    <w:rsid w:val="00CE5435"/>
    <w:rsid w:val="00CF41EA"/>
    <w:rsid w:val="00CF5B31"/>
    <w:rsid w:val="00CF7506"/>
    <w:rsid w:val="00D0099B"/>
    <w:rsid w:val="00D02F6D"/>
    <w:rsid w:val="00D06605"/>
    <w:rsid w:val="00D11A2D"/>
    <w:rsid w:val="00D2031B"/>
    <w:rsid w:val="00D21958"/>
    <w:rsid w:val="00D228C0"/>
    <w:rsid w:val="00D25FE2"/>
    <w:rsid w:val="00D315F0"/>
    <w:rsid w:val="00D317BB"/>
    <w:rsid w:val="00D3344B"/>
    <w:rsid w:val="00D43252"/>
    <w:rsid w:val="00D4433A"/>
    <w:rsid w:val="00D44EAE"/>
    <w:rsid w:val="00D4733B"/>
    <w:rsid w:val="00D56C90"/>
    <w:rsid w:val="00D8399D"/>
    <w:rsid w:val="00D924F4"/>
    <w:rsid w:val="00D938D5"/>
    <w:rsid w:val="00D94AAD"/>
    <w:rsid w:val="00D978C6"/>
    <w:rsid w:val="00D978F3"/>
    <w:rsid w:val="00DA67AD"/>
    <w:rsid w:val="00DB5D0F"/>
    <w:rsid w:val="00DC1A84"/>
    <w:rsid w:val="00DC3242"/>
    <w:rsid w:val="00DD222A"/>
    <w:rsid w:val="00DE3A0C"/>
    <w:rsid w:val="00DE78DA"/>
    <w:rsid w:val="00DF12F7"/>
    <w:rsid w:val="00E02C81"/>
    <w:rsid w:val="00E05E6F"/>
    <w:rsid w:val="00E130AB"/>
    <w:rsid w:val="00E201CB"/>
    <w:rsid w:val="00E2307D"/>
    <w:rsid w:val="00E24B3E"/>
    <w:rsid w:val="00E31E80"/>
    <w:rsid w:val="00E33C28"/>
    <w:rsid w:val="00E37E28"/>
    <w:rsid w:val="00E4094C"/>
    <w:rsid w:val="00E41868"/>
    <w:rsid w:val="00E42808"/>
    <w:rsid w:val="00E43853"/>
    <w:rsid w:val="00E470C5"/>
    <w:rsid w:val="00E54137"/>
    <w:rsid w:val="00E62142"/>
    <w:rsid w:val="00E6496A"/>
    <w:rsid w:val="00E7260F"/>
    <w:rsid w:val="00E7733E"/>
    <w:rsid w:val="00E87921"/>
    <w:rsid w:val="00E93B8F"/>
    <w:rsid w:val="00E96630"/>
    <w:rsid w:val="00EA264E"/>
    <w:rsid w:val="00EA5690"/>
    <w:rsid w:val="00EB31E8"/>
    <w:rsid w:val="00EB7B03"/>
    <w:rsid w:val="00EC3D7E"/>
    <w:rsid w:val="00EC5A8A"/>
    <w:rsid w:val="00EC7CB8"/>
    <w:rsid w:val="00ED42EB"/>
    <w:rsid w:val="00ED7A2A"/>
    <w:rsid w:val="00ED7E78"/>
    <w:rsid w:val="00EE6D04"/>
    <w:rsid w:val="00EF1D7F"/>
    <w:rsid w:val="00EF381F"/>
    <w:rsid w:val="00EF66AA"/>
    <w:rsid w:val="00F0058A"/>
    <w:rsid w:val="00F065D0"/>
    <w:rsid w:val="00F10CCD"/>
    <w:rsid w:val="00F13FE3"/>
    <w:rsid w:val="00F14C89"/>
    <w:rsid w:val="00F20D16"/>
    <w:rsid w:val="00F212B0"/>
    <w:rsid w:val="00F227EE"/>
    <w:rsid w:val="00F23972"/>
    <w:rsid w:val="00F26772"/>
    <w:rsid w:val="00F4559F"/>
    <w:rsid w:val="00F461BF"/>
    <w:rsid w:val="00F50610"/>
    <w:rsid w:val="00F53EDA"/>
    <w:rsid w:val="00F56BFE"/>
    <w:rsid w:val="00F61902"/>
    <w:rsid w:val="00F6227B"/>
    <w:rsid w:val="00F66579"/>
    <w:rsid w:val="00F708A8"/>
    <w:rsid w:val="00F719A2"/>
    <w:rsid w:val="00F7753D"/>
    <w:rsid w:val="00F805CA"/>
    <w:rsid w:val="00F80636"/>
    <w:rsid w:val="00F83C0F"/>
    <w:rsid w:val="00F85F34"/>
    <w:rsid w:val="00FA06F7"/>
    <w:rsid w:val="00FA5CA3"/>
    <w:rsid w:val="00FB171A"/>
    <w:rsid w:val="00FB24B1"/>
    <w:rsid w:val="00FB3D8C"/>
    <w:rsid w:val="00FB75E7"/>
    <w:rsid w:val="00FC24D4"/>
    <w:rsid w:val="00FC68B7"/>
    <w:rsid w:val="00FD0E1B"/>
    <w:rsid w:val="00FD3F13"/>
    <w:rsid w:val="00FD62CD"/>
    <w:rsid w:val="00FD7BF6"/>
    <w:rsid w:val="00FE13F7"/>
    <w:rsid w:val="00FE646C"/>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0F81-DC21-40E9-84DC-1E485831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2</Pages>
  <Words>540</Words>
  <Characters>2916</Characters>
  <Application>Microsoft Office Word</Application>
  <DocSecurity>0</DocSecurity>
  <Lines>61</Lines>
  <Paragraphs>29</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2015-09-04T12:56:00Z</cp:lastPrinted>
  <dcterms:created xsi:type="dcterms:W3CDTF">2015-09-04T07:13:00Z</dcterms:created>
  <dcterms:modified xsi:type="dcterms:W3CDTF">2015-09-04T12:59:00Z</dcterms:modified>
</cp:coreProperties>
</file>