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E1" w:rsidRPr="0099034B" w:rsidRDefault="00A07CE1" w:rsidP="00A07CE1">
      <w:pPr>
        <w:spacing w:line="240" w:lineRule="auto"/>
        <w:rPr>
          <w:sz w:val="2"/>
        </w:rPr>
        <w:sectPr w:rsidR="00A07CE1" w:rsidRPr="0099034B" w:rsidSect="00A07CE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r w:rsidRPr="0099034B">
        <w:rPr>
          <w:rStyle w:val="CommentReference"/>
        </w:rPr>
        <w:commentReference w:id="1"/>
      </w:r>
    </w:p>
    <w:p w:rsidR="00A67906" w:rsidRPr="00A67906" w:rsidRDefault="00A67906" w:rsidP="00A67906">
      <w:pPr>
        <w:pStyle w:val="SingleTxt"/>
        <w:spacing w:after="0" w:line="120" w:lineRule="exact"/>
        <w:rPr>
          <w:sz w:val="10"/>
        </w:rPr>
      </w:pPr>
    </w:p>
    <w:p w:rsidR="00A67906" w:rsidRDefault="009B5D85" w:rsidP="00A67906">
      <w:pPr>
        <w:pStyle w:val="H1"/>
        <w:ind w:right="1260"/>
      </w:pPr>
      <w:r w:rsidRPr="00301523">
        <w:t>Committee of Experts on the Transport of Dangerous Goods</w:t>
      </w:r>
    </w:p>
    <w:p w:rsidR="00A67906" w:rsidRDefault="009B5D85" w:rsidP="00A67906">
      <w:pPr>
        <w:pStyle w:val="H1"/>
        <w:ind w:right="1260"/>
      </w:pPr>
      <w:r w:rsidRPr="00301523">
        <w:t>and on the Globally Harmonized System of Classification</w:t>
      </w:r>
    </w:p>
    <w:p w:rsidR="009B5D85" w:rsidRPr="00301523" w:rsidRDefault="009B5D85" w:rsidP="00A67906">
      <w:pPr>
        <w:pStyle w:val="H1"/>
        <w:ind w:right="1260"/>
      </w:pPr>
      <w:r w:rsidRPr="00301523">
        <w:t>and Labelling of Chemicals</w:t>
      </w:r>
    </w:p>
    <w:p w:rsidR="00274323" w:rsidRPr="00274323" w:rsidRDefault="00274323" w:rsidP="00274323">
      <w:pPr>
        <w:pStyle w:val="H23"/>
        <w:spacing w:line="120" w:lineRule="exact"/>
        <w:ind w:right="1260"/>
        <w:rPr>
          <w:sz w:val="10"/>
        </w:rPr>
      </w:pPr>
    </w:p>
    <w:p w:rsidR="009B5D85" w:rsidRPr="00301523" w:rsidRDefault="009B5D85" w:rsidP="00A67906">
      <w:pPr>
        <w:pStyle w:val="H23"/>
        <w:ind w:right="1260"/>
      </w:pPr>
      <w:r w:rsidRPr="00301523">
        <w:t>Sub-Committee of Experts on the Transport of Dangerous Goods</w:t>
      </w:r>
    </w:p>
    <w:p w:rsidR="00A67906" w:rsidRPr="00A67906" w:rsidRDefault="00A67906" w:rsidP="00A67906">
      <w:pPr>
        <w:pStyle w:val="H23"/>
        <w:spacing w:line="120" w:lineRule="exact"/>
        <w:ind w:right="1260"/>
        <w:rPr>
          <w:sz w:val="10"/>
        </w:rPr>
      </w:pPr>
    </w:p>
    <w:p w:rsidR="009B5D85" w:rsidRPr="00301523" w:rsidRDefault="009B5D85" w:rsidP="00A67906">
      <w:pPr>
        <w:pStyle w:val="H23"/>
        <w:ind w:right="1260"/>
      </w:pPr>
      <w:r w:rsidRPr="00301523">
        <w:t>Forty-eighth session</w:t>
      </w:r>
    </w:p>
    <w:p w:rsidR="00A67906" w:rsidRDefault="009B5D85" w:rsidP="00A679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01523">
        <w:t>Geneva, 30 November</w:t>
      </w:r>
      <w:r w:rsidR="00A67906">
        <w:t>-</w:t>
      </w:r>
      <w:r w:rsidRPr="00301523">
        <w:t>9 December 2015</w:t>
      </w:r>
    </w:p>
    <w:p w:rsidR="009B5D85" w:rsidRPr="00301523" w:rsidRDefault="009B5D85" w:rsidP="00A679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01523">
        <w:t>Item 3 of the provisional agenda</w:t>
      </w:r>
    </w:p>
    <w:p w:rsidR="009B5D85" w:rsidRPr="00301523" w:rsidRDefault="009B5D85" w:rsidP="009B6127">
      <w:pPr>
        <w:pStyle w:val="H23"/>
        <w:ind w:right="1260"/>
      </w:pPr>
      <w:r w:rsidRPr="00301523">
        <w:t>Listing, classification and packing</w:t>
      </w:r>
    </w:p>
    <w:p w:rsidR="009B6127" w:rsidRPr="009B6127" w:rsidRDefault="009B6127" w:rsidP="009B6127">
      <w:pPr>
        <w:pStyle w:val="HCh"/>
        <w:spacing w:line="120" w:lineRule="exact"/>
        <w:ind w:left="1267" w:right="1260" w:hanging="1267"/>
        <w:rPr>
          <w:sz w:val="10"/>
        </w:rPr>
      </w:pPr>
    </w:p>
    <w:p w:rsidR="009B6127" w:rsidRPr="009B6127" w:rsidRDefault="009B6127" w:rsidP="009B6127">
      <w:pPr>
        <w:pStyle w:val="SingleTxt"/>
        <w:spacing w:after="0" w:line="120" w:lineRule="exact"/>
        <w:rPr>
          <w:sz w:val="10"/>
        </w:rPr>
      </w:pPr>
    </w:p>
    <w:p w:rsidR="009B6127" w:rsidRPr="009B6127" w:rsidRDefault="009B6127" w:rsidP="009B6127">
      <w:pPr>
        <w:pStyle w:val="SingleTxt"/>
        <w:spacing w:after="0" w:line="120" w:lineRule="exact"/>
        <w:rPr>
          <w:sz w:val="10"/>
        </w:rPr>
      </w:pPr>
    </w:p>
    <w:p w:rsidR="009B5D85" w:rsidRPr="00301523" w:rsidRDefault="009B5D85" w:rsidP="009B6127">
      <w:pPr>
        <w:pStyle w:val="HCh"/>
        <w:ind w:left="1267" w:right="1260" w:hanging="1267"/>
      </w:pPr>
      <w:r w:rsidRPr="00301523">
        <w:tab/>
      </w:r>
      <w:r w:rsidRPr="00301523">
        <w:tab/>
        <w:t>Carriage of toxic metal powders</w:t>
      </w:r>
    </w:p>
    <w:p w:rsidR="009B6127" w:rsidRPr="009B6127" w:rsidRDefault="009B6127" w:rsidP="009B6127">
      <w:pPr>
        <w:pStyle w:val="SingleTxt"/>
        <w:spacing w:after="0" w:line="120" w:lineRule="exact"/>
        <w:rPr>
          <w:sz w:val="10"/>
        </w:rPr>
      </w:pPr>
    </w:p>
    <w:p w:rsidR="009B6127" w:rsidRPr="009B6127" w:rsidRDefault="009B6127" w:rsidP="009B6127">
      <w:pPr>
        <w:pStyle w:val="SingleTxt"/>
        <w:spacing w:after="0" w:line="120" w:lineRule="exact"/>
        <w:rPr>
          <w:sz w:val="10"/>
        </w:rPr>
      </w:pPr>
    </w:p>
    <w:p w:rsidR="009B5D85" w:rsidRDefault="009B5D85" w:rsidP="009B6127">
      <w:pPr>
        <w:pStyle w:val="H1"/>
        <w:ind w:right="1260"/>
      </w:pPr>
      <w:r w:rsidRPr="00301523">
        <w:tab/>
      </w:r>
      <w:r w:rsidRPr="00301523">
        <w:tab/>
        <w:t>Submitted by the expert from France</w:t>
      </w:r>
      <w:r w:rsidRPr="001E6794">
        <w:rPr>
          <w:b w:val="0"/>
          <w:bCs/>
          <w:color w:val="943634" w:themeColor="accent2" w:themeShade="BF"/>
          <w:spacing w:val="-5"/>
          <w:position w:val="-4"/>
          <w:sz w:val="17"/>
          <w:szCs w:val="17"/>
          <w:vertAlign w:val="superscript"/>
        </w:rPr>
        <w:footnoteReference w:id="1"/>
      </w:r>
    </w:p>
    <w:p w:rsidR="009B6127" w:rsidRPr="009B6127" w:rsidRDefault="009B6127" w:rsidP="009B6127">
      <w:pPr>
        <w:pStyle w:val="SingleTxt"/>
        <w:spacing w:after="0" w:line="120" w:lineRule="exact"/>
        <w:rPr>
          <w:sz w:val="10"/>
        </w:rPr>
      </w:pPr>
    </w:p>
    <w:p w:rsidR="009B6127" w:rsidRPr="009B6127" w:rsidRDefault="009B6127" w:rsidP="009B6127">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9B6127" w:rsidTr="009B6127">
        <w:tc>
          <w:tcPr>
            <w:tcW w:w="10051" w:type="dxa"/>
            <w:tcBorders>
              <w:top w:val="single" w:sz="2" w:space="0" w:color="auto"/>
            </w:tcBorders>
            <w:shd w:val="clear" w:color="auto" w:fill="auto"/>
          </w:tcPr>
          <w:p w:rsidR="009B6127" w:rsidRPr="009B6127" w:rsidRDefault="009B6127" w:rsidP="009B6127">
            <w:pPr>
              <w:tabs>
                <w:tab w:val="left" w:pos="240"/>
              </w:tabs>
              <w:spacing w:before="240" w:after="120"/>
              <w:rPr>
                <w:i/>
                <w:sz w:val="24"/>
              </w:rPr>
            </w:pPr>
            <w:r>
              <w:rPr>
                <w:i/>
                <w:sz w:val="24"/>
              </w:rPr>
              <w:tab/>
              <w:t>Summary</w:t>
            </w:r>
          </w:p>
        </w:tc>
      </w:tr>
      <w:tr w:rsidR="009B6127" w:rsidTr="009B6127">
        <w:tc>
          <w:tcPr>
            <w:tcW w:w="10051" w:type="dxa"/>
            <w:shd w:val="clear" w:color="auto" w:fill="auto"/>
          </w:tcPr>
          <w:p w:rsidR="009B6127" w:rsidRPr="009B6127" w:rsidRDefault="009B6127" w:rsidP="009B6127">
            <w:pPr>
              <w:pStyle w:val="SingleTxtG"/>
              <w:spacing w:after="60"/>
              <w:ind w:left="2552" w:hanging="2268"/>
            </w:pPr>
            <w:r w:rsidRPr="009B6127">
              <w:rPr>
                <w:b/>
                <w:szCs w:val="22"/>
              </w:rPr>
              <w:t>Executive summary:</w:t>
            </w:r>
            <w:r w:rsidRPr="009B6127">
              <w:rPr>
                <w:b/>
                <w:szCs w:val="22"/>
              </w:rPr>
              <w:tab/>
            </w:r>
            <w:r w:rsidRPr="009B6127">
              <w:rPr>
                <w:bCs/>
                <w:szCs w:val="22"/>
              </w:rPr>
              <w:t>This paper proposes that the Sub-Committee should introduce new entries into the UN Recommendations to allow the proper classification and transport of metal powders with primary risk 6.1 and subsidiary risk 4.1.</w:t>
            </w:r>
          </w:p>
        </w:tc>
      </w:tr>
      <w:tr w:rsidR="009B6127" w:rsidTr="009B6127">
        <w:tc>
          <w:tcPr>
            <w:tcW w:w="10051" w:type="dxa"/>
            <w:shd w:val="clear" w:color="auto" w:fill="auto"/>
          </w:tcPr>
          <w:p w:rsidR="009B6127" w:rsidRPr="009B6127" w:rsidRDefault="009B6127" w:rsidP="009B6127">
            <w:pPr>
              <w:pStyle w:val="SingleTxtG"/>
              <w:spacing w:after="60"/>
              <w:ind w:left="2552" w:hanging="2268"/>
              <w:rPr>
                <w:bCs/>
                <w:szCs w:val="22"/>
              </w:rPr>
            </w:pPr>
            <w:r w:rsidRPr="009B6127">
              <w:rPr>
                <w:b/>
                <w:szCs w:val="22"/>
              </w:rPr>
              <w:t>Related documents:</w:t>
            </w:r>
            <w:r w:rsidRPr="009B6127">
              <w:rPr>
                <w:b/>
                <w:szCs w:val="22"/>
              </w:rPr>
              <w:tab/>
            </w:r>
            <w:r w:rsidRPr="009B6127">
              <w:rPr>
                <w:bCs/>
                <w:szCs w:val="22"/>
              </w:rPr>
              <w:t>Informal document INF.34 (forty-seventh session)</w:t>
            </w:r>
          </w:p>
          <w:p w:rsidR="009B6127" w:rsidRPr="009B6127" w:rsidRDefault="009B6127" w:rsidP="009B6127">
            <w:pPr>
              <w:pStyle w:val="SingleTxtG"/>
              <w:spacing w:after="60"/>
              <w:ind w:left="2552" w:hanging="2268"/>
              <w:rPr>
                <w:bCs/>
                <w:szCs w:val="22"/>
              </w:rPr>
            </w:pPr>
            <w:r w:rsidRPr="009B6127">
              <w:rPr>
                <w:bCs/>
                <w:szCs w:val="22"/>
              </w:rPr>
              <w:tab/>
              <w:t>ST/SG/AC.10/C.3/94 (final report of the forty-seventh session), para. 77</w:t>
            </w:r>
          </w:p>
          <w:p w:rsidR="009B6127" w:rsidRPr="009B6127" w:rsidRDefault="009B6127" w:rsidP="009B6127">
            <w:pPr>
              <w:pStyle w:val="SingleTxtG"/>
              <w:spacing w:after="60"/>
              <w:ind w:left="2552" w:hanging="2268"/>
            </w:pPr>
            <w:r w:rsidRPr="009B6127">
              <w:rPr>
                <w:bCs/>
                <w:szCs w:val="22"/>
              </w:rPr>
              <w:tab/>
            </w:r>
            <w:r w:rsidRPr="009B6127">
              <w:rPr>
                <w:b/>
                <w:szCs w:val="22"/>
              </w:rPr>
              <w:t>IMO Documents:</w:t>
            </w:r>
            <w:r w:rsidRPr="009B6127">
              <w:rPr>
                <w:bCs/>
                <w:szCs w:val="22"/>
              </w:rPr>
              <w:t xml:space="preserve"> CCC 1/6/12, CCC 1/13 (paras. 6.25 and</w:t>
            </w:r>
            <w:r w:rsidR="00DC1105">
              <w:rPr>
                <w:bCs/>
                <w:szCs w:val="22"/>
              </w:rPr>
              <w:t xml:space="preserve"> </w:t>
            </w:r>
            <w:r w:rsidRPr="009B6127">
              <w:rPr>
                <w:bCs/>
                <w:szCs w:val="22"/>
              </w:rPr>
              <w:t>6.26), E&amp;T 23/INF.3, CCC 2/6 (paras. 3.30 to 3.32), CCC 2/INF.24</w:t>
            </w:r>
          </w:p>
        </w:tc>
      </w:tr>
      <w:tr w:rsidR="009B6127" w:rsidTr="009B6127">
        <w:tc>
          <w:tcPr>
            <w:tcW w:w="10051" w:type="dxa"/>
            <w:tcBorders>
              <w:bottom w:val="nil"/>
            </w:tcBorders>
            <w:shd w:val="clear" w:color="auto" w:fill="auto"/>
          </w:tcPr>
          <w:p w:rsidR="009B6127" w:rsidRPr="009B6127" w:rsidRDefault="009B6127" w:rsidP="009B6127">
            <w:pPr>
              <w:pStyle w:val="SingleTxtG"/>
              <w:spacing w:after="60"/>
              <w:ind w:left="2552" w:hanging="2268"/>
            </w:pPr>
            <w:r w:rsidRPr="009B6127">
              <w:rPr>
                <w:b/>
                <w:szCs w:val="22"/>
              </w:rPr>
              <w:t>Related documents:</w:t>
            </w:r>
            <w:r w:rsidRPr="009B6127">
              <w:rPr>
                <w:b/>
                <w:szCs w:val="22"/>
              </w:rPr>
              <w:tab/>
            </w:r>
            <w:r w:rsidRPr="009B6127">
              <w:rPr>
                <w:bCs/>
                <w:szCs w:val="22"/>
              </w:rPr>
              <w:t>Paragraph 9 and Annex</w:t>
            </w:r>
          </w:p>
        </w:tc>
      </w:tr>
      <w:tr w:rsidR="009B6127" w:rsidTr="009B6127">
        <w:tc>
          <w:tcPr>
            <w:tcW w:w="10051" w:type="dxa"/>
            <w:tcBorders>
              <w:bottom w:val="single" w:sz="2" w:space="0" w:color="auto"/>
            </w:tcBorders>
            <w:shd w:val="clear" w:color="auto" w:fill="auto"/>
          </w:tcPr>
          <w:p w:rsidR="009B6127" w:rsidRPr="009B6127" w:rsidRDefault="009B6127" w:rsidP="009B6127">
            <w:pPr>
              <w:pStyle w:val="SingleTxt"/>
            </w:pPr>
          </w:p>
        </w:tc>
      </w:tr>
    </w:tbl>
    <w:p w:rsidR="009B6127" w:rsidRPr="009B6127" w:rsidRDefault="009B6127" w:rsidP="009B6127">
      <w:pPr>
        <w:pStyle w:val="SingleTxt"/>
        <w:spacing w:after="0" w:line="120" w:lineRule="exact"/>
        <w:rPr>
          <w:sz w:val="10"/>
        </w:rPr>
      </w:pPr>
    </w:p>
    <w:p w:rsidR="009B6127" w:rsidRPr="009B6127" w:rsidRDefault="009B6127" w:rsidP="009B6127">
      <w:pPr>
        <w:pStyle w:val="SingleTxt"/>
        <w:spacing w:after="0" w:line="120" w:lineRule="exact"/>
        <w:rPr>
          <w:sz w:val="10"/>
        </w:rPr>
      </w:pPr>
    </w:p>
    <w:p w:rsidR="009B5D85" w:rsidRPr="00301523" w:rsidRDefault="009B6127" w:rsidP="009B6127">
      <w:pPr>
        <w:pStyle w:val="HCh"/>
        <w:ind w:left="1267" w:right="1260" w:hanging="1267"/>
      </w:pPr>
      <w:r>
        <w:tab/>
      </w:r>
      <w:r>
        <w:tab/>
      </w:r>
      <w:r w:rsidR="009B5D85" w:rsidRPr="00301523">
        <w:t>Background</w:t>
      </w:r>
    </w:p>
    <w:p w:rsidR="009B6127" w:rsidRPr="009B6127" w:rsidRDefault="009B6127" w:rsidP="009B6127">
      <w:pPr>
        <w:pStyle w:val="SingleTxt"/>
        <w:spacing w:after="0" w:line="120" w:lineRule="exact"/>
        <w:rPr>
          <w:sz w:val="10"/>
        </w:rPr>
      </w:pPr>
    </w:p>
    <w:p w:rsidR="009B6127" w:rsidRPr="009B6127" w:rsidRDefault="009B6127" w:rsidP="009B6127">
      <w:pPr>
        <w:pStyle w:val="SingleTxt"/>
        <w:spacing w:after="0" w:line="120" w:lineRule="exact"/>
        <w:rPr>
          <w:sz w:val="10"/>
        </w:rPr>
      </w:pPr>
    </w:p>
    <w:p w:rsidR="009B5D85" w:rsidRPr="00301523" w:rsidRDefault="009B5D85" w:rsidP="009B6127">
      <w:pPr>
        <w:pStyle w:val="SingleTxt"/>
      </w:pPr>
      <w:r w:rsidRPr="00301523">
        <w:t>1.</w:t>
      </w:r>
      <w:r w:rsidRPr="00301523">
        <w:tab/>
        <w:t>The background documents, the oldest of which (OMI CCC 1/6/12) dates from September 2014, highlight the existence of metal powders with primary risk 6.1 (PG I and PG II) and subsidiary risk 4.1, substances for which there is currently no appropriate entry.</w:t>
      </w:r>
    </w:p>
    <w:p w:rsidR="009B5D85" w:rsidRPr="00301523" w:rsidRDefault="009B5D85" w:rsidP="00A67906">
      <w:pPr>
        <w:pStyle w:val="SingleTxt"/>
      </w:pPr>
      <w:r w:rsidRPr="00301523">
        <w:t>2.</w:t>
      </w:r>
      <w:r w:rsidRPr="00301523">
        <w:tab/>
        <w:t>Informal document INF.34 (forty-seventh session), submitted to the forty-seventh session of the Sub-Committee in June 2015, contained annexes showing safety data sheets illustrating that fact for the case of cobalt powder.</w:t>
      </w:r>
    </w:p>
    <w:p w:rsidR="004506BC" w:rsidRPr="004506BC" w:rsidRDefault="004506BC" w:rsidP="004506BC">
      <w:pPr>
        <w:pStyle w:val="HCh"/>
        <w:spacing w:line="120" w:lineRule="exact"/>
        <w:ind w:left="1267" w:right="1260" w:hanging="1267"/>
        <w:rPr>
          <w:sz w:val="10"/>
        </w:rPr>
      </w:pPr>
    </w:p>
    <w:p w:rsidR="004506BC" w:rsidRPr="004506BC" w:rsidRDefault="004506BC" w:rsidP="004506BC">
      <w:pPr>
        <w:pStyle w:val="HCh"/>
        <w:spacing w:line="120" w:lineRule="exact"/>
        <w:ind w:left="1267" w:right="1260" w:hanging="1267"/>
        <w:rPr>
          <w:sz w:val="10"/>
        </w:rPr>
      </w:pPr>
    </w:p>
    <w:p w:rsidR="009B5D85" w:rsidRPr="00301523" w:rsidRDefault="009B5D85" w:rsidP="004506BC">
      <w:pPr>
        <w:pStyle w:val="HCh"/>
        <w:ind w:left="1267" w:right="1260" w:hanging="1267"/>
      </w:pPr>
      <w:r w:rsidRPr="00301523">
        <w:tab/>
      </w:r>
      <w:r w:rsidRPr="00301523">
        <w:tab/>
        <w:t>Proposal</w:t>
      </w:r>
    </w:p>
    <w:p w:rsidR="004506BC" w:rsidRPr="004506BC" w:rsidRDefault="004506BC" w:rsidP="004506BC">
      <w:pPr>
        <w:pStyle w:val="SingleTxt"/>
        <w:spacing w:after="0" w:line="120" w:lineRule="exact"/>
        <w:rPr>
          <w:sz w:val="10"/>
        </w:rPr>
      </w:pPr>
    </w:p>
    <w:p w:rsidR="004506BC" w:rsidRPr="004506BC" w:rsidRDefault="004506BC" w:rsidP="004506BC">
      <w:pPr>
        <w:pStyle w:val="SingleTxt"/>
        <w:spacing w:after="0" w:line="120" w:lineRule="exact"/>
        <w:rPr>
          <w:sz w:val="10"/>
        </w:rPr>
      </w:pPr>
    </w:p>
    <w:p w:rsidR="009B5D85" w:rsidRPr="00301523" w:rsidRDefault="009B5D85" w:rsidP="00A67906">
      <w:pPr>
        <w:pStyle w:val="SingleTxt"/>
      </w:pPr>
      <w:r w:rsidRPr="00301523">
        <w:t>3.</w:t>
      </w:r>
      <w:r w:rsidRPr="00301523">
        <w:tab/>
        <w:t>A first proposal to introduce new entries was appended to informal document INF.34 (forty-seventh session); some delegations wished to have a little more time to check whether the new entries were really needed, as mentioned in paragraph 77 of the report, ST/SG/AC.10/C.3/94.</w:t>
      </w:r>
    </w:p>
    <w:p w:rsidR="009B5D85" w:rsidRPr="00301523" w:rsidRDefault="009B5D85" w:rsidP="00A67906">
      <w:pPr>
        <w:pStyle w:val="SingleTxt"/>
      </w:pPr>
      <w:r w:rsidRPr="00301523">
        <w:t>4.</w:t>
      </w:r>
      <w:r w:rsidRPr="00301523">
        <w:tab/>
        <w:t>In the present document, the expert from France, responding to a request from the Sub-Committee, submits an official proposal for the new entries to be included in the United Nations Recommendations in order to allow such substances to be transported in complete safety. The proposal is attached in the annex.</w:t>
      </w:r>
    </w:p>
    <w:p w:rsidR="009B5D85" w:rsidRPr="00301523" w:rsidRDefault="009B5D85" w:rsidP="00A67906">
      <w:pPr>
        <w:pStyle w:val="SingleTxt"/>
      </w:pPr>
      <w:r w:rsidRPr="00301523">
        <w:t>5.</w:t>
      </w:r>
      <w:r w:rsidRPr="00301523">
        <w:tab/>
        <w:t>It should be noted that, for the carriage of metal powders with primary risk 4.1 (PG II or PG III) and subsidiary risk 6.1, the Editing and Technical Group of</w:t>
      </w:r>
      <w:r w:rsidR="00DC1105">
        <w:t xml:space="preserve"> </w:t>
      </w:r>
      <w:r w:rsidRPr="00301523">
        <w:t>the International Maritime Organization Sub-Committee on Carriage of Cargoes and Containers considered that the existing UN No. 3179 was the most appropriate entry, on the condition that special provision 915, specifically maritime, be deleted from the IMDG Code (see document CCC 2/6, paras. 3.30 to 3.32).</w:t>
      </w:r>
    </w:p>
    <w:p w:rsidR="00AB158C" w:rsidRPr="00301523" w:rsidRDefault="00AB158C" w:rsidP="00A67906">
      <w:pPr>
        <w:pStyle w:val="SingleTxt"/>
      </w:pPr>
      <w:r w:rsidRPr="00301523">
        <w:t>6.</w:t>
      </w:r>
      <w:r w:rsidRPr="00301523">
        <w:tab/>
        <w:t>During the forty-seventh session of the Sub-Committee in June 2015, a majority of delegations expressed a preference for as general as possible a proper shipping name (solid or solid, inorganic), rather than a more restrictive proper shipping name (metal powder).</w:t>
      </w:r>
    </w:p>
    <w:p w:rsidR="00AB158C" w:rsidRPr="00301523" w:rsidRDefault="00AB158C" w:rsidP="00A67906">
      <w:pPr>
        <w:pStyle w:val="SingleTxt"/>
      </w:pPr>
      <w:r w:rsidRPr="00301523">
        <w:t>7.</w:t>
      </w:r>
      <w:r w:rsidRPr="00301523">
        <w:tab/>
        <w:t>Such an approach would also have the advantage of establishing a full parallel with the existing entries under UN No. 3124 (6.1, (4.2), PG I or PG II) and UN No. 3125 (6.1, (4.3), PG I or PG II).</w:t>
      </w:r>
    </w:p>
    <w:p w:rsidR="00AB158C" w:rsidRPr="00301523" w:rsidRDefault="00AB158C" w:rsidP="00A67906">
      <w:pPr>
        <w:pStyle w:val="SingleTxt"/>
      </w:pPr>
      <w:r w:rsidRPr="00301523">
        <w:t>8.</w:t>
      </w:r>
      <w:r w:rsidRPr="00301523">
        <w:tab/>
        <w:t>The conditions of carriage allocated to the proposed new entries are similar in all aspects to those of the existing entries UN No. 3124 (6.1, (4.2), PG I or PG II) and UN No. 3125 (6.1, (4.3), PG I or PG II), which have similar properties.</w:t>
      </w:r>
    </w:p>
    <w:p w:rsidR="004506BC" w:rsidRPr="004506BC" w:rsidRDefault="004506BC" w:rsidP="004506BC">
      <w:pPr>
        <w:pStyle w:val="HCh"/>
        <w:spacing w:line="120" w:lineRule="exact"/>
        <w:ind w:left="1267" w:right="1260" w:hanging="1267"/>
        <w:rPr>
          <w:sz w:val="10"/>
        </w:rPr>
      </w:pPr>
    </w:p>
    <w:p w:rsidR="004506BC" w:rsidRPr="004506BC" w:rsidRDefault="004506BC" w:rsidP="004506BC">
      <w:pPr>
        <w:pStyle w:val="HCh"/>
        <w:spacing w:line="120" w:lineRule="exact"/>
        <w:ind w:left="1267" w:right="1260" w:hanging="1267"/>
        <w:rPr>
          <w:sz w:val="10"/>
        </w:rPr>
      </w:pPr>
    </w:p>
    <w:p w:rsidR="00AB158C" w:rsidRPr="00301523" w:rsidRDefault="00AB158C" w:rsidP="004506BC">
      <w:pPr>
        <w:pStyle w:val="HCh"/>
        <w:ind w:left="1267" w:right="1260" w:hanging="1267"/>
      </w:pPr>
      <w:r w:rsidRPr="00301523">
        <w:tab/>
      </w:r>
      <w:r w:rsidRPr="00301523">
        <w:tab/>
        <w:t>Follow-up</w:t>
      </w:r>
    </w:p>
    <w:p w:rsidR="004506BC" w:rsidRPr="004506BC" w:rsidRDefault="004506BC" w:rsidP="004506BC">
      <w:pPr>
        <w:pStyle w:val="SingleTxt"/>
        <w:spacing w:after="0" w:line="120" w:lineRule="exact"/>
        <w:rPr>
          <w:sz w:val="10"/>
        </w:rPr>
      </w:pPr>
    </w:p>
    <w:p w:rsidR="004506BC" w:rsidRPr="004506BC" w:rsidRDefault="004506BC" w:rsidP="004506BC">
      <w:pPr>
        <w:pStyle w:val="SingleTxt"/>
        <w:spacing w:after="0" w:line="120" w:lineRule="exact"/>
        <w:rPr>
          <w:sz w:val="10"/>
        </w:rPr>
      </w:pPr>
    </w:p>
    <w:p w:rsidR="00AB158C" w:rsidRPr="00301523" w:rsidRDefault="00AB158C" w:rsidP="00A67906">
      <w:pPr>
        <w:pStyle w:val="SingleTxt"/>
      </w:pPr>
      <w:r w:rsidRPr="00301523">
        <w:t>9.</w:t>
      </w:r>
      <w:r w:rsidRPr="00301523">
        <w:tab/>
        <w:t>The Sub-Committee is requested to consider and comment on the proposals in the annex and to take the action it deems appropriate.</w:t>
      </w:r>
    </w:p>
    <w:p w:rsidR="00372EDE" w:rsidRDefault="00372EDE" w:rsidP="00A07CE1">
      <w:pPr>
        <w:pStyle w:val="SingleTxt"/>
        <w:sectPr w:rsidR="00372EDE" w:rsidSect="00A07CE1">
          <w:endnotePr>
            <w:numFmt w:val="decimal"/>
          </w:endnotePr>
          <w:type w:val="continuous"/>
          <w:pgSz w:w="11909" w:h="16834" w:code="1"/>
          <w:pgMar w:top="1742" w:right="936" w:bottom="1898" w:left="936" w:header="576" w:footer="1030" w:gutter="0"/>
          <w:pgNumType w:start="1"/>
          <w:cols w:space="720"/>
          <w:noEndnote/>
          <w:docGrid w:linePitch="278"/>
        </w:sectPr>
      </w:pPr>
    </w:p>
    <w:p w:rsidR="00537848" w:rsidRPr="00537848" w:rsidRDefault="00537848" w:rsidP="00537848">
      <w:pPr>
        <w:pStyle w:val="HCh"/>
        <w:spacing w:line="120" w:lineRule="exact"/>
        <w:ind w:left="1267" w:right="1260" w:hanging="1267"/>
        <w:rPr>
          <w:sz w:val="10"/>
        </w:rPr>
      </w:pPr>
    </w:p>
    <w:p w:rsidR="00537848" w:rsidRPr="00537848" w:rsidRDefault="00537848" w:rsidP="00537848">
      <w:pPr>
        <w:pStyle w:val="HCh"/>
        <w:spacing w:line="120" w:lineRule="exact"/>
        <w:ind w:left="1267" w:right="1260" w:hanging="1267"/>
        <w:rPr>
          <w:sz w:val="10"/>
        </w:rPr>
      </w:pPr>
    </w:p>
    <w:p w:rsidR="00372EDE" w:rsidRPr="00301523" w:rsidRDefault="00372EDE" w:rsidP="00537848">
      <w:pPr>
        <w:pStyle w:val="HCh"/>
        <w:ind w:left="1267" w:right="1260" w:hanging="1267"/>
      </w:pPr>
      <w:r w:rsidRPr="00301523">
        <w:t>Annex</w:t>
      </w:r>
    </w:p>
    <w:p w:rsidR="00537848" w:rsidRPr="00537848" w:rsidRDefault="00537848" w:rsidP="00537848">
      <w:pPr>
        <w:pStyle w:val="H1"/>
        <w:spacing w:line="120" w:lineRule="exact"/>
        <w:ind w:right="1260"/>
        <w:rPr>
          <w:sz w:val="10"/>
        </w:rPr>
      </w:pPr>
    </w:p>
    <w:p w:rsidR="00537848" w:rsidRPr="00537848" w:rsidRDefault="00537848" w:rsidP="00537848">
      <w:pPr>
        <w:pStyle w:val="H1"/>
        <w:spacing w:line="120" w:lineRule="exact"/>
        <w:ind w:right="1260"/>
        <w:rPr>
          <w:sz w:val="10"/>
        </w:rPr>
      </w:pPr>
    </w:p>
    <w:p w:rsidR="00372EDE" w:rsidRPr="00301523" w:rsidRDefault="00372EDE" w:rsidP="00537848">
      <w:pPr>
        <w:pStyle w:val="H1"/>
        <w:ind w:right="1260"/>
      </w:pPr>
      <w:r w:rsidRPr="00301523">
        <w:tab/>
      </w:r>
      <w:r w:rsidRPr="00301523">
        <w:tab/>
        <w:t>Proposed amendments to the United Nations Recommendations</w:t>
      </w:r>
    </w:p>
    <w:p w:rsidR="00537848" w:rsidRPr="00537848" w:rsidRDefault="00537848" w:rsidP="00537848">
      <w:pPr>
        <w:pStyle w:val="H23"/>
        <w:spacing w:line="120" w:lineRule="exact"/>
        <w:ind w:right="1260"/>
        <w:rPr>
          <w:sz w:val="10"/>
        </w:rPr>
      </w:pPr>
    </w:p>
    <w:p w:rsidR="00537848" w:rsidRPr="00537848" w:rsidRDefault="00537848" w:rsidP="00537848">
      <w:pPr>
        <w:pStyle w:val="H23"/>
        <w:spacing w:line="120" w:lineRule="exact"/>
        <w:ind w:right="1260"/>
        <w:rPr>
          <w:sz w:val="10"/>
        </w:rPr>
      </w:pPr>
    </w:p>
    <w:p w:rsidR="00372EDE" w:rsidRPr="00301523" w:rsidRDefault="00372EDE" w:rsidP="00537848">
      <w:pPr>
        <w:pStyle w:val="H23"/>
        <w:ind w:right="1260"/>
      </w:pPr>
      <w:r w:rsidRPr="00301523">
        <w:tab/>
      </w:r>
      <w:r w:rsidRPr="00301523">
        <w:tab/>
        <w:t>Insert the following entries i</w:t>
      </w:r>
      <w:r w:rsidR="00537848">
        <w:t>nto the Dangerous Goods List</w:t>
      </w:r>
    </w:p>
    <w:p w:rsidR="00A07CE1" w:rsidRPr="00537848" w:rsidRDefault="00A07CE1" w:rsidP="00537848">
      <w:pPr>
        <w:pStyle w:val="SingleTxt"/>
        <w:spacing w:after="0" w:line="120" w:lineRule="exact"/>
        <w:rPr>
          <w:sz w:val="10"/>
        </w:rPr>
      </w:pPr>
    </w:p>
    <w:p w:rsidR="00537848" w:rsidRPr="00537848" w:rsidRDefault="00537848" w:rsidP="00537848">
      <w:pPr>
        <w:pStyle w:val="SingleTxt"/>
        <w:spacing w:after="0" w:line="120" w:lineRule="exact"/>
        <w:rPr>
          <w:sz w:val="10"/>
        </w:rPr>
      </w:pPr>
    </w:p>
    <w:tbl>
      <w:tblPr>
        <w:tblW w:w="13188" w:type="dxa"/>
        <w:tblLayout w:type="fixed"/>
        <w:tblCellMar>
          <w:left w:w="0" w:type="dxa"/>
          <w:right w:w="0" w:type="dxa"/>
        </w:tblCellMar>
        <w:tblLook w:val="0000" w:firstRow="0" w:lastRow="0" w:firstColumn="0" w:lastColumn="0" w:noHBand="0" w:noVBand="0"/>
      </w:tblPr>
      <w:tblGrid>
        <w:gridCol w:w="990"/>
        <w:gridCol w:w="1800"/>
        <w:gridCol w:w="1260"/>
        <w:gridCol w:w="1080"/>
        <w:gridCol w:w="990"/>
        <w:gridCol w:w="1170"/>
        <w:gridCol w:w="653"/>
        <w:gridCol w:w="877"/>
        <w:gridCol w:w="1085"/>
        <w:gridCol w:w="23"/>
        <w:gridCol w:w="1134"/>
        <w:gridCol w:w="1063"/>
        <w:gridCol w:w="71"/>
        <w:gridCol w:w="992"/>
      </w:tblGrid>
      <w:tr w:rsidR="00372EDE" w:rsidRPr="00372EDE" w:rsidTr="00537848">
        <w:trPr>
          <w:trHeight w:val="544"/>
          <w:tblHeader/>
        </w:trPr>
        <w:tc>
          <w:tcPr>
            <w:tcW w:w="990" w:type="dxa"/>
            <w:vMerge w:val="restart"/>
            <w:tcBorders>
              <w:top w:val="single" w:sz="4" w:space="0" w:color="auto"/>
            </w:tcBorders>
            <w:shd w:val="clear" w:color="auto" w:fill="auto"/>
            <w:vAlign w:val="bottom"/>
          </w:tcPr>
          <w:p w:rsidR="00372EDE" w:rsidRPr="00372EDE" w:rsidRDefault="00372EDE" w:rsidP="00372EDE">
            <w:pPr>
              <w:spacing w:before="80" w:after="80" w:line="160" w:lineRule="exact"/>
              <w:ind w:right="40"/>
              <w:rPr>
                <w:i/>
                <w:sz w:val="14"/>
              </w:rPr>
            </w:pPr>
            <w:r w:rsidRPr="00372EDE">
              <w:rPr>
                <w:i/>
                <w:sz w:val="14"/>
              </w:rPr>
              <w:t>UN No.</w:t>
            </w:r>
          </w:p>
        </w:tc>
        <w:tc>
          <w:tcPr>
            <w:tcW w:w="1800" w:type="dxa"/>
            <w:vMerge w:val="restart"/>
            <w:tcBorders>
              <w:top w:val="single" w:sz="4" w:space="0" w:color="auto"/>
            </w:tcBorders>
            <w:shd w:val="clear" w:color="auto" w:fill="auto"/>
            <w:vAlign w:val="bottom"/>
          </w:tcPr>
          <w:p w:rsidR="00372EDE" w:rsidRPr="00372EDE" w:rsidRDefault="00372EDE" w:rsidP="00537848">
            <w:pPr>
              <w:spacing w:before="80" w:after="80" w:line="160" w:lineRule="exact"/>
              <w:ind w:right="113"/>
              <w:rPr>
                <w:i/>
                <w:sz w:val="14"/>
              </w:rPr>
            </w:pPr>
            <w:r w:rsidRPr="00372EDE">
              <w:rPr>
                <w:i/>
                <w:sz w:val="14"/>
              </w:rPr>
              <w:t>Name and description</w:t>
            </w:r>
          </w:p>
        </w:tc>
        <w:tc>
          <w:tcPr>
            <w:tcW w:w="1260" w:type="dxa"/>
            <w:vMerge w:val="restart"/>
            <w:tcBorders>
              <w:top w:val="single" w:sz="4"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r w:rsidRPr="00372EDE">
              <w:rPr>
                <w:i/>
                <w:sz w:val="14"/>
              </w:rPr>
              <w:t>Class or division</w:t>
            </w:r>
          </w:p>
        </w:tc>
        <w:tc>
          <w:tcPr>
            <w:tcW w:w="1080" w:type="dxa"/>
            <w:vMerge w:val="restart"/>
            <w:tcBorders>
              <w:top w:val="single" w:sz="4"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r w:rsidRPr="00372EDE">
              <w:rPr>
                <w:i/>
                <w:sz w:val="14"/>
              </w:rPr>
              <w:t>Subsidiary risk</w:t>
            </w:r>
          </w:p>
        </w:tc>
        <w:tc>
          <w:tcPr>
            <w:tcW w:w="990" w:type="dxa"/>
            <w:vMerge w:val="restart"/>
            <w:tcBorders>
              <w:top w:val="single" w:sz="4"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r w:rsidRPr="00372EDE">
              <w:rPr>
                <w:i/>
                <w:sz w:val="14"/>
              </w:rPr>
              <w:t>Packing group</w:t>
            </w:r>
          </w:p>
        </w:tc>
        <w:tc>
          <w:tcPr>
            <w:tcW w:w="1170" w:type="dxa"/>
            <w:vMerge w:val="restart"/>
            <w:tcBorders>
              <w:top w:val="single" w:sz="4"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r w:rsidRPr="00372EDE">
              <w:rPr>
                <w:i/>
                <w:sz w:val="14"/>
              </w:rPr>
              <w:t>Special provisions</w:t>
            </w:r>
          </w:p>
        </w:tc>
        <w:tc>
          <w:tcPr>
            <w:tcW w:w="1530" w:type="dxa"/>
            <w:gridSpan w:val="2"/>
            <w:vMerge w:val="restart"/>
            <w:tcBorders>
              <w:top w:val="single" w:sz="4"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r w:rsidRPr="00372EDE">
              <w:rPr>
                <w:i/>
                <w:sz w:val="14"/>
              </w:rPr>
              <w:t>Limited and excepted quantities</w:t>
            </w:r>
          </w:p>
        </w:tc>
        <w:tc>
          <w:tcPr>
            <w:tcW w:w="2242" w:type="dxa"/>
            <w:gridSpan w:val="3"/>
            <w:tcBorders>
              <w:top w:val="single" w:sz="4" w:space="0" w:color="auto"/>
              <w:bottom w:val="single" w:sz="4" w:space="0" w:color="auto"/>
              <w:right w:val="single" w:sz="24" w:space="0" w:color="FFFFFF" w:themeColor="background1"/>
            </w:tcBorders>
            <w:shd w:val="clear" w:color="auto" w:fill="auto"/>
            <w:vAlign w:val="bottom"/>
          </w:tcPr>
          <w:p w:rsidR="00372EDE" w:rsidRPr="00372EDE" w:rsidRDefault="00372EDE" w:rsidP="00372EDE">
            <w:pPr>
              <w:spacing w:before="80" w:after="80" w:line="160" w:lineRule="exact"/>
              <w:ind w:right="113"/>
              <w:jc w:val="center"/>
              <w:rPr>
                <w:i/>
                <w:sz w:val="14"/>
              </w:rPr>
            </w:pPr>
            <w:r w:rsidRPr="00372EDE">
              <w:rPr>
                <w:i/>
                <w:sz w:val="14"/>
              </w:rPr>
              <w:t>Packagings and IBCs</w:t>
            </w:r>
          </w:p>
        </w:tc>
        <w:tc>
          <w:tcPr>
            <w:tcW w:w="2126" w:type="dxa"/>
            <w:gridSpan w:val="3"/>
            <w:tcBorders>
              <w:top w:val="single" w:sz="4" w:space="0" w:color="auto"/>
              <w:left w:val="single" w:sz="24" w:space="0" w:color="FFFFFF" w:themeColor="background1"/>
              <w:bottom w:val="single" w:sz="4" w:space="0" w:color="auto"/>
            </w:tcBorders>
            <w:shd w:val="clear" w:color="auto" w:fill="auto"/>
            <w:vAlign w:val="bottom"/>
          </w:tcPr>
          <w:p w:rsidR="00372EDE" w:rsidRPr="00372EDE" w:rsidRDefault="00372EDE" w:rsidP="00372EDE">
            <w:pPr>
              <w:spacing w:before="80" w:after="80" w:line="160" w:lineRule="exact"/>
              <w:ind w:right="113"/>
              <w:jc w:val="center"/>
              <w:rPr>
                <w:i/>
                <w:sz w:val="14"/>
              </w:rPr>
            </w:pPr>
            <w:r w:rsidRPr="00372EDE">
              <w:rPr>
                <w:i/>
                <w:sz w:val="14"/>
              </w:rPr>
              <w:t xml:space="preserve">Portable tank and </w:t>
            </w:r>
            <w:r w:rsidR="00675E89">
              <w:rPr>
                <w:i/>
                <w:sz w:val="14"/>
              </w:rPr>
              <w:br/>
            </w:r>
            <w:r w:rsidRPr="00372EDE">
              <w:rPr>
                <w:i/>
                <w:sz w:val="14"/>
              </w:rPr>
              <w:t>bulk container</w:t>
            </w:r>
            <w:r>
              <w:rPr>
                <w:i/>
                <w:sz w:val="14"/>
              </w:rPr>
              <w:t>s</w:t>
            </w:r>
          </w:p>
        </w:tc>
      </w:tr>
      <w:tr w:rsidR="00372EDE" w:rsidRPr="00372EDE" w:rsidTr="00537848">
        <w:trPr>
          <w:trHeight w:val="543"/>
          <w:tblHeader/>
        </w:trPr>
        <w:tc>
          <w:tcPr>
            <w:tcW w:w="990" w:type="dxa"/>
            <w:vMerge/>
            <w:tcBorders>
              <w:bottom w:val="single" w:sz="12" w:space="0" w:color="auto"/>
            </w:tcBorders>
            <w:shd w:val="clear" w:color="auto" w:fill="auto"/>
            <w:vAlign w:val="bottom"/>
          </w:tcPr>
          <w:p w:rsidR="00372EDE" w:rsidRPr="00372EDE" w:rsidRDefault="00372EDE" w:rsidP="00372EDE">
            <w:pPr>
              <w:spacing w:before="80" w:after="80" w:line="160" w:lineRule="exact"/>
              <w:ind w:right="40"/>
              <w:rPr>
                <w:i/>
                <w:sz w:val="14"/>
              </w:rPr>
            </w:pPr>
          </w:p>
        </w:tc>
        <w:tc>
          <w:tcPr>
            <w:tcW w:w="1800" w:type="dxa"/>
            <w:vMerge/>
            <w:tcBorders>
              <w:bottom w:val="single" w:sz="12" w:space="0" w:color="auto"/>
            </w:tcBorders>
            <w:shd w:val="clear" w:color="auto" w:fill="auto"/>
            <w:vAlign w:val="bottom"/>
          </w:tcPr>
          <w:p w:rsidR="00372EDE" w:rsidRPr="00372EDE" w:rsidRDefault="00372EDE" w:rsidP="00537848">
            <w:pPr>
              <w:spacing w:before="80" w:after="80" w:line="160" w:lineRule="exact"/>
              <w:ind w:right="113"/>
              <w:rPr>
                <w:i/>
                <w:sz w:val="14"/>
              </w:rPr>
            </w:pPr>
          </w:p>
        </w:tc>
        <w:tc>
          <w:tcPr>
            <w:tcW w:w="1260" w:type="dxa"/>
            <w:vMerge/>
            <w:tcBorders>
              <w:bottom w:val="single" w:sz="12"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p>
        </w:tc>
        <w:tc>
          <w:tcPr>
            <w:tcW w:w="1080" w:type="dxa"/>
            <w:vMerge/>
            <w:tcBorders>
              <w:bottom w:val="single" w:sz="12"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p>
        </w:tc>
        <w:tc>
          <w:tcPr>
            <w:tcW w:w="990" w:type="dxa"/>
            <w:vMerge/>
            <w:tcBorders>
              <w:bottom w:val="single" w:sz="12"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p>
        </w:tc>
        <w:tc>
          <w:tcPr>
            <w:tcW w:w="1170" w:type="dxa"/>
            <w:vMerge/>
            <w:tcBorders>
              <w:bottom w:val="single" w:sz="12"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p>
        </w:tc>
        <w:tc>
          <w:tcPr>
            <w:tcW w:w="1530" w:type="dxa"/>
            <w:gridSpan w:val="2"/>
            <w:vMerge/>
            <w:tcBorders>
              <w:bottom w:val="single" w:sz="12"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p>
        </w:tc>
        <w:tc>
          <w:tcPr>
            <w:tcW w:w="1085" w:type="dxa"/>
            <w:tcBorders>
              <w:top w:val="single" w:sz="4" w:space="0" w:color="auto"/>
              <w:bottom w:val="single" w:sz="12"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r w:rsidRPr="00372EDE">
              <w:rPr>
                <w:i/>
                <w:sz w:val="14"/>
              </w:rPr>
              <w:t>Packing instructions</w:t>
            </w:r>
          </w:p>
        </w:tc>
        <w:tc>
          <w:tcPr>
            <w:tcW w:w="1157" w:type="dxa"/>
            <w:gridSpan w:val="2"/>
            <w:tcBorders>
              <w:top w:val="single" w:sz="4" w:space="0" w:color="auto"/>
              <w:bottom w:val="single" w:sz="12" w:space="0" w:color="auto"/>
              <w:right w:val="single" w:sz="24" w:space="0" w:color="FFFFFF" w:themeColor="background1"/>
            </w:tcBorders>
            <w:shd w:val="clear" w:color="auto" w:fill="auto"/>
            <w:vAlign w:val="bottom"/>
          </w:tcPr>
          <w:p w:rsidR="00372EDE" w:rsidRPr="00372EDE" w:rsidRDefault="00372EDE" w:rsidP="00372EDE">
            <w:pPr>
              <w:spacing w:before="80" w:after="80" w:line="160" w:lineRule="exact"/>
              <w:ind w:right="113"/>
              <w:jc w:val="right"/>
              <w:rPr>
                <w:i/>
                <w:sz w:val="14"/>
              </w:rPr>
            </w:pPr>
            <w:r w:rsidRPr="00372EDE">
              <w:rPr>
                <w:i/>
                <w:sz w:val="14"/>
              </w:rPr>
              <w:t>Special provisions</w:t>
            </w:r>
          </w:p>
        </w:tc>
        <w:tc>
          <w:tcPr>
            <w:tcW w:w="1063" w:type="dxa"/>
            <w:tcBorders>
              <w:top w:val="single" w:sz="4" w:space="0" w:color="auto"/>
              <w:left w:val="single" w:sz="24" w:space="0" w:color="FFFFFF" w:themeColor="background1"/>
              <w:bottom w:val="single" w:sz="12"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r w:rsidRPr="00372EDE">
              <w:rPr>
                <w:i/>
                <w:sz w:val="14"/>
              </w:rPr>
              <w:t>Instructions</w:t>
            </w:r>
          </w:p>
        </w:tc>
        <w:tc>
          <w:tcPr>
            <w:tcW w:w="1063" w:type="dxa"/>
            <w:gridSpan w:val="2"/>
            <w:tcBorders>
              <w:top w:val="single" w:sz="4" w:space="0" w:color="auto"/>
              <w:bottom w:val="single" w:sz="12" w:space="0" w:color="auto"/>
            </w:tcBorders>
            <w:shd w:val="clear" w:color="auto" w:fill="auto"/>
            <w:vAlign w:val="bottom"/>
          </w:tcPr>
          <w:p w:rsidR="00372EDE" w:rsidRPr="00372EDE" w:rsidRDefault="00372EDE" w:rsidP="00372EDE">
            <w:pPr>
              <w:spacing w:before="80" w:after="80" w:line="160" w:lineRule="exact"/>
              <w:ind w:right="113"/>
              <w:jc w:val="right"/>
              <w:rPr>
                <w:i/>
                <w:sz w:val="14"/>
              </w:rPr>
            </w:pPr>
            <w:r w:rsidRPr="00372EDE">
              <w:rPr>
                <w:i/>
                <w:sz w:val="14"/>
              </w:rPr>
              <w:t>Special provisions</w:t>
            </w:r>
          </w:p>
        </w:tc>
      </w:tr>
      <w:tr w:rsidR="00372EDE" w:rsidRPr="00372EDE" w:rsidTr="00537848">
        <w:trPr>
          <w:trHeight w:hRule="exact" w:val="115"/>
          <w:tblHeader/>
        </w:trPr>
        <w:tc>
          <w:tcPr>
            <w:tcW w:w="990" w:type="dxa"/>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1800" w:type="dxa"/>
            <w:tcBorders>
              <w:top w:val="single" w:sz="12" w:space="0" w:color="auto"/>
            </w:tcBorders>
            <w:shd w:val="clear" w:color="auto" w:fill="auto"/>
            <w:vAlign w:val="bottom"/>
          </w:tcPr>
          <w:p w:rsidR="00372EDE" w:rsidRPr="00372EDE" w:rsidRDefault="00372EDE" w:rsidP="00537848">
            <w:pPr>
              <w:spacing w:before="40" w:after="40" w:line="210" w:lineRule="exact"/>
              <w:ind w:right="40"/>
              <w:rPr>
                <w:sz w:val="17"/>
              </w:rPr>
            </w:pPr>
          </w:p>
        </w:tc>
        <w:tc>
          <w:tcPr>
            <w:tcW w:w="1260" w:type="dxa"/>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1080" w:type="dxa"/>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990" w:type="dxa"/>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1170" w:type="dxa"/>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653" w:type="dxa"/>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877" w:type="dxa"/>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1108" w:type="dxa"/>
            <w:gridSpan w:val="2"/>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1134" w:type="dxa"/>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1134" w:type="dxa"/>
            <w:gridSpan w:val="2"/>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c>
          <w:tcPr>
            <w:tcW w:w="992" w:type="dxa"/>
            <w:tcBorders>
              <w:top w:val="single" w:sz="12" w:space="0" w:color="auto"/>
            </w:tcBorders>
            <w:shd w:val="clear" w:color="auto" w:fill="auto"/>
            <w:vAlign w:val="bottom"/>
          </w:tcPr>
          <w:p w:rsidR="00372EDE" w:rsidRPr="00372EDE" w:rsidRDefault="00372EDE" w:rsidP="00372EDE">
            <w:pPr>
              <w:spacing w:before="40" w:after="40" w:line="210" w:lineRule="exact"/>
              <w:ind w:right="40"/>
              <w:rPr>
                <w:sz w:val="17"/>
              </w:rPr>
            </w:pPr>
          </w:p>
        </w:tc>
      </w:tr>
      <w:tr w:rsidR="00537848" w:rsidRPr="00372EDE" w:rsidTr="00DC1105">
        <w:trPr>
          <w:trHeight w:val="284"/>
        </w:trPr>
        <w:tc>
          <w:tcPr>
            <w:tcW w:w="99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(1)</w:t>
            </w:r>
          </w:p>
        </w:tc>
        <w:tc>
          <w:tcPr>
            <w:tcW w:w="180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(2)</w:t>
            </w:r>
          </w:p>
        </w:tc>
        <w:tc>
          <w:tcPr>
            <w:tcW w:w="126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(3)</w:t>
            </w:r>
          </w:p>
        </w:tc>
        <w:tc>
          <w:tcPr>
            <w:tcW w:w="108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(4)</w:t>
            </w:r>
          </w:p>
        </w:tc>
        <w:tc>
          <w:tcPr>
            <w:tcW w:w="99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(5)</w:t>
            </w:r>
          </w:p>
        </w:tc>
        <w:tc>
          <w:tcPr>
            <w:tcW w:w="117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(6)</w:t>
            </w:r>
          </w:p>
        </w:tc>
        <w:tc>
          <w:tcPr>
            <w:tcW w:w="653"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(7a)</w:t>
            </w:r>
          </w:p>
        </w:tc>
        <w:tc>
          <w:tcPr>
            <w:tcW w:w="877"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(7b)</w:t>
            </w:r>
          </w:p>
        </w:tc>
        <w:tc>
          <w:tcPr>
            <w:tcW w:w="1108" w:type="dxa"/>
            <w:gridSpan w:val="2"/>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(8)</w:t>
            </w:r>
          </w:p>
        </w:tc>
        <w:tc>
          <w:tcPr>
            <w:tcW w:w="1134"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(9)</w:t>
            </w:r>
          </w:p>
        </w:tc>
        <w:tc>
          <w:tcPr>
            <w:tcW w:w="1134" w:type="dxa"/>
            <w:gridSpan w:val="2"/>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(10)</w:t>
            </w:r>
          </w:p>
        </w:tc>
        <w:tc>
          <w:tcPr>
            <w:tcW w:w="992"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(11)</w:t>
            </w:r>
          </w:p>
        </w:tc>
      </w:tr>
      <w:tr w:rsidR="00537848" w:rsidRPr="00372EDE" w:rsidTr="00DC1105">
        <w:trPr>
          <w:trHeight w:val="284"/>
        </w:trPr>
        <w:tc>
          <w:tcPr>
            <w:tcW w:w="99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w:t>
            </w:r>
          </w:p>
        </w:tc>
        <w:tc>
          <w:tcPr>
            <w:tcW w:w="180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3.1.2</w:t>
            </w:r>
          </w:p>
        </w:tc>
        <w:tc>
          <w:tcPr>
            <w:tcW w:w="126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2.0</w:t>
            </w:r>
          </w:p>
        </w:tc>
        <w:tc>
          <w:tcPr>
            <w:tcW w:w="108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2.0</w:t>
            </w:r>
          </w:p>
        </w:tc>
        <w:tc>
          <w:tcPr>
            <w:tcW w:w="99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2.0.1.3</w:t>
            </w:r>
          </w:p>
        </w:tc>
        <w:tc>
          <w:tcPr>
            <w:tcW w:w="1170"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3.3</w:t>
            </w:r>
          </w:p>
        </w:tc>
        <w:tc>
          <w:tcPr>
            <w:tcW w:w="653"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3.4</w:t>
            </w:r>
          </w:p>
        </w:tc>
        <w:tc>
          <w:tcPr>
            <w:tcW w:w="877"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3.5</w:t>
            </w:r>
          </w:p>
        </w:tc>
        <w:tc>
          <w:tcPr>
            <w:tcW w:w="1108" w:type="dxa"/>
            <w:gridSpan w:val="2"/>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4.1.4</w:t>
            </w:r>
          </w:p>
        </w:tc>
        <w:tc>
          <w:tcPr>
            <w:tcW w:w="1134"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4.1.4</w:t>
            </w:r>
          </w:p>
        </w:tc>
        <w:tc>
          <w:tcPr>
            <w:tcW w:w="1134" w:type="dxa"/>
            <w:gridSpan w:val="2"/>
            <w:shd w:val="clear" w:color="auto" w:fill="auto"/>
          </w:tcPr>
          <w:p w:rsidR="00372EDE" w:rsidRPr="00372EDE" w:rsidRDefault="00F302B4" w:rsidP="004C0146">
            <w:pPr>
              <w:tabs>
                <w:tab w:val="left" w:pos="288"/>
                <w:tab w:val="left" w:pos="576"/>
                <w:tab w:val="left" w:pos="864"/>
                <w:tab w:val="left" w:pos="1152"/>
              </w:tabs>
              <w:spacing w:before="40" w:after="40" w:line="210" w:lineRule="exact"/>
              <w:ind w:right="40"/>
              <w:jc w:val="center"/>
              <w:rPr>
                <w:sz w:val="17"/>
              </w:rPr>
            </w:pPr>
            <w:r>
              <w:rPr>
                <w:sz w:val="17"/>
              </w:rPr>
              <w:t>4.2.5</w:t>
            </w:r>
            <w:r w:rsidR="00372EDE" w:rsidRPr="00372EDE">
              <w:rPr>
                <w:sz w:val="17"/>
              </w:rPr>
              <w:t>/4.3.2</w:t>
            </w:r>
          </w:p>
        </w:tc>
        <w:tc>
          <w:tcPr>
            <w:tcW w:w="992" w:type="dxa"/>
            <w:shd w:val="clear" w:color="auto" w:fill="auto"/>
          </w:tcPr>
          <w:p w:rsidR="00372EDE" w:rsidRPr="00372EDE" w:rsidRDefault="00372EDE" w:rsidP="004C0146">
            <w:pPr>
              <w:tabs>
                <w:tab w:val="left" w:pos="288"/>
                <w:tab w:val="left" w:pos="576"/>
                <w:tab w:val="left" w:pos="864"/>
                <w:tab w:val="left" w:pos="1152"/>
              </w:tabs>
              <w:spacing w:before="40" w:after="40" w:line="210" w:lineRule="exact"/>
              <w:ind w:right="40"/>
              <w:jc w:val="center"/>
              <w:rPr>
                <w:sz w:val="17"/>
              </w:rPr>
            </w:pPr>
            <w:r w:rsidRPr="00372EDE">
              <w:rPr>
                <w:sz w:val="17"/>
              </w:rPr>
              <w:t>4.2.5</w:t>
            </w:r>
          </w:p>
        </w:tc>
      </w:tr>
      <w:tr w:rsidR="00537848" w:rsidRPr="00372EDE" w:rsidTr="00DC1105">
        <w:trPr>
          <w:trHeight w:val="567"/>
        </w:trPr>
        <w:tc>
          <w:tcPr>
            <w:tcW w:w="990" w:type="dxa"/>
            <w:shd w:val="clear" w:color="auto" w:fill="auto"/>
          </w:tcPr>
          <w:p w:rsidR="00372EDE" w:rsidRPr="00372EDE" w:rsidRDefault="00372EDE" w:rsidP="00DC1105">
            <w:pPr>
              <w:tabs>
                <w:tab w:val="left" w:pos="288"/>
                <w:tab w:val="left" w:pos="576"/>
                <w:tab w:val="left" w:pos="864"/>
                <w:tab w:val="left" w:pos="1152"/>
              </w:tabs>
              <w:spacing w:before="40" w:after="40" w:line="210" w:lineRule="exact"/>
              <w:ind w:right="40"/>
              <w:rPr>
                <w:sz w:val="17"/>
              </w:rPr>
            </w:pPr>
            <w:r w:rsidRPr="00372EDE">
              <w:rPr>
                <w:sz w:val="17"/>
              </w:rPr>
              <w:t>35xx</w:t>
            </w:r>
          </w:p>
        </w:tc>
        <w:tc>
          <w:tcPr>
            <w:tcW w:w="1800" w:type="dxa"/>
            <w:shd w:val="clear" w:color="auto" w:fill="auto"/>
            <w:vAlign w:val="bottom"/>
          </w:tcPr>
          <w:p w:rsidR="00372EDE" w:rsidRPr="00372EDE" w:rsidRDefault="00372EDE" w:rsidP="00537848">
            <w:pPr>
              <w:tabs>
                <w:tab w:val="left" w:pos="288"/>
                <w:tab w:val="left" w:pos="576"/>
                <w:tab w:val="left" w:pos="864"/>
                <w:tab w:val="left" w:pos="1152"/>
              </w:tabs>
              <w:spacing w:before="40" w:after="40" w:line="210" w:lineRule="exact"/>
              <w:ind w:right="40"/>
              <w:rPr>
                <w:sz w:val="17"/>
              </w:rPr>
            </w:pPr>
            <w:r w:rsidRPr="00372EDE">
              <w:rPr>
                <w:sz w:val="17"/>
              </w:rPr>
              <w:t>TOXIC SOLID, FLAMMABLE [INORGANIC], N.O.S.</w:t>
            </w:r>
          </w:p>
          <w:p w:rsidR="00372EDE" w:rsidRPr="00372EDE" w:rsidRDefault="00372EDE" w:rsidP="00537848">
            <w:pPr>
              <w:tabs>
                <w:tab w:val="left" w:pos="288"/>
                <w:tab w:val="left" w:pos="576"/>
                <w:tab w:val="left" w:pos="864"/>
                <w:tab w:val="left" w:pos="1152"/>
              </w:tabs>
              <w:spacing w:before="40" w:after="40" w:line="210" w:lineRule="exact"/>
              <w:ind w:right="40"/>
              <w:rPr>
                <w:sz w:val="17"/>
              </w:rPr>
            </w:pPr>
            <w:r w:rsidRPr="00372EDE">
              <w:rPr>
                <w:sz w:val="17"/>
              </w:rPr>
              <w:t>[METAL POWDER, TOXIC,</w:t>
            </w:r>
            <w:r w:rsidR="00DC1105">
              <w:rPr>
                <w:sz w:val="17"/>
              </w:rPr>
              <w:t xml:space="preserve"> </w:t>
            </w:r>
            <w:r w:rsidRPr="00372EDE">
              <w:rPr>
                <w:sz w:val="17"/>
              </w:rPr>
              <w:t>FLAMMABLE, N.O.S.]</w:t>
            </w:r>
          </w:p>
        </w:tc>
        <w:tc>
          <w:tcPr>
            <w:tcW w:w="1260" w:type="dxa"/>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6.1</w:t>
            </w:r>
          </w:p>
        </w:tc>
        <w:tc>
          <w:tcPr>
            <w:tcW w:w="1080" w:type="dxa"/>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4.1</w:t>
            </w:r>
          </w:p>
        </w:tc>
        <w:tc>
          <w:tcPr>
            <w:tcW w:w="990" w:type="dxa"/>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I</w:t>
            </w:r>
          </w:p>
        </w:tc>
        <w:tc>
          <w:tcPr>
            <w:tcW w:w="1170" w:type="dxa"/>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274</w:t>
            </w:r>
          </w:p>
        </w:tc>
        <w:tc>
          <w:tcPr>
            <w:tcW w:w="653" w:type="dxa"/>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0</w:t>
            </w:r>
          </w:p>
        </w:tc>
        <w:tc>
          <w:tcPr>
            <w:tcW w:w="877" w:type="dxa"/>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E5</w:t>
            </w:r>
          </w:p>
        </w:tc>
        <w:tc>
          <w:tcPr>
            <w:tcW w:w="1108" w:type="dxa"/>
            <w:gridSpan w:val="2"/>
            <w:shd w:val="clear" w:color="auto" w:fill="auto"/>
          </w:tcPr>
          <w:p w:rsidR="00372EDE" w:rsidRPr="00372EDE" w:rsidRDefault="00372EDE" w:rsidP="00FD751F">
            <w:pPr>
              <w:tabs>
                <w:tab w:val="left" w:pos="288"/>
                <w:tab w:val="left" w:pos="576"/>
                <w:tab w:val="left" w:pos="864"/>
                <w:tab w:val="left" w:pos="1152"/>
              </w:tabs>
              <w:spacing w:before="40" w:after="40" w:line="210" w:lineRule="exact"/>
              <w:ind w:right="40"/>
              <w:jc w:val="right"/>
              <w:rPr>
                <w:sz w:val="17"/>
              </w:rPr>
            </w:pPr>
            <w:r w:rsidRPr="00372EDE">
              <w:rPr>
                <w:sz w:val="17"/>
              </w:rPr>
              <w:t>P00</w:t>
            </w:r>
            <w:r w:rsidR="00FD751F">
              <w:rPr>
                <w:sz w:val="17"/>
              </w:rPr>
              <w:br/>
            </w:r>
            <w:r w:rsidR="004C0146">
              <w:rPr>
                <w:sz w:val="17"/>
              </w:rPr>
              <w:br/>
            </w:r>
          </w:p>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IBC99</w:t>
            </w:r>
          </w:p>
        </w:tc>
        <w:tc>
          <w:tcPr>
            <w:tcW w:w="1134" w:type="dxa"/>
            <w:shd w:val="clear" w:color="auto" w:fill="auto"/>
          </w:tcPr>
          <w:p w:rsidR="004C0146" w:rsidRDefault="00372EDE" w:rsidP="00FD751F">
            <w:pPr>
              <w:tabs>
                <w:tab w:val="left" w:pos="288"/>
                <w:tab w:val="left" w:pos="576"/>
                <w:tab w:val="left" w:pos="864"/>
                <w:tab w:val="left" w:pos="1152"/>
              </w:tabs>
              <w:spacing w:before="40" w:after="40" w:line="210" w:lineRule="exact"/>
              <w:ind w:right="40"/>
              <w:jc w:val="right"/>
              <w:rPr>
                <w:sz w:val="17"/>
              </w:rPr>
            </w:pPr>
            <w:r w:rsidRPr="00372EDE">
              <w:rPr>
                <w:sz w:val="17"/>
              </w:rPr>
              <w:t>PP31</w:t>
            </w:r>
            <w:r w:rsidR="00FD751F">
              <w:rPr>
                <w:sz w:val="17"/>
              </w:rPr>
              <w:br/>
            </w:r>
            <w:r w:rsidR="004C0146">
              <w:rPr>
                <w:sz w:val="17"/>
              </w:rPr>
              <w:br/>
            </w:r>
          </w:p>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w:t>
            </w:r>
          </w:p>
        </w:tc>
        <w:tc>
          <w:tcPr>
            <w:tcW w:w="1134" w:type="dxa"/>
            <w:gridSpan w:val="2"/>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T6</w:t>
            </w:r>
          </w:p>
        </w:tc>
        <w:tc>
          <w:tcPr>
            <w:tcW w:w="992" w:type="dxa"/>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TP33</w:t>
            </w:r>
          </w:p>
        </w:tc>
      </w:tr>
      <w:tr w:rsidR="00537848" w:rsidRPr="00372EDE" w:rsidTr="00DC1105">
        <w:trPr>
          <w:trHeight w:val="567"/>
        </w:trPr>
        <w:tc>
          <w:tcPr>
            <w:tcW w:w="990" w:type="dxa"/>
            <w:tcBorders>
              <w:bottom w:val="single" w:sz="12" w:space="0" w:color="auto"/>
            </w:tcBorders>
            <w:shd w:val="clear" w:color="auto" w:fill="auto"/>
          </w:tcPr>
          <w:p w:rsidR="00372EDE" w:rsidRPr="00372EDE" w:rsidRDefault="00372EDE" w:rsidP="00DC1105">
            <w:pPr>
              <w:tabs>
                <w:tab w:val="left" w:pos="288"/>
                <w:tab w:val="left" w:pos="576"/>
                <w:tab w:val="left" w:pos="864"/>
                <w:tab w:val="left" w:pos="1152"/>
              </w:tabs>
              <w:spacing w:before="40" w:after="40" w:line="210" w:lineRule="exact"/>
              <w:ind w:right="40"/>
              <w:rPr>
                <w:sz w:val="17"/>
              </w:rPr>
            </w:pPr>
            <w:r w:rsidRPr="00372EDE">
              <w:rPr>
                <w:sz w:val="17"/>
              </w:rPr>
              <w:t>35yy</w:t>
            </w:r>
          </w:p>
        </w:tc>
        <w:tc>
          <w:tcPr>
            <w:tcW w:w="1800" w:type="dxa"/>
            <w:tcBorders>
              <w:bottom w:val="single" w:sz="12" w:space="0" w:color="auto"/>
            </w:tcBorders>
            <w:shd w:val="clear" w:color="auto" w:fill="auto"/>
            <w:vAlign w:val="bottom"/>
          </w:tcPr>
          <w:p w:rsidR="00372EDE" w:rsidRPr="00372EDE" w:rsidRDefault="00372EDE" w:rsidP="00537848">
            <w:pPr>
              <w:tabs>
                <w:tab w:val="left" w:pos="288"/>
                <w:tab w:val="left" w:pos="576"/>
                <w:tab w:val="left" w:pos="864"/>
                <w:tab w:val="left" w:pos="1152"/>
              </w:tabs>
              <w:spacing w:before="40" w:after="40" w:line="210" w:lineRule="exact"/>
              <w:ind w:right="40"/>
              <w:rPr>
                <w:sz w:val="17"/>
              </w:rPr>
            </w:pPr>
            <w:r w:rsidRPr="00372EDE">
              <w:rPr>
                <w:sz w:val="17"/>
              </w:rPr>
              <w:t>TOXIC SOLID, FLAMMABLE [INORGANIC], N.O.S.</w:t>
            </w:r>
          </w:p>
          <w:p w:rsidR="00372EDE" w:rsidRPr="00372EDE" w:rsidRDefault="00372EDE" w:rsidP="00537848">
            <w:pPr>
              <w:tabs>
                <w:tab w:val="left" w:pos="288"/>
                <w:tab w:val="left" w:pos="576"/>
                <w:tab w:val="left" w:pos="864"/>
                <w:tab w:val="left" w:pos="1152"/>
              </w:tabs>
              <w:spacing w:before="40" w:after="40" w:line="210" w:lineRule="exact"/>
              <w:ind w:right="40"/>
              <w:rPr>
                <w:sz w:val="17"/>
              </w:rPr>
            </w:pPr>
            <w:r w:rsidRPr="00372EDE">
              <w:rPr>
                <w:sz w:val="17"/>
              </w:rPr>
              <w:t>[METAL POWDER, TOXIC,</w:t>
            </w:r>
            <w:r w:rsidR="00DC1105">
              <w:rPr>
                <w:sz w:val="17"/>
              </w:rPr>
              <w:t xml:space="preserve"> </w:t>
            </w:r>
            <w:r w:rsidRPr="00372EDE">
              <w:rPr>
                <w:sz w:val="17"/>
              </w:rPr>
              <w:t>FLAMMABLE, N.O.S.]</w:t>
            </w:r>
          </w:p>
        </w:tc>
        <w:tc>
          <w:tcPr>
            <w:tcW w:w="1260" w:type="dxa"/>
            <w:tcBorders>
              <w:bottom w:val="single" w:sz="12" w:space="0" w:color="auto"/>
            </w:tcBorders>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6.1</w:t>
            </w:r>
          </w:p>
        </w:tc>
        <w:tc>
          <w:tcPr>
            <w:tcW w:w="1080" w:type="dxa"/>
            <w:tcBorders>
              <w:bottom w:val="single" w:sz="12" w:space="0" w:color="auto"/>
            </w:tcBorders>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4.1</w:t>
            </w:r>
          </w:p>
        </w:tc>
        <w:tc>
          <w:tcPr>
            <w:tcW w:w="990" w:type="dxa"/>
            <w:tcBorders>
              <w:bottom w:val="single" w:sz="12" w:space="0" w:color="auto"/>
            </w:tcBorders>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II</w:t>
            </w:r>
          </w:p>
        </w:tc>
        <w:tc>
          <w:tcPr>
            <w:tcW w:w="1170" w:type="dxa"/>
            <w:tcBorders>
              <w:bottom w:val="single" w:sz="12" w:space="0" w:color="auto"/>
            </w:tcBorders>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274</w:t>
            </w:r>
          </w:p>
        </w:tc>
        <w:tc>
          <w:tcPr>
            <w:tcW w:w="653" w:type="dxa"/>
            <w:tcBorders>
              <w:bottom w:val="single" w:sz="12" w:space="0" w:color="auto"/>
            </w:tcBorders>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500 g</w:t>
            </w:r>
          </w:p>
        </w:tc>
        <w:tc>
          <w:tcPr>
            <w:tcW w:w="877" w:type="dxa"/>
            <w:tcBorders>
              <w:bottom w:val="single" w:sz="12" w:space="0" w:color="auto"/>
            </w:tcBorders>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E4</w:t>
            </w:r>
          </w:p>
        </w:tc>
        <w:tc>
          <w:tcPr>
            <w:tcW w:w="1108" w:type="dxa"/>
            <w:gridSpan w:val="2"/>
            <w:tcBorders>
              <w:bottom w:val="single" w:sz="12" w:space="0" w:color="auto"/>
            </w:tcBorders>
            <w:shd w:val="clear" w:color="auto" w:fill="auto"/>
          </w:tcPr>
          <w:p w:rsidR="00372EDE" w:rsidRPr="00372EDE" w:rsidRDefault="00372EDE" w:rsidP="00FD751F">
            <w:pPr>
              <w:tabs>
                <w:tab w:val="left" w:pos="288"/>
                <w:tab w:val="left" w:pos="576"/>
                <w:tab w:val="left" w:pos="864"/>
                <w:tab w:val="left" w:pos="1152"/>
              </w:tabs>
              <w:spacing w:before="40" w:after="40" w:line="210" w:lineRule="exact"/>
              <w:ind w:right="40"/>
              <w:jc w:val="right"/>
              <w:rPr>
                <w:sz w:val="17"/>
              </w:rPr>
            </w:pPr>
            <w:r w:rsidRPr="00372EDE">
              <w:rPr>
                <w:sz w:val="17"/>
              </w:rPr>
              <w:t>P002</w:t>
            </w:r>
            <w:r w:rsidR="00FD751F">
              <w:rPr>
                <w:sz w:val="17"/>
              </w:rPr>
              <w:br/>
            </w:r>
            <w:r w:rsidR="004C0146">
              <w:rPr>
                <w:sz w:val="17"/>
              </w:rPr>
              <w:br/>
            </w:r>
          </w:p>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IBC08</w:t>
            </w:r>
          </w:p>
        </w:tc>
        <w:tc>
          <w:tcPr>
            <w:tcW w:w="1134" w:type="dxa"/>
            <w:tcBorders>
              <w:bottom w:val="single" w:sz="12" w:space="0" w:color="auto"/>
            </w:tcBorders>
            <w:shd w:val="clear" w:color="auto" w:fill="auto"/>
          </w:tcPr>
          <w:p w:rsidR="00372EDE" w:rsidRPr="00372EDE" w:rsidRDefault="00372EDE" w:rsidP="00FD751F">
            <w:pPr>
              <w:tabs>
                <w:tab w:val="left" w:pos="288"/>
                <w:tab w:val="left" w:pos="576"/>
                <w:tab w:val="left" w:pos="864"/>
                <w:tab w:val="left" w:pos="1152"/>
              </w:tabs>
              <w:spacing w:before="40" w:after="40" w:line="210" w:lineRule="exact"/>
              <w:ind w:right="40"/>
              <w:jc w:val="right"/>
              <w:rPr>
                <w:sz w:val="17"/>
              </w:rPr>
            </w:pPr>
            <w:r w:rsidRPr="00372EDE">
              <w:rPr>
                <w:sz w:val="17"/>
              </w:rPr>
              <w:t>PP31</w:t>
            </w:r>
            <w:r w:rsidR="004C0146">
              <w:rPr>
                <w:sz w:val="17"/>
              </w:rPr>
              <w:br/>
            </w:r>
            <w:r w:rsidR="00FD751F">
              <w:rPr>
                <w:sz w:val="17"/>
              </w:rPr>
              <w:br/>
            </w:r>
          </w:p>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B2, B3, B4</w:t>
            </w:r>
          </w:p>
        </w:tc>
        <w:tc>
          <w:tcPr>
            <w:tcW w:w="1134" w:type="dxa"/>
            <w:gridSpan w:val="2"/>
            <w:tcBorders>
              <w:bottom w:val="single" w:sz="12" w:space="0" w:color="auto"/>
            </w:tcBorders>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T3</w:t>
            </w:r>
          </w:p>
        </w:tc>
        <w:tc>
          <w:tcPr>
            <w:tcW w:w="992" w:type="dxa"/>
            <w:tcBorders>
              <w:bottom w:val="single" w:sz="12" w:space="0" w:color="auto"/>
            </w:tcBorders>
            <w:shd w:val="clear" w:color="auto" w:fill="auto"/>
          </w:tcPr>
          <w:p w:rsidR="00372EDE" w:rsidRPr="00372EDE" w:rsidRDefault="00372EDE" w:rsidP="00537848">
            <w:pPr>
              <w:tabs>
                <w:tab w:val="left" w:pos="288"/>
                <w:tab w:val="left" w:pos="576"/>
                <w:tab w:val="left" w:pos="864"/>
                <w:tab w:val="left" w:pos="1152"/>
              </w:tabs>
              <w:spacing w:before="40" w:after="40" w:line="210" w:lineRule="exact"/>
              <w:ind w:right="40"/>
              <w:jc w:val="right"/>
              <w:rPr>
                <w:sz w:val="17"/>
              </w:rPr>
            </w:pPr>
            <w:r w:rsidRPr="00372EDE">
              <w:rPr>
                <w:sz w:val="17"/>
              </w:rPr>
              <w:t>TP33</w:t>
            </w:r>
          </w:p>
        </w:tc>
      </w:tr>
    </w:tbl>
    <w:p w:rsidR="00A7234F" w:rsidRDefault="00A7234F" w:rsidP="00A07CE1">
      <w:pPr>
        <w:pStyle w:val="SingleTxt"/>
      </w:pPr>
      <w:r>
        <w:rPr>
          <w:noProof/>
          <w:w w:val="100"/>
          <w:lang w:eastAsia="en-GB"/>
        </w:rPr>
        <mc:AlternateContent>
          <mc:Choice Requires="wps">
            <w:drawing>
              <wp:anchor distT="0" distB="0" distL="114300" distR="114300" simplePos="0" relativeHeight="251662336" behindDoc="1" locked="0" layoutInCell="1" allowOverlap="1">
                <wp:simplePos x="0" y="0"/>
                <wp:positionH relativeFrom="page">
                  <wp:posOffset>1061049</wp:posOffset>
                </wp:positionH>
                <wp:positionV relativeFrom="page">
                  <wp:posOffset>3562709</wp:posOffset>
                </wp:positionV>
                <wp:extent cx="0" cy="914400"/>
                <wp:effectExtent l="0" t="0" r="19050" b="19050"/>
                <wp:wrapThrough wrapText="bothSides">
                  <wp:wrapPolygon edited="0">
                    <wp:start x="-1" y="0"/>
                    <wp:lineTo x="-1" y="21600"/>
                    <wp:lineTo x="-1" y="21600"/>
                    <wp:lineTo x="-1" y="0"/>
                    <wp:lineTo x="-1" y="0"/>
                  </wp:wrapPolygon>
                </wp:wrapThrough>
                <wp:docPr id="10" name="Straight Connector 10"/>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83.55pt,280.55pt" to="83.5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" strokecolor="#010000" strokeweight=".25pt">
                <w10:wrap type="through" anchorx="page" anchory="page"/>
              </v:line>
            </w:pict>
          </mc:Fallback>
        </mc:AlternateContent>
      </w:r>
    </w:p>
    <w:p w:rsidR="00372EDE" w:rsidRDefault="00A7234F" w:rsidP="00A7234F">
      <w:pPr>
        <w:pStyle w:val="SingleTxt"/>
      </w:pPr>
      <w:r>
        <w:rPr>
          <w:noProof/>
          <w:w w:val="100"/>
          <w:lang w:eastAsia="en-GB"/>
        </w:rPr>
        <mc:AlternateContent>
          <mc:Choice Requires="wps">
            <w:drawing>
              <wp:anchor distT="0" distB="0" distL="114300" distR="114300" simplePos="0" relativeHeight="251661312" behindDoc="1" locked="0" layoutInCell="1" allowOverlap="1" wp14:anchorId="4EF0CDC5" wp14:editId="0712DBA2">
                <wp:simplePos x="0" y="0"/>
                <wp:positionH relativeFrom="page">
                  <wp:posOffset>1061049</wp:posOffset>
                </wp:positionH>
                <wp:positionV relativeFrom="page">
                  <wp:posOffset>3562709</wp:posOffset>
                </wp:positionV>
                <wp:extent cx="0" cy="914400"/>
                <wp:effectExtent l="0" t="0" r="19050" b="19050"/>
                <wp:wrapThrough wrapText="bothSides">
                  <wp:wrapPolygon edited="0">
                    <wp:start x="-1" y="0"/>
                    <wp:lineTo x="-1" y="21600"/>
                    <wp:lineTo x="-1" y="21600"/>
                    <wp:lineTo x="-1" y="0"/>
                    <wp:lineTo x="-1" y="0"/>
                  </wp:wrapPolygon>
                </wp:wrapThrough>
                <wp:docPr id="9" name="Straight Connector 9"/>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83.55pt,280.55pt" to="83.5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" strokecolor="#010000" strokeweight=".25pt">
                <w10:wrap type="through" anchorx="page" anchory="page"/>
              </v:line>
            </w:pict>
          </mc:Fallback>
        </mc:AlternateContent>
      </w:r>
      <w:r>
        <w:rPr>
          <w:noProof/>
          <w:w w:val="100"/>
          <w:lang w:eastAsia="en-GB"/>
        </w:rPr>
        <mc:AlternateContent>
          <mc:Choice Requires="wps">
            <w:drawing>
              <wp:anchor distT="0" distB="0" distL="114300" distR="114300" simplePos="0" relativeHeight="251660288" behindDoc="1" locked="0" layoutInCell="1" allowOverlap="1" wp14:anchorId="798079E4" wp14:editId="50D107D4">
                <wp:simplePos x="0" y="0"/>
                <wp:positionH relativeFrom="page">
                  <wp:posOffset>1061049</wp:posOffset>
                </wp:positionH>
                <wp:positionV relativeFrom="page">
                  <wp:posOffset>3562709</wp:posOffset>
                </wp:positionV>
                <wp:extent cx="0" cy="914400"/>
                <wp:effectExtent l="0" t="0" r="19050" b="19050"/>
                <wp:wrapThrough wrapText="bothSides">
                  <wp:wrapPolygon edited="0">
                    <wp:start x="-1" y="0"/>
                    <wp:lineTo x="-1" y="21600"/>
                    <wp:lineTo x="-1" y="21600"/>
                    <wp:lineTo x="-1" y="0"/>
                    <wp:lineTo x="-1" y="0"/>
                  </wp:wrapPolygon>
                </wp:wrapThrough>
                <wp:docPr id="8" name="Straight Connector 8"/>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83.55pt,280.55pt" to="83.5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" strokecolor="#010000" strokeweight=".25pt">
                <w10:wrap type="through" anchorx="page" anchory="page"/>
              </v:line>
            </w:pict>
          </mc:Fallback>
        </mc:AlternateContent>
      </w:r>
      <w:r>
        <w:rPr>
          <w:noProof/>
          <w:w w:val="100"/>
          <w:lang w:eastAsia="en-GB"/>
        </w:rPr>
        <mc:AlternateContent>
          <mc:Choice Requires="wps">
            <w:drawing>
              <wp:anchor distT="0" distB="0" distL="114300" distR="114300" simplePos="0" relativeHeight="251659264" behindDoc="1" locked="0" layoutInCell="1" allowOverlap="1" wp14:anchorId="7E262E59" wp14:editId="19CD0079">
                <wp:simplePos x="0" y="0"/>
                <wp:positionH relativeFrom="page">
                  <wp:posOffset>1061049</wp:posOffset>
                </wp:positionH>
                <wp:positionV relativeFrom="page">
                  <wp:posOffset>3562709</wp:posOffset>
                </wp:positionV>
                <wp:extent cx="0" cy="914400"/>
                <wp:effectExtent l="0" t="0" r="19050" b="19050"/>
                <wp:wrapThrough wrapText="bothSides">
                  <wp:wrapPolygon edited="0">
                    <wp:start x="-1" y="0"/>
                    <wp:lineTo x="-1" y="21600"/>
                    <wp:lineTo x="-1" y="21600"/>
                    <wp:lineTo x="-1" y="0"/>
                    <wp:lineTo x="-1" y="0"/>
                  </wp:wrapPolygon>
                </wp:wrapThrough>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83.55pt,280.55pt" to="83.5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" strokecolor="#010000" strokeweight=".25pt">
                <w10:wrap type="through" anchorx="page" anchory="page"/>
              </v:line>
            </w:pict>
          </mc:Fallback>
        </mc:AlternateContent>
      </w:r>
    </w:p>
    <w:p w:rsidR="00372EDE" w:rsidRDefault="00372EDE" w:rsidP="00A07CE1">
      <w:pPr>
        <w:pStyle w:val="SingleTxt"/>
        <w:sectPr w:rsidR="00372EDE" w:rsidSect="00372EDE">
          <w:headerReference w:type="even" r:id="rId16"/>
          <w:headerReference w:type="default" r:id="rId17"/>
          <w:footerReference w:type="even" r:id="rId18"/>
          <w:footerReference w:type="default" r:id="rId19"/>
          <w:endnotePr>
            <w:numFmt w:val="decimal"/>
          </w:endnotePr>
          <w:pgSz w:w="16834" w:h="11909" w:orient="landscape" w:code="1"/>
          <w:pgMar w:top="1195" w:right="1742" w:bottom="1195" w:left="1901" w:header="576" w:footer="1037" w:gutter="0"/>
          <w:cols w:space="720"/>
          <w:noEndnote/>
          <w:bidi/>
          <w:rtlGutter/>
          <w:docGrid w:linePitch="278"/>
        </w:sectPr>
      </w:pPr>
    </w:p>
    <w:p w:rsidR="00372EDE" w:rsidRPr="009B5D85" w:rsidRDefault="00372EDE" w:rsidP="00623DE3">
      <w:pPr>
        <w:suppressAutoHyphens w:val="0"/>
        <w:spacing w:line="240" w:lineRule="auto"/>
      </w:pPr>
    </w:p>
    <w:sectPr w:rsidR="00372EDE" w:rsidRPr="009B5D85" w:rsidSect="00482327">
      <w:headerReference w:type="even" r:id="rId20"/>
      <w:headerReference w:type="default" r:id="rId21"/>
      <w:footerReference w:type="even" r:id="rId22"/>
      <w:footerReference w:type="default" r:id="rId23"/>
      <w:endnotePr>
        <w:numFmt w:val="decimal"/>
      </w:endnotePr>
      <w:type w:val="continuous"/>
      <w:pgSz w:w="16834" w:h="11909" w:orient="landscape" w:code="1"/>
      <w:pgMar w:top="936" w:right="1742" w:bottom="936" w:left="1898" w:header="576" w:footer="1030" w:gutter="0"/>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0-06T15:20:00Z" w:initials="Start">
    <w:p w:rsidR="00A07CE1" w:rsidRDefault="00A07CE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NO&gt;&gt;N1518856E&lt;&lt;ODS JOB NO&gt;&gt;</w:t>
      </w:r>
    </w:p>
    <w:p w:rsidR="00A07CE1" w:rsidRDefault="00A07CE1">
      <w:pPr>
        <w:pStyle w:val="CommentText"/>
      </w:pPr>
      <w:r>
        <w:t>&lt;&lt;ODS DOC SYMBOL1&gt;&gt;ST/SG/AC.10/C.3/2015/32&lt;&lt;ODS DOC SYMBOL1&gt;&gt;</w:t>
      </w:r>
    </w:p>
    <w:p w:rsidR="00A07CE1" w:rsidRDefault="00A07CE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86" w:rsidRDefault="00500386">
      <w:r>
        <w:separator/>
      </w:r>
    </w:p>
  </w:endnote>
  <w:endnote w:type="continuationSeparator" w:id="0">
    <w:p w:rsidR="00500386" w:rsidRDefault="0050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07CE1" w:rsidTr="00A07CE1">
      <w:trPr>
        <w:jc w:val="center"/>
      </w:trPr>
      <w:tc>
        <w:tcPr>
          <w:tcW w:w="5126" w:type="dxa"/>
          <w:shd w:val="clear" w:color="auto" w:fill="auto"/>
        </w:tcPr>
        <w:p w:rsidR="00A07CE1" w:rsidRPr="00A07CE1" w:rsidRDefault="00A07CE1" w:rsidP="00A07C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502">
            <w:rPr>
              <w:b w:val="0"/>
              <w:w w:val="103"/>
              <w:sz w:val="14"/>
            </w:rPr>
            <w:t>GE.15-14256</w:t>
          </w:r>
          <w:r>
            <w:rPr>
              <w:b w:val="0"/>
              <w:w w:val="103"/>
              <w:sz w:val="14"/>
            </w:rPr>
            <w:fldChar w:fldCharType="end"/>
          </w:r>
        </w:p>
      </w:tc>
      <w:tc>
        <w:tcPr>
          <w:tcW w:w="5127" w:type="dxa"/>
          <w:shd w:val="clear" w:color="auto" w:fill="auto"/>
        </w:tcPr>
        <w:p w:rsidR="00A07CE1" w:rsidRPr="00A07CE1" w:rsidRDefault="00A07CE1" w:rsidP="00A07CE1">
          <w:pPr>
            <w:pStyle w:val="Footer"/>
            <w:rPr>
              <w:w w:val="103"/>
            </w:rPr>
          </w:pPr>
          <w:r>
            <w:rPr>
              <w:w w:val="103"/>
            </w:rPr>
            <w:fldChar w:fldCharType="begin"/>
          </w:r>
          <w:r>
            <w:rPr>
              <w:w w:val="103"/>
            </w:rPr>
            <w:instrText xml:space="preserve"> PAGE  \* Arabic  \* MERGEFORMAT </w:instrText>
          </w:r>
          <w:r>
            <w:rPr>
              <w:w w:val="103"/>
            </w:rPr>
            <w:fldChar w:fldCharType="separate"/>
          </w:r>
          <w:r w:rsidR="006E550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5502">
            <w:rPr>
              <w:w w:val="103"/>
            </w:rPr>
            <w:t>3</w:t>
          </w:r>
          <w:r>
            <w:rPr>
              <w:w w:val="103"/>
            </w:rPr>
            <w:fldChar w:fldCharType="end"/>
          </w:r>
        </w:p>
      </w:tc>
    </w:tr>
  </w:tbl>
  <w:p w:rsidR="00A07CE1" w:rsidRPr="00A07CE1" w:rsidRDefault="00A07CE1" w:rsidP="00A07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07CE1" w:rsidTr="00A07CE1">
      <w:trPr>
        <w:jc w:val="center"/>
      </w:trPr>
      <w:tc>
        <w:tcPr>
          <w:tcW w:w="5126" w:type="dxa"/>
          <w:shd w:val="clear" w:color="auto" w:fill="auto"/>
        </w:tcPr>
        <w:p w:rsidR="00A07CE1" w:rsidRPr="00A07CE1" w:rsidRDefault="00A07CE1" w:rsidP="00A07C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D751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5502">
            <w:rPr>
              <w:w w:val="103"/>
            </w:rPr>
            <w:t>3</w:t>
          </w:r>
          <w:r>
            <w:rPr>
              <w:w w:val="103"/>
            </w:rPr>
            <w:fldChar w:fldCharType="end"/>
          </w:r>
        </w:p>
      </w:tc>
      <w:tc>
        <w:tcPr>
          <w:tcW w:w="5127" w:type="dxa"/>
          <w:shd w:val="clear" w:color="auto" w:fill="auto"/>
        </w:tcPr>
        <w:p w:rsidR="00A07CE1" w:rsidRPr="00A07CE1" w:rsidRDefault="00A07CE1" w:rsidP="00A07C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502">
            <w:rPr>
              <w:b w:val="0"/>
              <w:w w:val="103"/>
              <w:sz w:val="14"/>
            </w:rPr>
            <w:t>GE.15-14256</w:t>
          </w:r>
          <w:r>
            <w:rPr>
              <w:b w:val="0"/>
              <w:w w:val="103"/>
              <w:sz w:val="14"/>
            </w:rPr>
            <w:fldChar w:fldCharType="end"/>
          </w:r>
        </w:p>
      </w:tc>
    </w:tr>
  </w:tbl>
  <w:p w:rsidR="00A07CE1" w:rsidRPr="00A07CE1" w:rsidRDefault="00A07CE1" w:rsidP="00A07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A07CE1" w:rsidTr="00A07CE1">
      <w:tc>
        <w:tcPr>
          <w:tcW w:w="3859" w:type="dxa"/>
        </w:tcPr>
        <w:p w:rsidR="00A07CE1" w:rsidRDefault="00A07CE1" w:rsidP="00D54CDB">
          <w:pPr>
            <w:pStyle w:val="ReleaseDate"/>
          </w:pPr>
          <w:r>
            <w:rPr>
              <w:noProof/>
              <w:lang w:eastAsia="en-GB"/>
            </w:rPr>
            <w:drawing>
              <wp:anchor distT="0" distB="0" distL="114300" distR="114300" simplePos="0" relativeHeight="251658240" behindDoc="0" locked="0" layoutInCell="1" allowOverlap="1" wp14:anchorId="6624BE0A" wp14:editId="2A9B6BD6">
                <wp:simplePos x="0" y="0"/>
                <wp:positionH relativeFrom="column">
                  <wp:posOffset>5659755</wp:posOffset>
                </wp:positionH>
                <wp:positionV relativeFrom="paragraph">
                  <wp:posOffset>-365760</wp:posOffset>
                </wp:positionV>
                <wp:extent cx="694690" cy="694690"/>
                <wp:effectExtent l="0" t="0" r="0" b="0"/>
                <wp:wrapNone/>
                <wp:docPr id="5" name="Picture 5" descr="http://undocs.org/m2/QRCode2.ashx?DS=ST/SG/AC.10/C.3/2015/3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GE.15-14256 (E)    061015    0</w:t>
          </w:r>
          <w:r w:rsidR="00D54CDB">
            <w:t>7</w:t>
          </w:r>
          <w:r>
            <w:t>1015</w:t>
          </w:r>
        </w:p>
        <w:p w:rsidR="00A07CE1" w:rsidRPr="00A07CE1" w:rsidRDefault="00A07CE1" w:rsidP="00A07CE1">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*1514256*</w:t>
          </w:r>
        </w:p>
      </w:tc>
      <w:tc>
        <w:tcPr>
          <w:tcW w:w="5127" w:type="dxa"/>
        </w:tcPr>
        <w:p w:rsidR="00A07CE1" w:rsidRDefault="00A07CE1" w:rsidP="00A07CE1">
          <w:pPr>
            <w:pStyle w:val="Footer"/>
            <w:jc w:val="right"/>
            <w:rPr>
              <w:b w:val="0"/>
              <w:sz w:val="20"/>
            </w:rPr>
          </w:pPr>
          <w:r>
            <w:rPr>
              <w:b w:val="0"/>
              <w:sz w:val="20"/>
              <w:lang w:val="en-GB" w:eastAsia="en-GB"/>
            </w:rPr>
            <w:drawing>
              <wp:inline distT="0" distB="0" distL="0" distR="0" wp14:anchorId="1163B354" wp14:editId="38E34800">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07CE1" w:rsidRPr="00A07CE1" w:rsidRDefault="00A07CE1" w:rsidP="00A07CE1">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72EDE" w:rsidRPr="00372EDE" w:rsidTr="00372EDE">
      <w:trPr>
        <w:cantSplit/>
        <w:trHeight w:val="4781"/>
      </w:trPr>
      <w:tc>
        <w:tcPr>
          <w:tcW w:w="13407" w:type="dxa"/>
          <w:shd w:val="clear" w:color="auto" w:fill="auto"/>
          <w:textDirection w:val="tbRl"/>
        </w:tcPr>
        <w:p w:rsidR="00372EDE" w:rsidRPr="00372EDE" w:rsidRDefault="00372EDE" w:rsidP="00372EDE">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FD751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5502">
            <w:rPr>
              <w:w w:val="103"/>
            </w:rPr>
            <w:t>3</w:t>
          </w:r>
          <w:r>
            <w:rPr>
              <w:w w:val="103"/>
            </w:rPr>
            <w:fldChar w:fldCharType="end"/>
          </w:r>
        </w:p>
      </w:tc>
    </w:tr>
    <w:tr w:rsidR="00372EDE" w:rsidRPr="00372EDE" w:rsidTr="00372EDE">
      <w:trPr>
        <w:cantSplit/>
        <w:trHeight w:val="4781"/>
      </w:trPr>
      <w:tc>
        <w:tcPr>
          <w:tcW w:w="13407" w:type="dxa"/>
          <w:shd w:val="clear" w:color="auto" w:fill="auto"/>
          <w:textDirection w:val="tbRl"/>
        </w:tcPr>
        <w:p w:rsidR="00372EDE" w:rsidRPr="00372EDE" w:rsidRDefault="00372EDE" w:rsidP="00372EDE">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502">
            <w:rPr>
              <w:b w:val="0"/>
              <w:w w:val="103"/>
              <w:sz w:val="14"/>
            </w:rPr>
            <w:t>GE.15-14256</w:t>
          </w:r>
          <w:r>
            <w:rPr>
              <w:b w:val="0"/>
              <w:w w:val="103"/>
              <w:sz w:val="14"/>
            </w:rPr>
            <w:fldChar w:fldCharType="end"/>
          </w:r>
        </w:p>
      </w:tc>
    </w:tr>
  </w:tbl>
  <w:p w:rsidR="00372EDE" w:rsidRPr="00372EDE" w:rsidRDefault="00372EDE" w:rsidP="00372E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72EDE" w:rsidRPr="00372EDE" w:rsidTr="00372EDE">
      <w:trPr>
        <w:cantSplit/>
        <w:trHeight w:val="4781"/>
      </w:trPr>
      <w:tc>
        <w:tcPr>
          <w:tcW w:w="13407" w:type="dxa"/>
          <w:shd w:val="clear" w:color="auto" w:fill="auto"/>
          <w:textDirection w:val="tbRl"/>
        </w:tcPr>
        <w:p w:rsidR="00372EDE" w:rsidRPr="00372EDE" w:rsidRDefault="00372EDE" w:rsidP="00372EDE">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502">
            <w:rPr>
              <w:b w:val="0"/>
              <w:w w:val="103"/>
              <w:sz w:val="14"/>
            </w:rPr>
            <w:t>GE.15-14256</w:t>
          </w:r>
          <w:r>
            <w:rPr>
              <w:b w:val="0"/>
              <w:w w:val="103"/>
              <w:sz w:val="14"/>
            </w:rPr>
            <w:fldChar w:fldCharType="end"/>
          </w:r>
        </w:p>
      </w:tc>
    </w:tr>
    <w:tr w:rsidR="00372EDE" w:rsidRPr="00372EDE" w:rsidTr="00372EDE">
      <w:trPr>
        <w:cantSplit/>
        <w:trHeight w:val="4781"/>
      </w:trPr>
      <w:tc>
        <w:tcPr>
          <w:tcW w:w="13407" w:type="dxa"/>
          <w:shd w:val="clear" w:color="auto" w:fill="auto"/>
          <w:textDirection w:val="tbRl"/>
        </w:tcPr>
        <w:p w:rsidR="00372EDE" w:rsidRPr="00372EDE" w:rsidRDefault="00372EDE" w:rsidP="00372EDE">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6E5502">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5502">
            <w:rPr>
              <w:w w:val="103"/>
            </w:rPr>
            <w:t>3</w:t>
          </w:r>
          <w:r>
            <w:rPr>
              <w:w w:val="103"/>
            </w:rPr>
            <w:fldChar w:fldCharType="end"/>
          </w:r>
        </w:p>
      </w:tc>
    </w:tr>
  </w:tbl>
  <w:p w:rsidR="00372EDE" w:rsidRPr="00372EDE" w:rsidRDefault="00372EDE" w:rsidP="00372E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72EDE" w:rsidTr="00A07CE1">
      <w:trPr>
        <w:jc w:val="center"/>
      </w:trPr>
      <w:tc>
        <w:tcPr>
          <w:tcW w:w="5126" w:type="dxa"/>
          <w:shd w:val="clear" w:color="auto" w:fill="auto"/>
        </w:tcPr>
        <w:p w:rsidR="00372EDE" w:rsidRPr="00A07CE1" w:rsidRDefault="00372EDE" w:rsidP="00A07C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502">
            <w:rPr>
              <w:b w:val="0"/>
              <w:w w:val="103"/>
              <w:sz w:val="14"/>
            </w:rPr>
            <w:t>GE.15-14256</w:t>
          </w:r>
          <w:r>
            <w:rPr>
              <w:b w:val="0"/>
              <w:w w:val="103"/>
              <w:sz w:val="14"/>
            </w:rPr>
            <w:fldChar w:fldCharType="end"/>
          </w:r>
        </w:p>
      </w:tc>
      <w:tc>
        <w:tcPr>
          <w:tcW w:w="5127" w:type="dxa"/>
          <w:shd w:val="clear" w:color="auto" w:fill="auto"/>
        </w:tcPr>
        <w:p w:rsidR="00372EDE" w:rsidRPr="00A07CE1" w:rsidRDefault="00372EDE" w:rsidP="00A07CE1">
          <w:pPr>
            <w:pStyle w:val="Footer"/>
            <w:rPr>
              <w:w w:val="103"/>
            </w:rPr>
          </w:pPr>
          <w:r>
            <w:rPr>
              <w:w w:val="103"/>
            </w:rPr>
            <w:fldChar w:fldCharType="begin"/>
          </w:r>
          <w:r>
            <w:rPr>
              <w:w w:val="103"/>
            </w:rPr>
            <w:instrText xml:space="preserve"> PAGE  \* Arabic  \* MERGEFORMAT </w:instrText>
          </w:r>
          <w:r>
            <w:rPr>
              <w:w w:val="103"/>
            </w:rPr>
            <w:fldChar w:fldCharType="separate"/>
          </w:r>
          <w:r w:rsidR="00FD751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5502">
            <w:rPr>
              <w:w w:val="103"/>
            </w:rPr>
            <w:t>3</w:t>
          </w:r>
          <w:r>
            <w:rPr>
              <w:w w:val="103"/>
            </w:rPr>
            <w:fldChar w:fldCharType="end"/>
          </w:r>
        </w:p>
      </w:tc>
    </w:tr>
  </w:tbl>
  <w:p w:rsidR="00372EDE" w:rsidRPr="00A07CE1" w:rsidRDefault="00372EDE" w:rsidP="00A07C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72EDE" w:rsidTr="00A07CE1">
      <w:trPr>
        <w:jc w:val="center"/>
      </w:trPr>
      <w:tc>
        <w:tcPr>
          <w:tcW w:w="5126" w:type="dxa"/>
          <w:shd w:val="clear" w:color="auto" w:fill="auto"/>
        </w:tcPr>
        <w:p w:rsidR="00372EDE" w:rsidRPr="00A07CE1" w:rsidRDefault="00372EDE" w:rsidP="00A07C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D751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E5502">
            <w:rPr>
              <w:w w:val="103"/>
            </w:rPr>
            <w:t>3</w:t>
          </w:r>
          <w:r>
            <w:rPr>
              <w:w w:val="103"/>
            </w:rPr>
            <w:fldChar w:fldCharType="end"/>
          </w:r>
        </w:p>
      </w:tc>
      <w:tc>
        <w:tcPr>
          <w:tcW w:w="5127" w:type="dxa"/>
          <w:shd w:val="clear" w:color="auto" w:fill="auto"/>
        </w:tcPr>
        <w:p w:rsidR="00372EDE" w:rsidRPr="00A07CE1" w:rsidRDefault="00372EDE" w:rsidP="00A07C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502">
            <w:rPr>
              <w:b w:val="0"/>
              <w:w w:val="103"/>
              <w:sz w:val="14"/>
            </w:rPr>
            <w:t>GE.15-14256</w:t>
          </w:r>
          <w:r>
            <w:rPr>
              <w:b w:val="0"/>
              <w:w w:val="103"/>
              <w:sz w:val="14"/>
            </w:rPr>
            <w:fldChar w:fldCharType="end"/>
          </w:r>
        </w:p>
      </w:tc>
    </w:tr>
  </w:tbl>
  <w:p w:rsidR="00372EDE" w:rsidRPr="00A07CE1" w:rsidRDefault="00372EDE" w:rsidP="00A07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86" w:rsidRPr="004506BC" w:rsidRDefault="004506BC" w:rsidP="004506BC">
      <w:pPr>
        <w:pStyle w:val="Footer"/>
        <w:spacing w:after="80"/>
        <w:ind w:left="792"/>
        <w:rPr>
          <w:sz w:val="16"/>
        </w:rPr>
      </w:pPr>
      <w:r w:rsidRPr="004506BC">
        <w:rPr>
          <w:sz w:val="16"/>
        </w:rPr>
        <w:t>__________________</w:t>
      </w:r>
    </w:p>
  </w:footnote>
  <w:footnote w:type="continuationSeparator" w:id="0">
    <w:p w:rsidR="00500386" w:rsidRPr="004506BC" w:rsidRDefault="004506BC" w:rsidP="004506BC">
      <w:pPr>
        <w:pStyle w:val="Footer"/>
        <w:spacing w:after="80"/>
        <w:ind w:left="792"/>
        <w:rPr>
          <w:sz w:val="16"/>
        </w:rPr>
      </w:pPr>
      <w:r w:rsidRPr="004506BC">
        <w:rPr>
          <w:sz w:val="16"/>
        </w:rPr>
        <w:t>__________________</w:t>
      </w:r>
    </w:p>
  </w:footnote>
  <w:footnote w:id="1">
    <w:p w:rsidR="009B5D85" w:rsidRDefault="004506BC" w:rsidP="004506BC">
      <w:pPr>
        <w:pStyle w:val="FootnoteText"/>
        <w:tabs>
          <w:tab w:val="clear" w:pos="418"/>
          <w:tab w:val="right" w:pos="1195"/>
          <w:tab w:val="left" w:pos="1267"/>
          <w:tab w:val="left" w:pos="1742"/>
          <w:tab w:val="left" w:pos="2218"/>
          <w:tab w:val="left" w:pos="2693"/>
        </w:tabs>
        <w:ind w:left="1267" w:right="1260" w:hanging="432"/>
      </w:pPr>
      <w:r>
        <w:tab/>
      </w:r>
      <w:r w:rsidR="009B5D85">
        <w:rPr>
          <w:rStyle w:val="FootnoteReference"/>
        </w:rPr>
        <w:footnoteRef/>
      </w:r>
      <w:r>
        <w:tab/>
      </w:r>
      <w:r w:rsidR="009B5D85">
        <w:t xml:space="preserve">In accordance with the programme of work of the </w:t>
      </w:r>
      <w:r>
        <w:t>Sub-Committee for 2015-</w:t>
      </w:r>
      <w:r w:rsidR="009B5D85">
        <w:t>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07CE1" w:rsidTr="00A07CE1">
      <w:trPr>
        <w:trHeight w:hRule="exact" w:val="864"/>
        <w:jc w:val="center"/>
      </w:trPr>
      <w:tc>
        <w:tcPr>
          <w:tcW w:w="4882" w:type="dxa"/>
          <w:shd w:val="clear" w:color="auto" w:fill="auto"/>
          <w:vAlign w:val="bottom"/>
        </w:tcPr>
        <w:p w:rsidR="00A07CE1" w:rsidRPr="00A07CE1" w:rsidRDefault="00A07CE1" w:rsidP="00A07CE1">
          <w:pPr>
            <w:pStyle w:val="Header"/>
            <w:spacing w:after="80"/>
            <w:rPr>
              <w:b/>
            </w:rPr>
          </w:pPr>
          <w:r>
            <w:rPr>
              <w:b/>
            </w:rPr>
            <w:fldChar w:fldCharType="begin"/>
          </w:r>
          <w:r>
            <w:rPr>
              <w:b/>
            </w:rPr>
            <w:instrText xml:space="preserve"> DOCVARIABLE "sss1" \* MERGEFORMAT </w:instrText>
          </w:r>
          <w:r>
            <w:rPr>
              <w:b/>
            </w:rPr>
            <w:fldChar w:fldCharType="separate"/>
          </w:r>
          <w:r w:rsidR="006E5502">
            <w:rPr>
              <w:b/>
            </w:rPr>
            <w:t>ST/SG/AC.10/C.3/2015/32</w:t>
          </w:r>
          <w:r>
            <w:rPr>
              <w:b/>
            </w:rPr>
            <w:fldChar w:fldCharType="end"/>
          </w:r>
        </w:p>
      </w:tc>
      <w:tc>
        <w:tcPr>
          <w:tcW w:w="5127" w:type="dxa"/>
          <w:shd w:val="clear" w:color="auto" w:fill="auto"/>
          <w:vAlign w:val="bottom"/>
        </w:tcPr>
        <w:p w:rsidR="00A07CE1" w:rsidRDefault="00A07CE1" w:rsidP="00A07CE1">
          <w:pPr>
            <w:pStyle w:val="Header"/>
          </w:pPr>
        </w:p>
      </w:tc>
    </w:tr>
  </w:tbl>
  <w:p w:rsidR="00A07CE1" w:rsidRPr="00A07CE1" w:rsidRDefault="00A07CE1" w:rsidP="00A07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07CE1" w:rsidTr="00A07CE1">
      <w:trPr>
        <w:trHeight w:hRule="exact" w:val="864"/>
        <w:jc w:val="center"/>
      </w:trPr>
      <w:tc>
        <w:tcPr>
          <w:tcW w:w="4882" w:type="dxa"/>
          <w:shd w:val="clear" w:color="auto" w:fill="auto"/>
          <w:vAlign w:val="bottom"/>
        </w:tcPr>
        <w:p w:rsidR="00A07CE1" w:rsidRDefault="00A07CE1" w:rsidP="00A07CE1">
          <w:pPr>
            <w:pStyle w:val="Header"/>
          </w:pPr>
        </w:p>
      </w:tc>
      <w:tc>
        <w:tcPr>
          <w:tcW w:w="5127" w:type="dxa"/>
          <w:shd w:val="clear" w:color="auto" w:fill="auto"/>
          <w:vAlign w:val="bottom"/>
        </w:tcPr>
        <w:p w:rsidR="00A07CE1" w:rsidRPr="00A07CE1" w:rsidRDefault="00A07CE1" w:rsidP="00A07CE1">
          <w:pPr>
            <w:pStyle w:val="Header"/>
            <w:spacing w:after="80"/>
            <w:jc w:val="right"/>
            <w:rPr>
              <w:b/>
            </w:rPr>
          </w:pPr>
          <w:r>
            <w:rPr>
              <w:b/>
            </w:rPr>
            <w:fldChar w:fldCharType="begin"/>
          </w:r>
          <w:r>
            <w:rPr>
              <w:b/>
            </w:rPr>
            <w:instrText xml:space="preserve"> DOCVARIABLE "sss1" \* MERGEFORMAT </w:instrText>
          </w:r>
          <w:r>
            <w:rPr>
              <w:b/>
            </w:rPr>
            <w:fldChar w:fldCharType="separate"/>
          </w:r>
          <w:r w:rsidR="006E5502">
            <w:rPr>
              <w:b/>
            </w:rPr>
            <w:t>ST/SG/AC.10/C.3/2015/32</w:t>
          </w:r>
          <w:r>
            <w:rPr>
              <w:b/>
            </w:rPr>
            <w:fldChar w:fldCharType="end"/>
          </w:r>
        </w:p>
      </w:tc>
    </w:tr>
  </w:tbl>
  <w:p w:rsidR="00A07CE1" w:rsidRPr="00A07CE1" w:rsidRDefault="00A07CE1" w:rsidP="00A07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A07CE1" w:rsidTr="00A07CE1">
      <w:trPr>
        <w:trHeight w:hRule="exact" w:val="864"/>
      </w:trPr>
      <w:tc>
        <w:tcPr>
          <w:tcW w:w="1267" w:type="dxa"/>
          <w:tcBorders>
            <w:bottom w:val="single" w:sz="4" w:space="0" w:color="auto"/>
          </w:tcBorders>
          <w:shd w:val="clear" w:color="auto" w:fill="auto"/>
          <w:vAlign w:val="bottom"/>
        </w:tcPr>
        <w:p w:rsidR="00A07CE1" w:rsidRDefault="00A07CE1" w:rsidP="00A07CE1">
          <w:pPr>
            <w:pStyle w:val="Header"/>
            <w:spacing w:after="120"/>
          </w:pPr>
        </w:p>
      </w:tc>
      <w:tc>
        <w:tcPr>
          <w:tcW w:w="1872" w:type="dxa"/>
          <w:tcBorders>
            <w:bottom w:val="single" w:sz="4" w:space="0" w:color="auto"/>
          </w:tcBorders>
          <w:shd w:val="clear" w:color="auto" w:fill="auto"/>
          <w:vAlign w:val="bottom"/>
        </w:tcPr>
        <w:p w:rsidR="00A07CE1" w:rsidRPr="00A07CE1" w:rsidRDefault="00A07CE1" w:rsidP="00A07CE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07CE1" w:rsidRDefault="00A07CE1" w:rsidP="00A07CE1">
          <w:pPr>
            <w:pStyle w:val="Header"/>
            <w:spacing w:after="120"/>
          </w:pPr>
        </w:p>
      </w:tc>
      <w:tc>
        <w:tcPr>
          <w:tcW w:w="6653" w:type="dxa"/>
          <w:gridSpan w:val="4"/>
          <w:tcBorders>
            <w:bottom w:val="single" w:sz="4" w:space="0" w:color="auto"/>
          </w:tcBorders>
          <w:shd w:val="clear" w:color="auto" w:fill="auto"/>
          <w:vAlign w:val="bottom"/>
        </w:tcPr>
        <w:p w:rsidR="00A07CE1" w:rsidRPr="00A07CE1" w:rsidRDefault="00A07CE1" w:rsidP="00A07CE1">
          <w:pPr>
            <w:spacing w:after="80" w:line="240" w:lineRule="auto"/>
            <w:jc w:val="right"/>
            <w:rPr>
              <w:position w:val="-4"/>
            </w:rPr>
          </w:pPr>
          <w:r>
            <w:rPr>
              <w:position w:val="-4"/>
              <w:sz w:val="40"/>
            </w:rPr>
            <w:t>ST</w:t>
          </w:r>
          <w:r>
            <w:rPr>
              <w:position w:val="-4"/>
            </w:rPr>
            <w:t>/SG/AC.10/C.3/2015/32</w:t>
          </w:r>
        </w:p>
      </w:tc>
    </w:tr>
    <w:tr w:rsidR="00A07CE1" w:rsidRPr="00A07CE1" w:rsidTr="00A07CE1">
      <w:trPr>
        <w:gridAfter w:val="1"/>
        <w:wAfter w:w="18" w:type="dxa"/>
        <w:trHeight w:hRule="exact" w:val="2880"/>
      </w:trPr>
      <w:tc>
        <w:tcPr>
          <w:tcW w:w="1267" w:type="dxa"/>
          <w:tcBorders>
            <w:top w:val="single" w:sz="4" w:space="0" w:color="auto"/>
            <w:bottom w:val="single" w:sz="12" w:space="0" w:color="auto"/>
          </w:tcBorders>
          <w:shd w:val="clear" w:color="auto" w:fill="auto"/>
        </w:tcPr>
        <w:p w:rsidR="00A07CE1" w:rsidRPr="00A07CE1" w:rsidRDefault="00A07CE1" w:rsidP="00A07CE1">
          <w:pPr>
            <w:pStyle w:val="Header"/>
            <w:spacing w:before="120"/>
            <w:jc w:val="center"/>
          </w:pPr>
          <w:r>
            <w:t xml:space="preserve"> </w:t>
          </w:r>
          <w:r>
            <w:rPr>
              <w:lang w:val="en-GB" w:eastAsia="en-GB"/>
            </w:rPr>
            <w:drawing>
              <wp:inline distT="0" distB="0" distL="0" distR="0" wp14:anchorId="5D49CE6E" wp14:editId="73813F47">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07CE1" w:rsidRPr="00A07CE1" w:rsidRDefault="00A07CE1" w:rsidP="00A07CE1">
          <w:pPr>
            <w:pStyle w:val="XLarge"/>
            <w:spacing w:before="109"/>
          </w:pPr>
          <w:r>
            <w:t>Secretariat</w:t>
          </w:r>
        </w:p>
      </w:tc>
      <w:tc>
        <w:tcPr>
          <w:tcW w:w="245" w:type="dxa"/>
          <w:tcBorders>
            <w:top w:val="single" w:sz="4" w:space="0" w:color="auto"/>
            <w:bottom w:val="single" w:sz="12" w:space="0" w:color="auto"/>
          </w:tcBorders>
          <w:shd w:val="clear" w:color="auto" w:fill="auto"/>
        </w:tcPr>
        <w:p w:rsidR="00A07CE1" w:rsidRPr="00A07CE1" w:rsidRDefault="00A07CE1" w:rsidP="00A07CE1">
          <w:pPr>
            <w:pStyle w:val="Header"/>
            <w:spacing w:before="109"/>
          </w:pPr>
        </w:p>
      </w:tc>
      <w:tc>
        <w:tcPr>
          <w:tcW w:w="3280" w:type="dxa"/>
          <w:tcBorders>
            <w:top w:val="single" w:sz="4" w:space="0" w:color="auto"/>
            <w:bottom w:val="single" w:sz="12" w:space="0" w:color="auto"/>
          </w:tcBorders>
          <w:shd w:val="clear" w:color="auto" w:fill="auto"/>
        </w:tcPr>
        <w:p w:rsidR="00A07CE1" w:rsidRDefault="00A07CE1" w:rsidP="00A07CE1">
          <w:pPr>
            <w:pStyle w:val="Distribution"/>
            <w:rPr>
              <w:color w:val="010000"/>
            </w:rPr>
          </w:pPr>
          <w:r>
            <w:rPr>
              <w:color w:val="010000"/>
            </w:rPr>
            <w:t>Distr.: General</w:t>
          </w:r>
        </w:p>
        <w:p w:rsidR="00A07CE1" w:rsidRDefault="00A07CE1" w:rsidP="00A07CE1">
          <w:pPr>
            <w:pStyle w:val="Publication"/>
            <w:rPr>
              <w:color w:val="010000"/>
            </w:rPr>
          </w:pPr>
          <w:r>
            <w:rPr>
              <w:color w:val="010000"/>
            </w:rPr>
            <w:t>24 August 2015</w:t>
          </w:r>
        </w:p>
        <w:p w:rsidR="00A07CE1" w:rsidRDefault="00A07CE1" w:rsidP="00A07CE1">
          <w:pPr>
            <w:rPr>
              <w:color w:val="010000"/>
            </w:rPr>
          </w:pPr>
          <w:r>
            <w:rPr>
              <w:color w:val="010000"/>
            </w:rPr>
            <w:t>English</w:t>
          </w:r>
        </w:p>
        <w:p w:rsidR="00A07CE1" w:rsidRDefault="00A07CE1" w:rsidP="00A07CE1">
          <w:pPr>
            <w:pStyle w:val="Original"/>
            <w:rPr>
              <w:color w:val="010000"/>
            </w:rPr>
          </w:pPr>
          <w:r>
            <w:rPr>
              <w:color w:val="010000"/>
            </w:rPr>
            <w:t>Original: French</w:t>
          </w:r>
        </w:p>
        <w:p w:rsidR="00A07CE1" w:rsidRPr="00A07CE1" w:rsidRDefault="00A07CE1" w:rsidP="00A07CE1"/>
      </w:tc>
    </w:tr>
  </w:tbl>
  <w:p w:rsidR="00A07CE1" w:rsidRPr="00A07CE1" w:rsidRDefault="00A07CE1" w:rsidP="00A07CE1">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72EDE" w:rsidRPr="00372EDE" w:rsidTr="00372EDE">
      <w:trPr>
        <w:cantSplit/>
        <w:trHeight w:val="4781"/>
      </w:trPr>
      <w:tc>
        <w:tcPr>
          <w:tcW w:w="13407" w:type="dxa"/>
          <w:shd w:val="clear" w:color="auto" w:fill="auto"/>
          <w:textDirection w:val="tbRl"/>
          <w:vAlign w:val="bottom"/>
        </w:tcPr>
        <w:p w:rsidR="00372EDE" w:rsidRPr="00372EDE" w:rsidRDefault="00372EDE" w:rsidP="00372EDE">
          <w:pPr>
            <w:pStyle w:val="Header"/>
            <w:spacing w:line="240" w:lineRule="auto"/>
            <w:ind w:left="14" w:right="14"/>
            <w:rPr>
              <w:w w:val="103"/>
            </w:rPr>
          </w:pPr>
          <w:r w:rsidRPr="00372EDE">
            <w:rPr>
              <w:w w:val="103"/>
            </w:rPr>
            <w:fldChar w:fldCharType="begin"/>
          </w:r>
          <w:r w:rsidRPr="00372EDE">
            <w:rPr>
              <w:w w:val="103"/>
            </w:rPr>
            <w:instrText xml:space="preserve"> DOCVARIABLE "sss1" \* MERGEFORMAT </w:instrText>
          </w:r>
          <w:r w:rsidRPr="00372EDE">
            <w:rPr>
              <w:w w:val="103"/>
            </w:rPr>
            <w:fldChar w:fldCharType="separate"/>
          </w:r>
          <w:r w:rsidR="006E5502">
            <w:rPr>
              <w:w w:val="103"/>
            </w:rPr>
            <w:t>ST/SG/AC.10/C.3/2015/32</w:t>
          </w:r>
          <w:r w:rsidRPr="00372EDE">
            <w:rPr>
              <w:w w:val="103"/>
            </w:rPr>
            <w:fldChar w:fldCharType="end"/>
          </w:r>
        </w:p>
      </w:tc>
    </w:tr>
    <w:tr w:rsidR="00372EDE" w:rsidRPr="00372EDE" w:rsidTr="00372EDE">
      <w:trPr>
        <w:cantSplit/>
        <w:trHeight w:val="4781"/>
      </w:trPr>
      <w:tc>
        <w:tcPr>
          <w:tcW w:w="13407" w:type="dxa"/>
          <w:shd w:val="clear" w:color="auto" w:fill="auto"/>
          <w:textDirection w:val="tbRl"/>
          <w:vAlign w:val="bottom"/>
        </w:tcPr>
        <w:p w:rsidR="00372EDE" w:rsidRPr="00372EDE" w:rsidRDefault="00372EDE" w:rsidP="00372EDE">
          <w:pPr>
            <w:pStyle w:val="Header"/>
            <w:spacing w:line="240" w:lineRule="auto"/>
            <w:ind w:left="14" w:right="14"/>
            <w:rPr>
              <w:w w:val="103"/>
            </w:rPr>
          </w:pPr>
        </w:p>
      </w:tc>
    </w:tr>
  </w:tbl>
  <w:p w:rsidR="00372EDE" w:rsidRPr="00372EDE" w:rsidRDefault="00372EDE" w:rsidP="00372E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72EDE" w:rsidRPr="00372EDE" w:rsidTr="00372EDE">
      <w:trPr>
        <w:trHeight w:val="4925"/>
      </w:trPr>
      <w:tc>
        <w:tcPr>
          <w:tcW w:w="13407" w:type="dxa"/>
          <w:shd w:val="clear" w:color="auto" w:fill="auto"/>
          <w:vAlign w:val="bottom"/>
        </w:tcPr>
        <w:p w:rsidR="00372EDE" w:rsidRPr="00372EDE" w:rsidRDefault="00372EDE" w:rsidP="00372EDE">
          <w:pPr>
            <w:pStyle w:val="Header"/>
            <w:spacing w:line="240" w:lineRule="auto"/>
            <w:ind w:left="14" w:right="14"/>
            <w:jc w:val="right"/>
            <w:rPr>
              <w:b/>
              <w:bCs/>
              <w:w w:val="103"/>
              <w:szCs w:val="26"/>
            </w:rPr>
          </w:pPr>
        </w:p>
      </w:tc>
    </w:tr>
    <w:tr w:rsidR="00372EDE" w:rsidRPr="00372EDE" w:rsidTr="00623DE3">
      <w:trPr>
        <w:cantSplit/>
        <w:trHeight w:val="4623"/>
      </w:trPr>
      <w:tc>
        <w:tcPr>
          <w:tcW w:w="13407" w:type="dxa"/>
          <w:shd w:val="clear" w:color="auto" w:fill="auto"/>
          <w:textDirection w:val="tbRl"/>
          <w:vAlign w:val="bottom"/>
        </w:tcPr>
        <w:p w:rsidR="00372EDE" w:rsidRPr="00372EDE" w:rsidRDefault="00372EDE" w:rsidP="00623DE3">
          <w:pPr>
            <w:pStyle w:val="Header"/>
            <w:spacing w:line="240" w:lineRule="auto"/>
            <w:ind w:left="14" w:right="14"/>
            <w:jc w:val="right"/>
            <w:rPr>
              <w:b/>
              <w:bCs/>
              <w:w w:val="103"/>
              <w:szCs w:val="26"/>
            </w:rPr>
          </w:pPr>
          <w:r w:rsidRPr="00372EDE">
            <w:rPr>
              <w:b/>
              <w:bCs/>
              <w:w w:val="103"/>
              <w:szCs w:val="26"/>
            </w:rPr>
            <w:fldChar w:fldCharType="begin"/>
          </w:r>
          <w:r w:rsidRPr="00372EDE">
            <w:rPr>
              <w:b/>
              <w:bCs/>
              <w:w w:val="103"/>
              <w:szCs w:val="26"/>
            </w:rPr>
            <w:instrText xml:space="preserve"> DOCVARIABLE "sss1" \* MERGEFORMAT </w:instrText>
          </w:r>
          <w:r w:rsidRPr="00372EDE">
            <w:rPr>
              <w:b/>
              <w:bCs/>
              <w:w w:val="103"/>
              <w:szCs w:val="26"/>
            </w:rPr>
            <w:fldChar w:fldCharType="separate"/>
          </w:r>
          <w:r w:rsidR="006E5502">
            <w:rPr>
              <w:b/>
              <w:bCs/>
              <w:w w:val="103"/>
              <w:szCs w:val="26"/>
            </w:rPr>
            <w:t>ST/SG/AC.10/C.3/2015/32</w:t>
          </w:r>
          <w:r w:rsidRPr="00372EDE">
            <w:rPr>
              <w:b/>
              <w:bCs/>
              <w:w w:val="103"/>
              <w:szCs w:val="26"/>
            </w:rPr>
            <w:fldChar w:fldCharType="end"/>
          </w:r>
        </w:p>
      </w:tc>
    </w:tr>
  </w:tbl>
  <w:p w:rsidR="00372EDE" w:rsidRPr="00372EDE" w:rsidRDefault="00372EDE" w:rsidP="00372E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72EDE" w:rsidTr="00A07CE1">
      <w:trPr>
        <w:trHeight w:hRule="exact" w:val="864"/>
        <w:jc w:val="center"/>
      </w:trPr>
      <w:tc>
        <w:tcPr>
          <w:tcW w:w="4882" w:type="dxa"/>
          <w:shd w:val="clear" w:color="auto" w:fill="auto"/>
          <w:vAlign w:val="bottom"/>
        </w:tcPr>
        <w:p w:rsidR="00372EDE" w:rsidRPr="00A07CE1" w:rsidRDefault="00372EDE" w:rsidP="00A07CE1">
          <w:pPr>
            <w:pStyle w:val="Header"/>
            <w:spacing w:after="80"/>
            <w:rPr>
              <w:b/>
            </w:rPr>
          </w:pPr>
          <w:r>
            <w:rPr>
              <w:b/>
            </w:rPr>
            <w:fldChar w:fldCharType="begin"/>
          </w:r>
          <w:r>
            <w:rPr>
              <w:b/>
            </w:rPr>
            <w:instrText xml:space="preserve"> DOCVARIABLE "sss1" \* MERGEFORMAT </w:instrText>
          </w:r>
          <w:r>
            <w:rPr>
              <w:b/>
            </w:rPr>
            <w:fldChar w:fldCharType="separate"/>
          </w:r>
          <w:r w:rsidR="006E5502">
            <w:rPr>
              <w:b/>
            </w:rPr>
            <w:t>ST/SG/AC.10/C.3/2015/32</w:t>
          </w:r>
          <w:r>
            <w:rPr>
              <w:b/>
            </w:rPr>
            <w:fldChar w:fldCharType="end"/>
          </w:r>
        </w:p>
      </w:tc>
      <w:tc>
        <w:tcPr>
          <w:tcW w:w="5127" w:type="dxa"/>
          <w:shd w:val="clear" w:color="auto" w:fill="auto"/>
          <w:vAlign w:val="bottom"/>
        </w:tcPr>
        <w:p w:rsidR="00372EDE" w:rsidRDefault="00372EDE" w:rsidP="00A07CE1">
          <w:pPr>
            <w:pStyle w:val="Header"/>
          </w:pPr>
        </w:p>
      </w:tc>
    </w:tr>
  </w:tbl>
  <w:p w:rsidR="00372EDE" w:rsidRPr="00A07CE1" w:rsidRDefault="00372EDE" w:rsidP="00A07C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72EDE" w:rsidTr="00A07CE1">
      <w:trPr>
        <w:trHeight w:hRule="exact" w:val="864"/>
        <w:jc w:val="center"/>
      </w:trPr>
      <w:tc>
        <w:tcPr>
          <w:tcW w:w="4882" w:type="dxa"/>
          <w:shd w:val="clear" w:color="auto" w:fill="auto"/>
          <w:vAlign w:val="bottom"/>
        </w:tcPr>
        <w:p w:rsidR="00372EDE" w:rsidRDefault="00372EDE" w:rsidP="00A07CE1">
          <w:pPr>
            <w:pStyle w:val="Header"/>
          </w:pPr>
        </w:p>
      </w:tc>
      <w:tc>
        <w:tcPr>
          <w:tcW w:w="5127" w:type="dxa"/>
          <w:shd w:val="clear" w:color="auto" w:fill="auto"/>
          <w:vAlign w:val="bottom"/>
        </w:tcPr>
        <w:p w:rsidR="00372EDE" w:rsidRPr="00A07CE1" w:rsidRDefault="00372EDE" w:rsidP="00A07CE1">
          <w:pPr>
            <w:pStyle w:val="Header"/>
            <w:spacing w:after="80"/>
            <w:jc w:val="right"/>
            <w:rPr>
              <w:b/>
            </w:rPr>
          </w:pPr>
          <w:r>
            <w:rPr>
              <w:b/>
            </w:rPr>
            <w:fldChar w:fldCharType="begin"/>
          </w:r>
          <w:r>
            <w:rPr>
              <w:b/>
            </w:rPr>
            <w:instrText xml:space="preserve"> DOCVARIABLE "sss1" \* MERGEFORMAT </w:instrText>
          </w:r>
          <w:r>
            <w:rPr>
              <w:b/>
            </w:rPr>
            <w:fldChar w:fldCharType="separate"/>
          </w:r>
          <w:r w:rsidR="006E5502">
            <w:rPr>
              <w:b/>
            </w:rPr>
            <w:t>ST/SG/AC.10/C.3/2015/32</w:t>
          </w:r>
          <w:r>
            <w:rPr>
              <w:b/>
            </w:rPr>
            <w:fldChar w:fldCharType="end"/>
          </w:r>
        </w:p>
      </w:tc>
    </w:tr>
  </w:tbl>
  <w:p w:rsidR="00372EDE" w:rsidRPr="00A07CE1" w:rsidRDefault="00372EDE" w:rsidP="00A07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56*"/>
    <w:docVar w:name="CreationDt" w:val="06/10/2015 15:20:56"/>
    <w:docVar w:name="DocCategory" w:val="Doc"/>
    <w:docVar w:name="DocType" w:val="Final"/>
    <w:docVar w:name="DutyStation" w:val="Geneva"/>
    <w:docVar w:name="FooterJN" w:val="GE.15-14256"/>
    <w:docVar w:name="jobn" w:val="GE.15-14256 (E)"/>
    <w:docVar w:name="jobnDT" w:val="GE.15-14256 (E)   061015"/>
    <w:docVar w:name="jobnDTDT" w:val="GE. 15-14256 (E)   061015   061015"/>
    <w:docVar w:name="JobNo" w:val="GE.1514256E"/>
    <w:docVar w:name="JobNo2" w:val="1518856E"/>
    <w:docVar w:name="LocalDrive" w:val="0"/>
    <w:docVar w:name="OandT" w:val="AVT"/>
    <w:docVar w:name="PaperSize" w:val="A4"/>
    <w:docVar w:name="sss1" w:val="ST/SG/AC.10/C.3/2015/32"/>
    <w:docVar w:name="sss2" w:val="-"/>
    <w:docVar w:name="Symbol1" w:val="ST/SG/AC.10/C.3/2015/32"/>
    <w:docVar w:name="Symbol2" w:val="-"/>
  </w:docVars>
  <w:rsids>
    <w:rsidRoot w:val="00500386"/>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190A"/>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794"/>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32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2EDE"/>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06BC"/>
    <w:rsid w:val="0045397A"/>
    <w:rsid w:val="00453E64"/>
    <w:rsid w:val="00455CD0"/>
    <w:rsid w:val="00457ADA"/>
    <w:rsid w:val="004677E2"/>
    <w:rsid w:val="00470EE0"/>
    <w:rsid w:val="00475672"/>
    <w:rsid w:val="0047572C"/>
    <w:rsid w:val="004774B3"/>
    <w:rsid w:val="00477F9F"/>
    <w:rsid w:val="004818A0"/>
    <w:rsid w:val="00482327"/>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146"/>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0386"/>
    <w:rsid w:val="00502499"/>
    <w:rsid w:val="00511E5A"/>
    <w:rsid w:val="00514854"/>
    <w:rsid w:val="00516D15"/>
    <w:rsid w:val="005200EA"/>
    <w:rsid w:val="005300F6"/>
    <w:rsid w:val="00534D74"/>
    <w:rsid w:val="00537848"/>
    <w:rsid w:val="00537D2B"/>
    <w:rsid w:val="00541089"/>
    <w:rsid w:val="00542A9C"/>
    <w:rsid w:val="00542FE7"/>
    <w:rsid w:val="00543905"/>
    <w:rsid w:val="00544AE5"/>
    <w:rsid w:val="00546F5D"/>
    <w:rsid w:val="005513EE"/>
    <w:rsid w:val="0055474C"/>
    <w:rsid w:val="00554CEC"/>
    <w:rsid w:val="00556788"/>
    <w:rsid w:val="00556945"/>
    <w:rsid w:val="00556C8D"/>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3DE3"/>
    <w:rsid w:val="006242A5"/>
    <w:rsid w:val="006246A9"/>
    <w:rsid w:val="0062527E"/>
    <w:rsid w:val="006300B5"/>
    <w:rsid w:val="006300C2"/>
    <w:rsid w:val="00634617"/>
    <w:rsid w:val="00634FA8"/>
    <w:rsid w:val="00635451"/>
    <w:rsid w:val="006365D0"/>
    <w:rsid w:val="0064046C"/>
    <w:rsid w:val="006415B9"/>
    <w:rsid w:val="00643C26"/>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5E89"/>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217F"/>
    <w:rsid w:val="006D42DA"/>
    <w:rsid w:val="006D74B5"/>
    <w:rsid w:val="006D766E"/>
    <w:rsid w:val="006E0E18"/>
    <w:rsid w:val="006E5457"/>
    <w:rsid w:val="006E5502"/>
    <w:rsid w:val="006F40EA"/>
    <w:rsid w:val="006F6266"/>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7F6928"/>
    <w:rsid w:val="00802C43"/>
    <w:rsid w:val="0080697C"/>
    <w:rsid w:val="00810F2C"/>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C3E"/>
    <w:rsid w:val="00891DB1"/>
    <w:rsid w:val="00895AA1"/>
    <w:rsid w:val="00896C72"/>
    <w:rsid w:val="008971FD"/>
    <w:rsid w:val="008A7260"/>
    <w:rsid w:val="008A7B66"/>
    <w:rsid w:val="008B026E"/>
    <w:rsid w:val="008B0DF0"/>
    <w:rsid w:val="008B22EF"/>
    <w:rsid w:val="008B38BA"/>
    <w:rsid w:val="008B4249"/>
    <w:rsid w:val="008C0422"/>
    <w:rsid w:val="008C04D4"/>
    <w:rsid w:val="008C394A"/>
    <w:rsid w:val="008C3E90"/>
    <w:rsid w:val="008C4CE3"/>
    <w:rsid w:val="008C6B4B"/>
    <w:rsid w:val="008C7168"/>
    <w:rsid w:val="008D006F"/>
    <w:rsid w:val="008D2798"/>
    <w:rsid w:val="008D285F"/>
    <w:rsid w:val="008E0A8C"/>
    <w:rsid w:val="008E1BE3"/>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034B"/>
    <w:rsid w:val="00993204"/>
    <w:rsid w:val="00993D85"/>
    <w:rsid w:val="009946BE"/>
    <w:rsid w:val="009956B4"/>
    <w:rsid w:val="0099600D"/>
    <w:rsid w:val="00997C03"/>
    <w:rsid w:val="009A08DF"/>
    <w:rsid w:val="009A64C4"/>
    <w:rsid w:val="009A7BFC"/>
    <w:rsid w:val="009A7DED"/>
    <w:rsid w:val="009B0CFA"/>
    <w:rsid w:val="009B5D85"/>
    <w:rsid w:val="009B6127"/>
    <w:rsid w:val="009C20D0"/>
    <w:rsid w:val="009C219D"/>
    <w:rsid w:val="009C4614"/>
    <w:rsid w:val="009C7D16"/>
    <w:rsid w:val="009D23EF"/>
    <w:rsid w:val="009D3A01"/>
    <w:rsid w:val="009D3EFA"/>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7847"/>
    <w:rsid w:val="00A07CE1"/>
    <w:rsid w:val="00A10A5B"/>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906"/>
    <w:rsid w:val="00A67A30"/>
    <w:rsid w:val="00A719F9"/>
    <w:rsid w:val="00A71BB0"/>
    <w:rsid w:val="00A7234F"/>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158C"/>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5A8A"/>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B65C5"/>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4CDB"/>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105"/>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3076"/>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674F"/>
    <w:rsid w:val="00F115B7"/>
    <w:rsid w:val="00F12DCE"/>
    <w:rsid w:val="00F12FAD"/>
    <w:rsid w:val="00F13B57"/>
    <w:rsid w:val="00F141EC"/>
    <w:rsid w:val="00F142CB"/>
    <w:rsid w:val="00F16A17"/>
    <w:rsid w:val="00F20E96"/>
    <w:rsid w:val="00F25A51"/>
    <w:rsid w:val="00F260C9"/>
    <w:rsid w:val="00F272B2"/>
    <w:rsid w:val="00F27CCD"/>
    <w:rsid w:val="00F302B4"/>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C7E2D"/>
    <w:rsid w:val="00FD0195"/>
    <w:rsid w:val="00FD4657"/>
    <w:rsid w:val="00FD489F"/>
    <w:rsid w:val="00FD751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qFormat/>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07CE1"/>
    <w:pPr>
      <w:spacing w:line="240" w:lineRule="auto"/>
    </w:pPr>
  </w:style>
  <w:style w:type="character" w:customStyle="1" w:styleId="CommentTextChar">
    <w:name w:val="Comment Text Char"/>
    <w:basedOn w:val="DefaultParagraphFont"/>
    <w:link w:val="CommentText"/>
    <w:rsid w:val="00A07CE1"/>
    <w:rPr>
      <w:spacing w:val="4"/>
      <w:w w:val="103"/>
      <w:kern w:val="14"/>
      <w:lang w:val="en-GB"/>
    </w:rPr>
  </w:style>
  <w:style w:type="paragraph" w:styleId="CommentSubject">
    <w:name w:val="annotation subject"/>
    <w:basedOn w:val="CommentText"/>
    <w:next w:val="CommentText"/>
    <w:link w:val="CommentSubjectChar"/>
    <w:rsid w:val="00A07CE1"/>
    <w:rPr>
      <w:b/>
      <w:bCs/>
    </w:rPr>
  </w:style>
  <w:style w:type="character" w:customStyle="1" w:styleId="CommentSubjectChar">
    <w:name w:val="Comment Subject Char"/>
    <w:basedOn w:val="CommentTextChar"/>
    <w:link w:val="CommentSubject"/>
    <w:rsid w:val="00A07CE1"/>
    <w:rPr>
      <w:b/>
      <w:bCs/>
      <w:spacing w:val="4"/>
      <w:w w:val="103"/>
      <w:kern w:val="14"/>
      <w:lang w:val="en-GB"/>
    </w:rPr>
  </w:style>
  <w:style w:type="character" w:customStyle="1" w:styleId="FootnoteTextChar">
    <w:name w:val="Footnote Text Char"/>
    <w:aliases w:val="5_G Char"/>
    <w:link w:val="FootnoteText"/>
    <w:rsid w:val="009B5D85"/>
    <w:rPr>
      <w:spacing w:val="5"/>
      <w:w w:val="103"/>
      <w:kern w:val="14"/>
      <w:sz w:val="17"/>
      <w:lang w:val="en-GB"/>
    </w:rPr>
  </w:style>
  <w:style w:type="paragraph" w:customStyle="1" w:styleId="SingleTxtG">
    <w:name w:val="_ Single Txt_G"/>
    <w:basedOn w:val="Normal"/>
    <w:rsid w:val="009B6127"/>
    <w:pPr>
      <w:spacing w:after="120" w:line="240" w:lineRule="atLeast"/>
      <w:ind w:left="1134" w:right="1134"/>
      <w:jc w:val="both"/>
    </w:pPr>
    <w:rPr>
      <w:rFonts w:eastAsia="Times New Roman"/>
      <w:spacing w:val="0"/>
      <w:w w:val="1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qFormat/>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07CE1"/>
    <w:pPr>
      <w:spacing w:line="240" w:lineRule="auto"/>
    </w:pPr>
  </w:style>
  <w:style w:type="character" w:customStyle="1" w:styleId="CommentTextChar">
    <w:name w:val="Comment Text Char"/>
    <w:basedOn w:val="DefaultParagraphFont"/>
    <w:link w:val="CommentText"/>
    <w:rsid w:val="00A07CE1"/>
    <w:rPr>
      <w:spacing w:val="4"/>
      <w:w w:val="103"/>
      <w:kern w:val="14"/>
      <w:lang w:val="en-GB"/>
    </w:rPr>
  </w:style>
  <w:style w:type="paragraph" w:styleId="CommentSubject">
    <w:name w:val="annotation subject"/>
    <w:basedOn w:val="CommentText"/>
    <w:next w:val="CommentText"/>
    <w:link w:val="CommentSubjectChar"/>
    <w:rsid w:val="00A07CE1"/>
    <w:rPr>
      <w:b/>
      <w:bCs/>
    </w:rPr>
  </w:style>
  <w:style w:type="character" w:customStyle="1" w:styleId="CommentSubjectChar">
    <w:name w:val="Comment Subject Char"/>
    <w:basedOn w:val="CommentTextChar"/>
    <w:link w:val="CommentSubject"/>
    <w:rsid w:val="00A07CE1"/>
    <w:rPr>
      <w:b/>
      <w:bCs/>
      <w:spacing w:val="4"/>
      <w:w w:val="103"/>
      <w:kern w:val="14"/>
      <w:lang w:val="en-GB"/>
    </w:rPr>
  </w:style>
  <w:style w:type="character" w:customStyle="1" w:styleId="FootnoteTextChar">
    <w:name w:val="Footnote Text Char"/>
    <w:aliases w:val="5_G Char"/>
    <w:link w:val="FootnoteText"/>
    <w:rsid w:val="009B5D85"/>
    <w:rPr>
      <w:spacing w:val="5"/>
      <w:w w:val="103"/>
      <w:kern w:val="14"/>
      <w:sz w:val="17"/>
      <w:lang w:val="en-GB"/>
    </w:rPr>
  </w:style>
  <w:style w:type="paragraph" w:customStyle="1" w:styleId="SingleTxtG">
    <w:name w:val="_ Single Txt_G"/>
    <w:basedOn w:val="Normal"/>
    <w:rsid w:val="009B6127"/>
    <w:pPr>
      <w:spacing w:after="120" w:line="240" w:lineRule="atLeast"/>
      <w:ind w:left="1134" w:right="1134"/>
      <w:jc w:val="both"/>
    </w:pPr>
    <w:rPr>
      <w:rFonts w:eastAsia="Times New Roman"/>
      <w:spacing w:val="0"/>
      <w:w w:val="1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0572-DBF8-4E18-A6AD-C715C1B0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Laurence Berthet</cp:lastModifiedBy>
  <cp:revision>3</cp:revision>
  <cp:lastPrinted>2015-10-19T09:00:00Z</cp:lastPrinted>
  <dcterms:created xsi:type="dcterms:W3CDTF">2015-10-19T08:59:00Z</dcterms:created>
  <dcterms:modified xsi:type="dcterms:W3CDTF">2015-10-19T09:00:00Z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1514256</vt:lpwstr>
  </property>
  <property fmtid="{D5CDD505-2E9C-101B-9397-08002B2CF9AE}" pid="3" name="ODSRefJobNo">
    <vt:lpwstr>1518856E</vt:lpwstr>
  </property>
  <property fmtid="{D5CDD505-2E9C-101B-9397-08002B2CF9AE}" pid="4" name="Symbol1">
    <vt:lpwstr>ST/SG/AC.10/C.3/2015/32</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24 August 2015</vt:lpwstr>
  </property>
  <property fmtid="{D5CDD505-2E9C-101B-9397-08002B2CF9AE}" pid="12" name="Original">
    <vt:lpwstr>French</vt:lpwstr>
  </property>
  <property fmtid="{D5CDD505-2E9C-101B-9397-08002B2CF9AE}" pid="13" name="Release Date">
    <vt:lpwstr>061015</vt:lpwstr>
  </property>
</Properties>
</file>