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ook w:val="04A0" w:firstRow="1" w:lastRow="0" w:firstColumn="1" w:lastColumn="0" w:noHBand="0" w:noVBand="1"/>
      </w:tblPr>
      <w:tblGrid>
        <w:gridCol w:w="4395"/>
        <w:gridCol w:w="4961"/>
      </w:tblGrid>
      <w:tr w:rsidR="00A30009" w:rsidRPr="00CA56A3" w:rsidTr="00A30009">
        <w:tc>
          <w:tcPr>
            <w:tcW w:w="4395" w:type="dxa"/>
            <w:hideMark/>
          </w:tcPr>
          <w:p w:rsidR="00A30009" w:rsidRPr="00CA56A3" w:rsidRDefault="00A30009">
            <w:pPr>
              <w:pStyle w:val="Header"/>
              <w:spacing w:line="276" w:lineRule="auto"/>
              <w:rPr>
                <w:rFonts w:asciiTheme="minorHAnsi" w:hAnsiTheme="minorHAnsi"/>
                <w:lang w:val="en-US"/>
              </w:rPr>
            </w:pPr>
            <w:r w:rsidRPr="00CA56A3">
              <w:rPr>
                <w:rFonts w:asciiTheme="minorHAnsi" w:hAnsiTheme="minorHAnsi"/>
                <w:lang w:val="en-US"/>
              </w:rPr>
              <w:t>Submitted by the expert from</w:t>
            </w:r>
          </w:p>
          <w:p w:rsidR="00A30009" w:rsidRPr="00CA56A3" w:rsidRDefault="00A30009">
            <w:pPr>
              <w:pStyle w:val="Header"/>
              <w:spacing w:line="276" w:lineRule="auto"/>
              <w:rPr>
                <w:rFonts w:asciiTheme="minorHAnsi" w:hAnsiTheme="minorHAnsi"/>
                <w:lang w:val="en-US"/>
              </w:rPr>
            </w:pPr>
            <w:r w:rsidRPr="00CA56A3">
              <w:rPr>
                <w:rFonts w:asciiTheme="minorHAnsi" w:hAnsiTheme="minorHAnsi"/>
                <w:lang w:val="en-US"/>
              </w:rPr>
              <w:t>Belgium</w:t>
            </w:r>
          </w:p>
        </w:tc>
        <w:tc>
          <w:tcPr>
            <w:tcW w:w="4961" w:type="dxa"/>
            <w:hideMark/>
          </w:tcPr>
          <w:p w:rsidR="00A30009" w:rsidRPr="00CA56A3" w:rsidRDefault="00A30009" w:rsidP="00235C65">
            <w:pPr>
              <w:ind w:left="1309"/>
              <w:rPr>
                <w:rFonts w:cs="Times New Roman"/>
                <w:sz w:val="24"/>
                <w:szCs w:val="24"/>
                <w:lang w:val="en-US"/>
              </w:rPr>
            </w:pPr>
            <w:r w:rsidRPr="00CA56A3">
              <w:rPr>
                <w:rFonts w:cs="Times New Roman"/>
                <w:sz w:val="24"/>
                <w:szCs w:val="24"/>
                <w:u w:val="single"/>
                <w:lang w:val="en-US"/>
              </w:rPr>
              <w:t>Informal document</w:t>
            </w:r>
            <w:r w:rsidRPr="00CA56A3">
              <w:rPr>
                <w:rFonts w:cs="Times New Roman"/>
                <w:sz w:val="24"/>
                <w:szCs w:val="24"/>
                <w:lang w:val="en-US"/>
              </w:rPr>
              <w:t xml:space="preserve"> </w:t>
            </w:r>
            <w:r w:rsidRPr="00CA56A3">
              <w:rPr>
                <w:rFonts w:cs="Times New Roman"/>
                <w:b/>
                <w:bCs/>
                <w:sz w:val="24"/>
                <w:szCs w:val="24"/>
                <w:lang w:val="en-US"/>
              </w:rPr>
              <w:t>GRSG-106-</w:t>
            </w:r>
            <w:r w:rsidR="00235C65">
              <w:rPr>
                <w:rFonts w:cs="Times New Roman"/>
                <w:b/>
                <w:bCs/>
                <w:sz w:val="24"/>
                <w:szCs w:val="24"/>
                <w:lang w:val="en-US"/>
              </w:rPr>
              <w:t>15</w:t>
            </w:r>
            <w:r w:rsidRPr="00CA56A3">
              <w:rPr>
                <w:rFonts w:cs="Times New Roman"/>
                <w:b/>
                <w:bCs/>
                <w:sz w:val="24"/>
                <w:szCs w:val="24"/>
                <w:lang w:val="en-US"/>
              </w:rPr>
              <w:br/>
            </w:r>
            <w:r w:rsidRPr="00CA56A3">
              <w:rPr>
                <w:rFonts w:cs="Times New Roman"/>
                <w:sz w:val="24"/>
                <w:szCs w:val="24"/>
                <w:lang w:val="en-US"/>
              </w:rPr>
              <w:t>(106</w:t>
            </w:r>
            <w:r w:rsidRPr="00CA56A3">
              <w:rPr>
                <w:rFonts w:cs="Times New Roman"/>
                <w:sz w:val="24"/>
                <w:szCs w:val="24"/>
                <w:vertAlign w:val="superscript"/>
                <w:lang w:val="en-US"/>
              </w:rPr>
              <w:t>th</w:t>
            </w:r>
            <w:r w:rsidRPr="00CA56A3">
              <w:rPr>
                <w:rFonts w:cs="Times New Roman"/>
                <w:sz w:val="24"/>
                <w:szCs w:val="24"/>
                <w:lang w:val="en-US"/>
              </w:rPr>
              <w:t xml:space="preserve"> GRSG, 5-9 May 2014</w:t>
            </w:r>
            <w:proofErr w:type="gramStart"/>
            <w:r w:rsidRPr="00CA56A3">
              <w:rPr>
                <w:rFonts w:cs="Times New Roman"/>
                <w:sz w:val="24"/>
                <w:szCs w:val="24"/>
                <w:lang w:val="en-US"/>
              </w:rPr>
              <w:t>,</w:t>
            </w:r>
            <w:proofErr w:type="gramEnd"/>
            <w:r w:rsidRPr="00CA56A3">
              <w:rPr>
                <w:rFonts w:cs="Times New Roman"/>
                <w:sz w:val="24"/>
                <w:szCs w:val="24"/>
                <w:lang w:val="en-US"/>
              </w:rPr>
              <w:br/>
              <w:t>agenda item 8.)</w:t>
            </w:r>
          </w:p>
        </w:tc>
      </w:tr>
    </w:tbl>
    <w:p w:rsidR="00A30009" w:rsidRPr="00CA56A3" w:rsidRDefault="00A30009" w:rsidP="00A30009">
      <w:pPr>
        <w:pStyle w:val="HChG"/>
        <w:tabs>
          <w:tab w:val="left" w:pos="708"/>
        </w:tabs>
        <w:ind w:left="567" w:firstLine="0"/>
        <w:jc w:val="center"/>
        <w:rPr>
          <w:rFonts w:asciiTheme="minorHAnsi" w:hAnsiTheme="minorHAnsi"/>
          <w:b w:val="0"/>
          <w:lang w:val="en-US"/>
        </w:rPr>
      </w:pPr>
      <w:r w:rsidRPr="00CA56A3">
        <w:rPr>
          <w:rFonts w:asciiTheme="minorHAnsi" w:hAnsiTheme="minorHAnsi"/>
          <w:b w:val="0"/>
          <w:lang w:val="en-US"/>
        </w:rPr>
        <w:t>UN Regulation No. 110 – CNG/LNG vehicles</w:t>
      </w:r>
    </w:p>
    <w:p w:rsidR="00A30009" w:rsidRPr="00CA56A3" w:rsidRDefault="0044346A" w:rsidP="00A30009">
      <w:pPr>
        <w:spacing w:before="240" w:after="0" w:line="240" w:lineRule="auto"/>
        <w:rPr>
          <w:rFonts w:ascii="Times New Roman" w:hAnsi="Times New Roman"/>
          <w:b/>
          <w:lang w:val="en-US"/>
        </w:rPr>
      </w:pPr>
      <w:r w:rsidRPr="00CA56A3">
        <w:rPr>
          <w:rFonts w:ascii="Times New Roman" w:hAnsi="Times New Roman"/>
          <w:b/>
          <w:lang w:val="en-US"/>
        </w:rPr>
        <w:t xml:space="preserve">The Belgian delegation noticed the following: </w:t>
      </w:r>
    </w:p>
    <w:p w:rsidR="00365F11" w:rsidRPr="00CA56A3" w:rsidRDefault="00365F11" w:rsidP="00365F11">
      <w:pPr>
        <w:pStyle w:val="NoSpacing"/>
        <w:rPr>
          <w:lang w:val="en-US"/>
        </w:rPr>
      </w:pPr>
    </w:p>
    <w:p w:rsidR="00365F11" w:rsidRPr="00CA56A3" w:rsidRDefault="00235C65" w:rsidP="00CA56A3">
      <w:pPr>
        <w:pStyle w:val="NoSpacing"/>
        <w:jc w:val="both"/>
        <w:rPr>
          <w:lang w:val="en-US"/>
        </w:rPr>
      </w:pPr>
      <w:r>
        <w:rPr>
          <w:lang w:val="en-US"/>
        </w:rPr>
        <w:t>A</w:t>
      </w:r>
      <w:r w:rsidR="00CA56A3" w:rsidRPr="00CA56A3">
        <w:rPr>
          <w:lang w:val="en-US"/>
        </w:rPr>
        <w:t xml:space="preserve">nnex 3 of </w:t>
      </w:r>
      <w:r>
        <w:rPr>
          <w:lang w:val="en-US"/>
        </w:rPr>
        <w:t>UN R</w:t>
      </w:r>
      <w:r w:rsidR="00CA56A3" w:rsidRPr="00CA56A3">
        <w:rPr>
          <w:lang w:val="en-US"/>
        </w:rPr>
        <w:t xml:space="preserve">egulation </w:t>
      </w:r>
      <w:r>
        <w:rPr>
          <w:lang w:val="en-US"/>
        </w:rPr>
        <w:t xml:space="preserve">No. </w:t>
      </w:r>
      <w:r w:rsidR="00CA56A3" w:rsidRPr="00CA56A3">
        <w:rPr>
          <w:lang w:val="en-US"/>
        </w:rPr>
        <w:t>110 mentions</w:t>
      </w:r>
      <w:r w:rsidR="00CA56A3">
        <w:rPr>
          <w:lang w:val="en-US"/>
        </w:rPr>
        <w:t xml:space="preserve"> the following periodic requalification on the</w:t>
      </w:r>
      <w:r w:rsidR="00DC7DB8">
        <w:rPr>
          <w:lang w:val="en-US"/>
        </w:rPr>
        <w:t xml:space="preserve"> tank of</w:t>
      </w:r>
      <w:r w:rsidR="00CA56A3">
        <w:rPr>
          <w:lang w:val="en-US"/>
        </w:rPr>
        <w:t xml:space="preserve"> CNG and LNG</w:t>
      </w:r>
      <w:r w:rsidR="00CA56A3" w:rsidRPr="00CA56A3">
        <w:rPr>
          <w:lang w:val="en-US"/>
        </w:rPr>
        <w:t>:</w:t>
      </w:r>
    </w:p>
    <w:p w:rsidR="00784322" w:rsidRPr="00CA56A3" w:rsidRDefault="00784322" w:rsidP="005C0706">
      <w:pPr>
        <w:spacing w:before="360" w:after="240" w:line="240" w:lineRule="auto"/>
        <w:jc w:val="both"/>
        <w:rPr>
          <w:b/>
          <w:lang w:val="en-US"/>
        </w:rPr>
      </w:pPr>
      <w:r w:rsidRPr="00CA56A3">
        <w:rPr>
          <w:b/>
          <w:lang w:val="en-US"/>
        </w:rPr>
        <w:t>Annex 3A – Gas cylinders - High pressure cylinder for the on-board storage of CNG compressed natural gas as a fuel for automotive vehicles</w:t>
      </w:r>
    </w:p>
    <w:p w:rsidR="00784322" w:rsidRPr="00CA56A3" w:rsidRDefault="00784322" w:rsidP="00A30009">
      <w:pPr>
        <w:pStyle w:val="NoSpacing"/>
        <w:rPr>
          <w:u w:val="single"/>
          <w:lang w:val="en-US"/>
        </w:rPr>
      </w:pPr>
      <w:r w:rsidRPr="00CA56A3">
        <w:rPr>
          <w:u w:val="single"/>
          <w:lang w:val="en-US"/>
        </w:rPr>
        <w:t>4.1.4 Periodic requalification</w:t>
      </w:r>
    </w:p>
    <w:p w:rsidR="00784322" w:rsidRPr="00CA56A3" w:rsidRDefault="00784322" w:rsidP="005C0706">
      <w:pPr>
        <w:pStyle w:val="NoSpacing"/>
        <w:jc w:val="both"/>
        <w:rPr>
          <w:i/>
          <w:lang w:val="en-US"/>
        </w:rPr>
      </w:pPr>
      <w:r w:rsidRPr="00CA56A3">
        <w:rPr>
          <w:i/>
          <w:lang w:val="en-US"/>
        </w:rPr>
        <w:t>“(…) Each cylinder shall be visually inspected at least every 48 months after the date of its entry into service on the vehicle (vehicle registration), and at the time of any reinstallation, for external damage and deterioration, including under the support straps. (…)”</w:t>
      </w:r>
    </w:p>
    <w:p w:rsidR="00784322" w:rsidRPr="00CA56A3" w:rsidRDefault="00784322" w:rsidP="00A30009">
      <w:pPr>
        <w:pStyle w:val="NoSpacing"/>
        <w:rPr>
          <w:lang w:val="en-US"/>
        </w:rPr>
      </w:pPr>
    </w:p>
    <w:p w:rsidR="00784322" w:rsidRPr="00CA56A3" w:rsidRDefault="00784322" w:rsidP="005C0706">
      <w:pPr>
        <w:keepNext/>
        <w:keepLines/>
        <w:tabs>
          <w:tab w:val="right" w:pos="0"/>
        </w:tabs>
        <w:spacing w:before="360" w:after="240" w:line="240" w:lineRule="auto"/>
        <w:jc w:val="both"/>
        <w:rPr>
          <w:b/>
          <w:lang w:val="en-US"/>
        </w:rPr>
      </w:pPr>
      <w:r w:rsidRPr="00CA56A3">
        <w:rPr>
          <w:b/>
          <w:lang w:val="en-US"/>
        </w:rPr>
        <w:t>Annex 3B - Liquid tanks - Vacuum insulated vessels for the on-board storage of natural gas as a fuel for automotive vehicles.</w:t>
      </w:r>
    </w:p>
    <w:p w:rsidR="00784322" w:rsidRPr="00CA56A3" w:rsidRDefault="00784322" w:rsidP="00A30009">
      <w:pPr>
        <w:pStyle w:val="NoSpacing"/>
        <w:rPr>
          <w:u w:val="single"/>
          <w:lang w:val="en-US"/>
        </w:rPr>
      </w:pPr>
      <w:r w:rsidRPr="00CA56A3">
        <w:rPr>
          <w:u w:val="single"/>
          <w:lang w:val="en-US"/>
        </w:rPr>
        <w:t>2.1.3 Periodic qualification</w:t>
      </w:r>
    </w:p>
    <w:p w:rsidR="00784322" w:rsidRPr="00CA56A3" w:rsidRDefault="00784322" w:rsidP="005C0706">
      <w:pPr>
        <w:pStyle w:val="NoSpacing"/>
        <w:jc w:val="both"/>
        <w:rPr>
          <w:i/>
          <w:lang w:val="en-US"/>
        </w:rPr>
      </w:pPr>
      <w:r w:rsidRPr="00CA56A3">
        <w:rPr>
          <w:i/>
          <w:lang w:val="en-US"/>
        </w:rPr>
        <w:t>“(…) Each tank shall be visually inspected at least every 120 months after the date of its entry into service on the vehicle (vehicle registration), and at the time of any reinstallation, for external damage and deterioration, including under the support straps. (…)”</w:t>
      </w:r>
    </w:p>
    <w:p w:rsidR="00784322" w:rsidRPr="00CA56A3" w:rsidRDefault="00784322" w:rsidP="00A30009">
      <w:pPr>
        <w:pStyle w:val="NoSpacing"/>
        <w:rPr>
          <w:lang w:val="en-US"/>
        </w:rPr>
      </w:pPr>
    </w:p>
    <w:p w:rsidR="00F550E2" w:rsidRDefault="00F550E2" w:rsidP="00F550E2">
      <w:pPr>
        <w:pStyle w:val="NoSpacing"/>
        <w:jc w:val="both"/>
        <w:rPr>
          <w:lang w:val="en-US"/>
        </w:rPr>
      </w:pPr>
      <w:r w:rsidRPr="00CA56A3">
        <w:rPr>
          <w:lang w:val="en-US"/>
        </w:rPr>
        <w:t>Belgium has a national concern about the periodicity of 1</w:t>
      </w:r>
      <w:bookmarkStart w:id="0" w:name="_GoBack"/>
      <w:bookmarkEnd w:id="0"/>
      <w:r w:rsidRPr="00CA56A3">
        <w:rPr>
          <w:lang w:val="en-US"/>
        </w:rPr>
        <w:t xml:space="preserve">20 months for the inspection of the tank. Indeed those tanks are </w:t>
      </w:r>
      <w:r w:rsidR="00DC7DB8">
        <w:rPr>
          <w:lang w:val="en-US"/>
        </w:rPr>
        <w:t xml:space="preserve">exactly </w:t>
      </w:r>
      <w:r w:rsidRPr="00CA56A3">
        <w:rPr>
          <w:lang w:val="en-US"/>
        </w:rPr>
        <w:t xml:space="preserve">the same cryogenic tanks as used in ADR </w:t>
      </w:r>
      <w:r w:rsidR="00DC7DB8">
        <w:rPr>
          <w:lang w:val="en-US"/>
        </w:rPr>
        <w:t xml:space="preserve">for the transport of gas. The difference is in ADR </w:t>
      </w:r>
      <w:r w:rsidRPr="00CA56A3">
        <w:rPr>
          <w:lang w:val="en-US"/>
        </w:rPr>
        <w:t>the</w:t>
      </w:r>
      <w:r w:rsidR="00DC7DB8">
        <w:rPr>
          <w:lang w:val="en-US"/>
        </w:rPr>
        <w:t xml:space="preserve"> tanks</w:t>
      </w:r>
      <w:r w:rsidRPr="00CA56A3">
        <w:rPr>
          <w:lang w:val="en-US"/>
        </w:rPr>
        <w:t xml:space="preserve"> need to be visually inspected </w:t>
      </w:r>
      <w:r w:rsidRPr="00DC7DB8">
        <w:rPr>
          <w:u w:val="single"/>
          <w:lang w:val="en-US"/>
        </w:rPr>
        <w:t>every 5 years.</w:t>
      </w:r>
    </w:p>
    <w:p w:rsidR="00CA56A3" w:rsidRDefault="00CA56A3" w:rsidP="00F550E2">
      <w:pPr>
        <w:pStyle w:val="NoSpacing"/>
        <w:jc w:val="both"/>
        <w:rPr>
          <w:lang w:val="en-US"/>
        </w:rPr>
      </w:pPr>
    </w:p>
    <w:p w:rsidR="00CA56A3" w:rsidRDefault="00CA56A3" w:rsidP="00F550E2">
      <w:pPr>
        <w:pStyle w:val="NoSpacing"/>
        <w:jc w:val="both"/>
        <w:rPr>
          <w:lang w:val="en-US"/>
        </w:rPr>
      </w:pPr>
      <w:r>
        <w:rPr>
          <w:lang w:val="en-US"/>
        </w:rPr>
        <w:t xml:space="preserve">We have therefore two questions we would like to </w:t>
      </w:r>
      <w:r w:rsidR="00E34F86">
        <w:rPr>
          <w:lang w:val="en-US"/>
        </w:rPr>
        <w:t>discuss:</w:t>
      </w:r>
      <w:r>
        <w:rPr>
          <w:lang w:val="en-US"/>
        </w:rPr>
        <w:t xml:space="preserve"> </w:t>
      </w:r>
    </w:p>
    <w:p w:rsidR="00CA56A3" w:rsidRPr="00CA56A3" w:rsidRDefault="00CA56A3" w:rsidP="00F550E2">
      <w:pPr>
        <w:pStyle w:val="NoSpacing"/>
        <w:jc w:val="both"/>
        <w:rPr>
          <w:lang w:val="en-US"/>
        </w:rPr>
      </w:pPr>
    </w:p>
    <w:p w:rsidR="002616C7" w:rsidRPr="00CA56A3" w:rsidRDefault="00F550E2" w:rsidP="00CA56A3">
      <w:pPr>
        <w:pStyle w:val="NoSpacing"/>
        <w:numPr>
          <w:ilvl w:val="0"/>
          <w:numId w:val="1"/>
        </w:numPr>
        <w:jc w:val="both"/>
        <w:rPr>
          <w:lang w:val="en-US"/>
        </w:rPr>
      </w:pPr>
      <w:r w:rsidRPr="00CA56A3">
        <w:rPr>
          <w:lang w:val="en-US"/>
        </w:rPr>
        <w:t xml:space="preserve">Why </w:t>
      </w:r>
      <w:r w:rsidR="00CA56A3" w:rsidRPr="00CA56A3">
        <w:rPr>
          <w:lang w:val="en-US"/>
        </w:rPr>
        <w:t>such</w:t>
      </w:r>
      <w:r w:rsidRPr="00CA56A3">
        <w:rPr>
          <w:lang w:val="en-US"/>
        </w:rPr>
        <w:t xml:space="preserve"> </w:t>
      </w:r>
      <w:r w:rsidR="00DC7DB8">
        <w:rPr>
          <w:lang w:val="en-US"/>
        </w:rPr>
        <w:t xml:space="preserve">a </w:t>
      </w:r>
      <w:r w:rsidRPr="00CA56A3">
        <w:rPr>
          <w:lang w:val="en-US"/>
        </w:rPr>
        <w:t>difference of periodicity for the exact</w:t>
      </w:r>
      <w:r w:rsidR="00CA56A3">
        <w:rPr>
          <w:lang w:val="en-US"/>
        </w:rPr>
        <w:t xml:space="preserve"> same tanks? </w:t>
      </w:r>
    </w:p>
    <w:p w:rsidR="00A30009" w:rsidRPr="00CA56A3" w:rsidRDefault="00CA56A3" w:rsidP="00CA56A3">
      <w:pPr>
        <w:pStyle w:val="NoSpacing"/>
        <w:numPr>
          <w:ilvl w:val="0"/>
          <w:numId w:val="1"/>
        </w:numPr>
        <w:rPr>
          <w:lang w:val="en-US"/>
        </w:rPr>
      </w:pPr>
      <w:r>
        <w:rPr>
          <w:lang w:val="en-US"/>
        </w:rPr>
        <w:t xml:space="preserve">Why </w:t>
      </w:r>
      <w:r w:rsidR="00DC7DB8">
        <w:rPr>
          <w:lang w:val="en-US"/>
        </w:rPr>
        <w:t>such a</w:t>
      </w:r>
      <w:r>
        <w:rPr>
          <w:lang w:val="en-US"/>
        </w:rPr>
        <w:t xml:space="preserve"> difference between the periodicity of CNG cylinders and the periodicity of LNG tanks inspection?</w:t>
      </w:r>
    </w:p>
    <w:p w:rsidR="00A30009" w:rsidRDefault="00A30009" w:rsidP="00A30009">
      <w:pPr>
        <w:pStyle w:val="NoSpacing"/>
        <w:rPr>
          <w:lang w:val="en-US"/>
        </w:rPr>
      </w:pPr>
    </w:p>
    <w:p w:rsidR="00235C65" w:rsidRPr="00CA56A3" w:rsidRDefault="00235C65" w:rsidP="00235C65">
      <w:pPr>
        <w:pStyle w:val="NoSpacing"/>
        <w:jc w:val="center"/>
        <w:rPr>
          <w:lang w:val="en-US"/>
        </w:rPr>
      </w:pPr>
      <w:r>
        <w:rPr>
          <w:lang w:val="en-US"/>
        </w:rPr>
        <w:t>________________</w:t>
      </w:r>
    </w:p>
    <w:sectPr w:rsidR="00235C65" w:rsidRPr="00CA56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D4926"/>
    <w:multiLevelType w:val="hybridMultilevel"/>
    <w:tmpl w:val="702CE90E"/>
    <w:lvl w:ilvl="0" w:tplc="D3F86D74">
      <w:start w:val="2"/>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009"/>
    <w:rsid w:val="00067971"/>
    <w:rsid w:val="00110C56"/>
    <w:rsid w:val="00235C65"/>
    <w:rsid w:val="002616C7"/>
    <w:rsid w:val="00316925"/>
    <w:rsid w:val="00365F11"/>
    <w:rsid w:val="0044346A"/>
    <w:rsid w:val="005C0706"/>
    <w:rsid w:val="00622264"/>
    <w:rsid w:val="00784322"/>
    <w:rsid w:val="0080504A"/>
    <w:rsid w:val="00A30009"/>
    <w:rsid w:val="00CA56A3"/>
    <w:rsid w:val="00DC7DB8"/>
    <w:rsid w:val="00E34F86"/>
    <w:rsid w:val="00F550E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009"/>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0009"/>
    <w:pPr>
      <w:spacing w:after="0" w:line="240" w:lineRule="auto"/>
    </w:pPr>
  </w:style>
  <w:style w:type="paragraph" w:styleId="Header">
    <w:name w:val="header"/>
    <w:basedOn w:val="Normal"/>
    <w:link w:val="HeaderChar"/>
    <w:uiPriority w:val="99"/>
    <w:unhideWhenUsed/>
    <w:rsid w:val="00A30009"/>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HeaderChar">
    <w:name w:val="Header Char"/>
    <w:basedOn w:val="DefaultParagraphFont"/>
    <w:link w:val="Header"/>
    <w:uiPriority w:val="99"/>
    <w:rsid w:val="00A30009"/>
    <w:rPr>
      <w:rFonts w:ascii="Times New Roman" w:eastAsia="Times New Roman" w:hAnsi="Times New Roman" w:cs="Times New Roman"/>
      <w:sz w:val="24"/>
      <w:szCs w:val="24"/>
      <w:lang w:val="x-none" w:eastAsia="ar-SA"/>
    </w:rPr>
  </w:style>
  <w:style w:type="character" w:customStyle="1" w:styleId="HChGChar">
    <w:name w:val="_ H _Ch_G Char"/>
    <w:link w:val="HChG"/>
    <w:locked/>
    <w:rsid w:val="00A30009"/>
    <w:rPr>
      <w:rFonts w:ascii="Times New Roman" w:eastAsia="Times New Roman" w:hAnsi="Times New Roman" w:cs="Times New Roman"/>
      <w:b/>
      <w:sz w:val="28"/>
      <w:szCs w:val="20"/>
      <w:lang w:val="en-GB"/>
    </w:rPr>
  </w:style>
  <w:style w:type="paragraph" w:customStyle="1" w:styleId="HChG">
    <w:name w:val="_ H _Ch_G"/>
    <w:basedOn w:val="Normal"/>
    <w:next w:val="Normal"/>
    <w:link w:val="HChGChar"/>
    <w:rsid w:val="00A30009"/>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009"/>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0009"/>
    <w:pPr>
      <w:spacing w:after="0" w:line="240" w:lineRule="auto"/>
    </w:pPr>
  </w:style>
  <w:style w:type="paragraph" w:styleId="Header">
    <w:name w:val="header"/>
    <w:basedOn w:val="Normal"/>
    <w:link w:val="HeaderChar"/>
    <w:uiPriority w:val="99"/>
    <w:unhideWhenUsed/>
    <w:rsid w:val="00A30009"/>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HeaderChar">
    <w:name w:val="Header Char"/>
    <w:basedOn w:val="DefaultParagraphFont"/>
    <w:link w:val="Header"/>
    <w:uiPriority w:val="99"/>
    <w:rsid w:val="00A30009"/>
    <w:rPr>
      <w:rFonts w:ascii="Times New Roman" w:eastAsia="Times New Roman" w:hAnsi="Times New Roman" w:cs="Times New Roman"/>
      <w:sz w:val="24"/>
      <w:szCs w:val="24"/>
      <w:lang w:val="x-none" w:eastAsia="ar-SA"/>
    </w:rPr>
  </w:style>
  <w:style w:type="character" w:customStyle="1" w:styleId="HChGChar">
    <w:name w:val="_ H _Ch_G Char"/>
    <w:link w:val="HChG"/>
    <w:locked/>
    <w:rsid w:val="00A30009"/>
    <w:rPr>
      <w:rFonts w:ascii="Times New Roman" w:eastAsia="Times New Roman" w:hAnsi="Times New Roman" w:cs="Times New Roman"/>
      <w:b/>
      <w:sz w:val="28"/>
      <w:szCs w:val="20"/>
      <w:lang w:val="en-GB"/>
    </w:rPr>
  </w:style>
  <w:style w:type="paragraph" w:customStyle="1" w:styleId="HChG">
    <w:name w:val="_ H _Ch_G"/>
    <w:basedOn w:val="Normal"/>
    <w:next w:val="Normal"/>
    <w:link w:val="HChGChar"/>
    <w:rsid w:val="00A30009"/>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53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254</Words>
  <Characters>1448</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SPF Mobilité</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Aurélie Wayenbergh</dc:creator>
  <cp:lastModifiedBy>2013/100</cp:lastModifiedBy>
  <cp:revision>3</cp:revision>
  <cp:lastPrinted>2014-04-30T12:44:00Z</cp:lastPrinted>
  <dcterms:created xsi:type="dcterms:W3CDTF">2014-04-30T12:32:00Z</dcterms:created>
  <dcterms:modified xsi:type="dcterms:W3CDTF">2014-04-30T13:22:00Z</dcterms:modified>
</cp:coreProperties>
</file>