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C628C"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CC628C" w:rsidRDefault="00B56E9C" w:rsidP="006D66AF">
            <w:pPr>
              <w:spacing w:after="80" w:line="300" w:lineRule="exact"/>
              <w:rPr>
                <w:b/>
                <w:sz w:val="24"/>
                <w:szCs w:val="24"/>
              </w:rPr>
            </w:pPr>
            <w:r w:rsidRPr="00CC628C">
              <w:rPr>
                <w:sz w:val="28"/>
                <w:szCs w:val="28"/>
              </w:rPr>
              <w:t>United Nations</w:t>
            </w:r>
          </w:p>
        </w:tc>
        <w:tc>
          <w:tcPr>
            <w:tcW w:w="6095" w:type="dxa"/>
            <w:gridSpan w:val="2"/>
            <w:tcBorders>
              <w:bottom w:val="single" w:sz="4" w:space="0" w:color="auto"/>
            </w:tcBorders>
            <w:shd w:val="clear" w:color="auto" w:fill="auto"/>
            <w:vAlign w:val="bottom"/>
          </w:tcPr>
          <w:p w:rsidR="00B56E9C" w:rsidRPr="00CC628C" w:rsidRDefault="006D66AF" w:rsidP="00CC628C">
            <w:pPr>
              <w:jc w:val="right"/>
            </w:pPr>
            <w:r w:rsidRPr="00CC628C">
              <w:rPr>
                <w:sz w:val="40"/>
              </w:rPr>
              <w:t>ECE</w:t>
            </w:r>
            <w:r w:rsidRPr="00CC628C">
              <w:t>/TRANS/WP.29/GRE/</w:t>
            </w:r>
            <w:r w:rsidR="00A91E4C" w:rsidRPr="00CC628C">
              <w:t>201</w:t>
            </w:r>
            <w:r w:rsidR="00B7467C" w:rsidRPr="00CC628C">
              <w:t>4</w:t>
            </w:r>
            <w:r w:rsidRPr="00CC628C">
              <w:t>/</w:t>
            </w:r>
            <w:r w:rsidR="00CC628C" w:rsidRPr="00CC628C">
              <w:t>28</w:t>
            </w:r>
          </w:p>
        </w:tc>
      </w:tr>
      <w:tr w:rsidR="00B56E9C" w:rsidRPr="00CC628C" w:rsidTr="006D66AF">
        <w:trPr>
          <w:cantSplit/>
          <w:trHeight w:hRule="exact" w:val="2835"/>
        </w:trPr>
        <w:tc>
          <w:tcPr>
            <w:tcW w:w="1276" w:type="dxa"/>
            <w:tcBorders>
              <w:top w:val="single" w:sz="4" w:space="0" w:color="auto"/>
              <w:bottom w:val="single" w:sz="12" w:space="0" w:color="auto"/>
            </w:tcBorders>
            <w:shd w:val="clear" w:color="auto" w:fill="auto"/>
          </w:tcPr>
          <w:p w:rsidR="00B56E9C" w:rsidRPr="00CC628C" w:rsidRDefault="00C325B5" w:rsidP="006D66AF">
            <w:pPr>
              <w:spacing w:before="120"/>
            </w:pPr>
            <w:r w:rsidRPr="00CC628C">
              <w:rPr>
                <w:noProof/>
                <w:lang w:eastAsia="en-GB"/>
              </w:rPr>
              <w:drawing>
                <wp:inline distT="0" distB="0" distL="0" distR="0" wp14:anchorId="0EF162F5" wp14:editId="5D6E133D">
                  <wp:extent cx="716280" cy="593725"/>
                  <wp:effectExtent l="1905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srcRect/>
                          <a:stretch>
                            <a:fillRect/>
                          </a:stretch>
                        </pic:blipFill>
                        <pic:spPr bwMode="auto">
                          <a:xfrm>
                            <a:off x="0" y="0"/>
                            <a:ext cx="716280" cy="59372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C628C" w:rsidRDefault="00D773DF" w:rsidP="006D66AF">
            <w:pPr>
              <w:spacing w:before="120" w:line="420" w:lineRule="exact"/>
              <w:rPr>
                <w:sz w:val="40"/>
                <w:szCs w:val="40"/>
              </w:rPr>
            </w:pPr>
            <w:r w:rsidRPr="00CC628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C628C" w:rsidRDefault="006D66AF" w:rsidP="006D66AF">
            <w:pPr>
              <w:spacing w:before="240" w:line="240" w:lineRule="exact"/>
            </w:pPr>
            <w:r w:rsidRPr="00CC628C">
              <w:t>Distr.: General</w:t>
            </w:r>
          </w:p>
          <w:p w:rsidR="006D66AF" w:rsidRPr="00CC628C" w:rsidRDefault="001713B1" w:rsidP="006D66AF">
            <w:pPr>
              <w:spacing w:line="240" w:lineRule="exact"/>
            </w:pPr>
            <w:r>
              <w:t>11</w:t>
            </w:r>
            <w:bookmarkStart w:id="0" w:name="_GoBack"/>
            <w:bookmarkEnd w:id="0"/>
            <w:r w:rsidR="00CC628C" w:rsidRPr="00CC628C">
              <w:t xml:space="preserve"> August 2014</w:t>
            </w:r>
          </w:p>
          <w:p w:rsidR="006D66AF" w:rsidRPr="00CC628C" w:rsidRDefault="006D66AF" w:rsidP="006D66AF">
            <w:pPr>
              <w:spacing w:line="240" w:lineRule="exact"/>
            </w:pPr>
          </w:p>
          <w:p w:rsidR="006D66AF" w:rsidRPr="00CC628C" w:rsidRDefault="00A91E4C" w:rsidP="00A91E4C">
            <w:pPr>
              <w:spacing w:line="240" w:lineRule="exact"/>
            </w:pPr>
            <w:r w:rsidRPr="00CC628C">
              <w:t xml:space="preserve">Original: </w:t>
            </w:r>
            <w:r w:rsidR="006D66AF" w:rsidRPr="00CC628C">
              <w:t>English</w:t>
            </w:r>
          </w:p>
        </w:tc>
      </w:tr>
    </w:tbl>
    <w:p w:rsidR="00442A83" w:rsidRPr="00CC628C" w:rsidRDefault="00C96DF2" w:rsidP="00C96DF2">
      <w:pPr>
        <w:spacing w:before="120"/>
        <w:rPr>
          <w:b/>
          <w:sz w:val="28"/>
          <w:szCs w:val="28"/>
        </w:rPr>
      </w:pPr>
      <w:r w:rsidRPr="00CC628C">
        <w:rPr>
          <w:b/>
          <w:sz w:val="28"/>
          <w:szCs w:val="28"/>
        </w:rPr>
        <w:t xml:space="preserve">Economic Commission for </w:t>
      </w:r>
      <w:smartTag w:uri="urn:schemas-microsoft-com:office:smarttags" w:element="place">
        <w:r w:rsidRPr="00CC628C">
          <w:rPr>
            <w:b/>
            <w:sz w:val="28"/>
            <w:szCs w:val="28"/>
          </w:rPr>
          <w:t>Europe</w:t>
        </w:r>
      </w:smartTag>
    </w:p>
    <w:p w:rsidR="00C96DF2" w:rsidRPr="00CC628C" w:rsidRDefault="008F31D2" w:rsidP="00C96DF2">
      <w:pPr>
        <w:spacing w:before="120"/>
        <w:rPr>
          <w:sz w:val="28"/>
          <w:szCs w:val="28"/>
        </w:rPr>
      </w:pPr>
      <w:r w:rsidRPr="00CC628C">
        <w:rPr>
          <w:sz w:val="28"/>
          <w:szCs w:val="28"/>
        </w:rPr>
        <w:t>Inland Transport Committee</w:t>
      </w:r>
    </w:p>
    <w:p w:rsidR="00EA2A77" w:rsidRPr="00CC628C" w:rsidRDefault="00EA2A77" w:rsidP="00EA2A77">
      <w:pPr>
        <w:spacing w:before="120"/>
        <w:rPr>
          <w:b/>
          <w:sz w:val="24"/>
          <w:szCs w:val="24"/>
        </w:rPr>
      </w:pPr>
      <w:r w:rsidRPr="00CC628C">
        <w:rPr>
          <w:b/>
          <w:sz w:val="24"/>
          <w:szCs w:val="24"/>
        </w:rPr>
        <w:t xml:space="preserve">World Forum for Harmonization of Vehicle </w:t>
      </w:r>
      <w:r w:rsidR="00D26E07" w:rsidRPr="00CC628C">
        <w:rPr>
          <w:b/>
          <w:sz w:val="24"/>
          <w:szCs w:val="24"/>
        </w:rPr>
        <w:t>Regulation</w:t>
      </w:r>
      <w:r w:rsidRPr="00CC628C">
        <w:rPr>
          <w:b/>
          <w:sz w:val="24"/>
          <w:szCs w:val="24"/>
        </w:rPr>
        <w:t>s</w:t>
      </w:r>
    </w:p>
    <w:p w:rsidR="006D66AF" w:rsidRPr="00CC628C" w:rsidRDefault="006D66AF" w:rsidP="006D66AF">
      <w:pPr>
        <w:spacing w:before="120" w:after="120"/>
        <w:rPr>
          <w:b/>
          <w:bCs/>
        </w:rPr>
      </w:pPr>
      <w:r w:rsidRPr="00CC628C">
        <w:rPr>
          <w:b/>
          <w:bCs/>
        </w:rPr>
        <w:t>Working Party on Lighting and Light-Signalling</w:t>
      </w:r>
    </w:p>
    <w:p w:rsidR="00CC628C" w:rsidRPr="00CC628C" w:rsidRDefault="00CC628C" w:rsidP="00CC628C">
      <w:pPr>
        <w:rPr>
          <w:b/>
          <w:lang w:val="en-US"/>
        </w:rPr>
      </w:pPr>
      <w:r w:rsidRPr="00CC628C">
        <w:rPr>
          <w:b/>
          <w:lang w:val="en-US"/>
        </w:rPr>
        <w:t xml:space="preserve">Seventy-second </w:t>
      </w:r>
      <w:proofErr w:type="gramStart"/>
      <w:r w:rsidRPr="00CC628C">
        <w:rPr>
          <w:b/>
          <w:lang w:val="en-US"/>
        </w:rPr>
        <w:t>session</w:t>
      </w:r>
      <w:proofErr w:type="gramEnd"/>
    </w:p>
    <w:p w:rsidR="00CC628C" w:rsidRPr="00CC628C" w:rsidRDefault="00CC628C" w:rsidP="00CC628C">
      <w:pPr>
        <w:rPr>
          <w:bCs/>
          <w:lang w:val="en-US"/>
        </w:rPr>
      </w:pPr>
      <w:r w:rsidRPr="00CC628C">
        <w:rPr>
          <w:lang w:val="en-US"/>
        </w:rPr>
        <w:t>Geneva</w:t>
      </w:r>
      <w:r w:rsidRPr="00CC628C">
        <w:rPr>
          <w:bCs/>
          <w:lang w:val="en-US"/>
        </w:rPr>
        <w:t>, 20–22 October 2014</w:t>
      </w:r>
    </w:p>
    <w:p w:rsidR="00367963" w:rsidRDefault="00CC628C" w:rsidP="00CC628C">
      <w:pPr>
        <w:ind w:right="1134"/>
        <w:rPr>
          <w:b/>
          <w:bCs/>
          <w:lang w:val="en-US"/>
        </w:rPr>
      </w:pPr>
      <w:r w:rsidRPr="00CC628C">
        <w:rPr>
          <w:bCs/>
          <w:lang w:val="en-US"/>
        </w:rPr>
        <w:t>Item 4 (</w:t>
      </w:r>
      <w:proofErr w:type="spellStart"/>
      <w:r w:rsidRPr="00CC628C">
        <w:rPr>
          <w:bCs/>
          <w:lang w:val="en-US"/>
        </w:rPr>
        <w:t>i</w:t>
      </w:r>
      <w:proofErr w:type="spellEnd"/>
      <w:r w:rsidRPr="00CC628C">
        <w:rPr>
          <w:bCs/>
          <w:lang w:val="en-US"/>
        </w:rPr>
        <w:t>) (</w:t>
      </w:r>
      <w:proofErr w:type="gramStart"/>
      <w:r w:rsidRPr="00CC628C">
        <w:rPr>
          <w:bCs/>
          <w:lang w:val="en-US"/>
        </w:rPr>
        <w:t>iv</w:t>
      </w:r>
      <w:proofErr w:type="gramEnd"/>
      <w:r w:rsidRPr="00CC628C">
        <w:rPr>
          <w:bCs/>
          <w:lang w:val="en-US"/>
        </w:rPr>
        <w:t>) of the provisional agenda</w:t>
      </w:r>
      <w:r w:rsidRPr="00CC628C">
        <w:rPr>
          <w:bCs/>
          <w:lang w:val="en-US"/>
        </w:rPr>
        <w:br/>
      </w:r>
      <w:r w:rsidR="00367963">
        <w:rPr>
          <w:b/>
          <w:bCs/>
          <w:lang w:val="en-US"/>
        </w:rPr>
        <w:t>1958 Agreement - Regulations</w:t>
      </w:r>
    </w:p>
    <w:p w:rsidR="00CC628C" w:rsidRPr="00CC628C" w:rsidRDefault="00CC628C" w:rsidP="00CC628C">
      <w:pPr>
        <w:ind w:right="1134"/>
        <w:rPr>
          <w:bCs/>
          <w:lang w:val="en-US"/>
        </w:rPr>
      </w:pPr>
      <w:r w:rsidRPr="00CC628C">
        <w:rPr>
          <w:b/>
          <w:bCs/>
          <w:lang w:val="en-US"/>
        </w:rPr>
        <w:t>Other business – Any other business</w:t>
      </w:r>
    </w:p>
    <w:p w:rsidR="006D66AF" w:rsidRPr="00CC628C" w:rsidRDefault="006D66AF" w:rsidP="006810B6">
      <w:pPr>
        <w:pStyle w:val="HChG"/>
      </w:pPr>
      <w:r w:rsidRPr="00CC628C">
        <w:rPr>
          <w:lang w:val="en-US"/>
        </w:rPr>
        <w:tab/>
      </w:r>
      <w:r w:rsidRPr="00CC628C">
        <w:rPr>
          <w:lang w:val="en-US"/>
        </w:rPr>
        <w:tab/>
      </w:r>
      <w:r w:rsidR="00D452D8" w:rsidRPr="00CC628C">
        <w:t xml:space="preserve">Proposal for Supplement </w:t>
      </w:r>
      <w:r w:rsidR="00234770" w:rsidRPr="00CC628C">
        <w:t>7</w:t>
      </w:r>
      <w:r w:rsidR="00D452D8" w:rsidRPr="00CC628C">
        <w:t xml:space="preserve"> to the 0</w:t>
      </w:r>
      <w:r w:rsidR="00E6752F" w:rsidRPr="00CC628C">
        <w:t>1</w:t>
      </w:r>
      <w:r w:rsidR="00D452D8" w:rsidRPr="00CC628C">
        <w:t xml:space="preserve"> </w:t>
      </w:r>
      <w:r w:rsidR="00CC628C" w:rsidRPr="00CC628C">
        <w:t>s</w:t>
      </w:r>
      <w:r w:rsidR="00D452D8" w:rsidRPr="00CC628C">
        <w:t>eries</w:t>
      </w:r>
      <w:r w:rsidR="00CC628C" w:rsidRPr="00CC628C">
        <w:t xml:space="preserve"> of amendments to</w:t>
      </w:r>
      <w:r w:rsidR="00D452D8" w:rsidRPr="00CC628C">
        <w:t xml:space="preserve"> Regulation No.</w:t>
      </w:r>
      <w:r w:rsidR="00F923C4" w:rsidRPr="00CC628C">
        <w:t xml:space="preserve"> </w:t>
      </w:r>
      <w:r w:rsidR="00234770" w:rsidRPr="00CC628C">
        <w:t>123</w:t>
      </w:r>
      <w:r w:rsidR="00E6752F" w:rsidRPr="00CC628C">
        <w:t xml:space="preserve"> (</w:t>
      </w:r>
      <w:r w:rsidR="00234770" w:rsidRPr="00CC628C">
        <w:t>Adaptive front-lighting systems (AFS)</w:t>
      </w:r>
      <w:r w:rsidR="00E6752F" w:rsidRPr="00CC628C">
        <w:t>)</w:t>
      </w:r>
    </w:p>
    <w:p w:rsidR="006D66AF" w:rsidRPr="00CC628C" w:rsidRDefault="0068000A" w:rsidP="0068000A">
      <w:pPr>
        <w:pStyle w:val="H1G"/>
        <w:ind w:firstLine="0"/>
        <w:rPr>
          <w:szCs w:val="24"/>
          <w:lang w:val="en-US"/>
        </w:rPr>
      </w:pPr>
      <w:r w:rsidRPr="00CC628C">
        <w:rPr>
          <w:szCs w:val="24"/>
          <w:lang w:val="en-US"/>
        </w:rPr>
        <w:t>Submitted by the expert from the International Automotive Lighting and Light Signalling Expert Group (GTB</w:t>
      </w:r>
      <w:r w:rsidR="00A91E4C" w:rsidRPr="00CC628C">
        <w:rPr>
          <w:szCs w:val="24"/>
          <w:lang w:val="en-US"/>
        </w:rPr>
        <w:t>)</w:t>
      </w:r>
      <w:r w:rsidR="006D66AF" w:rsidRPr="00CC628C">
        <w:rPr>
          <w:rStyle w:val="FootnoteReference"/>
          <w:b w:val="0"/>
          <w:szCs w:val="24"/>
          <w:lang w:val="en-US"/>
        </w:rPr>
        <w:footnoteReference w:customMarkFollows="1" w:id="2"/>
        <w:t>*</w:t>
      </w:r>
    </w:p>
    <w:p w:rsidR="006D66AF" w:rsidRPr="00CC628C" w:rsidRDefault="00B05BC8" w:rsidP="006D66AF">
      <w:pPr>
        <w:tabs>
          <w:tab w:val="left" w:pos="8505"/>
        </w:tabs>
        <w:ind w:left="1134" w:right="1134" w:firstLine="567"/>
        <w:jc w:val="both"/>
        <w:rPr>
          <w:lang w:val="en-US"/>
        </w:rPr>
      </w:pPr>
      <w:r w:rsidRPr="00CC628C">
        <w:t xml:space="preserve">The text reproduced below was prepared by the expert from the GTB to amend the requirements for </w:t>
      </w:r>
      <w:r w:rsidR="00367963">
        <w:t xml:space="preserve">the </w:t>
      </w:r>
      <w:r w:rsidRPr="00CC628C">
        <w:t>mixture</w:t>
      </w:r>
      <w:r w:rsidR="006608AB" w:rsidRPr="00CC628C">
        <w:t xml:space="preserve"> </w:t>
      </w:r>
      <w:r w:rsidR="00367963">
        <w:t xml:space="preserve">for the </w:t>
      </w:r>
      <w:r w:rsidR="00367963" w:rsidRPr="00CC628C">
        <w:t xml:space="preserve">dirt test </w:t>
      </w:r>
      <w:r w:rsidR="006608AB" w:rsidRPr="00CC628C">
        <w:t xml:space="preserve">and to simplify the measurement of the objective luminous flux of </w:t>
      </w:r>
      <w:r w:rsidR="00CC628C" w:rsidRPr="00CC628C">
        <w:t>light emitting diode (</w:t>
      </w:r>
      <w:r w:rsidR="006608AB" w:rsidRPr="00CC628C">
        <w:t>LED</w:t>
      </w:r>
      <w:r w:rsidR="00CC628C" w:rsidRPr="00CC628C">
        <w:t>)</w:t>
      </w:r>
      <w:r w:rsidR="006608AB" w:rsidRPr="00CC628C">
        <w:t xml:space="preserve"> module(s)</w:t>
      </w:r>
      <w:r w:rsidR="00234770" w:rsidRPr="00CC628C">
        <w:t xml:space="preserve"> and correct the</w:t>
      </w:r>
      <w:r w:rsidR="00CC628C" w:rsidRPr="00CC628C">
        <w:t xml:space="preserve"> ultraviolet</w:t>
      </w:r>
      <w:r w:rsidR="00234770" w:rsidRPr="00CC628C">
        <w:t xml:space="preserve"> </w:t>
      </w:r>
      <w:r w:rsidR="00CC628C" w:rsidRPr="00CC628C">
        <w:t>(</w:t>
      </w:r>
      <w:r w:rsidR="00234770" w:rsidRPr="00CC628C">
        <w:t>UV</w:t>
      </w:r>
      <w:r w:rsidR="00CC628C" w:rsidRPr="00CC628C">
        <w:t>)</w:t>
      </w:r>
      <w:r w:rsidR="00234770" w:rsidRPr="00CC628C">
        <w:t xml:space="preserve"> table</w:t>
      </w:r>
      <w:r w:rsidRPr="00CC628C">
        <w:t>. The modifications to the existing text of the Regulation are marked in bold for new or strikethrough for deleted characters</w:t>
      </w:r>
      <w:r w:rsidRPr="00CC628C">
        <w:rPr>
          <w:lang w:val="en-US"/>
        </w:rPr>
        <w:t>.</w:t>
      </w:r>
    </w:p>
    <w:p w:rsidR="00A5414C" w:rsidRPr="00CC628C" w:rsidRDefault="006D66AF" w:rsidP="00A5414C">
      <w:pPr>
        <w:pStyle w:val="HChG"/>
        <w:rPr>
          <w:lang w:val="en-US"/>
        </w:rPr>
      </w:pPr>
      <w:r w:rsidRPr="00CC628C">
        <w:rPr>
          <w:b w:val="0"/>
          <w:lang w:val="en-US"/>
        </w:rPr>
        <w:br w:type="page"/>
      </w:r>
      <w:r w:rsidR="0003056C" w:rsidRPr="00CC628C">
        <w:rPr>
          <w:lang w:val="en-US"/>
        </w:rPr>
        <w:lastRenderedPageBreak/>
        <w:tab/>
      </w:r>
      <w:r w:rsidR="00A5414C" w:rsidRPr="00CC628C">
        <w:rPr>
          <w:lang w:val="en-US"/>
        </w:rPr>
        <w:t>I.</w:t>
      </w:r>
      <w:r w:rsidR="00A5414C" w:rsidRPr="00CC628C">
        <w:rPr>
          <w:b w:val="0"/>
          <w:lang w:val="en-US"/>
        </w:rPr>
        <w:tab/>
      </w:r>
      <w:r w:rsidR="00A5414C" w:rsidRPr="00CC628C">
        <w:rPr>
          <w:lang w:val="en-US"/>
        </w:rPr>
        <w:t>Proposal</w:t>
      </w:r>
    </w:p>
    <w:p w:rsidR="00A5414C" w:rsidRPr="00CC628C" w:rsidRDefault="00B05BC8" w:rsidP="0016538B">
      <w:pPr>
        <w:pStyle w:val="SingleTxtG"/>
        <w:ind w:right="-40"/>
        <w:rPr>
          <w:lang w:val="en-US"/>
        </w:rPr>
      </w:pPr>
      <w:r w:rsidRPr="00CC628C">
        <w:rPr>
          <w:i/>
          <w:iCs/>
          <w:lang w:val="en-US"/>
        </w:rPr>
        <w:t xml:space="preserve">Annex 4, </w:t>
      </w:r>
      <w:r w:rsidR="00CC628C">
        <w:rPr>
          <w:i/>
          <w:iCs/>
          <w:lang w:val="en-US"/>
        </w:rPr>
        <w:t>p</w:t>
      </w:r>
      <w:r w:rsidR="00A5414C" w:rsidRPr="00CC628C">
        <w:rPr>
          <w:i/>
          <w:iCs/>
          <w:lang w:val="en-US"/>
        </w:rPr>
        <w:t>aragraph</w:t>
      </w:r>
      <w:r w:rsidR="00B42C7E" w:rsidRPr="00CC628C">
        <w:rPr>
          <w:i/>
          <w:iCs/>
          <w:lang w:val="en-US"/>
        </w:rPr>
        <w:t xml:space="preserve"> </w:t>
      </w:r>
      <w:r w:rsidR="00234770" w:rsidRPr="00CC628C">
        <w:rPr>
          <w:i/>
          <w:iCs/>
          <w:lang w:val="en-US"/>
        </w:rPr>
        <w:t>1.2.1</w:t>
      </w:r>
      <w:r w:rsidR="00A5414C" w:rsidRPr="00CC628C">
        <w:rPr>
          <w:i/>
          <w:iCs/>
          <w:lang w:val="en-US"/>
        </w:rPr>
        <w:t>.</w:t>
      </w:r>
      <w:r w:rsidR="00A5414C" w:rsidRPr="00CC628C">
        <w:rPr>
          <w:lang w:val="en-US"/>
        </w:rPr>
        <w:t xml:space="preserve">, </w:t>
      </w:r>
      <w:proofErr w:type="gramStart"/>
      <w:r w:rsidR="00A5414C" w:rsidRPr="00CC628C">
        <w:rPr>
          <w:lang w:val="en-US"/>
        </w:rPr>
        <w:t>amend</w:t>
      </w:r>
      <w:proofErr w:type="gramEnd"/>
      <w:r w:rsidR="00A5414C" w:rsidRPr="00CC628C">
        <w:rPr>
          <w:lang w:val="en-US"/>
        </w:rPr>
        <w:t xml:space="preserve"> to read:</w:t>
      </w:r>
    </w:p>
    <w:p w:rsidR="00234770" w:rsidRPr="00CC628C" w:rsidRDefault="005A1035" w:rsidP="006E683C">
      <w:pPr>
        <w:pStyle w:val="para"/>
      </w:pPr>
      <w:r w:rsidRPr="00CC628C">
        <w:t>“</w:t>
      </w:r>
      <w:r w:rsidR="00234770" w:rsidRPr="00CC628C">
        <w:t>1.2.1.</w:t>
      </w:r>
      <w:r w:rsidR="00234770" w:rsidRPr="00CC628C">
        <w:tab/>
        <w:t>Preparation of the test sample</w:t>
      </w:r>
    </w:p>
    <w:p w:rsidR="00234770" w:rsidRPr="00CC628C" w:rsidRDefault="00234770" w:rsidP="006E683C">
      <w:pPr>
        <w:spacing w:after="120"/>
        <w:ind w:left="2268" w:right="1134" w:hanging="1134"/>
        <w:jc w:val="both"/>
      </w:pPr>
      <w:r w:rsidRPr="00CC628C">
        <w:tab/>
        <w:t>Test mixture</w:t>
      </w:r>
    </w:p>
    <w:p w:rsidR="00234770" w:rsidRPr="00CC628C" w:rsidRDefault="00234770" w:rsidP="006E683C">
      <w:pPr>
        <w:spacing w:after="120"/>
        <w:ind w:left="2268" w:right="1134" w:hanging="1134"/>
        <w:jc w:val="both"/>
      </w:pPr>
      <w:r w:rsidRPr="00CC628C">
        <w:t xml:space="preserve">1.2.1.1. </w:t>
      </w:r>
      <w:r w:rsidRPr="00CC628C">
        <w:tab/>
        <w:t>For a system or parts thereof with the outside lens in glass, a mixture of water and polluting agent to be applied to the test sample shall be composed of:</w:t>
      </w:r>
    </w:p>
    <w:p w:rsidR="00234770" w:rsidRPr="00CC628C" w:rsidRDefault="00234770" w:rsidP="006E683C">
      <w:pPr>
        <w:spacing w:after="120"/>
        <w:ind w:left="2268" w:right="1134"/>
        <w:jc w:val="both"/>
      </w:pPr>
      <w:r w:rsidRPr="00CC628C">
        <w:t xml:space="preserve">9 parts by weight of silica sand with a particle size of 0-100 micro meter </w:t>
      </w:r>
      <w:r w:rsidRPr="00CC628C">
        <w:rPr>
          <w:strike/>
        </w:rPr>
        <w:t>corresponding to distribution prescribed in paragraph 1.2.1.3</w:t>
      </w:r>
      <w:proofErr w:type="gramStart"/>
      <w:r w:rsidRPr="00CC628C">
        <w:rPr>
          <w:strike/>
        </w:rPr>
        <w:t>.</w:t>
      </w:r>
      <w:r w:rsidRPr="00CC628C">
        <w:t>;</w:t>
      </w:r>
      <w:proofErr w:type="gramEnd"/>
    </w:p>
    <w:p w:rsidR="00234770" w:rsidRPr="00CC628C" w:rsidRDefault="00234770" w:rsidP="006E683C">
      <w:pPr>
        <w:spacing w:after="120"/>
        <w:ind w:left="2268" w:right="1134"/>
        <w:jc w:val="both"/>
      </w:pPr>
      <w:r w:rsidRPr="00CC628C">
        <w:t xml:space="preserve">1 part by weight of vegetable carbon dust </w:t>
      </w:r>
      <w:r w:rsidRPr="00CC628C">
        <w:rPr>
          <w:b/>
        </w:rPr>
        <w:t>produced from</w:t>
      </w:r>
      <w:r w:rsidRPr="00CC628C">
        <w:t xml:space="preserve"> </w:t>
      </w:r>
      <w:r w:rsidRPr="00CC628C">
        <w:rPr>
          <w:b/>
          <w:strike/>
        </w:rPr>
        <w:t>(</w:t>
      </w:r>
      <w:r w:rsidRPr="00CC628C">
        <w:t>beech wood</w:t>
      </w:r>
      <w:r w:rsidRPr="00CC628C">
        <w:rPr>
          <w:b/>
          <w:strike/>
        </w:rPr>
        <w:t>)</w:t>
      </w:r>
      <w:r w:rsidRPr="00CC628C">
        <w:t xml:space="preserve"> with a particle size of 0-100 micro meter;</w:t>
      </w:r>
    </w:p>
    <w:p w:rsidR="00234770" w:rsidRPr="00CC628C" w:rsidRDefault="00234770" w:rsidP="006E683C">
      <w:pPr>
        <w:spacing w:after="120"/>
        <w:ind w:left="2268" w:right="1134"/>
        <w:jc w:val="both"/>
      </w:pPr>
      <w:r w:rsidRPr="00CC628C">
        <w:t>0.2 parts by weight of NaCMC</w:t>
      </w:r>
      <w:r w:rsidRPr="00CC628C">
        <w:rPr>
          <w:vertAlign w:val="superscript"/>
        </w:rPr>
        <w:t>5</w:t>
      </w:r>
      <w:r w:rsidRPr="00CC628C">
        <w:t xml:space="preserve">, and </w:t>
      </w:r>
    </w:p>
    <w:p w:rsidR="00234770" w:rsidRPr="00CC628C" w:rsidRDefault="00234770" w:rsidP="006E683C">
      <w:pPr>
        <w:spacing w:after="120"/>
        <w:ind w:left="2268" w:right="1134"/>
        <w:jc w:val="both"/>
        <w:rPr>
          <w:b/>
        </w:rPr>
      </w:pPr>
      <w:r w:rsidRPr="00CC628C">
        <w:rPr>
          <w:b/>
        </w:rPr>
        <w:t>5 parts by weight of sodium chloride (pure at 99 per cent);</w:t>
      </w:r>
    </w:p>
    <w:p w:rsidR="00234770" w:rsidRPr="00CC628C" w:rsidRDefault="00234770" w:rsidP="006E683C">
      <w:pPr>
        <w:spacing w:after="120"/>
        <w:ind w:left="2268" w:right="1134"/>
        <w:jc w:val="both"/>
      </w:pPr>
      <w:proofErr w:type="gramStart"/>
      <w:r w:rsidRPr="00CC628C">
        <w:t>an</w:t>
      </w:r>
      <w:proofErr w:type="gramEnd"/>
      <w:r w:rsidRPr="00CC628C">
        <w:t xml:space="preserve"> appropriate quantity of distilled water with a conductivity of less than 1 </w:t>
      </w:r>
      <w:proofErr w:type="spellStart"/>
      <w:r w:rsidRPr="00CC628C">
        <w:t>mS</w:t>
      </w:r>
      <w:proofErr w:type="spellEnd"/>
      <w:r w:rsidRPr="00CC628C">
        <w:t>/m.</w:t>
      </w:r>
    </w:p>
    <w:p w:rsidR="00234770" w:rsidRPr="00CC628C" w:rsidRDefault="00234770" w:rsidP="006E683C">
      <w:pPr>
        <w:spacing w:after="120"/>
        <w:ind w:left="2268" w:right="1134" w:hanging="1134"/>
        <w:jc w:val="both"/>
      </w:pPr>
      <w:r w:rsidRPr="00CC628C">
        <w:t xml:space="preserve">1.2.1.2. </w:t>
      </w:r>
      <w:r w:rsidRPr="00CC628C">
        <w:tab/>
        <w:t>For a system or parts thereof with the outside lens in plastic material, the mixture of water and polluting agent to be applied to the test sample shall be composed of:</w:t>
      </w:r>
    </w:p>
    <w:p w:rsidR="00234770" w:rsidRPr="00CC628C" w:rsidRDefault="00234770" w:rsidP="006E683C">
      <w:pPr>
        <w:spacing w:after="120"/>
        <w:ind w:left="2268" w:right="1134"/>
        <w:jc w:val="both"/>
      </w:pPr>
      <w:r w:rsidRPr="00CC628C">
        <w:t xml:space="preserve">9 parts by weight of silica sand with a particle size of 0-100 micro meter </w:t>
      </w:r>
      <w:r w:rsidRPr="00CC628C">
        <w:rPr>
          <w:strike/>
        </w:rPr>
        <w:t>corresponding to distribution prescribed in paragraph 1.2.1.3</w:t>
      </w:r>
      <w:r w:rsidRPr="00CC628C">
        <w:t>;</w:t>
      </w:r>
    </w:p>
    <w:p w:rsidR="00234770" w:rsidRPr="00CC628C" w:rsidRDefault="00234770" w:rsidP="006E683C">
      <w:pPr>
        <w:spacing w:after="120"/>
        <w:ind w:left="2268" w:right="1134"/>
        <w:jc w:val="both"/>
      </w:pPr>
      <w:r w:rsidRPr="00CC628C">
        <w:t xml:space="preserve">1 part by weight of vegetable carbon dust </w:t>
      </w:r>
      <w:r w:rsidRPr="00CC628C">
        <w:rPr>
          <w:b/>
        </w:rPr>
        <w:t>produced from</w:t>
      </w:r>
      <w:r w:rsidRPr="00CC628C">
        <w:t xml:space="preserve"> </w:t>
      </w:r>
      <w:r w:rsidRPr="00CC628C">
        <w:rPr>
          <w:b/>
          <w:strike/>
        </w:rPr>
        <w:t>(</w:t>
      </w:r>
      <w:r w:rsidRPr="00CC628C">
        <w:t>beech wood</w:t>
      </w:r>
      <w:r w:rsidRPr="00CC628C">
        <w:rPr>
          <w:b/>
          <w:strike/>
        </w:rPr>
        <w:t>)</w:t>
      </w:r>
      <w:r w:rsidRPr="00CC628C">
        <w:t xml:space="preserve"> with a particle size of 0-100 micro meter;</w:t>
      </w:r>
    </w:p>
    <w:p w:rsidR="00234770" w:rsidRPr="00CC628C" w:rsidRDefault="00234770" w:rsidP="006E683C">
      <w:pPr>
        <w:spacing w:after="120"/>
        <w:ind w:left="2268" w:right="1134"/>
        <w:jc w:val="both"/>
      </w:pPr>
      <w:r w:rsidRPr="00CC628C">
        <w:t>0.2 parts by weight of NaCMC</w:t>
      </w:r>
      <w:r w:rsidRPr="00CC628C">
        <w:rPr>
          <w:vertAlign w:val="superscript"/>
        </w:rPr>
        <w:t>5</w:t>
      </w:r>
      <w:r w:rsidRPr="00CC628C">
        <w:t>;</w:t>
      </w:r>
    </w:p>
    <w:p w:rsidR="00234770" w:rsidRPr="00CC628C" w:rsidRDefault="00234770" w:rsidP="006E683C">
      <w:pPr>
        <w:spacing w:after="120"/>
        <w:ind w:left="2268" w:right="1134"/>
        <w:jc w:val="both"/>
      </w:pPr>
      <w:r w:rsidRPr="00CC628C">
        <w:t>5 parts by weight of sodium chloride (pure at 99 per cent);</w:t>
      </w:r>
    </w:p>
    <w:p w:rsidR="00234770" w:rsidRPr="00CC628C" w:rsidRDefault="00234770" w:rsidP="006E683C">
      <w:pPr>
        <w:spacing w:after="120"/>
        <w:ind w:left="2268" w:right="1134"/>
        <w:jc w:val="both"/>
      </w:pPr>
      <w:r w:rsidRPr="00CC628C">
        <w:t xml:space="preserve">13 parts by weight of distilled water with a conductivity of less than 1 </w:t>
      </w:r>
      <w:proofErr w:type="spellStart"/>
      <w:r w:rsidRPr="00CC628C">
        <w:t>mS</w:t>
      </w:r>
      <w:proofErr w:type="spellEnd"/>
      <w:r w:rsidRPr="00CC628C">
        <w:t>/m; and</w:t>
      </w:r>
    </w:p>
    <w:p w:rsidR="007E06B5" w:rsidRPr="00CC628C" w:rsidRDefault="007E06B5" w:rsidP="007E06B5">
      <w:pPr>
        <w:spacing w:after="120"/>
        <w:ind w:left="2268" w:right="1134"/>
        <w:jc w:val="both"/>
        <w:rPr>
          <w:b/>
          <w:sz w:val="18"/>
          <w:vertAlign w:val="superscript"/>
        </w:rPr>
      </w:pPr>
      <w:r w:rsidRPr="00CC628C">
        <w:t>2 + 1 parts by weight of surface-</w:t>
      </w:r>
      <w:proofErr w:type="spellStart"/>
      <w:r w:rsidRPr="00CC628C">
        <w:t>actant</w:t>
      </w:r>
      <w:proofErr w:type="spellEnd"/>
      <w:r w:rsidR="00CC628C">
        <w:t>.</w:t>
      </w:r>
      <w:r w:rsidR="00A34109" w:rsidRPr="00CC628C">
        <w:rPr>
          <w:b/>
          <w:sz w:val="18"/>
          <w:vertAlign w:val="superscript"/>
        </w:rPr>
        <w:t xml:space="preserve"> 6</w:t>
      </w:r>
    </w:p>
    <w:p w:rsidR="00A34109" w:rsidRPr="00CC628C" w:rsidRDefault="00A34109" w:rsidP="00A34109">
      <w:pPr>
        <w:spacing w:after="120"/>
        <w:ind w:right="1134" w:firstLine="1080"/>
        <w:jc w:val="both"/>
        <w:rPr>
          <w:i/>
        </w:rPr>
      </w:pPr>
      <w:r w:rsidRPr="00CC628C">
        <w:rPr>
          <w:i/>
        </w:rPr>
        <w:t xml:space="preserve">Add a footnote 6, </w:t>
      </w:r>
      <w:r w:rsidRPr="00CC628C">
        <w:t>to read;</w:t>
      </w:r>
    </w:p>
    <w:p w:rsidR="00A34109" w:rsidRPr="00CC628C" w:rsidRDefault="00A34109" w:rsidP="00A34109">
      <w:pPr>
        <w:spacing w:after="120"/>
        <w:ind w:left="2268" w:right="1134"/>
        <w:jc w:val="both"/>
        <w:rPr>
          <w:b/>
        </w:rPr>
      </w:pPr>
      <w:r w:rsidRPr="00CC628C">
        <w:rPr>
          <w:b/>
        </w:rPr>
        <w:t xml:space="preserve">“ </w:t>
      </w:r>
      <w:r w:rsidRPr="00CC628C">
        <w:rPr>
          <w:rStyle w:val="FootnoteReference"/>
          <w:b/>
        </w:rPr>
        <w:t>6</w:t>
      </w:r>
      <w:r w:rsidRPr="00CC628C">
        <w:rPr>
          <w:b/>
        </w:rPr>
        <w:t xml:space="preserve"> </w:t>
      </w:r>
      <w:r w:rsidRPr="00CC628C">
        <w:rPr>
          <w:b/>
        </w:rPr>
        <w:tab/>
        <w:t>The tolerance on quantity is due to the necessity of obtaining dirt that correctly spreads out on all types of plastic lens.”</w:t>
      </w:r>
    </w:p>
    <w:p w:rsidR="00A34109" w:rsidRPr="00CC628C" w:rsidRDefault="00A34109" w:rsidP="007E06B5">
      <w:pPr>
        <w:spacing w:after="120"/>
        <w:ind w:left="2268" w:right="1134"/>
        <w:jc w:val="both"/>
      </w:pPr>
    </w:p>
    <w:p w:rsidR="00234770" w:rsidRPr="00CC628C" w:rsidRDefault="00234770" w:rsidP="006E683C">
      <w:pPr>
        <w:spacing w:after="120"/>
        <w:ind w:left="2268" w:right="1134" w:hanging="1134"/>
        <w:jc w:val="both"/>
        <w:rPr>
          <w:strike/>
        </w:rPr>
      </w:pPr>
      <w:r w:rsidRPr="00CC628C">
        <w:rPr>
          <w:strike/>
        </w:rPr>
        <w:t>1.2.1.3.</w:t>
      </w:r>
      <w:r w:rsidRPr="00CC628C">
        <w:rPr>
          <w:strike/>
        </w:rPr>
        <w:tab/>
        <w:t>Particle-size distribution</w:t>
      </w:r>
    </w:p>
    <w:tbl>
      <w:tblPr>
        <w:tblW w:w="5685" w:type="dxa"/>
        <w:tblInd w:w="2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4"/>
        <w:gridCol w:w="2841"/>
      </w:tblGrid>
      <w:tr w:rsidR="00234770" w:rsidRPr="00CC628C" w:rsidTr="00FA576E">
        <w:trPr>
          <w:trHeight w:hRule="exact" w:val="300"/>
          <w:tblHeader/>
        </w:trPr>
        <w:tc>
          <w:tcPr>
            <w:tcW w:w="2844" w:type="dxa"/>
            <w:shd w:val="clear" w:color="auto" w:fill="auto"/>
            <w:vAlign w:val="bottom"/>
          </w:tcPr>
          <w:p w:rsidR="00234770" w:rsidRPr="00CC628C" w:rsidRDefault="00234770" w:rsidP="006E683C">
            <w:pPr>
              <w:numPr>
                <w:ilvl w:val="0"/>
                <w:numId w:val="13"/>
              </w:numPr>
              <w:tabs>
                <w:tab w:val="clear" w:pos="1440"/>
              </w:tabs>
              <w:suppressAutoHyphens w:val="0"/>
              <w:spacing w:after="120"/>
              <w:ind w:left="113" w:right="113"/>
              <w:rPr>
                <w:i/>
                <w:strike/>
              </w:rPr>
            </w:pPr>
            <w:r w:rsidRPr="00CC628C">
              <w:rPr>
                <w:i/>
                <w:strike/>
              </w:rPr>
              <w:t xml:space="preserve">Particle size (in </w:t>
            </w:r>
            <w:r w:rsidRPr="00CC628C">
              <w:rPr>
                <w:i/>
                <w:strike/>
              </w:rPr>
              <w:sym w:font="Symbol" w:char="F06D"/>
            </w:r>
            <w:r w:rsidRPr="00CC628C">
              <w:rPr>
                <w:i/>
                <w:strike/>
              </w:rPr>
              <w:t>m)</w:t>
            </w:r>
          </w:p>
        </w:tc>
        <w:tc>
          <w:tcPr>
            <w:tcW w:w="2841" w:type="dxa"/>
            <w:shd w:val="clear" w:color="auto" w:fill="auto"/>
            <w:vAlign w:val="bottom"/>
          </w:tcPr>
          <w:p w:rsidR="00234770" w:rsidRPr="00CC628C" w:rsidRDefault="00234770" w:rsidP="006E683C">
            <w:pPr>
              <w:numPr>
                <w:ilvl w:val="0"/>
                <w:numId w:val="13"/>
              </w:numPr>
              <w:tabs>
                <w:tab w:val="clear" w:pos="1440"/>
              </w:tabs>
              <w:suppressAutoHyphens w:val="0"/>
              <w:spacing w:after="120"/>
              <w:ind w:left="113" w:right="113"/>
              <w:jc w:val="right"/>
              <w:rPr>
                <w:i/>
                <w:strike/>
              </w:rPr>
            </w:pPr>
            <w:r w:rsidRPr="00CC628C">
              <w:rPr>
                <w:i/>
                <w:strike/>
              </w:rPr>
              <w:t>Particle-size distribution in (%)</w:t>
            </w:r>
          </w:p>
        </w:tc>
      </w:tr>
      <w:tr w:rsidR="00234770" w:rsidRPr="00CC628C" w:rsidTr="00FA576E">
        <w:trPr>
          <w:trHeight w:hRule="exact" w:val="300"/>
        </w:trPr>
        <w:tc>
          <w:tcPr>
            <w:tcW w:w="2844" w:type="dxa"/>
            <w:shd w:val="clear" w:color="auto" w:fill="auto"/>
          </w:tcPr>
          <w:p w:rsidR="00234770" w:rsidRPr="00CC628C" w:rsidRDefault="00234770" w:rsidP="006E683C">
            <w:pPr>
              <w:numPr>
                <w:ilvl w:val="0"/>
                <w:numId w:val="13"/>
              </w:numPr>
              <w:tabs>
                <w:tab w:val="clear" w:pos="1440"/>
              </w:tabs>
              <w:suppressAutoHyphens w:val="0"/>
              <w:spacing w:after="120"/>
              <w:ind w:left="113" w:right="113"/>
              <w:rPr>
                <w:strike/>
              </w:rPr>
            </w:pPr>
            <w:r w:rsidRPr="00CC628C">
              <w:rPr>
                <w:strike/>
              </w:rPr>
              <w:t>0 to 5</w:t>
            </w:r>
          </w:p>
        </w:tc>
        <w:tc>
          <w:tcPr>
            <w:tcW w:w="2841" w:type="dxa"/>
            <w:shd w:val="clear" w:color="auto" w:fill="auto"/>
            <w:vAlign w:val="bottom"/>
          </w:tcPr>
          <w:p w:rsidR="00234770" w:rsidRPr="00CC628C" w:rsidRDefault="00234770" w:rsidP="006E683C">
            <w:pPr>
              <w:numPr>
                <w:ilvl w:val="0"/>
                <w:numId w:val="13"/>
              </w:numPr>
              <w:tabs>
                <w:tab w:val="clear" w:pos="1440"/>
              </w:tabs>
              <w:suppressAutoHyphens w:val="0"/>
              <w:spacing w:after="120"/>
              <w:ind w:left="113" w:right="113"/>
              <w:jc w:val="right"/>
              <w:rPr>
                <w:strike/>
              </w:rPr>
            </w:pPr>
            <w:r w:rsidRPr="00CC628C">
              <w:rPr>
                <w:strike/>
              </w:rPr>
              <w:t>12 ± 2</w:t>
            </w:r>
          </w:p>
        </w:tc>
      </w:tr>
      <w:tr w:rsidR="00234770" w:rsidRPr="00CC628C" w:rsidTr="00FA576E">
        <w:trPr>
          <w:trHeight w:hRule="exact" w:val="300"/>
        </w:trPr>
        <w:tc>
          <w:tcPr>
            <w:tcW w:w="2844" w:type="dxa"/>
            <w:shd w:val="clear" w:color="auto" w:fill="auto"/>
          </w:tcPr>
          <w:p w:rsidR="00234770" w:rsidRPr="00CC628C" w:rsidRDefault="00234770" w:rsidP="006E683C">
            <w:pPr>
              <w:numPr>
                <w:ilvl w:val="0"/>
                <w:numId w:val="13"/>
              </w:numPr>
              <w:tabs>
                <w:tab w:val="clear" w:pos="1440"/>
              </w:tabs>
              <w:suppressAutoHyphens w:val="0"/>
              <w:spacing w:after="120"/>
              <w:ind w:left="113" w:right="113"/>
              <w:rPr>
                <w:strike/>
              </w:rPr>
            </w:pPr>
            <w:r w:rsidRPr="00CC628C">
              <w:rPr>
                <w:strike/>
              </w:rPr>
              <w:t>5 to 10</w:t>
            </w:r>
          </w:p>
        </w:tc>
        <w:tc>
          <w:tcPr>
            <w:tcW w:w="2841" w:type="dxa"/>
            <w:shd w:val="clear" w:color="auto" w:fill="auto"/>
            <w:vAlign w:val="bottom"/>
          </w:tcPr>
          <w:p w:rsidR="00234770" w:rsidRPr="00CC628C" w:rsidRDefault="00234770" w:rsidP="006E683C">
            <w:pPr>
              <w:numPr>
                <w:ilvl w:val="0"/>
                <w:numId w:val="13"/>
              </w:numPr>
              <w:tabs>
                <w:tab w:val="clear" w:pos="1440"/>
              </w:tabs>
              <w:suppressAutoHyphens w:val="0"/>
              <w:spacing w:after="120"/>
              <w:ind w:left="113" w:right="113"/>
              <w:jc w:val="right"/>
              <w:rPr>
                <w:strike/>
              </w:rPr>
            </w:pPr>
            <w:r w:rsidRPr="00CC628C">
              <w:rPr>
                <w:strike/>
              </w:rPr>
              <w:t>12 ± 3</w:t>
            </w:r>
          </w:p>
        </w:tc>
      </w:tr>
      <w:tr w:rsidR="00234770" w:rsidRPr="00CC628C" w:rsidTr="00FA576E">
        <w:trPr>
          <w:trHeight w:hRule="exact" w:val="300"/>
        </w:trPr>
        <w:tc>
          <w:tcPr>
            <w:tcW w:w="2844" w:type="dxa"/>
            <w:shd w:val="clear" w:color="auto" w:fill="auto"/>
          </w:tcPr>
          <w:p w:rsidR="00234770" w:rsidRPr="00CC628C" w:rsidRDefault="00234770" w:rsidP="006E683C">
            <w:pPr>
              <w:numPr>
                <w:ilvl w:val="0"/>
                <w:numId w:val="13"/>
              </w:numPr>
              <w:tabs>
                <w:tab w:val="clear" w:pos="1440"/>
              </w:tabs>
              <w:suppressAutoHyphens w:val="0"/>
              <w:spacing w:after="120"/>
              <w:ind w:left="113" w:right="113"/>
              <w:rPr>
                <w:strike/>
              </w:rPr>
            </w:pPr>
            <w:r w:rsidRPr="00CC628C">
              <w:rPr>
                <w:strike/>
              </w:rPr>
              <w:t>10 to 20</w:t>
            </w:r>
          </w:p>
        </w:tc>
        <w:tc>
          <w:tcPr>
            <w:tcW w:w="2841" w:type="dxa"/>
            <w:shd w:val="clear" w:color="auto" w:fill="auto"/>
            <w:vAlign w:val="bottom"/>
          </w:tcPr>
          <w:p w:rsidR="00234770" w:rsidRPr="00CC628C" w:rsidRDefault="00234770" w:rsidP="006E683C">
            <w:pPr>
              <w:numPr>
                <w:ilvl w:val="0"/>
                <w:numId w:val="13"/>
              </w:numPr>
              <w:tabs>
                <w:tab w:val="clear" w:pos="1440"/>
              </w:tabs>
              <w:suppressAutoHyphens w:val="0"/>
              <w:spacing w:after="120"/>
              <w:ind w:left="113" w:right="113"/>
              <w:jc w:val="right"/>
              <w:rPr>
                <w:strike/>
              </w:rPr>
            </w:pPr>
            <w:r w:rsidRPr="00CC628C">
              <w:rPr>
                <w:strike/>
              </w:rPr>
              <w:t>14 ± 3</w:t>
            </w:r>
          </w:p>
        </w:tc>
      </w:tr>
      <w:tr w:rsidR="00234770" w:rsidRPr="00CC628C" w:rsidTr="00FA576E">
        <w:trPr>
          <w:trHeight w:hRule="exact" w:val="300"/>
        </w:trPr>
        <w:tc>
          <w:tcPr>
            <w:tcW w:w="2844" w:type="dxa"/>
            <w:shd w:val="clear" w:color="auto" w:fill="auto"/>
          </w:tcPr>
          <w:p w:rsidR="00234770" w:rsidRPr="00CC628C" w:rsidRDefault="00234770" w:rsidP="006E683C">
            <w:pPr>
              <w:numPr>
                <w:ilvl w:val="0"/>
                <w:numId w:val="13"/>
              </w:numPr>
              <w:tabs>
                <w:tab w:val="clear" w:pos="1440"/>
              </w:tabs>
              <w:suppressAutoHyphens w:val="0"/>
              <w:spacing w:after="120"/>
              <w:ind w:left="113" w:right="113"/>
              <w:rPr>
                <w:strike/>
              </w:rPr>
            </w:pPr>
            <w:r w:rsidRPr="00CC628C">
              <w:rPr>
                <w:strike/>
              </w:rPr>
              <w:t>20 to 40</w:t>
            </w:r>
          </w:p>
        </w:tc>
        <w:tc>
          <w:tcPr>
            <w:tcW w:w="2841" w:type="dxa"/>
            <w:shd w:val="clear" w:color="auto" w:fill="auto"/>
            <w:vAlign w:val="bottom"/>
          </w:tcPr>
          <w:p w:rsidR="00234770" w:rsidRPr="00CC628C" w:rsidRDefault="00234770" w:rsidP="006E683C">
            <w:pPr>
              <w:numPr>
                <w:ilvl w:val="0"/>
                <w:numId w:val="13"/>
              </w:numPr>
              <w:tabs>
                <w:tab w:val="clear" w:pos="1440"/>
              </w:tabs>
              <w:suppressAutoHyphens w:val="0"/>
              <w:spacing w:after="120"/>
              <w:ind w:left="113" w:right="113"/>
              <w:jc w:val="right"/>
              <w:rPr>
                <w:strike/>
              </w:rPr>
            </w:pPr>
            <w:r w:rsidRPr="00CC628C">
              <w:rPr>
                <w:strike/>
              </w:rPr>
              <w:t>23 ± 3</w:t>
            </w:r>
          </w:p>
        </w:tc>
      </w:tr>
      <w:tr w:rsidR="00234770" w:rsidRPr="00CC628C" w:rsidTr="00FA576E">
        <w:trPr>
          <w:trHeight w:hRule="exact" w:val="300"/>
        </w:trPr>
        <w:tc>
          <w:tcPr>
            <w:tcW w:w="2844" w:type="dxa"/>
            <w:shd w:val="clear" w:color="auto" w:fill="auto"/>
          </w:tcPr>
          <w:p w:rsidR="00234770" w:rsidRPr="00CC628C" w:rsidRDefault="00234770" w:rsidP="006E683C">
            <w:pPr>
              <w:numPr>
                <w:ilvl w:val="0"/>
                <w:numId w:val="13"/>
              </w:numPr>
              <w:tabs>
                <w:tab w:val="clear" w:pos="1440"/>
              </w:tabs>
              <w:suppressAutoHyphens w:val="0"/>
              <w:spacing w:after="120"/>
              <w:ind w:left="113" w:right="113"/>
              <w:rPr>
                <w:strike/>
              </w:rPr>
            </w:pPr>
            <w:r w:rsidRPr="00CC628C">
              <w:rPr>
                <w:strike/>
              </w:rPr>
              <w:t>40 to 80</w:t>
            </w:r>
          </w:p>
        </w:tc>
        <w:tc>
          <w:tcPr>
            <w:tcW w:w="2841" w:type="dxa"/>
            <w:shd w:val="clear" w:color="auto" w:fill="auto"/>
            <w:vAlign w:val="bottom"/>
          </w:tcPr>
          <w:p w:rsidR="00234770" w:rsidRPr="00CC628C" w:rsidRDefault="00234770" w:rsidP="006E683C">
            <w:pPr>
              <w:numPr>
                <w:ilvl w:val="0"/>
                <w:numId w:val="13"/>
              </w:numPr>
              <w:tabs>
                <w:tab w:val="clear" w:pos="1440"/>
              </w:tabs>
              <w:suppressAutoHyphens w:val="0"/>
              <w:spacing w:after="120"/>
              <w:ind w:left="113" w:right="113"/>
              <w:jc w:val="right"/>
              <w:rPr>
                <w:strike/>
              </w:rPr>
            </w:pPr>
            <w:r w:rsidRPr="00CC628C">
              <w:rPr>
                <w:strike/>
              </w:rPr>
              <w:t>30 ± 3</w:t>
            </w:r>
          </w:p>
        </w:tc>
      </w:tr>
      <w:tr w:rsidR="00234770" w:rsidRPr="00CC628C" w:rsidTr="00FA576E">
        <w:trPr>
          <w:trHeight w:hRule="exact" w:val="300"/>
        </w:trPr>
        <w:tc>
          <w:tcPr>
            <w:tcW w:w="2844" w:type="dxa"/>
            <w:shd w:val="clear" w:color="auto" w:fill="auto"/>
          </w:tcPr>
          <w:p w:rsidR="00234770" w:rsidRPr="00CC628C" w:rsidRDefault="00234770" w:rsidP="006E683C">
            <w:pPr>
              <w:numPr>
                <w:ilvl w:val="0"/>
                <w:numId w:val="13"/>
              </w:numPr>
              <w:tabs>
                <w:tab w:val="clear" w:pos="1440"/>
              </w:tabs>
              <w:suppressAutoHyphens w:val="0"/>
              <w:spacing w:after="120"/>
              <w:ind w:left="113" w:right="113"/>
              <w:rPr>
                <w:strike/>
              </w:rPr>
            </w:pPr>
            <w:r w:rsidRPr="00CC628C">
              <w:rPr>
                <w:strike/>
              </w:rPr>
              <w:t>80 to 100</w:t>
            </w:r>
          </w:p>
        </w:tc>
        <w:tc>
          <w:tcPr>
            <w:tcW w:w="2841" w:type="dxa"/>
            <w:shd w:val="clear" w:color="auto" w:fill="auto"/>
            <w:vAlign w:val="bottom"/>
          </w:tcPr>
          <w:p w:rsidR="00234770" w:rsidRPr="00CC628C" w:rsidRDefault="00234770" w:rsidP="006E683C">
            <w:pPr>
              <w:numPr>
                <w:ilvl w:val="0"/>
                <w:numId w:val="13"/>
              </w:numPr>
              <w:tabs>
                <w:tab w:val="clear" w:pos="1440"/>
              </w:tabs>
              <w:suppressAutoHyphens w:val="0"/>
              <w:spacing w:after="120"/>
              <w:ind w:left="113" w:right="113"/>
              <w:jc w:val="right"/>
              <w:rPr>
                <w:strike/>
              </w:rPr>
            </w:pPr>
            <w:r w:rsidRPr="00CC628C">
              <w:rPr>
                <w:strike/>
              </w:rPr>
              <w:t>9 ± 3</w:t>
            </w:r>
          </w:p>
        </w:tc>
      </w:tr>
    </w:tbl>
    <w:p w:rsidR="00A34109" w:rsidRPr="00CC628C" w:rsidRDefault="00A34109" w:rsidP="00A34109">
      <w:pPr>
        <w:spacing w:after="120"/>
        <w:ind w:right="1134" w:firstLine="1080"/>
        <w:jc w:val="both"/>
        <w:rPr>
          <w:i/>
        </w:rPr>
      </w:pPr>
    </w:p>
    <w:p w:rsidR="00234770" w:rsidRPr="00CC628C" w:rsidRDefault="00234770" w:rsidP="006E683C">
      <w:pPr>
        <w:spacing w:after="120"/>
        <w:ind w:left="2268" w:right="1134" w:hanging="1134"/>
        <w:jc w:val="both"/>
      </w:pPr>
      <w:r w:rsidRPr="00CC628C">
        <w:lastRenderedPageBreak/>
        <w:t>1.2.1.</w:t>
      </w:r>
      <w:r w:rsidRPr="00CC628C">
        <w:rPr>
          <w:strike/>
        </w:rPr>
        <w:t>4</w:t>
      </w:r>
      <w:r w:rsidRPr="00CC628C">
        <w:rPr>
          <w:b/>
        </w:rPr>
        <w:t>3</w:t>
      </w:r>
      <w:r w:rsidRPr="00CC628C">
        <w:t>.</w:t>
      </w:r>
      <w:r w:rsidRPr="00CC628C">
        <w:tab/>
        <w:t>The mixture must not be more than 14 days old.</w:t>
      </w:r>
    </w:p>
    <w:p w:rsidR="00234770" w:rsidRPr="00CC628C" w:rsidRDefault="00234770" w:rsidP="006E683C">
      <w:pPr>
        <w:suppressAutoHyphens w:val="0"/>
        <w:autoSpaceDE w:val="0"/>
        <w:autoSpaceDN w:val="0"/>
        <w:adjustRightInd w:val="0"/>
        <w:spacing w:after="120"/>
        <w:ind w:left="1134"/>
        <w:rPr>
          <w:lang w:eastAsia="en-GB"/>
        </w:rPr>
      </w:pPr>
      <w:r w:rsidRPr="00CC628C">
        <w:rPr>
          <w:lang w:eastAsia="en-GB"/>
        </w:rPr>
        <w:t>1.2.1.</w:t>
      </w:r>
      <w:r w:rsidRPr="00CC628C">
        <w:rPr>
          <w:b/>
          <w:strike/>
          <w:lang w:eastAsia="en-GB"/>
        </w:rPr>
        <w:t>5</w:t>
      </w:r>
      <w:r w:rsidRPr="00CC628C">
        <w:rPr>
          <w:b/>
          <w:lang w:eastAsia="en-GB"/>
        </w:rPr>
        <w:t>4</w:t>
      </w:r>
      <w:r w:rsidRPr="00CC628C">
        <w:rPr>
          <w:lang w:eastAsia="en-GB"/>
        </w:rPr>
        <w:t xml:space="preserve">. </w:t>
      </w:r>
      <w:r w:rsidRPr="00CC628C">
        <w:rPr>
          <w:lang w:eastAsia="en-GB"/>
        </w:rPr>
        <w:tab/>
        <w:t>Application of the test mixture to the test sample:</w:t>
      </w:r>
    </w:p>
    <w:p w:rsidR="00234770" w:rsidRPr="00CC628C" w:rsidRDefault="00234770" w:rsidP="00367963">
      <w:pPr>
        <w:suppressAutoHyphens w:val="0"/>
        <w:autoSpaceDE w:val="0"/>
        <w:autoSpaceDN w:val="0"/>
        <w:adjustRightInd w:val="0"/>
        <w:spacing w:after="120"/>
        <w:ind w:left="2268" w:right="1134"/>
        <w:jc w:val="both"/>
        <w:rPr>
          <w:lang w:eastAsia="en-GB"/>
        </w:rPr>
      </w:pPr>
      <w:r w:rsidRPr="00CC628C">
        <w:rPr>
          <w:lang w:eastAsia="en-GB"/>
        </w:rPr>
        <w:t>The test mixture shall be uniformly applied to the entire light- emitting surface(s) of the test sample and then left to dry. This procedure shall be repeated until the illuminating value has dropped to 15-20 per cent of the values measured for each following point under the conditions</w:t>
      </w:r>
      <w:r w:rsidR="006E683C" w:rsidRPr="00CC628C">
        <w:rPr>
          <w:lang w:eastAsia="en-GB"/>
        </w:rPr>
        <w:t xml:space="preserve"> </w:t>
      </w:r>
      <w:r w:rsidRPr="00CC628C">
        <w:rPr>
          <w:lang w:eastAsia="en-GB"/>
        </w:rPr>
        <w:t>described in this annex:</w:t>
      </w:r>
    </w:p>
    <w:p w:rsidR="00234770" w:rsidRPr="00CC628C" w:rsidRDefault="00234770" w:rsidP="00CC628C">
      <w:pPr>
        <w:suppressAutoHyphens w:val="0"/>
        <w:autoSpaceDE w:val="0"/>
        <w:autoSpaceDN w:val="0"/>
        <w:adjustRightInd w:val="0"/>
        <w:spacing w:after="120"/>
        <w:ind w:left="2268"/>
        <w:rPr>
          <w:lang w:eastAsia="en-GB"/>
        </w:rPr>
      </w:pPr>
      <w:proofErr w:type="gramStart"/>
      <w:r w:rsidRPr="00CC628C">
        <w:rPr>
          <w:lang w:eastAsia="en-GB"/>
        </w:rPr>
        <w:t>point</w:t>
      </w:r>
      <w:proofErr w:type="gramEnd"/>
      <w:r w:rsidRPr="00CC628C">
        <w:rPr>
          <w:lang w:eastAsia="en-GB"/>
        </w:rPr>
        <w:t xml:space="preserve"> </w:t>
      </w:r>
      <w:proofErr w:type="spellStart"/>
      <w:r w:rsidRPr="00CC628C">
        <w:rPr>
          <w:lang w:eastAsia="en-GB"/>
        </w:rPr>
        <w:t>Emax</w:t>
      </w:r>
      <w:proofErr w:type="spellEnd"/>
      <w:r w:rsidRPr="00CC628C">
        <w:rPr>
          <w:lang w:eastAsia="en-GB"/>
        </w:rPr>
        <w:t xml:space="preserve"> in driving beam, under neutral state conditions,</w:t>
      </w:r>
    </w:p>
    <w:p w:rsidR="006E683C" w:rsidRPr="00CC628C" w:rsidRDefault="006E683C" w:rsidP="00CC628C">
      <w:pPr>
        <w:suppressAutoHyphens w:val="0"/>
        <w:autoSpaceDE w:val="0"/>
        <w:autoSpaceDN w:val="0"/>
        <w:adjustRightInd w:val="0"/>
        <w:spacing w:after="120"/>
        <w:ind w:left="2268"/>
        <w:rPr>
          <w:lang w:eastAsia="en-GB"/>
        </w:rPr>
      </w:pPr>
      <w:r w:rsidRPr="00CC628C">
        <w:t>50V for a</w:t>
      </w:r>
      <w:r w:rsidRPr="00CC628C">
        <w:rPr>
          <w:i/>
        </w:rPr>
        <w:t xml:space="preserve"> </w:t>
      </w:r>
      <w:r w:rsidRPr="00CC628C">
        <w:t xml:space="preserve">class C passing </w:t>
      </w:r>
      <w:proofErr w:type="gramStart"/>
      <w:r w:rsidRPr="00CC628C">
        <w:t>beam,</w:t>
      </w:r>
      <w:proofErr w:type="gramEnd"/>
      <w:r w:rsidRPr="00CC628C">
        <w:t xml:space="preserve"> and each specified passing beam mode.</w:t>
      </w:r>
    </w:p>
    <w:p w:rsidR="006E683C" w:rsidRPr="00CC628C" w:rsidRDefault="006E683C" w:rsidP="00234770">
      <w:pPr>
        <w:suppressAutoHyphens w:val="0"/>
        <w:autoSpaceDE w:val="0"/>
        <w:autoSpaceDN w:val="0"/>
        <w:adjustRightInd w:val="0"/>
        <w:spacing w:line="240" w:lineRule="auto"/>
        <w:ind w:left="1418" w:firstLine="709"/>
        <w:rPr>
          <w:sz w:val="18"/>
          <w:szCs w:val="18"/>
          <w:lang w:eastAsia="en-GB"/>
        </w:rPr>
      </w:pPr>
    </w:p>
    <w:p w:rsidR="00893847" w:rsidRPr="00CC628C" w:rsidRDefault="00893847" w:rsidP="00234770">
      <w:pPr>
        <w:spacing w:after="120"/>
        <w:ind w:left="2268" w:right="1134" w:hanging="1134"/>
        <w:jc w:val="both"/>
        <w:rPr>
          <w:lang w:val="en-US"/>
        </w:rPr>
      </w:pPr>
      <w:r w:rsidRPr="00CC628C">
        <w:rPr>
          <w:i/>
          <w:iCs/>
          <w:lang w:val="en-US"/>
        </w:rPr>
        <w:t>Annex 1</w:t>
      </w:r>
      <w:r w:rsidR="002A007A" w:rsidRPr="00CC628C">
        <w:rPr>
          <w:i/>
          <w:iCs/>
          <w:lang w:val="en-US"/>
        </w:rPr>
        <w:t>1</w:t>
      </w:r>
      <w:r w:rsidRPr="00CC628C">
        <w:rPr>
          <w:i/>
          <w:iCs/>
          <w:lang w:val="en-US"/>
        </w:rPr>
        <w:t xml:space="preserve">, </w:t>
      </w:r>
      <w:r w:rsidR="00CC628C">
        <w:rPr>
          <w:i/>
          <w:iCs/>
          <w:lang w:val="en-US"/>
        </w:rPr>
        <w:t>p</w:t>
      </w:r>
      <w:r w:rsidRPr="00CC628C">
        <w:rPr>
          <w:i/>
          <w:iCs/>
          <w:lang w:val="en-US"/>
        </w:rPr>
        <w:t>aragraph 4.</w:t>
      </w:r>
      <w:r w:rsidRPr="00A0171E">
        <w:rPr>
          <w:i/>
          <w:iCs/>
          <w:lang w:val="en-US"/>
        </w:rPr>
        <w:t>2.</w:t>
      </w:r>
      <w:r w:rsidRPr="00A0171E">
        <w:rPr>
          <w:i/>
          <w:lang w:val="en-US"/>
        </w:rPr>
        <w:t xml:space="preserve">, </w:t>
      </w:r>
      <w:r w:rsidR="00A0171E" w:rsidRPr="00A0171E">
        <w:rPr>
          <w:i/>
          <w:lang w:val="en-US"/>
        </w:rPr>
        <w:t>table UV,</w:t>
      </w:r>
      <w:r w:rsidR="00A0171E">
        <w:rPr>
          <w:lang w:val="en-US"/>
        </w:rPr>
        <w:t xml:space="preserve"> </w:t>
      </w:r>
      <w:proofErr w:type="gramStart"/>
      <w:r w:rsidRPr="00CC628C">
        <w:rPr>
          <w:lang w:val="en-US"/>
        </w:rPr>
        <w:t>amend</w:t>
      </w:r>
      <w:proofErr w:type="gramEnd"/>
      <w:r w:rsidRPr="00CC628C">
        <w:rPr>
          <w:lang w:val="en-US"/>
        </w:rPr>
        <w:t xml:space="preserve"> to read:</w:t>
      </w:r>
    </w:p>
    <w:p w:rsidR="00893847" w:rsidRPr="00CC628C" w:rsidRDefault="00893847" w:rsidP="00A0171E">
      <w:pPr>
        <w:ind w:left="2268" w:right="1134" w:hanging="1134"/>
        <w:jc w:val="both"/>
        <w:rPr>
          <w:lang w:val="en-US"/>
        </w:rPr>
      </w:pPr>
      <w:r w:rsidRPr="00CC628C">
        <w:rPr>
          <w:lang w:val="en-US"/>
        </w:rPr>
        <w:t>“Table UV</w:t>
      </w:r>
    </w:p>
    <w:p w:rsidR="00893847" w:rsidRPr="00CC628C" w:rsidRDefault="00893847" w:rsidP="00893847">
      <w:pPr>
        <w:spacing w:line="240" w:lineRule="auto"/>
        <w:ind w:left="1134"/>
        <w:outlineLvl w:val="0"/>
        <w:rPr>
          <w:lang w:val="en-US"/>
        </w:rPr>
      </w:pPr>
      <w:proofErr w:type="gramStart"/>
      <w:r w:rsidRPr="00CC628C">
        <w:rPr>
          <w:lang w:val="en-US"/>
        </w:rPr>
        <w:t>Values according to "IRPA/INIRC Guidelines on limits of exposure to ultraviolet radiation".</w:t>
      </w:r>
      <w:proofErr w:type="gramEnd"/>
      <w:r w:rsidRPr="00CC628C">
        <w:rPr>
          <w:lang w:val="en-US"/>
        </w:rPr>
        <w:t xml:space="preserve">  Wavelengths (in </w:t>
      </w:r>
      <w:proofErr w:type="spellStart"/>
      <w:r w:rsidRPr="00CC628C">
        <w:rPr>
          <w:lang w:val="en-US"/>
        </w:rPr>
        <w:t>nanometres</w:t>
      </w:r>
      <w:proofErr w:type="spellEnd"/>
      <w:r w:rsidRPr="00CC628C">
        <w:rPr>
          <w:lang w:val="en-US"/>
        </w:rPr>
        <w:t>) chosen are representative; other values should be interpolated.</w:t>
      </w:r>
    </w:p>
    <w:p w:rsidR="00893847" w:rsidRPr="00CC628C" w:rsidRDefault="00893847" w:rsidP="00893847">
      <w:pPr>
        <w:spacing w:line="240" w:lineRule="auto"/>
        <w:ind w:left="1134"/>
        <w:outlineLvl w:val="0"/>
        <w:rPr>
          <w:lang w:val="en-US"/>
        </w:rPr>
      </w:pP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893847" w:rsidRPr="00CC628C" w:rsidTr="00FA576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sym w:font="Symbol" w:char="F06C"/>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S(</w:t>
            </w:r>
            <w:r w:rsidRPr="00CC628C">
              <w:rPr>
                <w:bCs/>
                <w:sz w:val="18"/>
                <w:szCs w:val="18"/>
                <w:lang w:val="en-US" w:eastAsia="it-IT"/>
              </w:rPr>
              <w:sym w:font="Symbol" w:char="F06C"/>
            </w:r>
            <w:r w:rsidRPr="00CC628C">
              <w:rPr>
                <w:bCs/>
                <w:sz w:val="18"/>
                <w:szCs w:val="18"/>
                <w:lang w:val="en-US" w:eastAsia="it-IT"/>
              </w:rPr>
              <w:t>)</w:t>
            </w:r>
          </w:p>
        </w:tc>
        <w:tc>
          <w:tcPr>
            <w:tcW w:w="31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sym w:font="Symbol" w:char="F06C"/>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S(</w:t>
            </w:r>
            <w:r w:rsidRPr="00CC628C">
              <w:rPr>
                <w:bCs/>
                <w:sz w:val="18"/>
                <w:szCs w:val="18"/>
                <w:lang w:val="en-US" w:eastAsia="it-IT"/>
              </w:rPr>
              <w:sym w:font="Symbol" w:char="F06C"/>
            </w:r>
            <w:r w:rsidRPr="00CC628C">
              <w:rPr>
                <w:bCs/>
                <w:sz w:val="18"/>
                <w:szCs w:val="18"/>
                <w:lang w:val="en-US" w:eastAsia="it-IT"/>
              </w:rPr>
              <w:t>)</w:t>
            </w:r>
          </w:p>
        </w:tc>
        <w:tc>
          <w:tcPr>
            <w:tcW w:w="28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S(</w:t>
            </w:r>
            <w:r w:rsidRPr="00CC628C">
              <w:rPr>
                <w:bCs/>
                <w:sz w:val="18"/>
                <w:szCs w:val="18"/>
                <w:lang w:val="en-US" w:eastAsia="it-IT"/>
              </w:rPr>
              <w:sym w:font="Symbol" w:char="F06C"/>
            </w:r>
            <w:r w:rsidRPr="00CC628C">
              <w:rPr>
                <w:bCs/>
                <w:sz w:val="18"/>
                <w:szCs w:val="18"/>
                <w:lang w:val="en-US" w:eastAsia="it-IT"/>
              </w:rPr>
              <w:t>)</w:t>
            </w:r>
          </w:p>
        </w:tc>
      </w:tr>
      <w:tr w:rsidR="00893847" w:rsidRPr="00CC628C" w:rsidTr="00FA576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250</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0.430</w:t>
            </w:r>
          </w:p>
        </w:tc>
        <w:tc>
          <w:tcPr>
            <w:tcW w:w="31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305</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0.060</w:t>
            </w:r>
          </w:p>
        </w:tc>
        <w:tc>
          <w:tcPr>
            <w:tcW w:w="28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355</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0.000 16</w:t>
            </w:r>
          </w:p>
        </w:tc>
      </w:tr>
      <w:tr w:rsidR="00893847" w:rsidRPr="00CC628C" w:rsidTr="00FA576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255</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0.520</w:t>
            </w:r>
          </w:p>
        </w:tc>
        <w:tc>
          <w:tcPr>
            <w:tcW w:w="31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310</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0.015</w:t>
            </w:r>
          </w:p>
        </w:tc>
        <w:tc>
          <w:tcPr>
            <w:tcW w:w="28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360</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0.000 13</w:t>
            </w:r>
          </w:p>
        </w:tc>
      </w:tr>
      <w:tr w:rsidR="00893847" w:rsidRPr="00CC628C" w:rsidTr="00FA576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260</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0.650</w:t>
            </w:r>
          </w:p>
        </w:tc>
        <w:tc>
          <w:tcPr>
            <w:tcW w:w="31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315</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0.003</w:t>
            </w:r>
          </w:p>
        </w:tc>
        <w:tc>
          <w:tcPr>
            <w:tcW w:w="28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365</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0.000 11</w:t>
            </w:r>
          </w:p>
        </w:tc>
      </w:tr>
      <w:tr w:rsidR="00893847" w:rsidRPr="00CC628C" w:rsidTr="00FA576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265</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0.810</w:t>
            </w:r>
          </w:p>
        </w:tc>
        <w:tc>
          <w:tcPr>
            <w:tcW w:w="31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320</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0.001</w:t>
            </w:r>
          </w:p>
        </w:tc>
        <w:tc>
          <w:tcPr>
            <w:tcW w:w="28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370</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0.000 09</w:t>
            </w:r>
          </w:p>
        </w:tc>
      </w:tr>
      <w:tr w:rsidR="00893847" w:rsidRPr="00CC628C" w:rsidTr="00FA576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270</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1.000</w:t>
            </w:r>
          </w:p>
        </w:tc>
        <w:tc>
          <w:tcPr>
            <w:tcW w:w="31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325</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0.000 50</w:t>
            </w:r>
          </w:p>
        </w:tc>
        <w:tc>
          <w:tcPr>
            <w:tcW w:w="28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375</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0.000 077</w:t>
            </w:r>
          </w:p>
        </w:tc>
      </w:tr>
      <w:tr w:rsidR="00893847" w:rsidRPr="00CC628C" w:rsidTr="00FA576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275</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0.960</w:t>
            </w:r>
          </w:p>
        </w:tc>
        <w:tc>
          <w:tcPr>
            <w:tcW w:w="31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330</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0.000 41</w:t>
            </w:r>
          </w:p>
        </w:tc>
        <w:tc>
          <w:tcPr>
            <w:tcW w:w="28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380</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0.000 064</w:t>
            </w:r>
          </w:p>
        </w:tc>
      </w:tr>
      <w:tr w:rsidR="00893847" w:rsidRPr="00CC628C" w:rsidTr="00FA576E">
        <w:trPr>
          <w:trHeight w:hRule="exact" w:val="642"/>
        </w:trPr>
        <w:tc>
          <w:tcPr>
            <w:tcW w:w="85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280</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0.880</w:t>
            </w:r>
          </w:p>
        </w:tc>
        <w:tc>
          <w:tcPr>
            <w:tcW w:w="31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335</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0.000 34</w:t>
            </w:r>
          </w:p>
        </w:tc>
        <w:tc>
          <w:tcPr>
            <w:tcW w:w="28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385</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
                <w:bCs/>
                <w:strike/>
                <w:sz w:val="18"/>
                <w:szCs w:val="18"/>
                <w:lang w:val="en-US" w:eastAsia="it-IT"/>
              </w:rPr>
              <w:t>0.000 530</w:t>
            </w:r>
            <w:r w:rsidRPr="00CC628C">
              <w:rPr>
                <w:b/>
                <w:bCs/>
                <w:sz w:val="18"/>
                <w:szCs w:val="18"/>
                <w:lang w:val="en-US" w:eastAsia="it-IT"/>
              </w:rPr>
              <w:t xml:space="preserve"> </w:t>
            </w:r>
            <w:r w:rsidRPr="00CC628C">
              <w:rPr>
                <w:b/>
                <w:bCs/>
                <w:sz w:val="18"/>
                <w:szCs w:val="18"/>
                <w:lang w:val="en-US" w:eastAsia="it-IT"/>
              </w:rPr>
              <w:br/>
              <w:t>0.000 053</w:t>
            </w:r>
          </w:p>
        </w:tc>
      </w:tr>
      <w:tr w:rsidR="00893847" w:rsidRPr="00CC628C" w:rsidTr="00FA576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285</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0.770</w:t>
            </w:r>
          </w:p>
        </w:tc>
        <w:tc>
          <w:tcPr>
            <w:tcW w:w="31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340</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0.000 28</w:t>
            </w:r>
          </w:p>
        </w:tc>
        <w:tc>
          <w:tcPr>
            <w:tcW w:w="28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390</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0.000 044</w:t>
            </w:r>
          </w:p>
        </w:tc>
      </w:tr>
      <w:tr w:rsidR="00893847" w:rsidRPr="00CC628C" w:rsidTr="00FA576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290</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0.640</w:t>
            </w:r>
          </w:p>
        </w:tc>
        <w:tc>
          <w:tcPr>
            <w:tcW w:w="31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345</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0.000 24</w:t>
            </w:r>
          </w:p>
        </w:tc>
        <w:tc>
          <w:tcPr>
            <w:tcW w:w="28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395</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0.000 036</w:t>
            </w:r>
          </w:p>
        </w:tc>
      </w:tr>
      <w:tr w:rsidR="00893847" w:rsidRPr="00CC628C" w:rsidTr="00FA576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295</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0.540</w:t>
            </w:r>
          </w:p>
        </w:tc>
        <w:tc>
          <w:tcPr>
            <w:tcW w:w="31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350</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0.000 20</w:t>
            </w:r>
          </w:p>
        </w:tc>
        <w:tc>
          <w:tcPr>
            <w:tcW w:w="28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400</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0.000 030</w:t>
            </w:r>
          </w:p>
        </w:tc>
      </w:tr>
      <w:tr w:rsidR="00893847" w:rsidRPr="00CC628C" w:rsidTr="00FA576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300</w:t>
            </w: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r w:rsidRPr="00CC628C">
              <w:rPr>
                <w:bCs/>
                <w:sz w:val="18"/>
                <w:szCs w:val="18"/>
                <w:lang w:val="en-US" w:eastAsia="it-IT"/>
              </w:rPr>
              <w:t>0.300</w:t>
            </w:r>
          </w:p>
        </w:tc>
        <w:tc>
          <w:tcPr>
            <w:tcW w:w="31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1530" w:type="dxa"/>
            <w:tcBorders>
              <w:top w:val="single" w:sz="6" w:space="0" w:color="auto"/>
              <w:left w:val="single" w:sz="6" w:space="0" w:color="auto"/>
              <w:bottom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283" w:type="dxa"/>
            <w:tcBorders>
              <w:left w:val="single" w:sz="4" w:space="0" w:color="auto"/>
              <w:right w:val="single" w:sz="4"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CC628C" w:rsidRDefault="00893847" w:rsidP="00893847">
            <w:pPr>
              <w:suppressAutoHyphens w:val="0"/>
              <w:spacing w:line="240" w:lineRule="auto"/>
              <w:ind w:left="57"/>
              <w:jc w:val="center"/>
              <w:rPr>
                <w:bCs/>
                <w:sz w:val="18"/>
                <w:szCs w:val="18"/>
                <w:lang w:val="en-US" w:eastAsia="it-IT"/>
              </w:rPr>
            </w:pPr>
          </w:p>
        </w:tc>
      </w:tr>
    </w:tbl>
    <w:p w:rsidR="00893847" w:rsidRPr="00CC628C" w:rsidRDefault="00893847" w:rsidP="00893847">
      <w:pPr>
        <w:spacing w:after="120"/>
        <w:ind w:left="2268" w:right="1134" w:hanging="1134"/>
        <w:jc w:val="both"/>
        <w:rPr>
          <w:lang w:val="en-US"/>
        </w:rPr>
      </w:pPr>
      <w:r w:rsidRPr="00CC628C">
        <w:t>“</w:t>
      </w:r>
    </w:p>
    <w:p w:rsidR="005A1035" w:rsidRPr="00CC628C" w:rsidRDefault="005A1035" w:rsidP="005A1035">
      <w:pPr>
        <w:pStyle w:val="SingleTxtG"/>
        <w:ind w:right="-40"/>
        <w:rPr>
          <w:lang w:val="en-US"/>
        </w:rPr>
      </w:pPr>
      <w:r w:rsidRPr="00CC628C">
        <w:rPr>
          <w:i/>
          <w:iCs/>
          <w:lang w:val="en-US"/>
        </w:rPr>
        <w:t xml:space="preserve">Annex </w:t>
      </w:r>
      <w:r w:rsidR="006322DD" w:rsidRPr="00CC628C">
        <w:rPr>
          <w:i/>
          <w:iCs/>
          <w:lang w:val="en-US"/>
        </w:rPr>
        <w:t>1</w:t>
      </w:r>
      <w:r w:rsidR="00A34109" w:rsidRPr="00CC628C">
        <w:rPr>
          <w:i/>
          <w:iCs/>
          <w:lang w:val="en-US"/>
        </w:rPr>
        <w:t>1</w:t>
      </w:r>
      <w:r w:rsidRPr="00CC628C">
        <w:rPr>
          <w:i/>
          <w:iCs/>
          <w:lang w:val="en-US"/>
        </w:rPr>
        <w:t xml:space="preserve">, </w:t>
      </w:r>
      <w:r w:rsidR="00CC628C">
        <w:rPr>
          <w:i/>
          <w:iCs/>
          <w:lang w:val="en-US"/>
        </w:rPr>
        <w:t>p</w:t>
      </w:r>
      <w:r w:rsidRPr="00CC628C">
        <w:rPr>
          <w:i/>
          <w:iCs/>
          <w:lang w:val="en-US"/>
        </w:rPr>
        <w:t>aragraph 5.2.</w:t>
      </w:r>
      <w:r w:rsidRPr="00CC628C">
        <w:rPr>
          <w:lang w:val="en-US"/>
        </w:rPr>
        <w:t xml:space="preserve">, </w:t>
      </w:r>
      <w:proofErr w:type="gramStart"/>
      <w:r w:rsidRPr="00CC628C">
        <w:rPr>
          <w:lang w:val="en-US"/>
        </w:rPr>
        <w:t>amend</w:t>
      </w:r>
      <w:proofErr w:type="gramEnd"/>
      <w:r w:rsidRPr="00CC628C">
        <w:rPr>
          <w:lang w:val="en-US"/>
        </w:rPr>
        <w:t xml:space="preserve"> to read:</w:t>
      </w:r>
    </w:p>
    <w:p w:rsidR="005A1035" w:rsidRPr="00CC628C" w:rsidRDefault="005A1035" w:rsidP="005A1035">
      <w:pPr>
        <w:suppressAutoHyphens w:val="0"/>
        <w:spacing w:after="120"/>
        <w:ind w:left="2268" w:right="1134" w:hanging="1134"/>
        <w:jc w:val="both"/>
        <w:rPr>
          <w:lang w:val="en-US" w:eastAsia="de-DE"/>
        </w:rPr>
      </w:pPr>
      <w:r w:rsidRPr="00CC628C">
        <w:rPr>
          <w:lang w:val="en-US" w:eastAsia="de-DE"/>
        </w:rPr>
        <w:t xml:space="preserve">“5.2. </w:t>
      </w:r>
      <w:r w:rsidRPr="00CC628C">
        <w:rPr>
          <w:lang w:val="en-US" w:eastAsia="de-DE"/>
        </w:rPr>
        <w:tab/>
      </w:r>
      <w:r w:rsidR="006322DD" w:rsidRPr="00CC628C">
        <w:rPr>
          <w:strike/>
          <w:lang w:val="en-US" w:eastAsia="de-DE"/>
        </w:rPr>
        <w:t xml:space="preserve">Three </w:t>
      </w:r>
      <w:r w:rsidRPr="00CC628C">
        <w:rPr>
          <w:b/>
          <w:lang w:val="en-US" w:eastAsia="de-DE"/>
        </w:rPr>
        <w:t>One</w:t>
      </w:r>
      <w:r w:rsidRPr="00CC628C">
        <w:rPr>
          <w:lang w:val="en-US" w:eastAsia="de-DE"/>
        </w:rPr>
        <w:t xml:space="preserve"> module</w:t>
      </w:r>
      <w:r w:rsidRPr="00CC628C">
        <w:rPr>
          <w:strike/>
          <w:lang w:val="en-US" w:eastAsia="de-DE"/>
        </w:rPr>
        <w:t>s</w:t>
      </w:r>
      <w:r w:rsidRPr="00CC628C">
        <w:rPr>
          <w:lang w:val="en-US" w:eastAsia="de-DE"/>
        </w:rPr>
        <w:t xml:space="preserve"> of each type shall be submitted by the applicant with the light source control gear, if applicable, and sufficient instructions.</w:t>
      </w:r>
    </w:p>
    <w:p w:rsidR="005A1035" w:rsidRPr="00CC628C" w:rsidRDefault="005A1035" w:rsidP="005A1035">
      <w:pPr>
        <w:suppressAutoHyphens w:val="0"/>
        <w:spacing w:after="120"/>
        <w:ind w:left="2268" w:right="1134"/>
        <w:jc w:val="both"/>
        <w:rPr>
          <w:lang w:val="en-US" w:eastAsia="de-DE"/>
        </w:rPr>
      </w:pPr>
      <w:r w:rsidRPr="00CC628C">
        <w:rPr>
          <w:lang w:val="en-US" w:eastAsia="de-DE"/>
        </w:rPr>
        <w:t>Suitable thermal management (e.g. heat sink) may be provided, to simulate similar thermal conditions as in the corresponding headlamp application.</w:t>
      </w:r>
    </w:p>
    <w:p w:rsidR="005A1035" w:rsidRPr="00CC628C" w:rsidRDefault="005A1035" w:rsidP="005A1035">
      <w:pPr>
        <w:suppressAutoHyphens w:val="0"/>
        <w:spacing w:after="120"/>
        <w:ind w:left="2268" w:right="1134"/>
        <w:jc w:val="both"/>
        <w:rPr>
          <w:lang w:val="en-US" w:eastAsia="de-DE"/>
        </w:rPr>
      </w:pPr>
      <w:r w:rsidRPr="00CC628C">
        <w:rPr>
          <w:lang w:val="en-US" w:eastAsia="de-DE"/>
        </w:rPr>
        <w:t xml:space="preserve">Before the test </w:t>
      </w:r>
      <w:r w:rsidRPr="00CC628C">
        <w:rPr>
          <w:b/>
          <w:lang w:val="en-US" w:eastAsia="de-DE"/>
        </w:rPr>
        <w:t xml:space="preserve">the </w:t>
      </w:r>
      <w:r w:rsidR="00A0171E" w:rsidRPr="00A0171E">
        <w:rPr>
          <w:strike/>
          <w:lang w:val="en-US" w:eastAsia="de-DE"/>
        </w:rPr>
        <w:t>each</w:t>
      </w:r>
      <w:r w:rsidR="00A0171E">
        <w:rPr>
          <w:b/>
          <w:lang w:val="en-US" w:eastAsia="de-DE"/>
        </w:rPr>
        <w:t xml:space="preserve"> </w:t>
      </w:r>
      <w:r w:rsidRPr="00CC628C">
        <w:rPr>
          <w:lang w:val="en-US" w:eastAsia="de-DE"/>
        </w:rPr>
        <w:t>LED module shall be aged at least for seventy-two hours under the same conditions as in the corresponding headlamp application.</w:t>
      </w:r>
    </w:p>
    <w:p w:rsidR="005A1035" w:rsidRPr="00CC628C" w:rsidRDefault="005A1035" w:rsidP="005A1035">
      <w:pPr>
        <w:suppressAutoHyphens w:val="0"/>
        <w:spacing w:after="120"/>
        <w:ind w:left="2268" w:right="1134"/>
        <w:jc w:val="both"/>
        <w:rPr>
          <w:lang w:val="en-US" w:eastAsia="de-DE"/>
        </w:rPr>
      </w:pPr>
      <w:r w:rsidRPr="00CC628C">
        <w:rPr>
          <w:lang w:val="en-US" w:eastAsia="de-DE"/>
        </w:rPr>
        <w:t>In the case of use of an integrating sphere, the sphere shall have a minimum diameter of one meter, and at least ten times the maximum dimension of the LED module, whichever is the largest. The flux measurements can also be performed by integration using a goniophotome</w:t>
      </w:r>
      <w:r w:rsidR="006608AB" w:rsidRPr="00CC628C">
        <w:rPr>
          <w:lang w:val="en-US" w:eastAsia="de-DE"/>
        </w:rPr>
        <w:t>ter. The prescriptions in CIE -</w:t>
      </w:r>
      <w:r w:rsidRPr="00CC628C">
        <w:rPr>
          <w:lang w:val="en-US" w:eastAsia="de-DE"/>
        </w:rPr>
        <w:t>Publication 84 - 1989, regarding the room temperature, positioning, etc., shall be taken into consideration.</w:t>
      </w:r>
    </w:p>
    <w:p w:rsidR="005A1035" w:rsidRPr="00CC628C" w:rsidRDefault="005A1035" w:rsidP="005A1035">
      <w:pPr>
        <w:suppressAutoHyphens w:val="0"/>
        <w:spacing w:after="120"/>
        <w:ind w:left="2268" w:right="1134"/>
        <w:jc w:val="both"/>
        <w:rPr>
          <w:lang w:val="en-US" w:eastAsia="de-DE"/>
        </w:rPr>
      </w:pPr>
      <w:r w:rsidRPr="00CC628C">
        <w:rPr>
          <w:lang w:val="en-US" w:eastAsia="de-DE"/>
        </w:rPr>
        <w:lastRenderedPageBreak/>
        <w:t>The LED module shall be burned in for approximately one hour in the closed sphere or goniophotometer.</w:t>
      </w:r>
    </w:p>
    <w:p w:rsidR="005A1035" w:rsidRPr="00CC628C" w:rsidRDefault="005A1035" w:rsidP="005A1035">
      <w:pPr>
        <w:suppressAutoHyphens w:val="0"/>
        <w:spacing w:after="120"/>
        <w:ind w:left="2268" w:right="1134"/>
        <w:jc w:val="both"/>
        <w:rPr>
          <w:lang w:val="en-US" w:eastAsia="de-DE"/>
        </w:rPr>
      </w:pPr>
      <w:r w:rsidRPr="00CC628C">
        <w:rPr>
          <w:lang w:val="en-US" w:eastAsia="de-DE"/>
        </w:rPr>
        <w:t xml:space="preserve">The flux shall be measured after stability has occurred, as explained in paragraph 4.3.1.2. </w:t>
      </w:r>
      <w:proofErr w:type="gramStart"/>
      <w:r w:rsidRPr="00CC628C">
        <w:rPr>
          <w:lang w:val="en-US" w:eastAsia="de-DE"/>
        </w:rPr>
        <w:t>of</w:t>
      </w:r>
      <w:proofErr w:type="gramEnd"/>
      <w:r w:rsidRPr="00CC628C">
        <w:rPr>
          <w:lang w:val="en-US" w:eastAsia="de-DE"/>
        </w:rPr>
        <w:t xml:space="preserve"> </w:t>
      </w:r>
      <w:r w:rsidR="00A0171E">
        <w:rPr>
          <w:lang w:val="en-US" w:eastAsia="de-DE"/>
        </w:rPr>
        <w:t>this a</w:t>
      </w:r>
      <w:r w:rsidRPr="00CC628C">
        <w:rPr>
          <w:lang w:val="en-US" w:eastAsia="de-DE"/>
        </w:rPr>
        <w:t>nnex 10.</w:t>
      </w:r>
    </w:p>
    <w:p w:rsidR="005A1035" w:rsidRPr="00CC628C" w:rsidRDefault="005A1035" w:rsidP="005A1035">
      <w:pPr>
        <w:suppressAutoHyphens w:val="0"/>
        <w:spacing w:after="120"/>
        <w:ind w:left="2268" w:right="1134"/>
        <w:jc w:val="both"/>
        <w:rPr>
          <w:strike/>
          <w:lang w:val="en-US" w:eastAsia="de-DE"/>
        </w:rPr>
      </w:pPr>
      <w:r w:rsidRPr="00CC628C">
        <w:rPr>
          <w:strike/>
          <w:lang w:val="en-US" w:eastAsia="de-DE"/>
        </w:rPr>
        <w:t>The average of the measurements of the three samples of each type of LED module shall be deemed to be its objective luminous flux.”</w:t>
      </w:r>
    </w:p>
    <w:p w:rsidR="00A5414C" w:rsidRPr="00CC628C" w:rsidRDefault="00A5414C" w:rsidP="00A5414C">
      <w:pPr>
        <w:pStyle w:val="HChG"/>
        <w:rPr>
          <w:lang w:val="en-US"/>
        </w:rPr>
      </w:pPr>
      <w:r w:rsidRPr="00CC628C">
        <w:rPr>
          <w:lang w:val="en-US"/>
        </w:rPr>
        <w:tab/>
        <w:t>II.</w:t>
      </w:r>
      <w:r w:rsidRPr="00CC628C">
        <w:rPr>
          <w:lang w:val="en-US"/>
        </w:rPr>
        <w:tab/>
        <w:t>Justification</w:t>
      </w:r>
    </w:p>
    <w:p w:rsidR="005A1035" w:rsidRPr="00CC628C" w:rsidRDefault="00232270" w:rsidP="00CC628C">
      <w:pPr>
        <w:suppressAutoHyphens w:val="0"/>
        <w:spacing w:after="120"/>
        <w:ind w:left="1134" w:right="1134"/>
        <w:jc w:val="both"/>
        <w:rPr>
          <w:i/>
          <w:lang w:val="en-US"/>
        </w:rPr>
      </w:pPr>
      <w:bookmarkStart w:id="1" w:name="OLE_LINK1"/>
      <w:proofErr w:type="gramStart"/>
      <w:r w:rsidRPr="00CC628C">
        <w:rPr>
          <w:i/>
          <w:iCs/>
          <w:lang w:val="en-US"/>
        </w:rPr>
        <w:t xml:space="preserve">Amendment to </w:t>
      </w:r>
      <w:r w:rsidR="002A007A" w:rsidRPr="00CC628C">
        <w:rPr>
          <w:i/>
          <w:iCs/>
          <w:lang w:val="en-US"/>
        </w:rPr>
        <w:t xml:space="preserve">Annex 4, </w:t>
      </w:r>
      <w:r w:rsidR="00CC628C">
        <w:rPr>
          <w:i/>
          <w:iCs/>
          <w:lang w:val="en-US"/>
        </w:rPr>
        <w:t>p</w:t>
      </w:r>
      <w:r w:rsidR="002A007A" w:rsidRPr="00CC628C">
        <w:rPr>
          <w:i/>
          <w:iCs/>
          <w:lang w:val="en-US"/>
        </w:rPr>
        <w:t>aragraph 1.2.1.</w:t>
      </w:r>
      <w:proofErr w:type="gramEnd"/>
    </w:p>
    <w:p w:rsidR="00E95330" w:rsidRPr="00CC628C" w:rsidRDefault="00CC628C" w:rsidP="00CC628C">
      <w:pPr>
        <w:suppressAutoHyphens w:val="0"/>
        <w:spacing w:after="120"/>
        <w:ind w:left="1134" w:right="1134"/>
        <w:jc w:val="both"/>
        <w:rPr>
          <w:lang w:val="en-US" w:eastAsia="it-IT"/>
        </w:rPr>
      </w:pPr>
      <w:r w:rsidRPr="00CC628C">
        <w:rPr>
          <w:bCs/>
          <w:lang w:eastAsia="it-IT"/>
        </w:rPr>
        <w:t>1.</w:t>
      </w:r>
      <w:r>
        <w:rPr>
          <w:bCs/>
          <w:lang w:eastAsia="it-IT"/>
        </w:rPr>
        <w:tab/>
      </w:r>
      <w:r w:rsidR="00E95330" w:rsidRPr="00CC628C">
        <w:rPr>
          <w:bCs/>
          <w:lang w:eastAsia="it-IT"/>
        </w:rPr>
        <w:t xml:space="preserve">The </w:t>
      </w:r>
      <w:r>
        <w:rPr>
          <w:bCs/>
          <w:lang w:eastAsia="it-IT"/>
        </w:rPr>
        <w:t>R</w:t>
      </w:r>
      <w:r w:rsidR="00E95330" w:rsidRPr="00CC628C">
        <w:rPr>
          <w:bCs/>
          <w:lang w:eastAsia="it-IT"/>
        </w:rPr>
        <w:t xml:space="preserve">egulations currently specify several test mixtures to simulate dirt during testing of lamps. As there is no reason to use different kinds of test mixtures it is proposed to amend the </w:t>
      </w:r>
      <w:r w:rsidR="00E95330" w:rsidRPr="00CC628C">
        <w:rPr>
          <w:bCs/>
          <w:lang w:val="en-US" w:eastAsia="it-IT"/>
        </w:rPr>
        <w:t>Regulations by introducing a uniform test mixture to be used for all the tests. In addition, to avoid misinterpretation</w:t>
      </w:r>
      <w:r w:rsidR="00367963">
        <w:rPr>
          <w:bCs/>
          <w:lang w:val="en-US" w:eastAsia="it-IT"/>
        </w:rPr>
        <w:t>,</w:t>
      </w:r>
      <w:r w:rsidR="00E95330" w:rsidRPr="00CC628C">
        <w:rPr>
          <w:bCs/>
          <w:lang w:val="en-US" w:eastAsia="it-IT"/>
        </w:rPr>
        <w:t xml:space="preserve"> the wording </w:t>
      </w:r>
      <w:r w:rsidR="00E95330" w:rsidRPr="00CC628C">
        <w:rPr>
          <w:lang w:val="en-US" w:eastAsia="it-IT"/>
        </w:rPr>
        <w:t>“beech wood</w:t>
      </w:r>
      <w:r w:rsidR="00E95330" w:rsidRPr="00CC628C">
        <w:rPr>
          <w:b/>
          <w:lang w:val="en-US" w:eastAsia="it-IT"/>
        </w:rPr>
        <w:t xml:space="preserve">” </w:t>
      </w:r>
      <w:r w:rsidR="00E95330" w:rsidRPr="00CC628C">
        <w:rPr>
          <w:lang w:val="en-US" w:eastAsia="it-IT"/>
        </w:rPr>
        <w:t>is replaced by “produced from beech wood”.</w:t>
      </w:r>
    </w:p>
    <w:p w:rsidR="00232270" w:rsidRPr="00CC628C" w:rsidRDefault="00232270" w:rsidP="00CC628C">
      <w:pPr>
        <w:suppressAutoHyphens w:val="0"/>
        <w:spacing w:after="120"/>
        <w:ind w:left="1134" w:right="1134"/>
        <w:jc w:val="both"/>
        <w:rPr>
          <w:i/>
          <w:lang w:val="en-US"/>
        </w:rPr>
      </w:pPr>
      <w:proofErr w:type="gramStart"/>
      <w:r w:rsidRPr="00CC628C">
        <w:rPr>
          <w:i/>
          <w:iCs/>
          <w:lang w:val="en-US"/>
        </w:rPr>
        <w:t>Amendment to Annex 1</w:t>
      </w:r>
      <w:r w:rsidR="002A007A" w:rsidRPr="00CC628C">
        <w:rPr>
          <w:i/>
          <w:iCs/>
          <w:lang w:val="en-US"/>
        </w:rPr>
        <w:t>1</w:t>
      </w:r>
      <w:r w:rsidRPr="00CC628C">
        <w:rPr>
          <w:i/>
          <w:iCs/>
          <w:lang w:val="en-US"/>
        </w:rPr>
        <w:t xml:space="preserve">, </w:t>
      </w:r>
      <w:r w:rsidR="00CC628C">
        <w:rPr>
          <w:i/>
          <w:iCs/>
          <w:lang w:val="en-US"/>
        </w:rPr>
        <w:t>p</w:t>
      </w:r>
      <w:r w:rsidRPr="00CC628C">
        <w:rPr>
          <w:i/>
          <w:iCs/>
          <w:lang w:val="en-US"/>
        </w:rPr>
        <w:t>aragraph 4.2.</w:t>
      </w:r>
      <w:proofErr w:type="gramEnd"/>
    </w:p>
    <w:p w:rsidR="00232270" w:rsidRPr="00CC628C" w:rsidRDefault="00CC628C" w:rsidP="00CC628C">
      <w:pPr>
        <w:pStyle w:val="ListParagraph"/>
        <w:suppressAutoHyphens w:val="0"/>
        <w:spacing w:after="120"/>
        <w:ind w:left="1134" w:right="1134"/>
        <w:jc w:val="both"/>
        <w:rPr>
          <w:lang w:eastAsia="it-IT"/>
        </w:rPr>
      </w:pPr>
      <w:r>
        <w:rPr>
          <w:lang w:eastAsia="it-IT"/>
        </w:rPr>
        <w:t>2.</w:t>
      </w:r>
      <w:r>
        <w:rPr>
          <w:lang w:eastAsia="it-IT"/>
        </w:rPr>
        <w:tab/>
      </w:r>
      <w:r w:rsidR="00232270" w:rsidRPr="00CC628C">
        <w:rPr>
          <w:lang w:eastAsia="it-IT"/>
        </w:rPr>
        <w:t>This is a correction to the UV test table</w:t>
      </w:r>
      <w:r>
        <w:rPr>
          <w:lang w:eastAsia="it-IT"/>
        </w:rPr>
        <w:t>.</w:t>
      </w:r>
    </w:p>
    <w:p w:rsidR="006608AB" w:rsidRPr="00CC628C" w:rsidRDefault="00232270" w:rsidP="00CC628C">
      <w:pPr>
        <w:suppressAutoHyphens w:val="0"/>
        <w:spacing w:after="120"/>
        <w:ind w:left="1134" w:right="1134"/>
        <w:jc w:val="both"/>
        <w:rPr>
          <w:i/>
          <w:lang w:val="en-US"/>
        </w:rPr>
      </w:pPr>
      <w:proofErr w:type="gramStart"/>
      <w:r w:rsidRPr="00CC628C">
        <w:rPr>
          <w:i/>
          <w:iCs/>
          <w:lang w:val="en-US"/>
        </w:rPr>
        <w:t xml:space="preserve">Amendment to </w:t>
      </w:r>
      <w:r w:rsidR="006608AB" w:rsidRPr="00CC628C">
        <w:rPr>
          <w:i/>
          <w:iCs/>
          <w:lang w:val="en-US"/>
        </w:rPr>
        <w:t xml:space="preserve">Annex </w:t>
      </w:r>
      <w:r w:rsidR="006322DD" w:rsidRPr="00CC628C">
        <w:rPr>
          <w:i/>
          <w:iCs/>
          <w:lang w:val="en-US"/>
        </w:rPr>
        <w:t>1</w:t>
      </w:r>
      <w:r w:rsidR="00A34109" w:rsidRPr="00CC628C">
        <w:rPr>
          <w:i/>
          <w:iCs/>
          <w:lang w:val="en-US"/>
        </w:rPr>
        <w:t>1</w:t>
      </w:r>
      <w:r w:rsidR="006608AB" w:rsidRPr="00CC628C">
        <w:rPr>
          <w:i/>
          <w:iCs/>
          <w:lang w:val="en-US"/>
        </w:rPr>
        <w:t xml:space="preserve">, </w:t>
      </w:r>
      <w:r w:rsidR="00CC628C">
        <w:rPr>
          <w:i/>
          <w:iCs/>
          <w:lang w:val="en-US"/>
        </w:rPr>
        <w:t>p</w:t>
      </w:r>
      <w:r w:rsidR="006608AB" w:rsidRPr="00CC628C">
        <w:rPr>
          <w:i/>
          <w:iCs/>
          <w:lang w:val="en-US"/>
        </w:rPr>
        <w:t>aragraph 5.2.</w:t>
      </w:r>
      <w:proofErr w:type="gramEnd"/>
    </w:p>
    <w:p w:rsidR="006608AB" w:rsidRPr="00B768B3" w:rsidRDefault="00CC628C" w:rsidP="00CC628C">
      <w:pPr>
        <w:suppressAutoHyphens w:val="0"/>
        <w:spacing w:after="120"/>
        <w:ind w:left="1134" w:right="1134"/>
        <w:jc w:val="both"/>
        <w:rPr>
          <w:lang w:val="en-US"/>
        </w:rPr>
      </w:pPr>
      <w:r>
        <w:rPr>
          <w:lang w:val="en-US"/>
        </w:rPr>
        <w:t>3.</w:t>
      </w:r>
      <w:r>
        <w:rPr>
          <w:lang w:val="en-US"/>
        </w:rPr>
        <w:tab/>
      </w:r>
      <w:r w:rsidR="006608AB" w:rsidRPr="00CC628C">
        <w:rPr>
          <w:lang w:val="en-US"/>
        </w:rPr>
        <w:t>This proposal intend</w:t>
      </w:r>
      <w:r w:rsidR="00367963">
        <w:rPr>
          <w:lang w:val="en-US"/>
        </w:rPr>
        <w:t>s</w:t>
      </w:r>
      <w:r w:rsidR="006608AB" w:rsidRPr="00CC628C">
        <w:rPr>
          <w:lang w:val="en-US"/>
        </w:rPr>
        <w:t xml:space="preserve"> to simplify the test procedures </w:t>
      </w:r>
      <w:r w:rsidR="00367963">
        <w:rPr>
          <w:lang w:val="en-US"/>
        </w:rPr>
        <w:t xml:space="preserve">that </w:t>
      </w:r>
      <w:r w:rsidR="006608AB" w:rsidRPr="00CC628C">
        <w:rPr>
          <w:lang w:val="en-US"/>
        </w:rPr>
        <w:t>determine the objective luminous flux of LED module(s). As the purpose of this test is to verify that the luminous flux is greater than 1000</w:t>
      </w:r>
      <w:r>
        <w:rPr>
          <w:lang w:val="en-US"/>
        </w:rPr>
        <w:t xml:space="preserve"> </w:t>
      </w:r>
      <w:r w:rsidR="006608AB" w:rsidRPr="00CC628C">
        <w:rPr>
          <w:lang w:val="en-US"/>
        </w:rPr>
        <w:t>lm</w:t>
      </w:r>
      <w:r w:rsidR="00367963">
        <w:rPr>
          <w:lang w:val="en-US"/>
        </w:rPr>
        <w:t>;</w:t>
      </w:r>
      <w:r w:rsidR="006608AB" w:rsidRPr="00CC628C">
        <w:rPr>
          <w:lang w:val="en-US"/>
        </w:rPr>
        <w:t xml:space="preserve"> it is not required to measure an absolute value, it is sufficient to perform this measurement on one LED module instead of on three modules as currently required.</w:t>
      </w:r>
    </w:p>
    <w:bookmarkEnd w:id="1"/>
    <w:p w:rsidR="004348AD" w:rsidRPr="004348AD" w:rsidRDefault="004348AD" w:rsidP="004348AD">
      <w:pPr>
        <w:pStyle w:val="SingleTxtG"/>
        <w:spacing w:before="240" w:after="0"/>
        <w:jc w:val="center"/>
        <w:rPr>
          <w:u w:val="single"/>
        </w:rPr>
      </w:pPr>
      <w:r>
        <w:rPr>
          <w:u w:val="single"/>
        </w:rPr>
        <w:tab/>
      </w:r>
      <w:r>
        <w:rPr>
          <w:u w:val="single"/>
        </w:rPr>
        <w:tab/>
      </w:r>
      <w:r>
        <w:rPr>
          <w:u w:val="single"/>
        </w:rPr>
        <w:tab/>
      </w:r>
    </w:p>
    <w:sectPr w:rsidR="004348AD" w:rsidRPr="004348AD" w:rsidSect="006D66A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FF" w:rsidRDefault="005305FF"/>
  </w:endnote>
  <w:endnote w:type="continuationSeparator" w:id="0">
    <w:p w:rsidR="005305FF" w:rsidRDefault="005305FF"/>
  </w:endnote>
  <w:endnote w:type="continuationNotice" w:id="1">
    <w:p w:rsidR="005305FF" w:rsidRDefault="00530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B1ADB"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1713B1">
      <w:rPr>
        <w:b/>
        <w:noProof/>
        <w:sz w:val="18"/>
      </w:rPr>
      <w:t>4</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B1ADB" w:rsidP="00D1446E">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1713B1">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EA2A77" w:rsidRDefault="00C325B5">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1905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pic:spPr>
              </pic:pic>
            </a:graphicData>
          </a:graphic>
        </wp:anchor>
      </w:drawing>
    </w:r>
    <w:r w:rsidR="00204AD6">
      <w:rPr>
        <w:sz w:val="20"/>
      </w:rPr>
      <w:t>GE.1</w:t>
    </w:r>
    <w:r w:rsidR="00CC628C">
      <w:rPr>
        <w:sz w:val="20"/>
      </w:rPr>
      <w:t>4</w:t>
    </w:r>
    <w:r w:rsidR="00204AD6">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FF" w:rsidRPr="000B175B" w:rsidRDefault="005305FF" w:rsidP="000B175B">
      <w:pPr>
        <w:tabs>
          <w:tab w:val="right" w:pos="2155"/>
        </w:tabs>
        <w:spacing w:after="80"/>
        <w:ind w:left="680"/>
        <w:rPr>
          <w:u w:val="single"/>
        </w:rPr>
      </w:pPr>
      <w:r>
        <w:rPr>
          <w:u w:val="single"/>
        </w:rPr>
        <w:tab/>
      </w:r>
    </w:p>
  </w:footnote>
  <w:footnote w:type="continuationSeparator" w:id="0">
    <w:p w:rsidR="005305FF" w:rsidRPr="00FC68B7" w:rsidRDefault="005305FF" w:rsidP="00FC68B7">
      <w:pPr>
        <w:tabs>
          <w:tab w:val="left" w:pos="2155"/>
        </w:tabs>
        <w:spacing w:after="80"/>
        <w:ind w:left="680"/>
        <w:rPr>
          <w:u w:val="single"/>
        </w:rPr>
      </w:pPr>
      <w:r>
        <w:rPr>
          <w:u w:val="single"/>
        </w:rPr>
        <w:tab/>
      </w:r>
    </w:p>
  </w:footnote>
  <w:footnote w:type="continuationNotice" w:id="1">
    <w:p w:rsidR="005305FF" w:rsidRDefault="005305FF"/>
  </w:footnote>
  <w:footnote w:id="2">
    <w:p w:rsidR="00960F75" w:rsidRDefault="00960F75" w:rsidP="00B52192">
      <w:pPr>
        <w:pStyle w:val="FootnoteText"/>
        <w:jc w:val="both"/>
      </w:pPr>
      <w:r>
        <w:tab/>
      </w:r>
      <w:r w:rsidRPr="00CC628C">
        <w:rPr>
          <w:rStyle w:val="FootnoteReference"/>
          <w:szCs w:val="18"/>
          <w:lang w:val="en-US"/>
        </w:rPr>
        <w:t>*</w:t>
      </w:r>
      <w:r w:rsidRPr="002232AF">
        <w:rPr>
          <w:sz w:val="20"/>
          <w:lang w:val="en-US"/>
        </w:rPr>
        <w:tab/>
      </w:r>
      <w:r w:rsidR="00CC628C" w:rsidRPr="00F35799">
        <w:rPr>
          <w:szCs w:val="18"/>
          <w:lang w:val="en-US"/>
        </w:rPr>
        <w:t>In accordance</w:t>
      </w:r>
      <w:r w:rsidR="00CC628C" w:rsidRPr="00073143">
        <w:rPr>
          <w:szCs w:val="18"/>
          <w:lang w:val="en-US"/>
        </w:rPr>
        <w:t xml:space="preserve"> with the programme of work of the Inland Transport Committee for 2012–2016 (ECE/TRANS/224, </w:t>
      </w:r>
      <w:proofErr w:type="spellStart"/>
      <w:r w:rsidR="00CC628C" w:rsidRPr="00073143">
        <w:rPr>
          <w:szCs w:val="18"/>
          <w:lang w:val="en-US"/>
        </w:rPr>
        <w:t>para</w:t>
      </w:r>
      <w:proofErr w:type="spellEnd"/>
      <w:r w:rsidR="00CC628C" w:rsidRPr="00073143">
        <w:rPr>
          <w:szCs w:val="18"/>
          <w:lang w:val="en-US"/>
        </w:rPr>
        <w:t>. 94 and ECE/TRANS/2012/12,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B7467C">
      <w:t>4</w:t>
    </w:r>
    <w:r w:rsidR="00124000" w:rsidRPr="00A91E4C">
      <w:t>/</w:t>
    </w:r>
    <w:r w:rsidR="00CC628C">
      <w:t>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CC628C">
    <w:pPr>
      <w:pStyle w:val="Header"/>
      <w:jc w:val="right"/>
    </w:pPr>
    <w:r w:rsidRPr="00CC628C">
      <w:t>ECE/TRANS/WP.29/GRE/</w:t>
    </w:r>
    <w:r w:rsidR="00CC628C" w:rsidRPr="00CC628C">
      <w:t>2014</w:t>
    </w:r>
    <w:r w:rsidR="0068000A" w:rsidRPr="00CC628C">
      <w:t>/</w:t>
    </w:r>
    <w:r w:rsidR="00CC628C" w:rsidRPr="00CC628C">
      <w:t>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6E" w:rsidRDefault="00D14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2973610D"/>
    <w:multiLevelType w:val="hybridMultilevel"/>
    <w:tmpl w:val="055E43DA"/>
    <w:lvl w:ilvl="0" w:tplc="67AA52D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14E3CD9"/>
    <w:multiLevelType w:val="hybridMultilevel"/>
    <w:tmpl w:val="3C2A8FB4"/>
    <w:lvl w:ilvl="0" w:tplc="18B09CC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20"/>
  </w:num>
  <w:num w:numId="15">
    <w:abstractNumId w:val="21"/>
  </w:num>
  <w:num w:numId="16">
    <w:abstractNumId w:val="10"/>
  </w:num>
  <w:num w:numId="17">
    <w:abstractNumId w:val="14"/>
  </w:num>
  <w:num w:numId="18">
    <w:abstractNumId w:val="17"/>
  </w:num>
  <w:num w:numId="19">
    <w:abstractNumId w:val="11"/>
  </w:num>
  <w:num w:numId="20">
    <w:abstractNumId w:val="15"/>
  </w:num>
  <w:num w:numId="21">
    <w:abstractNumId w:val="22"/>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13D99"/>
    <w:rsid w:val="00023F66"/>
    <w:rsid w:val="0003056C"/>
    <w:rsid w:val="000348D3"/>
    <w:rsid w:val="00037DCF"/>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E0415"/>
    <w:rsid w:val="000F431B"/>
    <w:rsid w:val="001078D2"/>
    <w:rsid w:val="001103AA"/>
    <w:rsid w:val="0011666B"/>
    <w:rsid w:val="00124000"/>
    <w:rsid w:val="0013722F"/>
    <w:rsid w:val="0014380B"/>
    <w:rsid w:val="00157FE9"/>
    <w:rsid w:val="0016538B"/>
    <w:rsid w:val="00165F3A"/>
    <w:rsid w:val="001713B1"/>
    <w:rsid w:val="00181021"/>
    <w:rsid w:val="00182290"/>
    <w:rsid w:val="001A3955"/>
    <w:rsid w:val="001B4B04"/>
    <w:rsid w:val="001C3208"/>
    <w:rsid w:val="001C6663"/>
    <w:rsid w:val="001C7895"/>
    <w:rsid w:val="001D0C8C"/>
    <w:rsid w:val="001D10DE"/>
    <w:rsid w:val="001D1419"/>
    <w:rsid w:val="001D26DF"/>
    <w:rsid w:val="001D3A03"/>
    <w:rsid w:val="001E7B67"/>
    <w:rsid w:val="00202DA8"/>
    <w:rsid w:val="00204AD6"/>
    <w:rsid w:val="00211E0B"/>
    <w:rsid w:val="00232270"/>
    <w:rsid w:val="00234770"/>
    <w:rsid w:val="0024772E"/>
    <w:rsid w:val="00267F5F"/>
    <w:rsid w:val="00283697"/>
    <w:rsid w:val="00286B4D"/>
    <w:rsid w:val="002A007A"/>
    <w:rsid w:val="002A6754"/>
    <w:rsid w:val="002B1DCA"/>
    <w:rsid w:val="002D4643"/>
    <w:rsid w:val="002F02D2"/>
    <w:rsid w:val="002F175C"/>
    <w:rsid w:val="002F7DE0"/>
    <w:rsid w:val="00302E18"/>
    <w:rsid w:val="003229D8"/>
    <w:rsid w:val="00340057"/>
    <w:rsid w:val="00344266"/>
    <w:rsid w:val="00352709"/>
    <w:rsid w:val="003619B5"/>
    <w:rsid w:val="00361AC3"/>
    <w:rsid w:val="00365763"/>
    <w:rsid w:val="00367963"/>
    <w:rsid w:val="00371178"/>
    <w:rsid w:val="00392E47"/>
    <w:rsid w:val="003936BC"/>
    <w:rsid w:val="003A6810"/>
    <w:rsid w:val="003C2CC4"/>
    <w:rsid w:val="003C534D"/>
    <w:rsid w:val="003D4B23"/>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2136D"/>
    <w:rsid w:val="0052775E"/>
    <w:rsid w:val="005305FF"/>
    <w:rsid w:val="005369ED"/>
    <w:rsid w:val="005420F2"/>
    <w:rsid w:val="0056209A"/>
    <w:rsid w:val="005628B6"/>
    <w:rsid w:val="005908FB"/>
    <w:rsid w:val="005941EC"/>
    <w:rsid w:val="0059724D"/>
    <w:rsid w:val="005A1035"/>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322DD"/>
    <w:rsid w:val="00640B26"/>
    <w:rsid w:val="00652D0A"/>
    <w:rsid w:val="006608AB"/>
    <w:rsid w:val="00662BB6"/>
    <w:rsid w:val="00671B51"/>
    <w:rsid w:val="00672A48"/>
    <w:rsid w:val="00672F8A"/>
    <w:rsid w:val="0067362F"/>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683C"/>
    <w:rsid w:val="006E7191"/>
    <w:rsid w:val="00703577"/>
    <w:rsid w:val="00705894"/>
    <w:rsid w:val="00724B93"/>
    <w:rsid w:val="0072632A"/>
    <w:rsid w:val="007327D5"/>
    <w:rsid w:val="00733B05"/>
    <w:rsid w:val="007406EE"/>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06B5"/>
    <w:rsid w:val="007E63F3"/>
    <w:rsid w:val="007F6611"/>
    <w:rsid w:val="00811920"/>
    <w:rsid w:val="00815AD0"/>
    <w:rsid w:val="00815EDB"/>
    <w:rsid w:val="008242D7"/>
    <w:rsid w:val="008257B1"/>
    <w:rsid w:val="00832334"/>
    <w:rsid w:val="00843191"/>
    <w:rsid w:val="00843767"/>
    <w:rsid w:val="0085595A"/>
    <w:rsid w:val="00864245"/>
    <w:rsid w:val="008679D9"/>
    <w:rsid w:val="00872E3B"/>
    <w:rsid w:val="008878DE"/>
    <w:rsid w:val="00893847"/>
    <w:rsid w:val="008979B1"/>
    <w:rsid w:val="008A1ED5"/>
    <w:rsid w:val="008A6B25"/>
    <w:rsid w:val="008A6C4F"/>
    <w:rsid w:val="008B0563"/>
    <w:rsid w:val="008B2335"/>
    <w:rsid w:val="008B2E36"/>
    <w:rsid w:val="008C2428"/>
    <w:rsid w:val="008C3247"/>
    <w:rsid w:val="008D325F"/>
    <w:rsid w:val="008E0678"/>
    <w:rsid w:val="008F31D2"/>
    <w:rsid w:val="008F4D20"/>
    <w:rsid w:val="00915EF6"/>
    <w:rsid w:val="009223CA"/>
    <w:rsid w:val="00930A10"/>
    <w:rsid w:val="00934631"/>
    <w:rsid w:val="00940F93"/>
    <w:rsid w:val="009448C3"/>
    <w:rsid w:val="00960F75"/>
    <w:rsid w:val="009760F3"/>
    <w:rsid w:val="00976CFB"/>
    <w:rsid w:val="009A0830"/>
    <w:rsid w:val="009A0E8D"/>
    <w:rsid w:val="009B1ADB"/>
    <w:rsid w:val="009B26E7"/>
    <w:rsid w:val="009B2F79"/>
    <w:rsid w:val="009B3273"/>
    <w:rsid w:val="009B544C"/>
    <w:rsid w:val="009B64BB"/>
    <w:rsid w:val="00A00697"/>
    <w:rsid w:val="00A00A3F"/>
    <w:rsid w:val="00A01205"/>
    <w:rsid w:val="00A01489"/>
    <w:rsid w:val="00A0171E"/>
    <w:rsid w:val="00A3026E"/>
    <w:rsid w:val="00A33778"/>
    <w:rsid w:val="00A338F1"/>
    <w:rsid w:val="00A34109"/>
    <w:rsid w:val="00A35BE0"/>
    <w:rsid w:val="00A5414C"/>
    <w:rsid w:val="00A6129C"/>
    <w:rsid w:val="00A72F22"/>
    <w:rsid w:val="00A7360F"/>
    <w:rsid w:val="00A7397C"/>
    <w:rsid w:val="00A748A6"/>
    <w:rsid w:val="00A769F4"/>
    <w:rsid w:val="00A776B4"/>
    <w:rsid w:val="00A91E4C"/>
    <w:rsid w:val="00A94361"/>
    <w:rsid w:val="00AA11D6"/>
    <w:rsid w:val="00AA293C"/>
    <w:rsid w:val="00AD74C4"/>
    <w:rsid w:val="00B049A8"/>
    <w:rsid w:val="00B05BC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A03"/>
    <w:rsid w:val="00C22C0C"/>
    <w:rsid w:val="00C325B5"/>
    <w:rsid w:val="00C37074"/>
    <w:rsid w:val="00C4527F"/>
    <w:rsid w:val="00C463DD"/>
    <w:rsid w:val="00C4724C"/>
    <w:rsid w:val="00C60646"/>
    <w:rsid w:val="00C629A0"/>
    <w:rsid w:val="00C64629"/>
    <w:rsid w:val="00C745C3"/>
    <w:rsid w:val="00C94F10"/>
    <w:rsid w:val="00C96DF2"/>
    <w:rsid w:val="00CA1B34"/>
    <w:rsid w:val="00CB3E03"/>
    <w:rsid w:val="00CC628C"/>
    <w:rsid w:val="00CD4AA6"/>
    <w:rsid w:val="00CE4A8F"/>
    <w:rsid w:val="00D1446E"/>
    <w:rsid w:val="00D149F6"/>
    <w:rsid w:val="00D2031B"/>
    <w:rsid w:val="00D248B6"/>
    <w:rsid w:val="00D25FE2"/>
    <w:rsid w:val="00D26E07"/>
    <w:rsid w:val="00D43252"/>
    <w:rsid w:val="00D44783"/>
    <w:rsid w:val="00D452D8"/>
    <w:rsid w:val="00D47EEA"/>
    <w:rsid w:val="00D70480"/>
    <w:rsid w:val="00D773DF"/>
    <w:rsid w:val="00D95303"/>
    <w:rsid w:val="00D978C6"/>
    <w:rsid w:val="00DA3C1C"/>
    <w:rsid w:val="00DC6D39"/>
    <w:rsid w:val="00E00F5C"/>
    <w:rsid w:val="00E046DF"/>
    <w:rsid w:val="00E1086D"/>
    <w:rsid w:val="00E14EAE"/>
    <w:rsid w:val="00E22B0C"/>
    <w:rsid w:val="00E27346"/>
    <w:rsid w:val="00E40A45"/>
    <w:rsid w:val="00E560CA"/>
    <w:rsid w:val="00E6752F"/>
    <w:rsid w:val="00E71BC8"/>
    <w:rsid w:val="00E7260F"/>
    <w:rsid w:val="00E73F5D"/>
    <w:rsid w:val="00E77E4E"/>
    <w:rsid w:val="00E95330"/>
    <w:rsid w:val="00E96630"/>
    <w:rsid w:val="00EA2A77"/>
    <w:rsid w:val="00ED7A2A"/>
    <w:rsid w:val="00EF1D7F"/>
    <w:rsid w:val="00F12AF0"/>
    <w:rsid w:val="00F16068"/>
    <w:rsid w:val="00F31E5F"/>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ListParagraph">
    <w:name w:val="List Paragraph"/>
    <w:basedOn w:val="Normal"/>
    <w:uiPriority w:val="34"/>
    <w:qFormat/>
    <w:rsid w:val="00232270"/>
    <w:pPr>
      <w:ind w:left="720"/>
      <w:contextualSpacing/>
    </w:pPr>
  </w:style>
  <w:style w:type="character" w:customStyle="1" w:styleId="paraChar">
    <w:name w:val="para Char"/>
    <w:link w:val="para"/>
    <w:rsid w:val="0023477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ListParagraph">
    <w:name w:val="List Paragraph"/>
    <w:basedOn w:val="Normal"/>
    <w:uiPriority w:val="34"/>
    <w:qFormat/>
    <w:rsid w:val="00232270"/>
    <w:pPr>
      <w:ind w:left="720"/>
      <w:contextualSpacing/>
    </w:pPr>
  </w:style>
  <w:style w:type="character" w:customStyle="1" w:styleId="paraChar">
    <w:name w:val="para Char"/>
    <w:link w:val="para"/>
    <w:rsid w:val="002347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089B1-628B-4E13-84AE-A78E918F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925</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07 series second set of changes</cp:lastModifiedBy>
  <cp:revision>2</cp:revision>
  <cp:lastPrinted>2014-08-05T10:20:00Z</cp:lastPrinted>
  <dcterms:created xsi:type="dcterms:W3CDTF">2014-08-11T12:35:00Z</dcterms:created>
  <dcterms:modified xsi:type="dcterms:W3CDTF">2014-08-11T12:35:00Z</dcterms:modified>
</cp:coreProperties>
</file>