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CA" w:rsidRDefault="002301CA" w:rsidP="002301CA">
      <w:pPr>
        <w:pStyle w:val="HChG"/>
      </w:pPr>
      <w:r>
        <w:tab/>
      </w:r>
      <w:r>
        <w:tab/>
      </w:r>
      <w:r w:rsidR="00720FA0">
        <w:t>I</w:t>
      </w:r>
      <w:r>
        <w:t>nformal working group on Environmental and Propulsion Performance R</w:t>
      </w:r>
      <w:r w:rsidRPr="000479CA">
        <w:t>equirements</w:t>
      </w:r>
      <w:r>
        <w:t xml:space="preserve"> (EPPR)</w:t>
      </w:r>
      <w:r w:rsidRPr="000479CA">
        <w:t xml:space="preserve"> for L-category vehicle</w:t>
      </w:r>
      <w:r>
        <w:t>s</w:t>
      </w:r>
      <w:r w:rsidR="00720FA0">
        <w:t>: background information, terms</w:t>
      </w:r>
      <w:r>
        <w:t xml:space="preserve"> of reference and rules of procedure</w:t>
      </w:r>
    </w:p>
    <w:p w:rsidR="002301CA" w:rsidRDefault="001663BB" w:rsidP="001663BB">
      <w:pPr>
        <w:pStyle w:val="H23G"/>
        <w:tabs>
          <w:tab w:val="clear" w:pos="851"/>
          <w:tab w:val="left" w:pos="1701"/>
        </w:tabs>
        <w:ind w:firstLine="0"/>
      </w:pPr>
      <w:r>
        <w:t>1.</w:t>
      </w:r>
      <w:r>
        <w:tab/>
      </w:r>
      <w:r w:rsidR="002301CA">
        <w:t>Background</w:t>
      </w:r>
    </w:p>
    <w:p w:rsidR="002301CA" w:rsidRDefault="002301CA" w:rsidP="001663BB">
      <w:pPr>
        <w:pStyle w:val="SingleTxtG"/>
        <w:tabs>
          <w:tab w:val="left" w:pos="1701"/>
        </w:tabs>
      </w:pPr>
      <w:r>
        <w:t>1.1.</w:t>
      </w:r>
      <w:r>
        <w:tab/>
        <w:t xml:space="preserve">This proposal to establish an informal working group on environmental and propulsion performance requirements for L-category vehicle aligns with a current initiative by the European Commission to revise type approval procedures for such vehicle types. L-category vehicle is the family name of light vehicles such as powered cycles, mopeds, motorcycles, tricycles and </w:t>
      </w:r>
      <w:proofErr w:type="spellStart"/>
      <w:r>
        <w:t>quadricycles</w:t>
      </w:r>
      <w:proofErr w:type="spellEnd"/>
      <w:r>
        <w:t>. As part of the European Union’s decision process, a proposal, three delegated acts and one implementing act are currently being drafted, including a Regulation on environmental and propulsion performance requirements (REPPR). The European Commission wishes, as far as possible, to replace the legislative text in the REPPR with references to international regulations, preferably UN Regulations, in order to increase global harmonisation.</w:t>
      </w:r>
    </w:p>
    <w:p w:rsidR="002301CA" w:rsidRDefault="002301CA" w:rsidP="001663BB">
      <w:pPr>
        <w:pStyle w:val="H23G"/>
        <w:tabs>
          <w:tab w:val="clear" w:pos="851"/>
          <w:tab w:val="left" w:pos="1701"/>
        </w:tabs>
        <w:ind w:firstLine="0"/>
      </w:pPr>
      <w:r>
        <w:t>2.</w:t>
      </w:r>
      <w:r>
        <w:tab/>
        <w:t>Terms of Reference</w:t>
      </w:r>
    </w:p>
    <w:p w:rsidR="002301CA" w:rsidRDefault="001663BB" w:rsidP="001663BB">
      <w:pPr>
        <w:pStyle w:val="SingleTxtG"/>
        <w:tabs>
          <w:tab w:val="left" w:pos="1701"/>
        </w:tabs>
      </w:pPr>
      <w:r>
        <w:t>2.1.</w:t>
      </w:r>
      <w:r>
        <w:tab/>
      </w:r>
      <w:r w:rsidR="002301CA">
        <w:t>The informal working group will be open to all interested parties, including contracting parties and industry experts.</w:t>
      </w:r>
    </w:p>
    <w:p w:rsidR="002301CA" w:rsidRDefault="002301CA" w:rsidP="001663BB">
      <w:pPr>
        <w:pStyle w:val="SingleTxtG"/>
        <w:tabs>
          <w:tab w:val="left" w:pos="1701"/>
        </w:tabs>
      </w:pPr>
      <w:r>
        <w:t>2.2.</w:t>
      </w:r>
      <w:r>
        <w:tab/>
        <w:t>The informal group will develop the means and resources to:</w:t>
      </w:r>
    </w:p>
    <w:p w:rsidR="002301CA" w:rsidRDefault="002301CA" w:rsidP="001663BB">
      <w:pPr>
        <w:pStyle w:val="SingleTxtG"/>
        <w:tabs>
          <w:tab w:val="left" w:pos="1701"/>
        </w:tabs>
      </w:pPr>
      <w:r>
        <w:t>a)</w:t>
      </w:r>
      <w:r>
        <w:tab/>
      </w:r>
      <w:proofErr w:type="gramStart"/>
      <w:r>
        <w:t>understand</w:t>
      </w:r>
      <w:proofErr w:type="gramEnd"/>
      <w:r>
        <w:t xml:space="preserve"> the current regulatory position and requirements with respect to environmental and propulsion performance requirements for L-category vehicles in different markets;</w:t>
      </w:r>
    </w:p>
    <w:p w:rsidR="002301CA" w:rsidRDefault="002301CA" w:rsidP="001663BB">
      <w:pPr>
        <w:pStyle w:val="SingleTxtG"/>
        <w:tabs>
          <w:tab w:val="left" w:pos="1701"/>
        </w:tabs>
      </w:pPr>
      <w:r>
        <w:t>b)</w:t>
      </w:r>
      <w:r>
        <w:tab/>
      </w:r>
      <w:proofErr w:type="gramStart"/>
      <w:r>
        <w:t>identify</w:t>
      </w:r>
      <w:proofErr w:type="gramEnd"/>
      <w:r>
        <w:t xml:space="preserve"> potential routes for amending or establishing UN regulations and Global Technical Regulations to at least maintain, and ideally increase, current levels of harmonisation;</w:t>
      </w:r>
    </w:p>
    <w:p w:rsidR="002301CA" w:rsidRDefault="002301CA" w:rsidP="001663BB">
      <w:pPr>
        <w:pStyle w:val="SingleTxtG"/>
        <w:tabs>
          <w:tab w:val="left" w:pos="1701"/>
        </w:tabs>
      </w:pPr>
      <w:r>
        <w:t>c)</w:t>
      </w:r>
      <w:r>
        <w:tab/>
        <w:t>work both on Regulations under the 1958 and 1998 Agreements, bearing in mind the need for technology neutral test procedures which do not discriminate against specific vehicle technologies or configurations;</w:t>
      </w:r>
    </w:p>
    <w:p w:rsidR="002301CA" w:rsidRDefault="002301CA" w:rsidP="001663BB">
      <w:pPr>
        <w:pStyle w:val="SingleTxtG"/>
        <w:tabs>
          <w:tab w:val="left" w:pos="1701"/>
        </w:tabs>
      </w:pPr>
      <w:r>
        <w:t>d)</w:t>
      </w:r>
      <w:r>
        <w:tab/>
      </w:r>
      <w:proofErr w:type="gramStart"/>
      <w:r>
        <w:t>take</w:t>
      </w:r>
      <w:proofErr w:type="gramEnd"/>
      <w:r>
        <w:t xml:space="preserve"> into account the real-world representativeness of proposed test procedures;</w:t>
      </w:r>
    </w:p>
    <w:p w:rsidR="002301CA" w:rsidRDefault="002301CA" w:rsidP="001663BB">
      <w:pPr>
        <w:pStyle w:val="SingleTxtG"/>
        <w:tabs>
          <w:tab w:val="left" w:pos="1701"/>
        </w:tabs>
      </w:pPr>
      <w:r>
        <w:t>e)</w:t>
      </w:r>
      <w:r>
        <w:tab/>
      </w:r>
      <w:proofErr w:type="gramStart"/>
      <w:r>
        <w:t>stay</w:t>
      </w:r>
      <w:proofErr w:type="gramEnd"/>
      <w:r>
        <w:t xml:space="preserve"> abreast of developing issues through regular dialogue and expert presentations.</w:t>
      </w:r>
    </w:p>
    <w:p w:rsidR="002301CA" w:rsidRDefault="002301CA" w:rsidP="001663BB">
      <w:pPr>
        <w:pStyle w:val="SingleTxtG"/>
        <w:tabs>
          <w:tab w:val="left" w:pos="1701"/>
        </w:tabs>
      </w:pPr>
      <w:r>
        <w:t>2.3.</w:t>
      </w:r>
      <w:r>
        <w:tab/>
        <w:t xml:space="preserve">The informal group shall submit the final report to GRPE in January 2016. The target completion date for the work of the informal </w:t>
      </w:r>
      <w:proofErr w:type="gramStart"/>
      <w:r>
        <w:t>group,</w:t>
      </w:r>
      <w:proofErr w:type="gramEnd"/>
      <w:r>
        <w:t xml:space="preserve"> and possible adoption of UN Regulation(s) and Global Technical Regulation(s) shall be the WP.29 session of June 2016.</w:t>
      </w:r>
    </w:p>
    <w:p w:rsidR="002301CA" w:rsidRDefault="002301CA" w:rsidP="001663BB">
      <w:pPr>
        <w:pStyle w:val="H23G"/>
        <w:tabs>
          <w:tab w:val="left" w:pos="1701"/>
        </w:tabs>
        <w:ind w:firstLine="0"/>
      </w:pPr>
      <w:r>
        <w:t>3.</w:t>
      </w:r>
      <w:r>
        <w:tab/>
        <w:t xml:space="preserve"> Rules of Procedure</w:t>
      </w:r>
    </w:p>
    <w:p w:rsidR="002301CA" w:rsidRDefault="002301CA" w:rsidP="001663BB">
      <w:pPr>
        <w:pStyle w:val="SingleTxtG"/>
        <w:tabs>
          <w:tab w:val="left" w:pos="1701"/>
        </w:tabs>
      </w:pPr>
      <w:r>
        <w:t xml:space="preserve">3.1. </w:t>
      </w:r>
      <w:r>
        <w:tab/>
        <w:t>Participation</w:t>
      </w:r>
    </w:p>
    <w:p w:rsidR="002301CA" w:rsidRDefault="002301CA" w:rsidP="001663BB">
      <w:pPr>
        <w:pStyle w:val="SingleTxtG"/>
        <w:tabs>
          <w:tab w:val="left" w:pos="1701"/>
        </w:tabs>
      </w:pPr>
      <w:r>
        <w:t>The informal group is open to all participants of GRPE. There is no limit to the number of participants from any country and organization represented in GRPE.</w:t>
      </w:r>
    </w:p>
    <w:p w:rsidR="002301CA" w:rsidRDefault="002301CA" w:rsidP="001663BB">
      <w:pPr>
        <w:pStyle w:val="SingleTxtG"/>
        <w:tabs>
          <w:tab w:val="left" w:pos="1701"/>
        </w:tabs>
      </w:pPr>
      <w:r>
        <w:t>3.2.</w:t>
      </w:r>
      <w:r>
        <w:tab/>
      </w:r>
      <w:bookmarkStart w:id="0" w:name="_GoBack"/>
      <w:bookmarkEnd w:id="0"/>
      <w:r>
        <w:t>Sessions</w:t>
      </w:r>
    </w:p>
    <w:p w:rsidR="002301CA" w:rsidRDefault="002301CA" w:rsidP="001663BB">
      <w:pPr>
        <w:pStyle w:val="SingleTxtG"/>
        <w:tabs>
          <w:tab w:val="left" w:pos="1701"/>
        </w:tabs>
      </w:pPr>
      <w:r>
        <w:t>a)</w:t>
      </w:r>
      <w:r>
        <w:tab/>
        <w:t xml:space="preserve">Sessions shall be held on the basis of the timing approved by the GRPE. The chairperson shall manage the various aspects of the work ensuring that the action plan approved by the GRPE is implemented properly and that milestones and </w:t>
      </w:r>
      <w:r>
        <w:lastRenderedPageBreak/>
        <w:t>timelines are set and met. The Chairman or the Secretariat shall inform Participants of the date and location of meetings at least one month in advance.</w:t>
      </w:r>
    </w:p>
    <w:p w:rsidR="002301CA" w:rsidRDefault="002301CA" w:rsidP="001663BB">
      <w:pPr>
        <w:pStyle w:val="SingleTxtG"/>
        <w:tabs>
          <w:tab w:val="left" w:pos="1701"/>
        </w:tabs>
      </w:pPr>
      <w:r>
        <w:t>b)</w:t>
      </w:r>
      <w:r>
        <w:tab/>
        <w:t>Documents for discussions at meetings shall be submitted to the secretariat for distribution to the participants at least two weeks in advance of meetings. All documents will be posted on the UNECE GRPE website. All documents and/or proposals shall be submitted to the secretary of the group in a suitable electronic format, preferably in line with the UNECE guidelines in advance of the meetings. The group may refuse to discuss any item or proposal which has not been circulated 5 at least working days in advance of the scheduled meeting.</w:t>
      </w:r>
    </w:p>
    <w:p w:rsidR="002301CA" w:rsidRDefault="002301CA" w:rsidP="001663BB">
      <w:pPr>
        <w:pStyle w:val="SingleTxtG"/>
        <w:tabs>
          <w:tab w:val="left" w:pos="1701"/>
        </w:tabs>
      </w:pPr>
      <w:r>
        <w:t>c)</w:t>
      </w:r>
      <w:r>
        <w:tab/>
        <w:t>The secretariat shall circulate an agenda and related documents to all members of the informal group in advance of all scheduled meetings.</w:t>
      </w:r>
    </w:p>
    <w:p w:rsidR="002301CA" w:rsidRDefault="002301CA" w:rsidP="001663BB">
      <w:pPr>
        <w:pStyle w:val="SingleTxtG"/>
        <w:tabs>
          <w:tab w:val="left" w:pos="1701"/>
        </w:tabs>
      </w:pPr>
      <w:r>
        <w:t>d)</w:t>
      </w:r>
      <w:r>
        <w:tab/>
        <w:t>All working documents shall be distributed in digital format. A specific IEPPR website shall be created and the URL noticed to all related parties.</w:t>
      </w:r>
    </w:p>
    <w:p w:rsidR="002301CA" w:rsidRDefault="002301CA" w:rsidP="001663BB">
      <w:pPr>
        <w:pStyle w:val="SingleTxtG"/>
        <w:tabs>
          <w:tab w:val="left" w:pos="1701"/>
        </w:tabs>
      </w:pPr>
      <w:r>
        <w:t>e)</w:t>
      </w:r>
      <w:r>
        <w:tab/>
        <w:t>The work process shall be developed by consensus. When consensus cannot be reached, the Chairperson of the informal group shall present the different points of view to GRPE. The Chairperson may seek guidance from GRPE as appropriate.</w:t>
      </w:r>
    </w:p>
    <w:p w:rsidR="002301CA" w:rsidRDefault="002301CA" w:rsidP="001663BB">
      <w:pPr>
        <w:pStyle w:val="SingleTxtG"/>
        <w:tabs>
          <w:tab w:val="left" w:pos="1701"/>
        </w:tabs>
      </w:pPr>
      <w:r>
        <w:t>f)</w:t>
      </w:r>
      <w:r>
        <w:tab/>
        <w:t>The progress of the informal group shall be routinely reported to GRPE orally or as an informal document by the Chairperson or the secretary.</w:t>
      </w:r>
    </w:p>
    <w:p w:rsidR="002301CA" w:rsidRDefault="002301CA" w:rsidP="001663BB">
      <w:pPr>
        <w:pStyle w:val="SingleTxtG"/>
        <w:tabs>
          <w:tab w:val="left" w:pos="1701"/>
        </w:tabs>
      </w:pPr>
      <w:r>
        <w:t>g)</w:t>
      </w:r>
      <w:r>
        <w:tab/>
        <w:t>The official language of the informal group shall be English.</w:t>
      </w:r>
    </w:p>
    <w:p w:rsidR="002301CA" w:rsidRDefault="002301CA" w:rsidP="001663BB">
      <w:pPr>
        <w:pStyle w:val="SingleTxtG"/>
        <w:tabs>
          <w:tab w:val="left" w:pos="1701"/>
        </w:tabs>
      </w:pPr>
      <w:r>
        <w:t>3.3.</w:t>
      </w:r>
      <w:r>
        <w:tab/>
        <w:t>Chair and secretariat</w:t>
      </w:r>
    </w:p>
    <w:p w:rsidR="002301CA" w:rsidRDefault="002301CA" w:rsidP="001663BB">
      <w:pPr>
        <w:pStyle w:val="SingleTxtG"/>
        <w:tabs>
          <w:tab w:val="left" w:pos="1701"/>
        </w:tabs>
      </w:pPr>
      <w:r>
        <w:t>a)</w:t>
      </w:r>
      <w:r>
        <w:tab/>
        <w:t>The informal group shall have a Chair and a secretary.</w:t>
      </w:r>
    </w:p>
    <w:p w:rsidR="002301CA" w:rsidRPr="00FD031F" w:rsidRDefault="002301CA" w:rsidP="001663BB">
      <w:pPr>
        <w:pStyle w:val="SingleTxtG"/>
        <w:tabs>
          <w:tab w:val="left" w:pos="1701"/>
        </w:tabs>
      </w:pPr>
      <w:r>
        <w:t xml:space="preserve">b) </w:t>
      </w:r>
      <w:r>
        <w:tab/>
        <w:t>The secretariat shall provide administrative support for all sessions, including preparation of the session reports.</w:t>
      </w:r>
    </w:p>
    <w:p w:rsidR="00A465DC" w:rsidRDefault="00A465DC"/>
    <w:sectPr w:rsidR="00A465D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C0" w:rsidRDefault="00390AC0" w:rsidP="002301CA">
      <w:pPr>
        <w:spacing w:after="0" w:line="240" w:lineRule="auto"/>
      </w:pPr>
      <w:r>
        <w:separator/>
      </w:r>
    </w:p>
  </w:endnote>
  <w:endnote w:type="continuationSeparator" w:id="0">
    <w:p w:rsidR="00390AC0" w:rsidRDefault="00390AC0" w:rsidP="0023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C0" w:rsidRDefault="00390AC0" w:rsidP="002301CA">
      <w:pPr>
        <w:spacing w:after="0" w:line="240" w:lineRule="auto"/>
      </w:pPr>
      <w:r>
        <w:separator/>
      </w:r>
    </w:p>
  </w:footnote>
  <w:footnote w:type="continuationSeparator" w:id="0">
    <w:p w:rsidR="00390AC0" w:rsidRDefault="00390AC0" w:rsidP="00230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135" w:tblpY="568"/>
      <w:tblOverlap w:val="never"/>
      <w:tblW w:w="9498" w:type="dxa"/>
      <w:tblLayout w:type="fixed"/>
      <w:tblCellMar>
        <w:left w:w="0" w:type="dxa"/>
        <w:right w:w="0" w:type="dxa"/>
      </w:tblCellMar>
      <w:tblLook w:val="01E0" w:firstRow="1" w:lastRow="1" w:firstColumn="1" w:lastColumn="1" w:noHBand="0" w:noVBand="0"/>
    </w:tblPr>
    <w:tblGrid>
      <w:gridCol w:w="5103"/>
      <w:gridCol w:w="4395"/>
    </w:tblGrid>
    <w:tr w:rsidR="00443A4A" w:rsidRPr="00443A4A" w:rsidTr="00443A4A">
      <w:trPr>
        <w:cantSplit/>
        <w:trHeight w:hRule="exact" w:val="1134"/>
      </w:trPr>
      <w:tc>
        <w:tcPr>
          <w:tcW w:w="5103" w:type="dxa"/>
          <w:tcBorders>
            <w:bottom w:val="single" w:sz="4" w:space="0" w:color="auto"/>
          </w:tcBorders>
        </w:tcPr>
        <w:p w:rsidR="00443A4A" w:rsidRPr="00443A4A" w:rsidRDefault="00443A4A" w:rsidP="00443A4A">
          <w:pPr>
            <w:spacing w:after="0" w:line="240" w:lineRule="auto"/>
            <w:ind w:left="119"/>
            <w:rPr>
              <w:rFonts w:ascii="Times New Roman" w:hAnsi="Times New Roman" w:cs="Times New Roman"/>
            </w:rPr>
          </w:pPr>
          <w:r w:rsidRPr="00443A4A">
            <w:rPr>
              <w:rFonts w:ascii="Times New Roman" w:hAnsi="Times New Roman" w:cs="Times New Roman"/>
            </w:rPr>
            <w:t>Submitted by the European Commission</w:t>
          </w:r>
        </w:p>
      </w:tc>
      <w:tc>
        <w:tcPr>
          <w:tcW w:w="4395" w:type="dxa"/>
          <w:tcBorders>
            <w:bottom w:val="single" w:sz="4" w:space="0" w:color="auto"/>
          </w:tcBorders>
        </w:tcPr>
        <w:p w:rsidR="00443A4A" w:rsidRPr="00443A4A" w:rsidRDefault="00443A4A" w:rsidP="00443A4A">
          <w:pPr>
            <w:spacing w:after="0" w:line="240" w:lineRule="auto"/>
            <w:ind w:left="119"/>
            <w:rPr>
              <w:rFonts w:ascii="Times New Roman" w:hAnsi="Times New Roman" w:cs="Times New Roman"/>
              <w:bCs/>
              <w:lang w:val="en-US"/>
            </w:rPr>
          </w:pPr>
          <w:r w:rsidRPr="00443A4A">
            <w:rPr>
              <w:rFonts w:ascii="Times New Roman" w:hAnsi="Times New Roman" w:cs="Times New Roman"/>
              <w:u w:val="single"/>
            </w:rPr>
            <w:t>Informal document</w:t>
          </w:r>
          <w:r w:rsidRPr="00443A4A">
            <w:rPr>
              <w:rFonts w:ascii="Times New Roman" w:hAnsi="Times New Roman" w:cs="Times New Roman"/>
            </w:rPr>
            <w:t xml:space="preserve"> </w:t>
          </w:r>
          <w:r w:rsidRPr="00443A4A">
            <w:rPr>
              <w:rFonts w:ascii="Times New Roman" w:hAnsi="Times New Roman" w:cs="Times New Roman"/>
              <w:bCs/>
            </w:rPr>
            <w:t>GRPE-65-</w:t>
          </w:r>
          <w:r>
            <w:rPr>
              <w:rFonts w:ascii="Times New Roman" w:hAnsi="Times New Roman" w:cs="Times New Roman"/>
              <w:bCs/>
            </w:rPr>
            <w:t>15</w:t>
          </w:r>
        </w:p>
        <w:p w:rsidR="00443A4A" w:rsidRPr="00443A4A" w:rsidRDefault="00443A4A" w:rsidP="00443A4A">
          <w:pPr>
            <w:pStyle w:val="Header"/>
            <w:ind w:left="119"/>
            <w:rPr>
              <w:rFonts w:ascii="Times New Roman" w:hAnsi="Times New Roman" w:cs="Times New Roman"/>
              <w:bCs/>
              <w:sz w:val="20"/>
              <w:lang w:val="en-US"/>
            </w:rPr>
          </w:pPr>
          <w:r w:rsidRPr="00443A4A">
            <w:rPr>
              <w:rFonts w:ascii="Times New Roman" w:hAnsi="Times New Roman" w:cs="Times New Roman"/>
              <w:sz w:val="20"/>
            </w:rPr>
            <w:t>(65</w:t>
          </w:r>
          <w:r w:rsidRPr="00443A4A">
            <w:rPr>
              <w:rFonts w:ascii="Times New Roman" w:hAnsi="Times New Roman" w:cs="Times New Roman"/>
              <w:sz w:val="20"/>
              <w:vertAlign w:val="superscript"/>
            </w:rPr>
            <w:t xml:space="preserve">th </w:t>
          </w:r>
          <w:r w:rsidRPr="00443A4A">
            <w:rPr>
              <w:rFonts w:ascii="Times New Roman" w:hAnsi="Times New Roman" w:cs="Times New Roman"/>
              <w:sz w:val="20"/>
            </w:rPr>
            <w:t>GRPE, 15-18 January 2013</w:t>
          </w:r>
          <w:r>
            <w:rPr>
              <w:rFonts w:ascii="Times New Roman" w:hAnsi="Times New Roman" w:cs="Times New Roman"/>
              <w:sz w:val="20"/>
              <w:lang w:val="pt-BR"/>
            </w:rPr>
            <w:t>,  agenda item 9(a)</w:t>
          </w:r>
          <w:r w:rsidRPr="00443A4A">
            <w:rPr>
              <w:rFonts w:ascii="Times New Roman" w:hAnsi="Times New Roman" w:cs="Times New Roman"/>
              <w:sz w:val="20"/>
            </w:rPr>
            <w:t>)</w:t>
          </w:r>
        </w:p>
      </w:tc>
    </w:tr>
  </w:tbl>
  <w:p w:rsidR="00443A4A" w:rsidRDefault="00443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CA"/>
    <w:rsid w:val="001663BB"/>
    <w:rsid w:val="002301CA"/>
    <w:rsid w:val="00390AC0"/>
    <w:rsid w:val="003D25D5"/>
    <w:rsid w:val="00443A4A"/>
    <w:rsid w:val="00720FA0"/>
    <w:rsid w:val="00A4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rsid w:val="002301CA"/>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ChG">
    <w:name w:val="_ H _Ch_G"/>
    <w:basedOn w:val="Normal"/>
    <w:next w:val="Normal"/>
    <w:link w:val="HChGChar"/>
    <w:rsid w:val="002301CA"/>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styleId="FootnoteReference">
    <w:name w:val="footnote reference"/>
    <w:aliases w:val="4_G,(Footnote Reference),-E Fußnotenzeichen,BVI fnr, BVI fnr,Footnote symbol,Footnote,Footnote Reference Superscript,SUPERS"/>
    <w:rsid w:val="002301CA"/>
    <w:rPr>
      <w:rFonts w:ascii="Times New Roman" w:hAnsi="Times New Roman"/>
      <w:sz w:val="18"/>
      <w:vertAlign w:val="superscript"/>
    </w:rPr>
  </w:style>
  <w:style w:type="paragraph" w:styleId="FootnoteText">
    <w:name w:val="footnote text"/>
    <w:aliases w:val="5_G,PP"/>
    <w:basedOn w:val="Normal"/>
    <w:link w:val="FootnoteTextChar1"/>
    <w:rsid w:val="002301CA"/>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basedOn w:val="DefaultParagraphFont"/>
    <w:uiPriority w:val="99"/>
    <w:semiHidden/>
    <w:rsid w:val="002301CA"/>
    <w:rPr>
      <w:sz w:val="20"/>
      <w:szCs w:val="20"/>
    </w:rPr>
  </w:style>
  <w:style w:type="paragraph" w:customStyle="1" w:styleId="H1G">
    <w:name w:val="_ H_1_G"/>
    <w:basedOn w:val="Normal"/>
    <w:next w:val="Normal"/>
    <w:link w:val="H1GChar"/>
    <w:rsid w:val="002301CA"/>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link w:val="H23GChar"/>
    <w:rsid w:val="002301C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SingleTxtGChar1">
    <w:name w:val="_ Single Txt_G Char1"/>
    <w:link w:val="SingleTxtG"/>
    <w:rsid w:val="002301CA"/>
    <w:rPr>
      <w:rFonts w:ascii="Times New Roman" w:eastAsia="Times New Roman" w:hAnsi="Times New Roman" w:cs="Times New Roman"/>
      <w:sz w:val="20"/>
      <w:szCs w:val="20"/>
    </w:rPr>
  </w:style>
  <w:style w:type="character" w:customStyle="1" w:styleId="H1GChar">
    <w:name w:val="_ H_1_G Char"/>
    <w:link w:val="H1G"/>
    <w:rsid w:val="002301CA"/>
    <w:rPr>
      <w:rFonts w:ascii="Times New Roman" w:eastAsia="Times New Roman" w:hAnsi="Times New Roman" w:cs="Times New Roman"/>
      <w:b/>
      <w:sz w:val="24"/>
      <w:szCs w:val="20"/>
    </w:rPr>
  </w:style>
  <w:style w:type="character" w:customStyle="1" w:styleId="FootnoteTextChar1">
    <w:name w:val="Footnote Text Char1"/>
    <w:aliases w:val="5_G Char,PP Char"/>
    <w:link w:val="FootnoteText"/>
    <w:locked/>
    <w:rsid w:val="002301CA"/>
    <w:rPr>
      <w:rFonts w:ascii="Times New Roman" w:eastAsia="Times New Roman" w:hAnsi="Times New Roman" w:cs="Times New Roman"/>
      <w:sz w:val="18"/>
      <w:szCs w:val="20"/>
    </w:rPr>
  </w:style>
  <w:style w:type="character" w:customStyle="1" w:styleId="HChGChar">
    <w:name w:val="_ H _Ch_G Char"/>
    <w:link w:val="HChG"/>
    <w:rsid w:val="002301CA"/>
    <w:rPr>
      <w:rFonts w:ascii="Times New Roman" w:eastAsia="Times New Roman" w:hAnsi="Times New Roman" w:cs="Times New Roman"/>
      <w:b/>
      <w:sz w:val="28"/>
      <w:szCs w:val="20"/>
    </w:rPr>
  </w:style>
  <w:style w:type="character" w:customStyle="1" w:styleId="H23GChar">
    <w:name w:val="_ H_2/3_G Char"/>
    <w:link w:val="H23G"/>
    <w:rsid w:val="002301CA"/>
    <w:rPr>
      <w:rFonts w:ascii="Times New Roman" w:eastAsia="Times New Roman" w:hAnsi="Times New Roman" w:cs="Times New Roman"/>
      <w:b/>
      <w:sz w:val="20"/>
      <w:szCs w:val="20"/>
    </w:rPr>
  </w:style>
  <w:style w:type="paragraph" w:styleId="Header">
    <w:name w:val="header"/>
    <w:aliases w:val="6_G"/>
    <w:basedOn w:val="Normal"/>
    <w:link w:val="HeaderChar"/>
    <w:unhideWhenUsed/>
    <w:rsid w:val="00443A4A"/>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443A4A"/>
  </w:style>
  <w:style w:type="paragraph" w:styleId="Footer">
    <w:name w:val="footer"/>
    <w:basedOn w:val="Normal"/>
    <w:link w:val="FooterChar"/>
    <w:uiPriority w:val="99"/>
    <w:unhideWhenUsed/>
    <w:rsid w:val="0044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rsid w:val="002301CA"/>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ChG">
    <w:name w:val="_ H _Ch_G"/>
    <w:basedOn w:val="Normal"/>
    <w:next w:val="Normal"/>
    <w:link w:val="HChGChar"/>
    <w:rsid w:val="002301CA"/>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styleId="FootnoteReference">
    <w:name w:val="footnote reference"/>
    <w:aliases w:val="4_G,(Footnote Reference),-E Fußnotenzeichen,BVI fnr, BVI fnr,Footnote symbol,Footnote,Footnote Reference Superscript,SUPERS"/>
    <w:rsid w:val="002301CA"/>
    <w:rPr>
      <w:rFonts w:ascii="Times New Roman" w:hAnsi="Times New Roman"/>
      <w:sz w:val="18"/>
      <w:vertAlign w:val="superscript"/>
    </w:rPr>
  </w:style>
  <w:style w:type="paragraph" w:styleId="FootnoteText">
    <w:name w:val="footnote text"/>
    <w:aliases w:val="5_G,PP"/>
    <w:basedOn w:val="Normal"/>
    <w:link w:val="FootnoteTextChar1"/>
    <w:rsid w:val="002301CA"/>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basedOn w:val="DefaultParagraphFont"/>
    <w:uiPriority w:val="99"/>
    <w:semiHidden/>
    <w:rsid w:val="002301CA"/>
    <w:rPr>
      <w:sz w:val="20"/>
      <w:szCs w:val="20"/>
    </w:rPr>
  </w:style>
  <w:style w:type="paragraph" w:customStyle="1" w:styleId="H1G">
    <w:name w:val="_ H_1_G"/>
    <w:basedOn w:val="Normal"/>
    <w:next w:val="Normal"/>
    <w:link w:val="H1GChar"/>
    <w:rsid w:val="002301CA"/>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link w:val="H23GChar"/>
    <w:rsid w:val="002301C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SingleTxtGChar1">
    <w:name w:val="_ Single Txt_G Char1"/>
    <w:link w:val="SingleTxtG"/>
    <w:rsid w:val="002301CA"/>
    <w:rPr>
      <w:rFonts w:ascii="Times New Roman" w:eastAsia="Times New Roman" w:hAnsi="Times New Roman" w:cs="Times New Roman"/>
      <w:sz w:val="20"/>
      <w:szCs w:val="20"/>
    </w:rPr>
  </w:style>
  <w:style w:type="character" w:customStyle="1" w:styleId="H1GChar">
    <w:name w:val="_ H_1_G Char"/>
    <w:link w:val="H1G"/>
    <w:rsid w:val="002301CA"/>
    <w:rPr>
      <w:rFonts w:ascii="Times New Roman" w:eastAsia="Times New Roman" w:hAnsi="Times New Roman" w:cs="Times New Roman"/>
      <w:b/>
      <w:sz w:val="24"/>
      <w:szCs w:val="20"/>
    </w:rPr>
  </w:style>
  <w:style w:type="character" w:customStyle="1" w:styleId="FootnoteTextChar1">
    <w:name w:val="Footnote Text Char1"/>
    <w:aliases w:val="5_G Char,PP Char"/>
    <w:link w:val="FootnoteText"/>
    <w:locked/>
    <w:rsid w:val="002301CA"/>
    <w:rPr>
      <w:rFonts w:ascii="Times New Roman" w:eastAsia="Times New Roman" w:hAnsi="Times New Roman" w:cs="Times New Roman"/>
      <w:sz w:val="18"/>
      <w:szCs w:val="20"/>
    </w:rPr>
  </w:style>
  <w:style w:type="character" w:customStyle="1" w:styleId="HChGChar">
    <w:name w:val="_ H _Ch_G Char"/>
    <w:link w:val="HChG"/>
    <w:rsid w:val="002301CA"/>
    <w:rPr>
      <w:rFonts w:ascii="Times New Roman" w:eastAsia="Times New Roman" w:hAnsi="Times New Roman" w:cs="Times New Roman"/>
      <w:b/>
      <w:sz w:val="28"/>
      <w:szCs w:val="20"/>
    </w:rPr>
  </w:style>
  <w:style w:type="character" w:customStyle="1" w:styleId="H23GChar">
    <w:name w:val="_ H_2/3_G Char"/>
    <w:link w:val="H23G"/>
    <w:rsid w:val="002301CA"/>
    <w:rPr>
      <w:rFonts w:ascii="Times New Roman" w:eastAsia="Times New Roman" w:hAnsi="Times New Roman" w:cs="Times New Roman"/>
      <w:b/>
      <w:sz w:val="20"/>
      <w:szCs w:val="20"/>
    </w:rPr>
  </w:style>
  <w:style w:type="paragraph" w:styleId="Header">
    <w:name w:val="header"/>
    <w:aliases w:val="6_G"/>
    <w:basedOn w:val="Normal"/>
    <w:link w:val="HeaderChar"/>
    <w:unhideWhenUsed/>
    <w:rsid w:val="00443A4A"/>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443A4A"/>
  </w:style>
  <w:style w:type="paragraph" w:styleId="Footer">
    <w:name w:val="footer"/>
    <w:basedOn w:val="Normal"/>
    <w:link w:val="FooterChar"/>
    <w:uiPriority w:val="99"/>
    <w:unhideWhenUsed/>
    <w:rsid w:val="0044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Pierpaolo Cazzola</dc:creator>
  <cp:lastModifiedBy>Pierpaolo Cazzola</cp:lastModifiedBy>
  <cp:revision>2</cp:revision>
  <dcterms:created xsi:type="dcterms:W3CDTF">2013-01-08T16:18:00Z</dcterms:created>
  <dcterms:modified xsi:type="dcterms:W3CDTF">2013-01-08T19:49:00Z</dcterms:modified>
</cp:coreProperties>
</file>