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82AF2" w:rsidRPr="00222EC6" w:rsidTr="0034591A">
        <w:trPr>
          <w:trHeight w:hRule="exact" w:val="851"/>
        </w:trPr>
        <w:tc>
          <w:tcPr>
            <w:tcW w:w="1276" w:type="dxa"/>
            <w:tcBorders>
              <w:bottom w:val="single" w:sz="4" w:space="0" w:color="auto"/>
            </w:tcBorders>
          </w:tcPr>
          <w:p w:rsidR="00482AF2" w:rsidRPr="006B0E45" w:rsidRDefault="00482AF2" w:rsidP="00866D64">
            <w:pPr>
              <w:rPr>
                <w:lang w:val="fr-FR"/>
              </w:rPr>
            </w:pPr>
          </w:p>
        </w:tc>
        <w:tc>
          <w:tcPr>
            <w:tcW w:w="2268" w:type="dxa"/>
            <w:tcBorders>
              <w:bottom w:val="single" w:sz="4" w:space="0" w:color="auto"/>
            </w:tcBorders>
            <w:vAlign w:val="bottom"/>
          </w:tcPr>
          <w:p w:rsidR="00482AF2" w:rsidRPr="006B0E45" w:rsidRDefault="00482AF2" w:rsidP="00866D64">
            <w:pPr>
              <w:spacing w:after="80" w:line="300" w:lineRule="exact"/>
              <w:rPr>
                <w:sz w:val="28"/>
                <w:lang w:val="fr-FR"/>
              </w:rPr>
            </w:pPr>
            <w:r w:rsidRPr="006B0E45">
              <w:rPr>
                <w:sz w:val="28"/>
                <w:lang w:val="fr-FR"/>
              </w:rPr>
              <w:t>Nations Unies</w:t>
            </w:r>
          </w:p>
        </w:tc>
        <w:tc>
          <w:tcPr>
            <w:tcW w:w="6095" w:type="dxa"/>
            <w:gridSpan w:val="2"/>
            <w:tcBorders>
              <w:bottom w:val="single" w:sz="4" w:space="0" w:color="auto"/>
            </w:tcBorders>
            <w:vAlign w:val="bottom"/>
          </w:tcPr>
          <w:p w:rsidR="00482AF2" w:rsidRPr="003F6D6D" w:rsidRDefault="00EE085F" w:rsidP="00EE085F">
            <w:pPr>
              <w:jc w:val="right"/>
              <w:rPr>
                <w:lang w:val="en-US"/>
              </w:rPr>
            </w:pPr>
            <w:r w:rsidRPr="003F6D6D">
              <w:rPr>
                <w:sz w:val="40"/>
                <w:lang w:val="en-US"/>
              </w:rPr>
              <w:t>ST</w:t>
            </w:r>
            <w:r w:rsidRPr="003F6D6D">
              <w:rPr>
                <w:lang w:val="en-US"/>
              </w:rPr>
              <w:t>/SG/AC.10/C.3/10</w:t>
            </w:r>
            <w:r w:rsidR="003F6D6D" w:rsidRPr="003F6D6D">
              <w:rPr>
                <w:lang w:val="en-US"/>
              </w:rPr>
              <w:t>6</w:t>
            </w:r>
            <w:r w:rsidRPr="003F6D6D">
              <w:rPr>
                <w:lang w:val="en-US"/>
              </w:rPr>
              <w:t>/Add.1</w:t>
            </w:r>
          </w:p>
        </w:tc>
      </w:tr>
      <w:tr w:rsidR="00482AF2" w:rsidRPr="006B0E45" w:rsidTr="00866D64">
        <w:trPr>
          <w:trHeight w:hRule="exact" w:val="2835"/>
        </w:trPr>
        <w:tc>
          <w:tcPr>
            <w:tcW w:w="1276" w:type="dxa"/>
            <w:tcBorders>
              <w:top w:val="single" w:sz="4" w:space="0" w:color="auto"/>
              <w:bottom w:val="single" w:sz="12" w:space="0" w:color="auto"/>
            </w:tcBorders>
          </w:tcPr>
          <w:p w:rsidR="00482AF2" w:rsidRPr="006B0E45" w:rsidRDefault="009B614C" w:rsidP="00866D64">
            <w:pPr>
              <w:spacing w:before="120"/>
              <w:jc w:val="center"/>
              <w:rPr>
                <w:lang w:val="fr-FR"/>
              </w:rPr>
            </w:pPr>
            <w:r w:rsidRPr="006B0E45">
              <w:rPr>
                <w:noProof/>
                <w:lang w:val="en-GB" w:eastAsia="en-GB"/>
              </w:rPr>
              <w:drawing>
                <wp:inline distT="0" distB="0" distL="0" distR="0" wp14:anchorId="6A7C3B32" wp14:editId="3AF7E1E7">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482AF2" w:rsidRPr="006B0E45" w:rsidRDefault="00482AF2" w:rsidP="00866D64">
            <w:pPr>
              <w:spacing w:before="120" w:line="420" w:lineRule="exact"/>
              <w:rPr>
                <w:b/>
                <w:sz w:val="40"/>
                <w:szCs w:val="40"/>
                <w:lang w:val="fr-FR"/>
              </w:rPr>
            </w:pPr>
            <w:r w:rsidRPr="006B0E45">
              <w:rPr>
                <w:b/>
                <w:sz w:val="40"/>
                <w:szCs w:val="40"/>
                <w:lang w:val="fr-FR"/>
              </w:rPr>
              <w:t>Secrétariat</w:t>
            </w:r>
          </w:p>
        </w:tc>
        <w:tc>
          <w:tcPr>
            <w:tcW w:w="2835" w:type="dxa"/>
            <w:tcBorders>
              <w:top w:val="single" w:sz="4" w:space="0" w:color="auto"/>
              <w:bottom w:val="single" w:sz="12" w:space="0" w:color="auto"/>
            </w:tcBorders>
          </w:tcPr>
          <w:p w:rsidR="00482AF2" w:rsidRPr="006B0E45" w:rsidRDefault="00EE085F" w:rsidP="00513990">
            <w:pPr>
              <w:spacing w:before="120" w:line="240" w:lineRule="exact"/>
              <w:rPr>
                <w:lang w:val="fr-FR"/>
              </w:rPr>
            </w:pPr>
            <w:proofErr w:type="spellStart"/>
            <w:r w:rsidRPr="006B0E45">
              <w:rPr>
                <w:lang w:val="fr-FR"/>
              </w:rPr>
              <w:t>Distr</w:t>
            </w:r>
            <w:proofErr w:type="spellEnd"/>
            <w:r w:rsidRPr="006B0E45">
              <w:rPr>
                <w:lang w:val="fr-FR"/>
              </w:rPr>
              <w:t>. Générale</w:t>
            </w:r>
          </w:p>
          <w:p w:rsidR="00EE085F" w:rsidRPr="006B0E45" w:rsidRDefault="00B422EA" w:rsidP="00513990">
            <w:pPr>
              <w:spacing w:after="120" w:line="240" w:lineRule="exact"/>
              <w:rPr>
                <w:lang w:val="fr-FR"/>
              </w:rPr>
            </w:pPr>
            <w:r>
              <w:rPr>
                <w:lang w:val="fr-FR"/>
              </w:rPr>
              <w:t>30</w:t>
            </w:r>
            <w:r w:rsidR="00EE085F" w:rsidRPr="006B0E45">
              <w:rPr>
                <w:lang w:val="fr-FR"/>
              </w:rPr>
              <w:t xml:space="preserve"> juillet 201</w:t>
            </w:r>
            <w:r w:rsidR="003F6D6D">
              <w:rPr>
                <w:lang w:val="fr-FR"/>
              </w:rPr>
              <w:t>8</w:t>
            </w:r>
          </w:p>
          <w:p w:rsidR="00EE085F" w:rsidRPr="006B0E45" w:rsidRDefault="00EE085F" w:rsidP="00B422EA">
            <w:pPr>
              <w:spacing w:before="120" w:after="120" w:line="240" w:lineRule="exact"/>
              <w:rPr>
                <w:lang w:val="fr-FR"/>
              </w:rPr>
            </w:pPr>
            <w:r w:rsidRPr="006B0E45">
              <w:rPr>
                <w:lang w:val="fr-FR"/>
              </w:rPr>
              <w:t>Français</w:t>
            </w:r>
            <w:r w:rsidR="00B422EA">
              <w:rPr>
                <w:lang w:val="fr-FR"/>
              </w:rPr>
              <w:br/>
            </w:r>
            <w:proofErr w:type="gramStart"/>
            <w:r w:rsidRPr="006B0E45">
              <w:rPr>
                <w:lang w:val="fr-FR"/>
              </w:rPr>
              <w:t>Original:</w:t>
            </w:r>
            <w:proofErr w:type="gramEnd"/>
            <w:r w:rsidRPr="006B0E45">
              <w:rPr>
                <w:lang w:val="fr-FR"/>
              </w:rPr>
              <w:t xml:space="preserve"> anglais et français  </w:t>
            </w:r>
          </w:p>
        </w:tc>
      </w:tr>
    </w:tbl>
    <w:p w:rsidR="00EE085F" w:rsidRPr="006B0E45" w:rsidRDefault="00EE085F" w:rsidP="00EE085F">
      <w:pPr>
        <w:spacing w:before="120"/>
        <w:rPr>
          <w:b/>
          <w:sz w:val="24"/>
          <w:szCs w:val="24"/>
          <w:lang w:val="fr-FR"/>
        </w:rPr>
      </w:pPr>
      <w:r w:rsidRPr="006B0E45">
        <w:rPr>
          <w:b/>
          <w:sz w:val="24"/>
          <w:szCs w:val="24"/>
          <w:lang w:val="fr-FR"/>
        </w:rPr>
        <w:t>Comité d’experts du transport des marchandises dangereuses</w:t>
      </w:r>
      <w:r w:rsidRPr="006B0E45">
        <w:rPr>
          <w:b/>
          <w:sz w:val="24"/>
          <w:szCs w:val="24"/>
          <w:lang w:val="fr-FR"/>
        </w:rPr>
        <w:br/>
        <w:t>et du Système général harmonisé de classification</w:t>
      </w:r>
      <w:r w:rsidRPr="006B0E45">
        <w:rPr>
          <w:b/>
          <w:sz w:val="24"/>
          <w:szCs w:val="24"/>
          <w:lang w:val="fr-FR"/>
        </w:rPr>
        <w:br/>
        <w:t>et d’étiquetage des produits chimiques</w:t>
      </w:r>
    </w:p>
    <w:p w:rsidR="00CA0680" w:rsidRPr="006B0E45" w:rsidRDefault="00EE085F" w:rsidP="00C7344E">
      <w:pPr>
        <w:spacing w:before="120"/>
        <w:rPr>
          <w:b/>
          <w:lang w:val="fr-FR"/>
        </w:rPr>
      </w:pPr>
      <w:r w:rsidRPr="006B0E45">
        <w:rPr>
          <w:b/>
          <w:lang w:val="fr-FR"/>
        </w:rPr>
        <w:t>Sous-Comité d’experts du transport des marchandises dangereuses</w:t>
      </w:r>
    </w:p>
    <w:p w:rsidR="00EE085F" w:rsidRPr="006B0E45" w:rsidRDefault="00EE085F" w:rsidP="00EE085F">
      <w:pPr>
        <w:pStyle w:val="HChG"/>
        <w:rPr>
          <w:lang w:val="fr-FR"/>
        </w:rPr>
      </w:pPr>
      <w:r w:rsidRPr="006B0E45">
        <w:rPr>
          <w:lang w:val="fr-FR"/>
        </w:rPr>
        <w:tab/>
      </w:r>
      <w:r w:rsidRPr="006B0E45">
        <w:rPr>
          <w:lang w:val="fr-FR"/>
        </w:rPr>
        <w:tab/>
        <w:t xml:space="preserve">Rapport du Sous-Comité d’experts du transport </w:t>
      </w:r>
      <w:r w:rsidRPr="006B0E45">
        <w:rPr>
          <w:lang w:val="fr-FR"/>
        </w:rPr>
        <w:br/>
        <w:t xml:space="preserve">des marchandises dangereuses sur </w:t>
      </w:r>
      <w:r w:rsidRPr="006B0E45">
        <w:rPr>
          <w:lang w:val="fr-FR"/>
        </w:rPr>
        <w:br/>
      </w:r>
      <w:proofErr w:type="gramStart"/>
      <w:r w:rsidRPr="006B0E45">
        <w:rPr>
          <w:lang w:val="fr-FR"/>
        </w:rPr>
        <w:t xml:space="preserve">sa cinquante </w:t>
      </w:r>
      <w:r w:rsidR="0077766A">
        <w:rPr>
          <w:lang w:val="fr-FR"/>
        </w:rPr>
        <w:t>troisième</w:t>
      </w:r>
      <w:r w:rsidRPr="006B0E45">
        <w:rPr>
          <w:lang w:val="fr-FR"/>
        </w:rPr>
        <w:t xml:space="preserve"> session</w:t>
      </w:r>
      <w:proofErr w:type="gramEnd"/>
    </w:p>
    <w:p w:rsidR="00EE085F" w:rsidRPr="006B0E45" w:rsidRDefault="00EE085F" w:rsidP="005C0DBB">
      <w:pPr>
        <w:pStyle w:val="H56G"/>
        <w:rPr>
          <w:b/>
          <w:lang w:val="fr-FR"/>
        </w:rPr>
      </w:pPr>
      <w:r w:rsidRPr="006B0E45">
        <w:rPr>
          <w:lang w:val="fr-FR"/>
        </w:rPr>
        <w:tab/>
      </w:r>
      <w:r w:rsidRPr="006B0E45">
        <w:rPr>
          <w:lang w:val="fr-FR"/>
        </w:rPr>
        <w:tab/>
        <w:t>ten</w:t>
      </w:r>
      <w:r w:rsidR="00C7344E" w:rsidRPr="006B0E45">
        <w:rPr>
          <w:lang w:val="fr-FR"/>
        </w:rPr>
        <w:t xml:space="preserve">ue à Genève du </w:t>
      </w:r>
      <w:r w:rsidR="002969E8">
        <w:rPr>
          <w:lang w:val="fr-FR"/>
        </w:rPr>
        <w:t>25 juin au 4 juillet</w:t>
      </w:r>
      <w:bookmarkStart w:id="0" w:name="_GoBack"/>
      <w:bookmarkEnd w:id="0"/>
      <w:r w:rsidRPr="006B0E45">
        <w:rPr>
          <w:lang w:val="fr-FR"/>
        </w:rPr>
        <w:t xml:space="preserve"> 201</w:t>
      </w:r>
      <w:r w:rsidR="00222EC6">
        <w:rPr>
          <w:lang w:val="fr-FR"/>
        </w:rPr>
        <w:t>8</w:t>
      </w:r>
    </w:p>
    <w:p w:rsidR="005C0DBB" w:rsidRPr="006B0E45" w:rsidRDefault="005C0DBB" w:rsidP="00513990">
      <w:pPr>
        <w:pStyle w:val="H1G"/>
        <w:rPr>
          <w:lang w:val="fr-FR"/>
        </w:rPr>
      </w:pPr>
      <w:r w:rsidRPr="006B0E45">
        <w:rPr>
          <w:lang w:val="fr-FR"/>
        </w:rPr>
        <w:tab/>
      </w:r>
      <w:r w:rsidRPr="006B0E45">
        <w:rPr>
          <w:lang w:val="fr-FR"/>
        </w:rPr>
        <w:tab/>
        <w:t>Additif</w:t>
      </w:r>
    </w:p>
    <w:p w:rsidR="00513990" w:rsidRDefault="00513990" w:rsidP="00B422EA">
      <w:pPr>
        <w:spacing w:after="120"/>
        <w:ind w:left="567" w:hanging="567"/>
        <w:rPr>
          <w:sz w:val="28"/>
          <w:lang w:val="fr-FR"/>
        </w:rPr>
      </w:pPr>
      <w:r>
        <w:rPr>
          <w:sz w:val="28"/>
          <w:lang w:val="fr-FR"/>
        </w:rPr>
        <w:t>Table des matières</w:t>
      </w:r>
    </w:p>
    <w:p w:rsidR="00513990" w:rsidRPr="006B0E45" w:rsidRDefault="00513990" w:rsidP="00B422EA">
      <w:pPr>
        <w:spacing w:line="200" w:lineRule="atLeast"/>
        <w:ind w:left="567" w:hanging="567"/>
        <w:rPr>
          <w:lang w:val="fr-FR"/>
        </w:rPr>
      </w:pPr>
      <w:r w:rsidRPr="006B0E45">
        <w:rPr>
          <w:lang w:val="fr-FR"/>
        </w:rPr>
        <w:t>Annexes</w:t>
      </w:r>
    </w:p>
    <w:p w:rsidR="00513990" w:rsidRDefault="00513990" w:rsidP="00513990">
      <w:pPr>
        <w:tabs>
          <w:tab w:val="right" w:pos="9638"/>
        </w:tabs>
        <w:spacing w:after="120"/>
        <w:ind w:left="283"/>
        <w:rPr>
          <w:sz w:val="18"/>
          <w:lang w:val="fr-FR"/>
        </w:rPr>
      </w:pPr>
      <w:r>
        <w:rPr>
          <w:i/>
          <w:sz w:val="18"/>
          <w:lang w:val="fr-FR"/>
        </w:rPr>
        <w:tab/>
      </w:r>
      <w:r w:rsidRPr="00A94FF8">
        <w:rPr>
          <w:sz w:val="18"/>
          <w:lang w:val="fr-FR"/>
        </w:rPr>
        <w:t>Page</w:t>
      </w:r>
    </w:p>
    <w:p w:rsidR="005C0DBB" w:rsidRPr="006B0E45" w:rsidRDefault="005C0DBB" w:rsidP="005C0DBB">
      <w:pPr>
        <w:tabs>
          <w:tab w:val="right" w:pos="850"/>
          <w:tab w:val="left" w:pos="1134"/>
          <w:tab w:val="left" w:pos="1559"/>
          <w:tab w:val="left" w:pos="1984"/>
          <w:tab w:val="left" w:leader="dot" w:pos="8929"/>
          <w:tab w:val="right" w:pos="9638"/>
        </w:tabs>
        <w:spacing w:after="120"/>
        <w:ind w:left="1134" w:hanging="1134"/>
        <w:rPr>
          <w:lang w:val="fr-FR"/>
        </w:rPr>
      </w:pPr>
      <w:r w:rsidRPr="006B0E45">
        <w:rPr>
          <w:lang w:val="fr-FR"/>
        </w:rPr>
        <w:tab/>
        <w:t>I.</w:t>
      </w:r>
      <w:r w:rsidRPr="006B0E45">
        <w:rPr>
          <w:lang w:val="fr-FR"/>
        </w:rPr>
        <w:tab/>
      </w:r>
      <w:r w:rsidR="00775A21" w:rsidRPr="006B0E45">
        <w:rPr>
          <w:lang w:val="fr-FR"/>
        </w:rPr>
        <w:t xml:space="preserve">Projet d’amendements à la vingtième édition révisée des Recommandations </w:t>
      </w:r>
      <w:r w:rsidR="00775A21" w:rsidRPr="006B0E45">
        <w:rPr>
          <w:lang w:val="fr-FR"/>
        </w:rPr>
        <w:br/>
        <w:t xml:space="preserve">relatives au transport des marchandises dangereuses, Règlement type </w:t>
      </w:r>
      <w:r w:rsidR="00775A21" w:rsidRPr="006B0E45">
        <w:rPr>
          <w:lang w:val="fr-FR"/>
        </w:rPr>
        <w:br/>
        <w:t>(ST/SG/AC.10/1/Rev.20)</w:t>
      </w:r>
      <w:r w:rsidRPr="006B0E45">
        <w:rPr>
          <w:lang w:val="fr-FR"/>
        </w:rPr>
        <w:tab/>
      </w:r>
      <w:r w:rsidRPr="006B0E45">
        <w:rPr>
          <w:lang w:val="fr-FR"/>
        </w:rPr>
        <w:tab/>
      </w:r>
      <w:r w:rsidR="006541A2">
        <w:rPr>
          <w:lang w:val="fr-FR"/>
        </w:rPr>
        <w:t>2</w:t>
      </w:r>
    </w:p>
    <w:p w:rsidR="005C0DBB" w:rsidRPr="00222EC6" w:rsidRDefault="005C0DBB" w:rsidP="00222EC6">
      <w:pPr>
        <w:tabs>
          <w:tab w:val="right" w:pos="850"/>
          <w:tab w:val="left" w:pos="1134"/>
          <w:tab w:val="left" w:pos="1559"/>
          <w:tab w:val="left" w:pos="1984"/>
          <w:tab w:val="left" w:leader="dot" w:pos="8929"/>
          <w:tab w:val="right" w:pos="9638"/>
        </w:tabs>
        <w:spacing w:after="120"/>
        <w:ind w:left="1134" w:hanging="1134"/>
        <w:rPr>
          <w:lang w:val="fr-FR"/>
        </w:rPr>
      </w:pPr>
      <w:r w:rsidRPr="006B0E45">
        <w:rPr>
          <w:lang w:val="fr-FR"/>
        </w:rPr>
        <w:tab/>
        <w:t>II.</w:t>
      </w:r>
      <w:r w:rsidRPr="006B0E45">
        <w:rPr>
          <w:lang w:val="fr-FR"/>
        </w:rPr>
        <w:tab/>
      </w:r>
      <w:r w:rsidR="00775A21" w:rsidRPr="006B0E45">
        <w:rPr>
          <w:lang w:val="fr-FR"/>
        </w:rPr>
        <w:t xml:space="preserve">Projet d’amendements à la sixième édition révisée des </w:t>
      </w:r>
      <w:r w:rsidR="00775A21" w:rsidRPr="00222EC6">
        <w:rPr>
          <w:lang w:val="fr-FR"/>
        </w:rPr>
        <w:t>Recommandations</w:t>
      </w:r>
      <w:r w:rsidR="00775A21" w:rsidRPr="006B0E45">
        <w:rPr>
          <w:lang w:val="fr-FR"/>
        </w:rPr>
        <w:t xml:space="preserve"> </w:t>
      </w:r>
      <w:r w:rsidR="00775A21" w:rsidRPr="006B0E45">
        <w:rPr>
          <w:lang w:val="fr-FR"/>
        </w:rPr>
        <w:br/>
        <w:t xml:space="preserve">relatives au transport des marchandises dangereuses, Manuel d’épreuves et </w:t>
      </w:r>
      <w:r w:rsidR="00775A21" w:rsidRPr="006B0E45">
        <w:rPr>
          <w:lang w:val="fr-FR"/>
        </w:rPr>
        <w:br/>
        <w:t>de critères (ST/SG/AC.10/11/Rev.6)</w:t>
      </w:r>
      <w:r w:rsidR="00222EC6">
        <w:rPr>
          <w:lang w:val="fr-FR"/>
        </w:rPr>
        <w:t xml:space="preserve"> (tel que modifié par                             </w:t>
      </w:r>
      <w:r w:rsidR="00F96E92" w:rsidRPr="00222EC6">
        <w:rPr>
          <w:lang w:val="fr-FR"/>
        </w:rPr>
        <w:t>ST/SG/AC.10/11/Rev.6/A</w:t>
      </w:r>
      <w:r w:rsidR="00222EC6" w:rsidRPr="00222EC6">
        <w:rPr>
          <w:lang w:val="fr-FR"/>
        </w:rPr>
        <w:t>mend</w:t>
      </w:r>
      <w:r w:rsidR="00313343">
        <w:rPr>
          <w:lang w:val="fr-FR"/>
        </w:rPr>
        <w:t>.</w:t>
      </w:r>
      <w:r w:rsidR="00F96E92" w:rsidRPr="00222EC6">
        <w:rPr>
          <w:lang w:val="fr-FR"/>
        </w:rPr>
        <w:t>1)</w:t>
      </w:r>
      <w:r w:rsidRPr="00222EC6">
        <w:rPr>
          <w:lang w:val="fr-FR"/>
        </w:rPr>
        <w:tab/>
      </w:r>
      <w:r w:rsidRPr="00222EC6">
        <w:rPr>
          <w:lang w:val="fr-FR"/>
        </w:rPr>
        <w:tab/>
      </w:r>
      <w:r w:rsidR="00C56C66" w:rsidRPr="00222EC6">
        <w:rPr>
          <w:lang w:val="fr-FR"/>
        </w:rPr>
        <w:t>18</w:t>
      </w:r>
    </w:p>
    <w:p w:rsidR="005C0DBB" w:rsidRPr="006B0E45" w:rsidRDefault="005C0DBB" w:rsidP="005C0DBB">
      <w:pPr>
        <w:tabs>
          <w:tab w:val="right" w:pos="850"/>
          <w:tab w:val="left" w:pos="1134"/>
          <w:tab w:val="left" w:pos="1559"/>
          <w:tab w:val="left" w:pos="1984"/>
          <w:tab w:val="left" w:leader="dot" w:pos="8929"/>
          <w:tab w:val="right" w:pos="9638"/>
        </w:tabs>
        <w:spacing w:after="120"/>
        <w:ind w:left="1134" w:hanging="1134"/>
        <w:rPr>
          <w:lang w:val="fr-FR"/>
        </w:rPr>
      </w:pPr>
      <w:r w:rsidRPr="00222EC6">
        <w:tab/>
      </w:r>
      <w:r w:rsidRPr="006B0E45">
        <w:rPr>
          <w:lang w:val="fr-FR"/>
        </w:rPr>
        <w:t>III.</w:t>
      </w:r>
      <w:r w:rsidRPr="006B0E45">
        <w:rPr>
          <w:lang w:val="fr-FR"/>
        </w:rPr>
        <w:tab/>
      </w:r>
      <w:r w:rsidR="00775A21" w:rsidRPr="006B0E45">
        <w:rPr>
          <w:lang w:val="fr-FR"/>
        </w:rPr>
        <w:t xml:space="preserve">Corrections à la vingtième édition révisée des Recommandations </w:t>
      </w:r>
      <w:r w:rsidR="00775A21" w:rsidRPr="006B0E45">
        <w:rPr>
          <w:lang w:val="fr-FR"/>
        </w:rPr>
        <w:br/>
        <w:t xml:space="preserve">relatives au transport des marchandises dangereuses, Règlement type </w:t>
      </w:r>
      <w:r w:rsidR="00775A21" w:rsidRPr="006B0E45">
        <w:rPr>
          <w:lang w:val="fr-FR"/>
        </w:rPr>
        <w:br/>
        <w:t>(ST/SG/AC.10/1/Rev.20)</w:t>
      </w:r>
      <w:r w:rsidRPr="006B0E45">
        <w:rPr>
          <w:lang w:val="fr-FR"/>
        </w:rPr>
        <w:tab/>
      </w:r>
      <w:r w:rsidRPr="006B0E45">
        <w:rPr>
          <w:lang w:val="fr-FR"/>
        </w:rPr>
        <w:tab/>
      </w:r>
      <w:r w:rsidR="00C56C66">
        <w:rPr>
          <w:lang w:val="fr-FR"/>
        </w:rPr>
        <w:t>29</w:t>
      </w:r>
    </w:p>
    <w:p w:rsidR="005C0DBB" w:rsidRPr="006B0E45" w:rsidRDefault="005C0DBB" w:rsidP="005C0DBB">
      <w:pPr>
        <w:tabs>
          <w:tab w:val="right" w:pos="850"/>
          <w:tab w:val="left" w:pos="1134"/>
          <w:tab w:val="left" w:pos="1559"/>
          <w:tab w:val="left" w:pos="1984"/>
          <w:tab w:val="left" w:leader="dot" w:pos="8929"/>
          <w:tab w:val="right" w:pos="9638"/>
        </w:tabs>
        <w:spacing w:after="120"/>
        <w:rPr>
          <w:lang w:val="fr-FR"/>
        </w:rPr>
      </w:pPr>
    </w:p>
    <w:p w:rsidR="00447264" w:rsidRPr="006B0E45" w:rsidRDefault="00447264">
      <w:pPr>
        <w:suppressAutoHyphens w:val="0"/>
        <w:spacing w:line="240" w:lineRule="auto"/>
        <w:rPr>
          <w:b/>
          <w:sz w:val="28"/>
          <w:lang w:val="fr-FR"/>
        </w:rPr>
      </w:pPr>
      <w:r w:rsidRPr="006B0E45">
        <w:rPr>
          <w:lang w:val="fr-FR"/>
        </w:rPr>
        <w:br w:type="page"/>
      </w:r>
    </w:p>
    <w:p w:rsidR="000659B4" w:rsidRDefault="00162F92" w:rsidP="000659B4">
      <w:pPr>
        <w:pStyle w:val="HChG"/>
        <w:rPr>
          <w:lang w:val="fr-FR"/>
        </w:rPr>
      </w:pPr>
      <w:r w:rsidRPr="006B0E45">
        <w:rPr>
          <w:lang w:val="fr-FR"/>
        </w:rPr>
        <w:lastRenderedPageBreak/>
        <w:t>Annexe I</w:t>
      </w:r>
      <w:r w:rsidR="000659B4">
        <w:rPr>
          <w:lang w:val="fr-FR"/>
        </w:rPr>
        <w:t xml:space="preserve"> </w:t>
      </w:r>
    </w:p>
    <w:p w:rsidR="004A32FA" w:rsidRPr="006B0E45" w:rsidRDefault="000659B4" w:rsidP="000659B4">
      <w:pPr>
        <w:pStyle w:val="HChG"/>
        <w:rPr>
          <w:lang w:val="fr-FR"/>
        </w:rPr>
      </w:pPr>
      <w:r>
        <w:rPr>
          <w:lang w:val="fr-FR"/>
        </w:rPr>
        <w:tab/>
      </w:r>
      <w:r>
        <w:rPr>
          <w:lang w:val="fr-FR"/>
        </w:rPr>
        <w:tab/>
      </w:r>
      <w:r w:rsidR="007F43C9" w:rsidRPr="006B0E45">
        <w:rPr>
          <w:lang w:val="fr-FR"/>
        </w:rPr>
        <w:t>Projet</w:t>
      </w:r>
      <w:r w:rsidR="00162F92" w:rsidRPr="006B0E45">
        <w:rPr>
          <w:lang w:val="fr-FR"/>
        </w:rPr>
        <w:t xml:space="preserve"> d’amendements à la vingtième édition révisée des</w:t>
      </w:r>
      <w:r w:rsidR="00447264" w:rsidRPr="006B0E45">
        <w:rPr>
          <w:lang w:val="fr-FR"/>
        </w:rPr>
        <w:t xml:space="preserve"> </w:t>
      </w:r>
      <w:r w:rsidR="00162F92" w:rsidRPr="006B0E45">
        <w:rPr>
          <w:lang w:val="fr-FR"/>
        </w:rPr>
        <w:t xml:space="preserve">Recommandations relatives au transport des marchandises </w:t>
      </w:r>
      <w:r w:rsidR="00162F92" w:rsidRPr="006B0E45">
        <w:rPr>
          <w:lang w:val="fr-FR"/>
        </w:rPr>
        <w:br/>
        <w:t>dangereuses, Règlement type (ST/SG/AC.10/1/Rev.20)</w:t>
      </w:r>
    </w:p>
    <w:p w:rsidR="0093236D" w:rsidRDefault="004A32FA" w:rsidP="00513990">
      <w:pPr>
        <w:pStyle w:val="H1G"/>
      </w:pPr>
      <w:r w:rsidRPr="006B0E45">
        <w:rPr>
          <w:lang w:val="fr-FR"/>
        </w:rPr>
        <w:tab/>
      </w:r>
      <w:r w:rsidRPr="006B0E45">
        <w:rPr>
          <w:lang w:val="fr-FR"/>
        </w:rPr>
        <w:tab/>
      </w:r>
      <w:r w:rsidR="0093236D">
        <w:t>Chapitre 1.4</w:t>
      </w:r>
    </w:p>
    <w:p w:rsidR="00121CEE" w:rsidRPr="00724238" w:rsidRDefault="00121CEE" w:rsidP="0093236D">
      <w:pPr>
        <w:pStyle w:val="SingleTxtG"/>
        <w:rPr>
          <w:lang w:val="fr-FR"/>
        </w:rPr>
      </w:pPr>
      <w:r w:rsidRPr="00724238">
        <w:rPr>
          <w:lang w:val="fr-FR"/>
        </w:rPr>
        <w:t xml:space="preserve">1.4.1, tableau, </w:t>
      </w:r>
      <w:r w:rsidR="00B27E88" w:rsidRPr="00724238">
        <w:rPr>
          <w:lang w:val="fr-FR"/>
        </w:rPr>
        <w:tab/>
        <w:t>Ajouter les nouvelles rubriques « 0512 » et « 0513 » pour lire comme suit :</w:t>
      </w:r>
    </w:p>
    <w:p w:rsidR="00B27E88" w:rsidRPr="00724238" w:rsidRDefault="00121CEE" w:rsidP="00B27E88">
      <w:pPr>
        <w:pStyle w:val="SingleTxtG"/>
        <w:rPr>
          <w:lang w:val="fr-FR"/>
        </w:rPr>
      </w:pPr>
      <w:r w:rsidRPr="00724238">
        <w:rPr>
          <w:lang w:val="fr-FR"/>
        </w:rPr>
        <w:t>« </w:t>
      </w:r>
      <w:r w:rsidR="00B27E88" w:rsidRPr="00724238">
        <w:rPr>
          <w:lang w:val="fr-FR"/>
        </w:rPr>
        <w:t>Classe 1, Division 1.4</w:t>
      </w:r>
      <w:r w:rsidR="00B27E88" w:rsidRPr="00724238">
        <w:rPr>
          <w:lang w:val="fr-FR"/>
        </w:rPr>
        <w:tab/>
        <w:t xml:space="preserve">Nos. ONU 0104, 0237, 0255, 0267, 0289, 0361, 0365, 0366, 0440, 0441, 0455, 0456, 0500, 0512 </w:t>
      </w:r>
      <w:r w:rsidR="00724238" w:rsidRPr="00724238">
        <w:rPr>
          <w:lang w:val="fr-FR"/>
        </w:rPr>
        <w:t>et</w:t>
      </w:r>
      <w:r w:rsidR="00B27E88" w:rsidRPr="00724238">
        <w:rPr>
          <w:lang w:val="fr-FR"/>
        </w:rPr>
        <w:t xml:space="preserve"> 0513 ».</w:t>
      </w:r>
    </w:p>
    <w:p w:rsidR="00121CEE" w:rsidRPr="00121CEE" w:rsidRDefault="00121CEE" w:rsidP="00B27E88">
      <w:pPr>
        <w:pStyle w:val="SingleTxtG"/>
        <w:rPr>
          <w:i/>
          <w:iCs/>
          <w:lang w:val="fr-FR"/>
        </w:rPr>
      </w:pPr>
      <w:r w:rsidRPr="00724238">
        <w:rPr>
          <w:i/>
          <w:iCs/>
          <w:lang w:val="fr-FR"/>
        </w:rPr>
        <w:t xml:space="preserve">(Document de référence : </w:t>
      </w:r>
      <w:r w:rsidR="003D6C47" w:rsidRPr="001539C6">
        <w:rPr>
          <w:i/>
          <w:iCs/>
        </w:rPr>
        <w:t>ST/SG/AC.10/C.3/201</w:t>
      </w:r>
      <w:r w:rsidR="003D6C47">
        <w:rPr>
          <w:i/>
          <w:iCs/>
        </w:rPr>
        <w:t>8</w:t>
      </w:r>
      <w:r w:rsidR="003D6C47" w:rsidRPr="001539C6">
        <w:rPr>
          <w:i/>
          <w:iCs/>
        </w:rPr>
        <w:t>/</w:t>
      </w:r>
      <w:r w:rsidR="003D6C47">
        <w:rPr>
          <w:i/>
          <w:iCs/>
        </w:rPr>
        <w:t xml:space="preserve">58 </w:t>
      </w:r>
      <w:r w:rsidR="00C21D4D">
        <w:rPr>
          <w:i/>
          <w:iCs/>
        </w:rPr>
        <w:t>et</w:t>
      </w:r>
      <w:r w:rsidR="003D6C47">
        <w:rPr>
          <w:i/>
          <w:iCs/>
        </w:rPr>
        <w:t xml:space="preserve"> </w:t>
      </w:r>
      <w:r w:rsidRPr="00724238">
        <w:rPr>
          <w:i/>
          <w:iCs/>
          <w:lang w:val="fr-FR"/>
        </w:rPr>
        <w:t xml:space="preserve">document informel INF.67, annexe 2, </w:t>
      </w:r>
      <w:r w:rsidR="00724238" w:rsidRPr="00724238">
        <w:rPr>
          <w:i/>
          <w:iCs/>
          <w:lang w:val="fr-FR"/>
        </w:rPr>
        <w:t>amendement</w:t>
      </w:r>
      <w:r w:rsidRPr="00724238">
        <w:rPr>
          <w:i/>
          <w:iCs/>
          <w:lang w:val="fr-FR"/>
        </w:rPr>
        <w:t xml:space="preserve"> 1)</w:t>
      </w:r>
    </w:p>
    <w:p w:rsidR="0093236D" w:rsidRPr="00DD20E7" w:rsidRDefault="0093236D" w:rsidP="0093236D">
      <w:pPr>
        <w:pStyle w:val="SingleTxtG"/>
        <w:rPr>
          <w:lang w:val="fr-FR"/>
        </w:rPr>
      </w:pPr>
      <w:r>
        <w:rPr>
          <w:lang w:val="fr-FR"/>
        </w:rPr>
        <w:t>1.4.3.2.3</w:t>
      </w:r>
      <w:r>
        <w:rPr>
          <w:lang w:val="fr-FR"/>
        </w:rPr>
        <w:tab/>
        <w:t>Dans la note de bas de page 2, remplacer « </w:t>
      </w:r>
      <w:r w:rsidRPr="00DD20E7">
        <w:rPr>
          <w:lang w:val="fr-FR"/>
        </w:rPr>
        <w:t>INFCIRC/225/Rev.4 (rectifié), AIEA, Vienne (1999)</w:t>
      </w:r>
      <w:r>
        <w:rPr>
          <w:lang w:val="fr-FR"/>
        </w:rPr>
        <w:t xml:space="preserve"> » par « INFCIRC/225/Rev.5, </w:t>
      </w:r>
      <w:r w:rsidRPr="00DD20E7">
        <w:rPr>
          <w:lang w:val="fr-FR"/>
        </w:rPr>
        <w:t>AIEA, Vienne (</w:t>
      </w:r>
      <w:r>
        <w:rPr>
          <w:lang w:val="fr-FR"/>
        </w:rPr>
        <w:t>2011</w:t>
      </w:r>
      <w:r w:rsidRPr="00DD20E7">
        <w:rPr>
          <w:lang w:val="fr-FR"/>
        </w:rPr>
        <w:t>)</w:t>
      </w:r>
      <w:r>
        <w:rPr>
          <w:lang w:val="fr-FR"/>
        </w:rPr>
        <w:t> ».</w:t>
      </w:r>
    </w:p>
    <w:p w:rsidR="0093236D" w:rsidRPr="00FB2D02" w:rsidRDefault="0093236D" w:rsidP="0093236D">
      <w:pPr>
        <w:pStyle w:val="SingleTxtG"/>
        <w:rPr>
          <w:lang w:val="fr-FR"/>
        </w:rPr>
      </w:pPr>
      <w:r w:rsidRPr="00FB2D02">
        <w:rPr>
          <w:i/>
          <w:iCs/>
          <w:lang w:val="fr-FR"/>
        </w:rPr>
        <w:t xml:space="preserve">(Document de référence : </w:t>
      </w:r>
      <w:r>
        <w:rPr>
          <w:i/>
          <w:iCs/>
          <w:lang w:val="fr-FR"/>
        </w:rPr>
        <w:t>ST/SG/AC.10/C.3/2017/33/Rev.1</w:t>
      </w:r>
      <w:r w:rsidRPr="00FB2D02">
        <w:rPr>
          <w:bCs/>
          <w:i/>
          <w:iCs/>
          <w:lang w:val="fr-FR"/>
        </w:rPr>
        <w:t>)</w:t>
      </w:r>
    </w:p>
    <w:p w:rsidR="00E2693C" w:rsidRDefault="0093236D" w:rsidP="00724238">
      <w:pPr>
        <w:pStyle w:val="H1G"/>
        <w:rPr>
          <w:lang w:val="fr-FR"/>
        </w:rPr>
      </w:pPr>
      <w:r>
        <w:rPr>
          <w:lang w:val="fr-FR"/>
        </w:rPr>
        <w:tab/>
      </w:r>
      <w:r>
        <w:rPr>
          <w:lang w:val="fr-FR"/>
        </w:rPr>
        <w:tab/>
      </w:r>
      <w:r w:rsidR="00E2693C">
        <w:rPr>
          <w:lang w:val="fr-FR"/>
        </w:rPr>
        <w:t>Chapitre 2.1</w:t>
      </w:r>
    </w:p>
    <w:p w:rsidR="00724238" w:rsidRPr="00724238" w:rsidRDefault="00E2693C" w:rsidP="00C21D4D">
      <w:pPr>
        <w:pStyle w:val="SingleTxtG"/>
        <w:rPr>
          <w:lang w:val="fr-FR"/>
        </w:rPr>
      </w:pPr>
      <w:r w:rsidRPr="00724238">
        <w:rPr>
          <w:lang w:val="fr-FR"/>
        </w:rPr>
        <w:t>2.1.3.6.4 b)</w:t>
      </w:r>
      <w:r w:rsidR="00803D4A" w:rsidRPr="00724238">
        <w:rPr>
          <w:lang w:val="fr-FR"/>
        </w:rPr>
        <w:tab/>
      </w:r>
      <w:r w:rsidR="00724238" w:rsidRPr="00724238">
        <w:rPr>
          <w:lang w:val="fr-FR"/>
        </w:rPr>
        <w:t xml:space="preserve">Dans le Nota, supprimer </w:t>
      </w:r>
      <w:proofErr w:type="gramStart"/>
      <w:r w:rsidR="00724238" w:rsidRPr="00724238">
        <w:rPr>
          <w:lang w:val="fr-FR"/>
        </w:rPr>
        <w:t>« ,</w:t>
      </w:r>
      <w:proofErr w:type="gramEnd"/>
      <w:r w:rsidR="00724238" w:rsidRPr="00724238">
        <w:rPr>
          <w:lang w:val="fr-FR"/>
        </w:rPr>
        <w:t xml:space="preserve"> telle que décrite </w:t>
      </w:r>
      <w:r w:rsidR="00C21D4D">
        <w:rPr>
          <w:lang w:val="fr-FR"/>
        </w:rPr>
        <w:t>dan</w:t>
      </w:r>
      <w:r w:rsidR="00724238" w:rsidRPr="00724238">
        <w:rPr>
          <w:lang w:val="fr-FR"/>
        </w:rPr>
        <w:t>s la norme ISO 12097-3 »</w:t>
      </w:r>
      <w:r w:rsidR="00C21D4D">
        <w:rPr>
          <w:lang w:val="fr-FR"/>
        </w:rPr>
        <w:t xml:space="preserve"> et a</w:t>
      </w:r>
      <w:r w:rsidR="00724238" w:rsidRPr="00724238">
        <w:rPr>
          <w:lang w:val="fr-FR"/>
        </w:rPr>
        <w:t>jouter la nouvelle deuxième phrase suivante :</w:t>
      </w:r>
    </w:p>
    <w:p w:rsidR="00B565F4" w:rsidRPr="00724238" w:rsidRDefault="00724238" w:rsidP="00724238">
      <w:pPr>
        <w:pStyle w:val="SingleTxtG"/>
      </w:pPr>
      <w:r w:rsidRPr="00724238">
        <w:rPr>
          <w:lang w:val="fr-FR"/>
        </w:rPr>
        <w:t>« </w:t>
      </w:r>
      <w:r w:rsidR="00B565F4" w:rsidRPr="00724238">
        <w:rPr>
          <w:i/>
          <w:w w:val="105"/>
          <w:lang w:val="fr-FR"/>
        </w:rPr>
        <w:t>Une telle méthode est décrite dans la norme ISO 14451-2 en appliquant une vitesse de chauffe de 80 K/min</w:t>
      </w:r>
      <w:r w:rsidR="00B565F4" w:rsidRPr="00724238">
        <w:rPr>
          <w:i/>
          <w:lang w:val="fr-FR"/>
        </w:rPr>
        <w:t>.</w:t>
      </w:r>
      <w:r w:rsidR="00B565F4" w:rsidRPr="00724238">
        <w:rPr>
          <w:lang w:val="fr-FR"/>
        </w:rPr>
        <w:t> ».</w:t>
      </w:r>
    </w:p>
    <w:p w:rsidR="00E2693C" w:rsidRPr="00E2693C" w:rsidRDefault="00E2693C" w:rsidP="00B565F4">
      <w:pPr>
        <w:pStyle w:val="SingleTxtG"/>
        <w:rPr>
          <w:i/>
          <w:iCs/>
          <w:lang w:val="fr-FR"/>
        </w:rPr>
      </w:pPr>
      <w:r w:rsidRPr="00724238">
        <w:rPr>
          <w:i/>
          <w:iCs/>
          <w:lang w:val="fr-FR"/>
        </w:rPr>
        <w:t xml:space="preserve">(Document de référence : </w:t>
      </w:r>
      <w:r w:rsidR="00F50508" w:rsidRPr="001539C6">
        <w:rPr>
          <w:i/>
          <w:iCs/>
        </w:rPr>
        <w:t>ST/SG/AC.10/C.3/201</w:t>
      </w:r>
      <w:r w:rsidR="00F50508">
        <w:rPr>
          <w:i/>
          <w:iCs/>
        </w:rPr>
        <w:t>8</w:t>
      </w:r>
      <w:r w:rsidR="00F50508" w:rsidRPr="001539C6">
        <w:rPr>
          <w:i/>
          <w:iCs/>
        </w:rPr>
        <w:t>/</w:t>
      </w:r>
      <w:r w:rsidR="00F50508">
        <w:rPr>
          <w:i/>
          <w:iCs/>
        </w:rPr>
        <w:t xml:space="preserve">6 et </w:t>
      </w:r>
      <w:r w:rsidRPr="00724238">
        <w:rPr>
          <w:i/>
          <w:iCs/>
          <w:lang w:val="fr-FR"/>
        </w:rPr>
        <w:t xml:space="preserve">document informel INF.67, annexe 2, </w:t>
      </w:r>
      <w:r w:rsidR="003549F3">
        <w:rPr>
          <w:i/>
          <w:iCs/>
          <w:lang w:val="fr-FR"/>
        </w:rPr>
        <w:t>amendement</w:t>
      </w:r>
      <w:r w:rsidRPr="00724238">
        <w:rPr>
          <w:i/>
          <w:iCs/>
          <w:lang w:val="fr-FR"/>
        </w:rPr>
        <w:t xml:space="preserve"> 6)</w:t>
      </w:r>
      <w:r>
        <w:rPr>
          <w:lang w:val="fr-FR"/>
        </w:rPr>
        <w:tab/>
      </w:r>
    </w:p>
    <w:p w:rsidR="00DB4BC8" w:rsidRDefault="00E2693C" w:rsidP="000659B4">
      <w:pPr>
        <w:pStyle w:val="H1G"/>
      </w:pPr>
      <w:r>
        <w:rPr>
          <w:lang w:val="fr-FR"/>
        </w:rPr>
        <w:tab/>
      </w:r>
      <w:r>
        <w:rPr>
          <w:lang w:val="fr-FR"/>
        </w:rPr>
        <w:tab/>
      </w:r>
      <w:r w:rsidR="00DB4BC8">
        <w:t>Chapitre 2.2</w:t>
      </w:r>
    </w:p>
    <w:p w:rsidR="00DB4BC8" w:rsidRPr="00FB2D02" w:rsidRDefault="00DB4BC8" w:rsidP="00DB4BC8">
      <w:pPr>
        <w:pStyle w:val="SingleTxtG"/>
        <w:rPr>
          <w:lang w:val="fr-FR"/>
        </w:rPr>
      </w:pPr>
      <w:r>
        <w:rPr>
          <w:lang w:val="fr-FR"/>
        </w:rPr>
        <w:t>2.2.2.1 a) ii)</w:t>
      </w:r>
      <w:r>
        <w:rPr>
          <w:lang w:val="fr-FR"/>
        </w:rPr>
        <w:tab/>
        <w:t>Remplacer « ISO 10156:2010 » par « ISO 10156:2017 ».</w:t>
      </w:r>
    </w:p>
    <w:p w:rsidR="00DB4BC8" w:rsidRPr="00FB2D02" w:rsidRDefault="00DB4BC8" w:rsidP="00DB4BC8">
      <w:pPr>
        <w:pStyle w:val="SingleTxtG"/>
        <w:rPr>
          <w:lang w:val="fr-FR"/>
        </w:rPr>
      </w:pPr>
      <w:r w:rsidRPr="00FB2D02">
        <w:rPr>
          <w:i/>
          <w:iCs/>
          <w:lang w:val="fr-FR"/>
        </w:rPr>
        <w:t xml:space="preserve">(Document de référence : </w:t>
      </w:r>
      <w:bookmarkStart w:id="1" w:name="_Hlk520457962"/>
      <w:r w:rsidRPr="001539C6">
        <w:rPr>
          <w:i/>
          <w:iCs/>
        </w:rPr>
        <w:t>ST/SG/AC.10/C.3/201</w:t>
      </w:r>
      <w:r>
        <w:rPr>
          <w:i/>
          <w:iCs/>
        </w:rPr>
        <w:t>8</w:t>
      </w:r>
      <w:r w:rsidRPr="001539C6">
        <w:rPr>
          <w:i/>
          <w:iCs/>
        </w:rPr>
        <w:t>/</w:t>
      </w:r>
      <w:bookmarkEnd w:id="1"/>
      <w:r>
        <w:rPr>
          <w:i/>
          <w:iCs/>
        </w:rPr>
        <w:t>2</w:t>
      </w:r>
      <w:r w:rsidRPr="00FB2D02">
        <w:rPr>
          <w:bCs/>
          <w:i/>
          <w:iCs/>
          <w:lang w:val="fr-FR"/>
        </w:rPr>
        <w:t>)</w:t>
      </w:r>
    </w:p>
    <w:p w:rsidR="00DB4BC8" w:rsidRPr="00FB2D02" w:rsidRDefault="00DB4BC8" w:rsidP="00DB4BC8">
      <w:pPr>
        <w:pStyle w:val="SingleTxtG"/>
        <w:rPr>
          <w:lang w:val="fr-FR"/>
        </w:rPr>
      </w:pPr>
      <w:r>
        <w:rPr>
          <w:lang w:val="fr-FR"/>
        </w:rPr>
        <w:t>2.2.2.1 b) iii) Nota</w:t>
      </w:r>
      <w:r>
        <w:rPr>
          <w:lang w:val="fr-FR"/>
        </w:rPr>
        <w:tab/>
        <w:t>Remplacer « ISO 10156:2010 » par « ISO 10156:2017 ».</w:t>
      </w:r>
    </w:p>
    <w:p w:rsidR="00DB4BC8" w:rsidRPr="00FB2D02" w:rsidRDefault="00DB4BC8" w:rsidP="00DB4BC8">
      <w:pPr>
        <w:pStyle w:val="SingleTxtG"/>
        <w:rPr>
          <w:lang w:val="fr-FR"/>
        </w:rPr>
      </w:pPr>
      <w:r w:rsidRPr="00FB2D02">
        <w:rPr>
          <w:i/>
          <w:iCs/>
          <w:lang w:val="fr-FR"/>
        </w:rPr>
        <w:t xml:space="preserve">(Document de référence : </w:t>
      </w:r>
      <w:r w:rsidRPr="001539C6">
        <w:rPr>
          <w:i/>
          <w:iCs/>
        </w:rPr>
        <w:t>ST/SG/AC.10/C.3/201</w:t>
      </w:r>
      <w:r>
        <w:rPr>
          <w:i/>
          <w:iCs/>
        </w:rPr>
        <w:t>8</w:t>
      </w:r>
      <w:r w:rsidRPr="001539C6">
        <w:rPr>
          <w:i/>
          <w:iCs/>
        </w:rPr>
        <w:t>/</w:t>
      </w:r>
      <w:r>
        <w:rPr>
          <w:i/>
          <w:iCs/>
        </w:rPr>
        <w:t>2</w:t>
      </w:r>
      <w:r w:rsidRPr="00FB2D02">
        <w:rPr>
          <w:bCs/>
          <w:i/>
          <w:iCs/>
          <w:lang w:val="fr-FR"/>
        </w:rPr>
        <w:t>)</w:t>
      </w:r>
    </w:p>
    <w:p w:rsidR="00DB4BC8" w:rsidRPr="00FB2D02" w:rsidRDefault="00DB4BC8" w:rsidP="00DB4BC8">
      <w:pPr>
        <w:pStyle w:val="SingleTxtG"/>
        <w:rPr>
          <w:lang w:val="fr-FR"/>
        </w:rPr>
      </w:pPr>
      <w:r w:rsidRPr="00DE139D">
        <w:rPr>
          <w:lang w:val="fr-FR"/>
        </w:rPr>
        <w:t>2.2.3 a) et d)</w:t>
      </w:r>
      <w:r>
        <w:rPr>
          <w:lang w:val="fr-FR"/>
        </w:rPr>
        <w:tab/>
        <w:t>Remplacer « ISO 10156:2010 » par « ISO 10156:2017 ».</w:t>
      </w:r>
    </w:p>
    <w:p w:rsidR="00DB4BC8" w:rsidRPr="00FB2D02" w:rsidRDefault="00DB4BC8" w:rsidP="00DB4BC8">
      <w:pPr>
        <w:pStyle w:val="SingleTxtG"/>
        <w:rPr>
          <w:lang w:val="fr-FR"/>
        </w:rPr>
      </w:pPr>
      <w:r w:rsidRPr="00FB2D02">
        <w:rPr>
          <w:i/>
          <w:iCs/>
          <w:lang w:val="fr-FR"/>
        </w:rPr>
        <w:t xml:space="preserve">(Document de référence : </w:t>
      </w:r>
      <w:r w:rsidRPr="001539C6">
        <w:rPr>
          <w:i/>
          <w:iCs/>
        </w:rPr>
        <w:t>ST/SG/AC.10/C.3/201</w:t>
      </w:r>
      <w:r>
        <w:rPr>
          <w:i/>
          <w:iCs/>
        </w:rPr>
        <w:t>8</w:t>
      </w:r>
      <w:r w:rsidRPr="001539C6">
        <w:rPr>
          <w:i/>
          <w:iCs/>
        </w:rPr>
        <w:t>/</w:t>
      </w:r>
      <w:r>
        <w:rPr>
          <w:i/>
          <w:iCs/>
        </w:rPr>
        <w:t>2</w:t>
      </w:r>
      <w:r w:rsidRPr="00FB2D02">
        <w:rPr>
          <w:bCs/>
          <w:i/>
          <w:iCs/>
          <w:lang w:val="fr-FR"/>
        </w:rPr>
        <w:t>)</w:t>
      </w:r>
    </w:p>
    <w:p w:rsidR="00F24133" w:rsidRDefault="00DB4BC8" w:rsidP="000659B4">
      <w:pPr>
        <w:pStyle w:val="H1G"/>
        <w:rPr>
          <w:lang w:val="fr-FR"/>
        </w:rPr>
      </w:pPr>
      <w:r>
        <w:rPr>
          <w:lang w:val="fr-FR"/>
        </w:rPr>
        <w:tab/>
      </w:r>
      <w:r>
        <w:rPr>
          <w:lang w:val="fr-FR"/>
        </w:rPr>
        <w:tab/>
      </w:r>
      <w:r w:rsidR="00F24133">
        <w:rPr>
          <w:lang w:val="fr-FR"/>
        </w:rPr>
        <w:t>Chapitre 2.4</w:t>
      </w:r>
    </w:p>
    <w:p w:rsidR="00803D4A" w:rsidRPr="009B36BA" w:rsidRDefault="00F24133" w:rsidP="009B36BA">
      <w:pPr>
        <w:pStyle w:val="SingleTxtG"/>
      </w:pPr>
      <w:r w:rsidRPr="009B36BA">
        <w:rPr>
          <w:lang w:val="fr-FR"/>
        </w:rPr>
        <w:t>2.4.3.2.3.1</w:t>
      </w:r>
      <w:r w:rsidR="00B565F4" w:rsidRPr="009B36BA">
        <w:rPr>
          <w:lang w:val="fr-FR"/>
        </w:rPr>
        <w:tab/>
      </w:r>
      <w:r w:rsidR="009B36BA" w:rsidRPr="009B36BA">
        <w:rPr>
          <w:lang w:val="fr-FR"/>
        </w:rPr>
        <w:t>Dans le Nota, supprimer « sau</w:t>
      </w:r>
      <w:r w:rsidR="00F50508">
        <w:rPr>
          <w:lang w:val="fr-FR"/>
        </w:rPr>
        <w:t>f</w:t>
      </w:r>
      <w:r w:rsidR="009B36BA" w:rsidRPr="009B36BA">
        <w:rPr>
          <w:lang w:val="fr-FR"/>
        </w:rPr>
        <w:t xml:space="preserve"> celles du type G ».</w:t>
      </w:r>
    </w:p>
    <w:p w:rsidR="00F24133" w:rsidRPr="00F24133" w:rsidRDefault="00F24133" w:rsidP="00F24133">
      <w:pPr>
        <w:pStyle w:val="SingleTxtG"/>
        <w:rPr>
          <w:i/>
          <w:iCs/>
          <w:lang w:val="fr-FR"/>
        </w:rPr>
      </w:pPr>
      <w:r w:rsidRPr="009B36BA">
        <w:rPr>
          <w:i/>
          <w:iCs/>
          <w:lang w:val="fr-FR"/>
        </w:rPr>
        <w:t xml:space="preserve">(Document de référence : </w:t>
      </w:r>
      <w:r w:rsidR="00C0357F" w:rsidRPr="001539C6">
        <w:rPr>
          <w:i/>
          <w:iCs/>
        </w:rPr>
        <w:t>ST/SG/AC.10/C.3/201</w:t>
      </w:r>
      <w:r w:rsidR="00C0357F">
        <w:rPr>
          <w:i/>
          <w:iCs/>
        </w:rPr>
        <w:t>8</w:t>
      </w:r>
      <w:r w:rsidR="00C0357F" w:rsidRPr="001539C6">
        <w:rPr>
          <w:i/>
          <w:iCs/>
        </w:rPr>
        <w:t>/</w:t>
      </w:r>
      <w:r w:rsidR="00C0357F">
        <w:rPr>
          <w:i/>
          <w:iCs/>
        </w:rPr>
        <w:t xml:space="preserve">1 et </w:t>
      </w:r>
      <w:r w:rsidRPr="009B36BA">
        <w:rPr>
          <w:i/>
          <w:iCs/>
          <w:lang w:val="fr-FR"/>
        </w:rPr>
        <w:t xml:space="preserve">document informel INF.67, annexe 2, </w:t>
      </w:r>
      <w:r w:rsidR="009B36BA" w:rsidRPr="009B36BA">
        <w:rPr>
          <w:i/>
          <w:iCs/>
          <w:lang w:val="fr-FR"/>
        </w:rPr>
        <w:t>amendement</w:t>
      </w:r>
      <w:r w:rsidRPr="009B36BA">
        <w:rPr>
          <w:i/>
          <w:iCs/>
          <w:lang w:val="fr-FR"/>
        </w:rPr>
        <w:t xml:space="preserve"> 8)</w:t>
      </w:r>
    </w:p>
    <w:p w:rsidR="00B60A84" w:rsidRDefault="00F24133" w:rsidP="000659B4">
      <w:pPr>
        <w:pStyle w:val="H1G"/>
      </w:pPr>
      <w:r>
        <w:rPr>
          <w:lang w:val="fr-FR"/>
        </w:rPr>
        <w:lastRenderedPageBreak/>
        <w:tab/>
      </w:r>
      <w:r>
        <w:rPr>
          <w:lang w:val="fr-FR"/>
        </w:rPr>
        <w:tab/>
      </w:r>
      <w:r w:rsidR="00B60A84">
        <w:t>Chapitre 2.5</w:t>
      </w:r>
    </w:p>
    <w:p w:rsidR="00B60A84" w:rsidRPr="00CA445C" w:rsidRDefault="00B60A84" w:rsidP="00B60A84">
      <w:pPr>
        <w:pStyle w:val="SingleTxtG"/>
      </w:pPr>
      <w:r w:rsidRPr="00C07EA7">
        <w:t>2.5.3.2.4</w:t>
      </w:r>
      <w:r>
        <w:tab/>
        <w:t>Dans le tableau, pour « </w:t>
      </w:r>
      <w:r w:rsidRPr="00CA445C">
        <w:t>PEROXYDICARBONATE DE BIS (tert-BUTYL-4 CYCLOHEXYLE)</w:t>
      </w:r>
      <w:r>
        <w:t> », à la concentration « </w:t>
      </w:r>
      <w:bookmarkStart w:id="2" w:name="_Hlk517850767"/>
      <w:r w:rsidRPr="00CA445C">
        <w:t>≤</w:t>
      </w:r>
      <w:r>
        <w:t xml:space="preserve"> </w:t>
      </w:r>
      <w:r w:rsidRPr="00CA445C">
        <w:t>42</w:t>
      </w:r>
      <w:bookmarkEnd w:id="2"/>
      <w:r w:rsidRPr="00CA445C">
        <w:t xml:space="preserve"> (pâte)</w:t>
      </w:r>
      <w:r>
        <w:t> », dans la colonne « Méthode d’emballage », remplacer « OP7 » par « OP8 » et dans la colonne « No ONU », remplacer « 3116 » par « 3118 ».</w:t>
      </w:r>
      <w:r w:rsidRPr="00CA445C">
        <w:t xml:space="preserve"> </w:t>
      </w:r>
    </w:p>
    <w:p w:rsidR="00B60A84" w:rsidRDefault="00B60A84" w:rsidP="00B60A84">
      <w:pPr>
        <w:spacing w:before="120" w:after="120" w:line="240" w:lineRule="auto"/>
        <w:ind w:left="1134" w:right="1134"/>
        <w:jc w:val="both"/>
        <w:rPr>
          <w:i/>
          <w:iCs/>
        </w:rPr>
      </w:pPr>
      <w:r w:rsidRPr="001539C6">
        <w:rPr>
          <w:i/>
          <w:iCs/>
        </w:rPr>
        <w:t>(</w:t>
      </w:r>
      <w:r w:rsidRPr="001539C6">
        <w:rPr>
          <w:i/>
          <w:iCs/>
          <w:lang w:val="fr-FR"/>
        </w:rPr>
        <w:t>Document de référence</w:t>
      </w:r>
      <w:r>
        <w:rPr>
          <w:i/>
          <w:iCs/>
          <w:lang w:val="fr-FR"/>
        </w:rPr>
        <w:t> </w:t>
      </w:r>
      <w:r w:rsidRPr="001539C6">
        <w:rPr>
          <w:i/>
          <w:iCs/>
        </w:rPr>
        <w:t>: ST/SG/AC.10/C.3/201</w:t>
      </w:r>
      <w:r>
        <w:rPr>
          <w:i/>
          <w:iCs/>
        </w:rPr>
        <w:t>8</w:t>
      </w:r>
      <w:r w:rsidRPr="001539C6">
        <w:rPr>
          <w:i/>
          <w:iCs/>
        </w:rPr>
        <w:t>/</w:t>
      </w:r>
      <w:r>
        <w:rPr>
          <w:i/>
          <w:iCs/>
        </w:rPr>
        <w:t>29</w:t>
      </w:r>
      <w:r w:rsidRPr="001539C6">
        <w:rPr>
          <w:i/>
          <w:iCs/>
        </w:rPr>
        <w:t>)</w:t>
      </w:r>
    </w:p>
    <w:p w:rsidR="000104F1" w:rsidRDefault="000104F1" w:rsidP="000659B4">
      <w:pPr>
        <w:pStyle w:val="H1G"/>
      </w:pPr>
      <w:r>
        <w:tab/>
      </w:r>
      <w:r>
        <w:tab/>
        <w:t>Chapitre 2.6</w:t>
      </w:r>
    </w:p>
    <w:p w:rsidR="000104F1" w:rsidRPr="00A1192D" w:rsidRDefault="000104F1" w:rsidP="000104F1">
      <w:pPr>
        <w:pStyle w:val="SingleTxtG"/>
      </w:pPr>
      <w:r w:rsidRPr="00A1192D">
        <w:t>2.6.1 b)</w:t>
      </w:r>
      <w:r w:rsidRPr="00A1192D">
        <w:tab/>
        <w:t>Supprimer « les rickettsies, ».</w:t>
      </w:r>
    </w:p>
    <w:p w:rsidR="000104F1" w:rsidRPr="00FB2D02" w:rsidRDefault="000104F1" w:rsidP="000104F1">
      <w:pPr>
        <w:pStyle w:val="SingleTxtG"/>
        <w:rPr>
          <w:lang w:val="fr-FR"/>
        </w:rPr>
      </w:pPr>
      <w:r w:rsidRPr="00FB2D02">
        <w:rPr>
          <w:i/>
          <w:iCs/>
          <w:lang w:val="fr-FR"/>
        </w:rPr>
        <w:t xml:space="preserve">(Document de référence : </w:t>
      </w:r>
      <w:r w:rsidR="000F229A" w:rsidRPr="001539C6">
        <w:rPr>
          <w:i/>
          <w:iCs/>
        </w:rPr>
        <w:t>ST/SG/AC.10/C.3/201</w:t>
      </w:r>
      <w:r w:rsidR="000F229A">
        <w:rPr>
          <w:i/>
          <w:iCs/>
        </w:rPr>
        <w:t>8</w:t>
      </w:r>
      <w:r w:rsidR="000F229A" w:rsidRPr="001539C6">
        <w:rPr>
          <w:i/>
          <w:iCs/>
        </w:rPr>
        <w:t>/</w:t>
      </w:r>
      <w:r w:rsidR="000F229A">
        <w:rPr>
          <w:i/>
          <w:iCs/>
        </w:rPr>
        <w:t xml:space="preserve">26 et </w:t>
      </w:r>
      <w:r>
        <w:rPr>
          <w:i/>
          <w:iCs/>
          <w:lang w:val="fr-FR"/>
        </w:rPr>
        <w:t>document informel INF.68</w:t>
      </w:r>
      <w:r w:rsidRPr="00FB2D02">
        <w:rPr>
          <w:bCs/>
          <w:i/>
          <w:iCs/>
          <w:lang w:val="fr-FR"/>
        </w:rPr>
        <w:t>)</w:t>
      </w:r>
    </w:p>
    <w:p w:rsidR="000104F1" w:rsidRPr="00A1192D" w:rsidRDefault="000104F1" w:rsidP="000104F1">
      <w:pPr>
        <w:pStyle w:val="SingleTxtG"/>
      </w:pPr>
      <w:r w:rsidRPr="00A1192D">
        <w:t>2.6.</w:t>
      </w:r>
      <w:r>
        <w:t>3.1.1</w:t>
      </w:r>
      <w:r w:rsidRPr="00A1192D">
        <w:tab/>
        <w:t>Supprimer « les rickettsies, ».</w:t>
      </w:r>
    </w:p>
    <w:p w:rsidR="000104F1" w:rsidRPr="00FB2D02" w:rsidRDefault="000104F1" w:rsidP="000104F1">
      <w:pPr>
        <w:pStyle w:val="SingleTxtG"/>
        <w:rPr>
          <w:lang w:val="fr-FR"/>
        </w:rPr>
      </w:pPr>
      <w:r w:rsidRPr="00FB2D02">
        <w:rPr>
          <w:i/>
          <w:iCs/>
          <w:lang w:val="fr-FR"/>
        </w:rPr>
        <w:t xml:space="preserve">(Document de référence : </w:t>
      </w:r>
      <w:r w:rsidR="000F229A" w:rsidRPr="001539C6">
        <w:rPr>
          <w:i/>
          <w:iCs/>
        </w:rPr>
        <w:t>ST/SG/AC.10/C.3/201</w:t>
      </w:r>
      <w:r w:rsidR="000F229A">
        <w:rPr>
          <w:i/>
          <w:iCs/>
        </w:rPr>
        <w:t>8</w:t>
      </w:r>
      <w:r w:rsidR="000F229A" w:rsidRPr="001539C6">
        <w:rPr>
          <w:i/>
          <w:iCs/>
        </w:rPr>
        <w:t>/</w:t>
      </w:r>
      <w:r w:rsidR="000F229A">
        <w:rPr>
          <w:i/>
          <w:iCs/>
        </w:rPr>
        <w:t xml:space="preserve">26 et </w:t>
      </w:r>
      <w:r>
        <w:rPr>
          <w:i/>
          <w:iCs/>
          <w:lang w:val="fr-FR"/>
        </w:rPr>
        <w:t>document informel INF.68</w:t>
      </w:r>
      <w:r w:rsidRPr="00FB2D02">
        <w:rPr>
          <w:bCs/>
          <w:i/>
          <w:iCs/>
          <w:lang w:val="fr-FR"/>
        </w:rPr>
        <w:t>)</w:t>
      </w:r>
    </w:p>
    <w:p w:rsidR="000104F1" w:rsidRPr="00A1192D" w:rsidRDefault="000104F1" w:rsidP="000104F1">
      <w:pPr>
        <w:pStyle w:val="SingleTxtG"/>
      </w:pPr>
      <w:r w:rsidRPr="004D1CA3">
        <w:t>2.6.3.2.2.</w:t>
      </w:r>
      <w:r w:rsidR="004D1CA3" w:rsidRPr="004D1CA3">
        <w:t>2</w:t>
      </w:r>
      <w:r w:rsidRPr="004D1CA3">
        <w:t>, Nota 3</w:t>
      </w:r>
      <w:r w:rsidRPr="00A1192D">
        <w:tab/>
        <w:t xml:space="preserve">Supprimer </w:t>
      </w:r>
      <w:proofErr w:type="gramStart"/>
      <w:r w:rsidRPr="00A1192D">
        <w:t>« </w:t>
      </w:r>
      <w:r>
        <w:t>,</w:t>
      </w:r>
      <w:proofErr w:type="gramEnd"/>
      <w:r>
        <w:t xml:space="preserve"> </w:t>
      </w:r>
      <w:r w:rsidRPr="00A1192D">
        <w:t>des mycoplasmes, des rickettsies ».</w:t>
      </w:r>
    </w:p>
    <w:p w:rsidR="000104F1" w:rsidRPr="001539C6" w:rsidRDefault="000104F1" w:rsidP="000104F1">
      <w:pPr>
        <w:spacing w:before="120" w:after="120" w:line="240" w:lineRule="auto"/>
        <w:ind w:left="1134" w:right="1134"/>
        <w:jc w:val="both"/>
        <w:rPr>
          <w:i/>
          <w:iCs/>
        </w:rPr>
      </w:pPr>
      <w:r w:rsidRPr="00FB2D02">
        <w:rPr>
          <w:i/>
          <w:iCs/>
          <w:lang w:val="fr-FR"/>
        </w:rPr>
        <w:t xml:space="preserve">(Document de référence : </w:t>
      </w:r>
      <w:r w:rsidR="000F229A" w:rsidRPr="001539C6">
        <w:rPr>
          <w:i/>
          <w:iCs/>
        </w:rPr>
        <w:t>ST/SG/AC.10/C.3/201</w:t>
      </w:r>
      <w:r w:rsidR="000F229A">
        <w:rPr>
          <w:i/>
          <w:iCs/>
        </w:rPr>
        <w:t>8</w:t>
      </w:r>
      <w:r w:rsidR="000F229A" w:rsidRPr="001539C6">
        <w:rPr>
          <w:i/>
          <w:iCs/>
        </w:rPr>
        <w:t>/</w:t>
      </w:r>
      <w:r w:rsidR="000F229A">
        <w:rPr>
          <w:i/>
          <w:iCs/>
        </w:rPr>
        <w:t xml:space="preserve">26 et </w:t>
      </w:r>
      <w:r>
        <w:rPr>
          <w:i/>
          <w:iCs/>
          <w:lang w:val="fr-FR"/>
        </w:rPr>
        <w:t>document informel INF.68</w:t>
      </w:r>
      <w:r w:rsidRPr="00FB2D02">
        <w:rPr>
          <w:bCs/>
          <w:i/>
          <w:iCs/>
          <w:lang w:val="fr-FR"/>
        </w:rPr>
        <w:t>)</w:t>
      </w:r>
    </w:p>
    <w:p w:rsidR="00B60A84" w:rsidRDefault="00B60A84" w:rsidP="000F229A">
      <w:pPr>
        <w:pStyle w:val="H1G"/>
      </w:pPr>
      <w:r>
        <w:tab/>
      </w:r>
      <w:r>
        <w:tab/>
        <w:t>Chapitre 3.2, Liste des marchandises dangereuses</w:t>
      </w:r>
    </w:p>
    <w:p w:rsidR="00D75B07" w:rsidRPr="0078524D" w:rsidRDefault="00D75B07" w:rsidP="00D75B07">
      <w:pPr>
        <w:pStyle w:val="SingleTxtG"/>
        <w:rPr>
          <w:iCs/>
          <w:lang w:val="fr-FR"/>
        </w:rPr>
      </w:pPr>
      <w:r w:rsidRPr="0078524D">
        <w:rPr>
          <w:iCs/>
          <w:lang w:val="fr-FR"/>
        </w:rPr>
        <w:t>Insérer l</w:t>
      </w:r>
      <w:r w:rsidR="00C21D4D">
        <w:rPr>
          <w:iCs/>
          <w:lang w:val="fr-FR"/>
        </w:rPr>
        <w:t>es</w:t>
      </w:r>
      <w:r w:rsidRPr="0078524D">
        <w:rPr>
          <w:iCs/>
          <w:lang w:val="fr-FR"/>
        </w:rPr>
        <w:t xml:space="preserve"> nouvelle</w:t>
      </w:r>
      <w:r w:rsidR="00C21D4D">
        <w:rPr>
          <w:iCs/>
          <w:lang w:val="fr-FR"/>
        </w:rPr>
        <w:t>s</w:t>
      </w:r>
      <w:r w:rsidRPr="0078524D">
        <w:rPr>
          <w:iCs/>
          <w:lang w:val="fr-FR"/>
        </w:rPr>
        <w:t xml:space="preserve"> rubrique</w:t>
      </w:r>
      <w:r w:rsidR="00C21D4D">
        <w:rPr>
          <w:iCs/>
          <w:lang w:val="fr-FR"/>
        </w:rPr>
        <w:t>s suivantes</w:t>
      </w:r>
      <w:r w:rsidR="00DC20AE">
        <w:rPr>
          <w:iCs/>
          <w:lang w:val="fr-FR"/>
        </w:rPr>
        <w:t xml:space="preserve"> </w:t>
      </w:r>
      <w:r w:rsidRPr="0078524D">
        <w:rPr>
          <w:iCs/>
          <w:lang w:val="fr-FR"/>
        </w:rPr>
        <w:t>:</w:t>
      </w:r>
    </w:p>
    <w:tbl>
      <w:tblPr>
        <w:tblW w:w="4718" w:type="pct"/>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42"/>
        <w:gridCol w:w="2518"/>
        <w:gridCol w:w="571"/>
        <w:gridCol w:w="451"/>
        <w:gridCol w:w="627"/>
        <w:gridCol w:w="626"/>
        <w:gridCol w:w="535"/>
        <w:gridCol w:w="535"/>
        <w:gridCol w:w="719"/>
        <w:gridCol w:w="626"/>
        <w:gridCol w:w="628"/>
        <w:gridCol w:w="727"/>
      </w:tblGrid>
      <w:tr w:rsidR="0078524D" w:rsidRPr="0078524D" w:rsidTr="0078524D">
        <w:trPr>
          <w:trHeight w:hRule="exact" w:val="379"/>
        </w:trPr>
        <w:tc>
          <w:tcPr>
            <w:tcW w:w="297" w:type="pct"/>
          </w:tcPr>
          <w:p w:rsidR="0044249A" w:rsidRPr="0078524D" w:rsidRDefault="0044249A" w:rsidP="0078524D">
            <w:pPr>
              <w:suppressAutoHyphens w:val="0"/>
              <w:spacing w:before="40" w:after="120" w:line="276" w:lineRule="auto"/>
              <w:jc w:val="center"/>
              <w:rPr>
                <w:bCs/>
                <w:sz w:val="18"/>
                <w:szCs w:val="18"/>
                <w:lang w:val="fr-FR"/>
              </w:rPr>
            </w:pPr>
            <w:r w:rsidRPr="0078524D">
              <w:rPr>
                <w:bCs/>
                <w:sz w:val="18"/>
                <w:szCs w:val="18"/>
                <w:lang w:val="fr-FR"/>
              </w:rPr>
              <w:t>(1)</w:t>
            </w:r>
          </w:p>
        </w:tc>
        <w:tc>
          <w:tcPr>
            <w:tcW w:w="1381" w:type="pct"/>
          </w:tcPr>
          <w:p w:rsidR="0044249A" w:rsidRPr="0078524D" w:rsidRDefault="0044249A" w:rsidP="0078524D">
            <w:pPr>
              <w:suppressAutoHyphens w:val="0"/>
              <w:spacing w:before="40" w:after="120" w:line="276" w:lineRule="auto"/>
              <w:jc w:val="center"/>
              <w:rPr>
                <w:bCs/>
                <w:sz w:val="18"/>
                <w:szCs w:val="18"/>
                <w:lang w:val="fr-FR"/>
              </w:rPr>
            </w:pPr>
            <w:r w:rsidRPr="0078524D">
              <w:rPr>
                <w:bCs/>
                <w:sz w:val="18"/>
                <w:szCs w:val="18"/>
                <w:lang w:val="fr-FR"/>
              </w:rPr>
              <w:t>(2)</w:t>
            </w:r>
          </w:p>
        </w:tc>
        <w:tc>
          <w:tcPr>
            <w:tcW w:w="313" w:type="pct"/>
          </w:tcPr>
          <w:p w:rsidR="0044249A" w:rsidRPr="0078524D" w:rsidRDefault="0044249A" w:rsidP="0078524D">
            <w:pPr>
              <w:suppressAutoHyphens w:val="0"/>
              <w:spacing w:before="40" w:after="120" w:line="276" w:lineRule="auto"/>
              <w:jc w:val="center"/>
              <w:rPr>
                <w:bCs/>
                <w:sz w:val="18"/>
                <w:szCs w:val="18"/>
                <w:lang w:val="fr-FR"/>
              </w:rPr>
            </w:pPr>
            <w:r w:rsidRPr="0078524D">
              <w:rPr>
                <w:bCs/>
                <w:sz w:val="18"/>
                <w:szCs w:val="18"/>
                <w:lang w:val="fr-FR"/>
              </w:rPr>
              <w:t>(3)</w:t>
            </w:r>
          </w:p>
        </w:tc>
        <w:tc>
          <w:tcPr>
            <w:tcW w:w="247" w:type="pct"/>
          </w:tcPr>
          <w:p w:rsidR="0044249A" w:rsidRPr="0078524D" w:rsidRDefault="0044249A" w:rsidP="0078524D">
            <w:pPr>
              <w:suppressAutoHyphens w:val="0"/>
              <w:spacing w:before="40" w:after="120" w:line="276" w:lineRule="auto"/>
              <w:jc w:val="center"/>
              <w:rPr>
                <w:bCs/>
                <w:sz w:val="18"/>
                <w:szCs w:val="18"/>
                <w:lang w:val="fr-FR"/>
              </w:rPr>
            </w:pPr>
            <w:r w:rsidRPr="0078524D">
              <w:rPr>
                <w:bCs/>
                <w:sz w:val="18"/>
                <w:szCs w:val="18"/>
                <w:lang w:val="fr-FR"/>
              </w:rPr>
              <w:t>(4)</w:t>
            </w:r>
          </w:p>
        </w:tc>
        <w:tc>
          <w:tcPr>
            <w:tcW w:w="344" w:type="pct"/>
          </w:tcPr>
          <w:p w:rsidR="0044249A" w:rsidRPr="0078524D" w:rsidRDefault="0044249A" w:rsidP="0078524D">
            <w:pPr>
              <w:suppressAutoHyphens w:val="0"/>
              <w:spacing w:before="40" w:after="120" w:line="276" w:lineRule="auto"/>
              <w:jc w:val="center"/>
              <w:rPr>
                <w:bCs/>
                <w:sz w:val="18"/>
                <w:szCs w:val="18"/>
                <w:lang w:val="fr-FR"/>
              </w:rPr>
            </w:pPr>
            <w:r w:rsidRPr="0078524D">
              <w:rPr>
                <w:bCs/>
                <w:sz w:val="18"/>
                <w:szCs w:val="18"/>
                <w:lang w:val="fr-FR"/>
              </w:rPr>
              <w:t>(5)</w:t>
            </w:r>
          </w:p>
        </w:tc>
        <w:tc>
          <w:tcPr>
            <w:tcW w:w="344" w:type="pct"/>
          </w:tcPr>
          <w:p w:rsidR="0044249A" w:rsidRPr="0078524D" w:rsidRDefault="0044249A" w:rsidP="0078524D">
            <w:pPr>
              <w:suppressAutoHyphens w:val="0"/>
              <w:spacing w:before="40" w:after="120" w:line="276" w:lineRule="auto"/>
              <w:jc w:val="center"/>
              <w:rPr>
                <w:bCs/>
                <w:sz w:val="18"/>
                <w:szCs w:val="18"/>
                <w:lang w:val="fr-FR"/>
              </w:rPr>
            </w:pPr>
            <w:r w:rsidRPr="0078524D">
              <w:rPr>
                <w:bCs/>
                <w:sz w:val="18"/>
                <w:szCs w:val="18"/>
                <w:lang w:val="fr-FR"/>
              </w:rPr>
              <w:t>(6)</w:t>
            </w:r>
          </w:p>
        </w:tc>
        <w:tc>
          <w:tcPr>
            <w:tcW w:w="294" w:type="pct"/>
          </w:tcPr>
          <w:p w:rsidR="0044249A" w:rsidRPr="0078524D" w:rsidRDefault="0044249A" w:rsidP="0078524D">
            <w:pPr>
              <w:suppressAutoHyphens w:val="0"/>
              <w:spacing w:before="40" w:after="120" w:line="276" w:lineRule="auto"/>
              <w:jc w:val="center"/>
              <w:rPr>
                <w:bCs/>
                <w:sz w:val="18"/>
                <w:szCs w:val="18"/>
                <w:lang w:val="fr-FR"/>
              </w:rPr>
            </w:pPr>
            <w:r w:rsidRPr="0078524D">
              <w:rPr>
                <w:bCs/>
                <w:sz w:val="18"/>
                <w:szCs w:val="18"/>
                <w:lang w:val="fr-FR"/>
              </w:rPr>
              <w:t>(7a)</w:t>
            </w:r>
          </w:p>
        </w:tc>
        <w:tc>
          <w:tcPr>
            <w:tcW w:w="294" w:type="pct"/>
          </w:tcPr>
          <w:p w:rsidR="0044249A" w:rsidRPr="0078524D" w:rsidRDefault="0044249A" w:rsidP="0078524D">
            <w:pPr>
              <w:suppressAutoHyphens w:val="0"/>
              <w:spacing w:before="40" w:after="120" w:line="276" w:lineRule="auto"/>
              <w:jc w:val="center"/>
              <w:rPr>
                <w:bCs/>
                <w:sz w:val="18"/>
                <w:szCs w:val="18"/>
                <w:lang w:val="fr-FR"/>
              </w:rPr>
            </w:pPr>
            <w:r w:rsidRPr="0078524D">
              <w:rPr>
                <w:bCs/>
                <w:sz w:val="18"/>
                <w:szCs w:val="18"/>
                <w:lang w:val="fr-FR"/>
              </w:rPr>
              <w:t>(7b)</w:t>
            </w:r>
          </w:p>
        </w:tc>
        <w:tc>
          <w:tcPr>
            <w:tcW w:w="395" w:type="pct"/>
          </w:tcPr>
          <w:p w:rsidR="0044249A" w:rsidRPr="0078524D" w:rsidRDefault="0044249A" w:rsidP="0078524D">
            <w:pPr>
              <w:suppressAutoHyphens w:val="0"/>
              <w:spacing w:before="40" w:after="120" w:line="276" w:lineRule="auto"/>
              <w:jc w:val="center"/>
              <w:rPr>
                <w:bCs/>
                <w:sz w:val="18"/>
                <w:szCs w:val="18"/>
                <w:lang w:val="fr-FR"/>
              </w:rPr>
            </w:pPr>
            <w:r w:rsidRPr="0078524D">
              <w:rPr>
                <w:bCs/>
                <w:sz w:val="18"/>
                <w:szCs w:val="18"/>
                <w:lang w:val="fr-FR"/>
              </w:rPr>
              <w:t>(8)</w:t>
            </w:r>
          </w:p>
        </w:tc>
        <w:tc>
          <w:tcPr>
            <w:tcW w:w="344" w:type="pct"/>
          </w:tcPr>
          <w:p w:rsidR="0044249A" w:rsidRPr="0078524D" w:rsidRDefault="0044249A" w:rsidP="0078524D">
            <w:pPr>
              <w:suppressAutoHyphens w:val="0"/>
              <w:spacing w:before="40" w:after="120" w:line="276" w:lineRule="auto"/>
              <w:jc w:val="center"/>
              <w:rPr>
                <w:bCs/>
                <w:sz w:val="18"/>
                <w:szCs w:val="18"/>
                <w:lang w:val="fr-FR"/>
              </w:rPr>
            </w:pPr>
            <w:r w:rsidRPr="0078524D">
              <w:rPr>
                <w:bCs/>
                <w:sz w:val="18"/>
                <w:szCs w:val="18"/>
                <w:lang w:val="fr-FR"/>
              </w:rPr>
              <w:t>(9)</w:t>
            </w:r>
          </w:p>
        </w:tc>
        <w:tc>
          <w:tcPr>
            <w:tcW w:w="345" w:type="pct"/>
          </w:tcPr>
          <w:p w:rsidR="0044249A" w:rsidRPr="0078524D" w:rsidRDefault="0044249A" w:rsidP="0078524D">
            <w:pPr>
              <w:suppressAutoHyphens w:val="0"/>
              <w:spacing w:before="40" w:after="120" w:line="276" w:lineRule="auto"/>
              <w:jc w:val="center"/>
              <w:rPr>
                <w:bCs/>
                <w:sz w:val="18"/>
                <w:szCs w:val="18"/>
                <w:lang w:val="fr-FR"/>
              </w:rPr>
            </w:pPr>
            <w:r w:rsidRPr="0078524D">
              <w:rPr>
                <w:bCs/>
                <w:sz w:val="18"/>
                <w:szCs w:val="18"/>
                <w:lang w:val="fr-FR"/>
              </w:rPr>
              <w:t>(10)</w:t>
            </w:r>
          </w:p>
        </w:tc>
        <w:tc>
          <w:tcPr>
            <w:tcW w:w="399" w:type="pct"/>
          </w:tcPr>
          <w:p w:rsidR="0044249A" w:rsidRPr="0078524D" w:rsidRDefault="0044249A" w:rsidP="0078524D">
            <w:pPr>
              <w:suppressAutoHyphens w:val="0"/>
              <w:spacing w:before="40" w:after="120" w:line="276" w:lineRule="auto"/>
              <w:jc w:val="center"/>
              <w:rPr>
                <w:bCs/>
                <w:sz w:val="18"/>
                <w:szCs w:val="18"/>
                <w:lang w:val="fr-FR"/>
              </w:rPr>
            </w:pPr>
            <w:r w:rsidRPr="0078524D">
              <w:rPr>
                <w:bCs/>
                <w:sz w:val="18"/>
                <w:szCs w:val="18"/>
                <w:lang w:val="fr-FR"/>
              </w:rPr>
              <w:t>(11)</w:t>
            </w:r>
          </w:p>
        </w:tc>
      </w:tr>
      <w:tr w:rsidR="0078524D" w:rsidRPr="0078524D" w:rsidTr="0078524D">
        <w:trPr>
          <w:trHeight w:hRule="exact" w:val="775"/>
        </w:trPr>
        <w:tc>
          <w:tcPr>
            <w:tcW w:w="297" w:type="pct"/>
          </w:tcPr>
          <w:p w:rsidR="0044249A" w:rsidRPr="0078524D" w:rsidRDefault="0044249A" w:rsidP="009126EF">
            <w:pPr>
              <w:pStyle w:val="TableParagraph"/>
              <w:spacing w:before="3"/>
              <w:rPr>
                <w:sz w:val="16"/>
                <w:szCs w:val="16"/>
              </w:rPr>
            </w:pPr>
            <w:r w:rsidRPr="0078524D">
              <w:rPr>
                <w:sz w:val="16"/>
                <w:szCs w:val="16"/>
              </w:rPr>
              <w:t>0511</w:t>
            </w:r>
          </w:p>
        </w:tc>
        <w:tc>
          <w:tcPr>
            <w:tcW w:w="1381" w:type="pct"/>
          </w:tcPr>
          <w:p w:rsidR="0044249A" w:rsidRPr="00C21D4D" w:rsidRDefault="00C21D4D" w:rsidP="009126EF">
            <w:pPr>
              <w:pStyle w:val="TableParagraph"/>
              <w:spacing w:before="6"/>
              <w:ind w:left="6" w:right="6"/>
              <w:jc w:val="left"/>
              <w:rPr>
                <w:b/>
                <w:sz w:val="16"/>
                <w:szCs w:val="16"/>
                <w:lang w:val="fr-CH"/>
              </w:rPr>
            </w:pPr>
            <w:r>
              <w:rPr>
                <w:sz w:val="16"/>
                <w:szCs w:val="16"/>
                <w:lang w:val="fr-CH"/>
              </w:rPr>
              <w:t>DÉTONATEURS de mine (de sautage) É</w:t>
            </w:r>
            <w:r w:rsidRPr="0078524D">
              <w:rPr>
                <w:sz w:val="16"/>
                <w:szCs w:val="16"/>
                <w:lang w:val="fr-CH"/>
              </w:rPr>
              <w:t>LECTRONIQUE</w:t>
            </w:r>
            <w:r>
              <w:rPr>
                <w:sz w:val="16"/>
                <w:szCs w:val="16"/>
                <w:lang w:val="fr-CH"/>
              </w:rPr>
              <w:t xml:space="preserve"> programmables</w:t>
            </w:r>
            <w:r w:rsidRPr="00C21D4D">
              <w:rPr>
                <w:sz w:val="18"/>
                <w:szCs w:val="18"/>
                <w:lang w:val="fr-CH"/>
              </w:rPr>
              <w:t>†</w:t>
            </w:r>
          </w:p>
        </w:tc>
        <w:tc>
          <w:tcPr>
            <w:tcW w:w="313" w:type="pct"/>
          </w:tcPr>
          <w:p w:rsidR="0044249A" w:rsidRPr="0078524D" w:rsidRDefault="0044249A" w:rsidP="009126EF">
            <w:pPr>
              <w:pStyle w:val="TableParagraph"/>
              <w:spacing w:before="6"/>
              <w:ind w:left="127" w:right="126"/>
              <w:rPr>
                <w:b/>
                <w:sz w:val="16"/>
                <w:szCs w:val="16"/>
              </w:rPr>
            </w:pPr>
            <w:r w:rsidRPr="0078524D">
              <w:rPr>
                <w:sz w:val="16"/>
                <w:szCs w:val="16"/>
              </w:rPr>
              <w:t>1.1B</w:t>
            </w:r>
          </w:p>
        </w:tc>
        <w:tc>
          <w:tcPr>
            <w:tcW w:w="247" w:type="pct"/>
          </w:tcPr>
          <w:p w:rsidR="0044249A" w:rsidRPr="0078524D" w:rsidRDefault="0044249A" w:rsidP="009126EF">
            <w:pPr>
              <w:pStyle w:val="TableParagraph"/>
              <w:spacing w:before="6"/>
              <w:ind w:left="107" w:right="107"/>
              <w:rPr>
                <w:b/>
                <w:sz w:val="16"/>
                <w:szCs w:val="16"/>
              </w:rPr>
            </w:pPr>
          </w:p>
        </w:tc>
        <w:tc>
          <w:tcPr>
            <w:tcW w:w="344" w:type="pct"/>
          </w:tcPr>
          <w:p w:rsidR="0044249A" w:rsidRPr="0078524D" w:rsidRDefault="0044249A" w:rsidP="009126EF">
            <w:pPr>
              <w:pStyle w:val="TableParagraph"/>
              <w:spacing w:before="6"/>
              <w:ind w:left="67" w:right="67"/>
              <w:rPr>
                <w:b/>
                <w:sz w:val="16"/>
                <w:szCs w:val="16"/>
              </w:rPr>
            </w:pPr>
          </w:p>
        </w:tc>
        <w:tc>
          <w:tcPr>
            <w:tcW w:w="344" w:type="pct"/>
          </w:tcPr>
          <w:p w:rsidR="0044249A" w:rsidRPr="0078524D" w:rsidRDefault="0044249A" w:rsidP="009126EF">
            <w:pPr>
              <w:pStyle w:val="TableParagraph"/>
              <w:spacing w:before="6"/>
              <w:ind w:left="106" w:right="102"/>
              <w:rPr>
                <w:b/>
                <w:sz w:val="16"/>
                <w:szCs w:val="16"/>
              </w:rPr>
            </w:pPr>
          </w:p>
        </w:tc>
        <w:tc>
          <w:tcPr>
            <w:tcW w:w="294" w:type="pct"/>
          </w:tcPr>
          <w:p w:rsidR="0044249A" w:rsidRPr="0078524D" w:rsidRDefault="0044249A" w:rsidP="009126EF">
            <w:pPr>
              <w:pStyle w:val="TableParagraph"/>
              <w:spacing w:before="6"/>
              <w:ind w:left="-15" w:right="16"/>
              <w:rPr>
                <w:b/>
                <w:sz w:val="16"/>
                <w:szCs w:val="16"/>
              </w:rPr>
            </w:pPr>
            <w:r w:rsidRPr="0078524D">
              <w:rPr>
                <w:sz w:val="16"/>
                <w:szCs w:val="16"/>
              </w:rPr>
              <w:t>0</w:t>
            </w:r>
          </w:p>
        </w:tc>
        <w:tc>
          <w:tcPr>
            <w:tcW w:w="294" w:type="pct"/>
          </w:tcPr>
          <w:p w:rsidR="0044249A" w:rsidRPr="0078524D" w:rsidRDefault="0044249A" w:rsidP="009126EF">
            <w:pPr>
              <w:pStyle w:val="TableParagraph"/>
              <w:spacing w:before="6"/>
              <w:rPr>
                <w:b/>
                <w:sz w:val="16"/>
                <w:szCs w:val="16"/>
              </w:rPr>
            </w:pPr>
            <w:r w:rsidRPr="0078524D">
              <w:rPr>
                <w:sz w:val="16"/>
                <w:szCs w:val="16"/>
              </w:rPr>
              <w:t>E0</w:t>
            </w:r>
          </w:p>
        </w:tc>
        <w:tc>
          <w:tcPr>
            <w:tcW w:w="395" w:type="pct"/>
          </w:tcPr>
          <w:p w:rsidR="0044249A" w:rsidRPr="0078524D" w:rsidRDefault="0044249A" w:rsidP="009126EF">
            <w:pPr>
              <w:pStyle w:val="TableParagraph"/>
              <w:spacing w:before="6"/>
              <w:ind w:left="141" w:right="141"/>
              <w:rPr>
                <w:b/>
                <w:sz w:val="16"/>
                <w:szCs w:val="16"/>
              </w:rPr>
            </w:pPr>
            <w:r w:rsidRPr="0078524D">
              <w:rPr>
                <w:sz w:val="16"/>
                <w:szCs w:val="16"/>
              </w:rPr>
              <w:t>P131</w:t>
            </w:r>
          </w:p>
        </w:tc>
        <w:tc>
          <w:tcPr>
            <w:tcW w:w="344" w:type="pct"/>
          </w:tcPr>
          <w:p w:rsidR="0044249A" w:rsidRPr="0078524D" w:rsidRDefault="0044249A" w:rsidP="009126EF">
            <w:pPr>
              <w:pStyle w:val="TableParagraph"/>
              <w:spacing w:before="6"/>
              <w:ind w:right="226"/>
              <w:jc w:val="right"/>
              <w:rPr>
                <w:b/>
                <w:sz w:val="16"/>
                <w:szCs w:val="16"/>
                <w:u w:val="single"/>
              </w:rPr>
            </w:pPr>
          </w:p>
        </w:tc>
        <w:tc>
          <w:tcPr>
            <w:tcW w:w="345" w:type="pct"/>
          </w:tcPr>
          <w:p w:rsidR="0044249A" w:rsidRPr="0078524D" w:rsidRDefault="0044249A" w:rsidP="009126EF">
            <w:pPr>
              <w:pStyle w:val="TableParagraph"/>
              <w:spacing w:before="6"/>
              <w:ind w:left="7" w:right="8"/>
              <w:rPr>
                <w:b/>
                <w:sz w:val="16"/>
                <w:szCs w:val="16"/>
                <w:u w:val="single"/>
              </w:rPr>
            </w:pPr>
          </w:p>
        </w:tc>
        <w:tc>
          <w:tcPr>
            <w:tcW w:w="399" w:type="pct"/>
          </w:tcPr>
          <w:p w:rsidR="0044249A" w:rsidRPr="0078524D" w:rsidRDefault="0044249A" w:rsidP="009126EF">
            <w:pPr>
              <w:pStyle w:val="TableParagraph"/>
              <w:spacing w:before="6"/>
              <w:ind w:left="213"/>
              <w:jc w:val="left"/>
              <w:rPr>
                <w:b/>
                <w:sz w:val="16"/>
                <w:szCs w:val="16"/>
                <w:u w:val="single"/>
              </w:rPr>
            </w:pPr>
          </w:p>
        </w:tc>
      </w:tr>
      <w:tr w:rsidR="0078524D" w:rsidRPr="0078524D" w:rsidTr="0078524D">
        <w:trPr>
          <w:trHeight w:hRule="exact" w:val="811"/>
        </w:trPr>
        <w:tc>
          <w:tcPr>
            <w:tcW w:w="297" w:type="pct"/>
          </w:tcPr>
          <w:p w:rsidR="0044249A" w:rsidRPr="0078524D" w:rsidRDefault="0044249A" w:rsidP="009126EF">
            <w:pPr>
              <w:pStyle w:val="TableParagraph"/>
              <w:spacing w:before="3"/>
              <w:rPr>
                <w:sz w:val="16"/>
                <w:szCs w:val="16"/>
              </w:rPr>
            </w:pPr>
            <w:r w:rsidRPr="0078524D">
              <w:rPr>
                <w:sz w:val="16"/>
                <w:szCs w:val="16"/>
              </w:rPr>
              <w:t>0512</w:t>
            </w:r>
          </w:p>
        </w:tc>
        <w:tc>
          <w:tcPr>
            <w:tcW w:w="1381" w:type="pct"/>
          </w:tcPr>
          <w:p w:rsidR="0044249A" w:rsidRPr="0078524D" w:rsidRDefault="00C21D4D" w:rsidP="009126EF">
            <w:pPr>
              <w:pStyle w:val="TableParagraph"/>
              <w:spacing w:before="6"/>
              <w:ind w:left="6" w:right="6"/>
              <w:jc w:val="left"/>
              <w:rPr>
                <w:sz w:val="16"/>
                <w:szCs w:val="16"/>
                <w:lang w:val="fr-CH"/>
              </w:rPr>
            </w:pPr>
            <w:r>
              <w:rPr>
                <w:sz w:val="16"/>
                <w:szCs w:val="16"/>
                <w:lang w:val="fr-CH"/>
              </w:rPr>
              <w:t>DÉTONATEURS de mine (de sautage) É</w:t>
            </w:r>
            <w:r w:rsidRPr="0078524D">
              <w:rPr>
                <w:sz w:val="16"/>
                <w:szCs w:val="16"/>
                <w:lang w:val="fr-CH"/>
              </w:rPr>
              <w:t>LECTRONIQUE</w:t>
            </w:r>
            <w:r>
              <w:rPr>
                <w:sz w:val="16"/>
                <w:szCs w:val="16"/>
                <w:lang w:val="fr-CH"/>
              </w:rPr>
              <w:t xml:space="preserve"> programmables</w:t>
            </w:r>
            <w:r w:rsidRPr="00C21D4D">
              <w:rPr>
                <w:sz w:val="18"/>
                <w:szCs w:val="18"/>
                <w:lang w:val="fr-CH"/>
              </w:rPr>
              <w:t>†</w:t>
            </w:r>
          </w:p>
        </w:tc>
        <w:tc>
          <w:tcPr>
            <w:tcW w:w="313" w:type="pct"/>
          </w:tcPr>
          <w:p w:rsidR="0044249A" w:rsidRPr="0078524D" w:rsidRDefault="0044249A" w:rsidP="009126EF">
            <w:pPr>
              <w:pStyle w:val="TableParagraph"/>
              <w:spacing w:before="6"/>
              <w:ind w:left="127" w:right="126"/>
              <w:rPr>
                <w:sz w:val="16"/>
                <w:szCs w:val="16"/>
              </w:rPr>
            </w:pPr>
            <w:r w:rsidRPr="0078524D">
              <w:rPr>
                <w:sz w:val="16"/>
                <w:szCs w:val="16"/>
              </w:rPr>
              <w:t>1.4B</w:t>
            </w:r>
          </w:p>
        </w:tc>
        <w:tc>
          <w:tcPr>
            <w:tcW w:w="247" w:type="pct"/>
          </w:tcPr>
          <w:p w:rsidR="0044249A" w:rsidRPr="0078524D" w:rsidRDefault="0044249A" w:rsidP="009126EF">
            <w:pPr>
              <w:pStyle w:val="TableParagraph"/>
              <w:spacing w:before="6"/>
              <w:ind w:left="107" w:right="107"/>
              <w:rPr>
                <w:b/>
                <w:sz w:val="16"/>
                <w:szCs w:val="16"/>
              </w:rPr>
            </w:pPr>
          </w:p>
        </w:tc>
        <w:tc>
          <w:tcPr>
            <w:tcW w:w="344" w:type="pct"/>
          </w:tcPr>
          <w:p w:rsidR="0044249A" w:rsidRPr="0078524D" w:rsidRDefault="0044249A" w:rsidP="009126EF">
            <w:pPr>
              <w:pStyle w:val="TableParagraph"/>
              <w:spacing w:before="6"/>
              <w:ind w:left="67" w:right="67"/>
              <w:rPr>
                <w:b/>
                <w:sz w:val="16"/>
                <w:szCs w:val="16"/>
              </w:rPr>
            </w:pPr>
          </w:p>
        </w:tc>
        <w:tc>
          <w:tcPr>
            <w:tcW w:w="344" w:type="pct"/>
          </w:tcPr>
          <w:p w:rsidR="0044249A" w:rsidRPr="0078524D" w:rsidRDefault="0044249A" w:rsidP="009126EF">
            <w:pPr>
              <w:pStyle w:val="TableParagraph"/>
              <w:spacing w:before="6"/>
              <w:ind w:left="106" w:right="102"/>
              <w:rPr>
                <w:b/>
                <w:sz w:val="16"/>
                <w:szCs w:val="16"/>
              </w:rPr>
            </w:pPr>
          </w:p>
        </w:tc>
        <w:tc>
          <w:tcPr>
            <w:tcW w:w="294" w:type="pct"/>
          </w:tcPr>
          <w:p w:rsidR="0044249A" w:rsidRPr="0078524D" w:rsidRDefault="0044249A" w:rsidP="009126EF">
            <w:pPr>
              <w:pStyle w:val="TableParagraph"/>
              <w:spacing w:before="6"/>
              <w:ind w:left="-15" w:right="16"/>
              <w:rPr>
                <w:sz w:val="16"/>
                <w:szCs w:val="16"/>
              </w:rPr>
            </w:pPr>
            <w:r w:rsidRPr="0078524D">
              <w:rPr>
                <w:sz w:val="16"/>
                <w:szCs w:val="16"/>
              </w:rPr>
              <w:t>0</w:t>
            </w:r>
          </w:p>
        </w:tc>
        <w:tc>
          <w:tcPr>
            <w:tcW w:w="294" w:type="pct"/>
          </w:tcPr>
          <w:p w:rsidR="0044249A" w:rsidRPr="0078524D" w:rsidRDefault="0044249A" w:rsidP="009126EF">
            <w:pPr>
              <w:pStyle w:val="TableParagraph"/>
              <w:spacing w:before="6"/>
              <w:rPr>
                <w:sz w:val="16"/>
                <w:szCs w:val="16"/>
              </w:rPr>
            </w:pPr>
            <w:r w:rsidRPr="0078524D">
              <w:rPr>
                <w:sz w:val="16"/>
                <w:szCs w:val="16"/>
              </w:rPr>
              <w:t>E0</w:t>
            </w:r>
          </w:p>
        </w:tc>
        <w:tc>
          <w:tcPr>
            <w:tcW w:w="395" w:type="pct"/>
          </w:tcPr>
          <w:p w:rsidR="0044249A" w:rsidRPr="0078524D" w:rsidRDefault="0044249A" w:rsidP="009126EF">
            <w:pPr>
              <w:pStyle w:val="TableParagraph"/>
              <w:spacing w:before="6"/>
              <w:ind w:left="141" w:right="141"/>
              <w:rPr>
                <w:sz w:val="16"/>
                <w:szCs w:val="16"/>
              </w:rPr>
            </w:pPr>
            <w:r w:rsidRPr="0078524D">
              <w:rPr>
                <w:sz w:val="16"/>
                <w:szCs w:val="16"/>
              </w:rPr>
              <w:t>P131</w:t>
            </w:r>
          </w:p>
        </w:tc>
        <w:tc>
          <w:tcPr>
            <w:tcW w:w="344" w:type="pct"/>
          </w:tcPr>
          <w:p w:rsidR="0044249A" w:rsidRPr="0078524D" w:rsidRDefault="0044249A" w:rsidP="009126EF">
            <w:pPr>
              <w:pStyle w:val="TableParagraph"/>
              <w:spacing w:before="6"/>
              <w:ind w:right="226"/>
              <w:jc w:val="right"/>
              <w:rPr>
                <w:b/>
                <w:sz w:val="16"/>
                <w:szCs w:val="16"/>
                <w:u w:val="single"/>
              </w:rPr>
            </w:pPr>
          </w:p>
        </w:tc>
        <w:tc>
          <w:tcPr>
            <w:tcW w:w="345" w:type="pct"/>
          </w:tcPr>
          <w:p w:rsidR="0044249A" w:rsidRPr="0078524D" w:rsidRDefault="0044249A" w:rsidP="009126EF">
            <w:pPr>
              <w:pStyle w:val="TableParagraph"/>
              <w:spacing w:before="6"/>
              <w:ind w:left="7" w:right="8"/>
              <w:rPr>
                <w:b/>
                <w:sz w:val="16"/>
                <w:szCs w:val="16"/>
                <w:u w:val="single"/>
              </w:rPr>
            </w:pPr>
          </w:p>
        </w:tc>
        <w:tc>
          <w:tcPr>
            <w:tcW w:w="399" w:type="pct"/>
          </w:tcPr>
          <w:p w:rsidR="0044249A" w:rsidRPr="0078524D" w:rsidRDefault="0044249A" w:rsidP="009126EF">
            <w:pPr>
              <w:pStyle w:val="TableParagraph"/>
              <w:spacing w:before="6"/>
              <w:ind w:left="213"/>
              <w:jc w:val="left"/>
              <w:rPr>
                <w:b/>
                <w:sz w:val="16"/>
                <w:szCs w:val="16"/>
                <w:u w:val="single"/>
              </w:rPr>
            </w:pPr>
          </w:p>
        </w:tc>
      </w:tr>
      <w:tr w:rsidR="0078524D" w:rsidRPr="0078524D" w:rsidTr="0078524D">
        <w:trPr>
          <w:trHeight w:hRule="exact" w:val="811"/>
        </w:trPr>
        <w:tc>
          <w:tcPr>
            <w:tcW w:w="297" w:type="pct"/>
          </w:tcPr>
          <w:p w:rsidR="0044249A" w:rsidRPr="0078524D" w:rsidRDefault="0044249A" w:rsidP="009126EF">
            <w:pPr>
              <w:pStyle w:val="TableParagraph"/>
              <w:spacing w:before="3"/>
              <w:rPr>
                <w:sz w:val="16"/>
                <w:szCs w:val="16"/>
              </w:rPr>
            </w:pPr>
            <w:r w:rsidRPr="0078524D">
              <w:rPr>
                <w:sz w:val="16"/>
                <w:szCs w:val="16"/>
              </w:rPr>
              <w:t>0513</w:t>
            </w:r>
          </w:p>
        </w:tc>
        <w:tc>
          <w:tcPr>
            <w:tcW w:w="1381" w:type="pct"/>
          </w:tcPr>
          <w:p w:rsidR="0044249A" w:rsidRPr="0078524D" w:rsidRDefault="00C21D4D" w:rsidP="009126EF">
            <w:pPr>
              <w:pStyle w:val="TableParagraph"/>
              <w:spacing w:before="6"/>
              <w:ind w:left="6" w:right="6"/>
              <w:jc w:val="left"/>
              <w:rPr>
                <w:sz w:val="16"/>
                <w:szCs w:val="16"/>
                <w:lang w:val="fr-CH"/>
              </w:rPr>
            </w:pPr>
            <w:r>
              <w:rPr>
                <w:sz w:val="16"/>
                <w:szCs w:val="16"/>
                <w:lang w:val="fr-CH"/>
              </w:rPr>
              <w:t>DÉTONATEURS de mine (de sautage) É</w:t>
            </w:r>
            <w:r w:rsidRPr="0078524D">
              <w:rPr>
                <w:sz w:val="16"/>
                <w:szCs w:val="16"/>
                <w:lang w:val="fr-CH"/>
              </w:rPr>
              <w:t>LECTRONIQUE</w:t>
            </w:r>
            <w:r>
              <w:rPr>
                <w:sz w:val="16"/>
                <w:szCs w:val="16"/>
                <w:lang w:val="fr-CH"/>
              </w:rPr>
              <w:t xml:space="preserve"> programmables</w:t>
            </w:r>
            <w:r w:rsidRPr="00C21D4D">
              <w:rPr>
                <w:sz w:val="18"/>
                <w:szCs w:val="18"/>
                <w:lang w:val="fr-CH"/>
              </w:rPr>
              <w:t>†</w:t>
            </w:r>
          </w:p>
        </w:tc>
        <w:tc>
          <w:tcPr>
            <w:tcW w:w="313" w:type="pct"/>
          </w:tcPr>
          <w:p w:rsidR="0044249A" w:rsidRPr="0078524D" w:rsidRDefault="0044249A" w:rsidP="009126EF">
            <w:pPr>
              <w:pStyle w:val="TableParagraph"/>
              <w:spacing w:before="6"/>
              <w:ind w:left="127" w:right="126"/>
              <w:rPr>
                <w:sz w:val="16"/>
                <w:szCs w:val="16"/>
              </w:rPr>
            </w:pPr>
            <w:r w:rsidRPr="0078524D">
              <w:rPr>
                <w:sz w:val="16"/>
                <w:szCs w:val="16"/>
              </w:rPr>
              <w:t>1.4S</w:t>
            </w:r>
          </w:p>
        </w:tc>
        <w:tc>
          <w:tcPr>
            <w:tcW w:w="247" w:type="pct"/>
          </w:tcPr>
          <w:p w:rsidR="0044249A" w:rsidRPr="0078524D" w:rsidRDefault="0044249A" w:rsidP="009126EF">
            <w:pPr>
              <w:pStyle w:val="TableParagraph"/>
              <w:spacing w:before="6"/>
              <w:ind w:left="107" w:right="107"/>
              <w:rPr>
                <w:b/>
                <w:sz w:val="16"/>
                <w:szCs w:val="16"/>
              </w:rPr>
            </w:pPr>
          </w:p>
        </w:tc>
        <w:tc>
          <w:tcPr>
            <w:tcW w:w="344" w:type="pct"/>
          </w:tcPr>
          <w:p w:rsidR="0044249A" w:rsidRPr="0078524D" w:rsidRDefault="0044249A" w:rsidP="009126EF">
            <w:pPr>
              <w:pStyle w:val="TableParagraph"/>
              <w:spacing w:before="6"/>
              <w:ind w:left="67" w:right="67"/>
              <w:rPr>
                <w:b/>
                <w:sz w:val="16"/>
                <w:szCs w:val="16"/>
              </w:rPr>
            </w:pPr>
          </w:p>
        </w:tc>
        <w:tc>
          <w:tcPr>
            <w:tcW w:w="344" w:type="pct"/>
          </w:tcPr>
          <w:p w:rsidR="0044249A" w:rsidRPr="0078524D" w:rsidRDefault="0044249A" w:rsidP="009126EF">
            <w:pPr>
              <w:pStyle w:val="TableParagraph"/>
              <w:spacing w:before="6"/>
              <w:ind w:left="106" w:right="102"/>
              <w:rPr>
                <w:b/>
                <w:sz w:val="16"/>
                <w:szCs w:val="16"/>
              </w:rPr>
            </w:pPr>
            <w:r w:rsidRPr="0078524D">
              <w:rPr>
                <w:sz w:val="16"/>
                <w:szCs w:val="16"/>
              </w:rPr>
              <w:t>347</w:t>
            </w:r>
          </w:p>
        </w:tc>
        <w:tc>
          <w:tcPr>
            <w:tcW w:w="294" w:type="pct"/>
          </w:tcPr>
          <w:p w:rsidR="0044249A" w:rsidRPr="0078524D" w:rsidRDefault="0044249A" w:rsidP="009126EF">
            <w:pPr>
              <w:pStyle w:val="TableParagraph"/>
              <w:spacing w:before="6"/>
              <w:ind w:left="-15" w:right="16"/>
              <w:rPr>
                <w:sz w:val="16"/>
                <w:szCs w:val="16"/>
              </w:rPr>
            </w:pPr>
            <w:r w:rsidRPr="0078524D">
              <w:rPr>
                <w:sz w:val="16"/>
                <w:szCs w:val="16"/>
              </w:rPr>
              <w:t>0</w:t>
            </w:r>
          </w:p>
        </w:tc>
        <w:tc>
          <w:tcPr>
            <w:tcW w:w="294" w:type="pct"/>
          </w:tcPr>
          <w:p w:rsidR="0044249A" w:rsidRPr="0078524D" w:rsidRDefault="0044249A" w:rsidP="009126EF">
            <w:pPr>
              <w:pStyle w:val="TableParagraph"/>
              <w:spacing w:before="6"/>
              <w:rPr>
                <w:sz w:val="16"/>
                <w:szCs w:val="16"/>
              </w:rPr>
            </w:pPr>
            <w:r w:rsidRPr="0078524D">
              <w:rPr>
                <w:sz w:val="16"/>
                <w:szCs w:val="16"/>
              </w:rPr>
              <w:t>E0</w:t>
            </w:r>
          </w:p>
        </w:tc>
        <w:tc>
          <w:tcPr>
            <w:tcW w:w="395" w:type="pct"/>
          </w:tcPr>
          <w:p w:rsidR="0044249A" w:rsidRPr="0078524D" w:rsidRDefault="0044249A" w:rsidP="009126EF">
            <w:pPr>
              <w:pStyle w:val="TableParagraph"/>
              <w:spacing w:before="6"/>
              <w:ind w:left="141" w:right="141"/>
              <w:rPr>
                <w:sz w:val="16"/>
                <w:szCs w:val="16"/>
              </w:rPr>
            </w:pPr>
            <w:r w:rsidRPr="0078524D">
              <w:rPr>
                <w:sz w:val="16"/>
                <w:szCs w:val="16"/>
              </w:rPr>
              <w:t>P131</w:t>
            </w:r>
          </w:p>
        </w:tc>
        <w:tc>
          <w:tcPr>
            <w:tcW w:w="344" w:type="pct"/>
          </w:tcPr>
          <w:p w:rsidR="0044249A" w:rsidRPr="0078524D" w:rsidRDefault="0044249A" w:rsidP="009126EF">
            <w:pPr>
              <w:pStyle w:val="TableParagraph"/>
              <w:spacing w:before="6"/>
              <w:ind w:right="226"/>
              <w:jc w:val="right"/>
              <w:rPr>
                <w:b/>
                <w:sz w:val="16"/>
                <w:szCs w:val="16"/>
                <w:u w:val="single"/>
              </w:rPr>
            </w:pPr>
          </w:p>
        </w:tc>
        <w:tc>
          <w:tcPr>
            <w:tcW w:w="345" w:type="pct"/>
          </w:tcPr>
          <w:p w:rsidR="0044249A" w:rsidRPr="0078524D" w:rsidRDefault="0044249A" w:rsidP="009126EF">
            <w:pPr>
              <w:pStyle w:val="TableParagraph"/>
              <w:spacing w:before="6"/>
              <w:ind w:left="7" w:right="8"/>
              <w:rPr>
                <w:b/>
                <w:sz w:val="16"/>
                <w:szCs w:val="16"/>
                <w:u w:val="single"/>
              </w:rPr>
            </w:pPr>
          </w:p>
        </w:tc>
        <w:tc>
          <w:tcPr>
            <w:tcW w:w="399" w:type="pct"/>
          </w:tcPr>
          <w:p w:rsidR="0044249A" w:rsidRPr="0078524D" w:rsidRDefault="0044249A" w:rsidP="009126EF">
            <w:pPr>
              <w:pStyle w:val="TableParagraph"/>
              <w:spacing w:before="6"/>
              <w:ind w:left="213"/>
              <w:jc w:val="left"/>
              <w:rPr>
                <w:b/>
                <w:sz w:val="16"/>
                <w:szCs w:val="16"/>
                <w:u w:val="single"/>
              </w:rPr>
            </w:pPr>
          </w:p>
        </w:tc>
      </w:tr>
    </w:tbl>
    <w:p w:rsidR="00D75B07" w:rsidRPr="00D75B07" w:rsidRDefault="00D75B07" w:rsidP="0044249A">
      <w:pPr>
        <w:pStyle w:val="SingleTxtG"/>
        <w:spacing w:before="240"/>
        <w:rPr>
          <w:i/>
          <w:lang w:val="fr-FR"/>
        </w:rPr>
      </w:pPr>
      <w:r w:rsidRPr="0078524D">
        <w:rPr>
          <w:i/>
          <w:lang w:val="fr-FR"/>
        </w:rPr>
        <w:t xml:space="preserve">(Document de référence : </w:t>
      </w:r>
      <w:r w:rsidR="00E15143" w:rsidRPr="001539C6">
        <w:rPr>
          <w:i/>
          <w:iCs/>
        </w:rPr>
        <w:t>ST/SG/AC.10/C.3/201</w:t>
      </w:r>
      <w:r w:rsidR="00E15143">
        <w:rPr>
          <w:i/>
          <w:iCs/>
        </w:rPr>
        <w:t>8</w:t>
      </w:r>
      <w:r w:rsidR="00E15143" w:rsidRPr="001539C6">
        <w:rPr>
          <w:i/>
          <w:iCs/>
        </w:rPr>
        <w:t>/</w:t>
      </w:r>
      <w:r w:rsidR="00E15143">
        <w:rPr>
          <w:i/>
          <w:iCs/>
        </w:rPr>
        <w:t xml:space="preserve">58 et </w:t>
      </w:r>
      <w:r w:rsidRPr="0078524D">
        <w:rPr>
          <w:i/>
          <w:lang w:val="fr-FR"/>
        </w:rPr>
        <w:t xml:space="preserve">document informel INF.67, annexe 2, </w:t>
      </w:r>
      <w:r w:rsidR="0078524D" w:rsidRPr="0078524D">
        <w:rPr>
          <w:i/>
          <w:lang w:val="fr-FR"/>
        </w:rPr>
        <w:t>amendement</w:t>
      </w:r>
      <w:r w:rsidRPr="0078524D">
        <w:rPr>
          <w:i/>
          <w:lang w:val="fr-FR"/>
        </w:rPr>
        <w:t xml:space="preserve"> 2)</w:t>
      </w:r>
    </w:p>
    <w:p w:rsidR="00D75B07" w:rsidRPr="006B0E45" w:rsidRDefault="00D75B07" w:rsidP="00D75B07">
      <w:pPr>
        <w:pStyle w:val="SingleTxtG"/>
        <w:rPr>
          <w:iCs/>
          <w:lang w:val="fr-FR"/>
        </w:rPr>
      </w:pPr>
      <w:r w:rsidRPr="006B0E45">
        <w:rPr>
          <w:iCs/>
          <w:lang w:val="fr-FR"/>
        </w:rPr>
        <w:t>Insérer la nouvelle rubrique suivante :</w:t>
      </w:r>
    </w:p>
    <w:tbl>
      <w:tblPr>
        <w:tblW w:w="9105"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590"/>
        <w:gridCol w:w="2420"/>
        <w:gridCol w:w="567"/>
        <w:gridCol w:w="425"/>
        <w:gridCol w:w="709"/>
        <w:gridCol w:w="567"/>
        <w:gridCol w:w="567"/>
        <w:gridCol w:w="567"/>
        <w:gridCol w:w="709"/>
        <w:gridCol w:w="567"/>
        <w:gridCol w:w="709"/>
        <w:gridCol w:w="708"/>
      </w:tblGrid>
      <w:tr w:rsidR="00D75B07" w:rsidRPr="006B0E45" w:rsidTr="000E03CA">
        <w:trPr>
          <w:cantSplit/>
          <w:tblHeader/>
        </w:trPr>
        <w:tc>
          <w:tcPr>
            <w:tcW w:w="590" w:type="dxa"/>
            <w:tcBorders>
              <w:top w:val="single" w:sz="4" w:space="0" w:color="auto"/>
              <w:left w:val="single" w:sz="4" w:space="0" w:color="auto"/>
              <w:bottom w:val="single" w:sz="4" w:space="0" w:color="auto"/>
              <w:right w:val="single" w:sz="4" w:space="0" w:color="auto"/>
            </w:tcBorders>
            <w:shd w:val="clear" w:color="auto" w:fill="auto"/>
          </w:tcPr>
          <w:p w:rsidR="00D75B07" w:rsidRPr="006B0E45" w:rsidRDefault="00D75B07" w:rsidP="000E03CA">
            <w:pPr>
              <w:suppressAutoHyphens w:val="0"/>
              <w:spacing w:before="40" w:after="120" w:line="276" w:lineRule="auto"/>
              <w:jc w:val="center"/>
              <w:rPr>
                <w:bCs/>
                <w:sz w:val="18"/>
                <w:szCs w:val="18"/>
                <w:lang w:val="fr-FR"/>
              </w:rPr>
            </w:pPr>
            <w:r w:rsidRPr="006B0E45">
              <w:rPr>
                <w:bCs/>
                <w:sz w:val="18"/>
                <w:szCs w:val="18"/>
                <w:lang w:val="fr-FR"/>
              </w:rPr>
              <w:t>(1)</w:t>
            </w:r>
          </w:p>
        </w:tc>
        <w:tc>
          <w:tcPr>
            <w:tcW w:w="2420" w:type="dxa"/>
            <w:tcBorders>
              <w:top w:val="single" w:sz="4" w:space="0" w:color="auto"/>
              <w:left w:val="single" w:sz="4" w:space="0" w:color="auto"/>
              <w:bottom w:val="single" w:sz="4" w:space="0" w:color="auto"/>
              <w:right w:val="single" w:sz="4" w:space="0" w:color="auto"/>
            </w:tcBorders>
            <w:shd w:val="clear" w:color="auto" w:fill="auto"/>
          </w:tcPr>
          <w:p w:rsidR="00D75B07" w:rsidRPr="006B0E45" w:rsidRDefault="00D75B07" w:rsidP="000E03CA">
            <w:pPr>
              <w:suppressAutoHyphens w:val="0"/>
              <w:spacing w:before="40" w:after="120" w:line="276" w:lineRule="auto"/>
              <w:jc w:val="center"/>
              <w:rPr>
                <w:bCs/>
                <w:sz w:val="18"/>
                <w:szCs w:val="18"/>
                <w:lang w:val="fr-FR"/>
              </w:rPr>
            </w:pPr>
            <w:r w:rsidRPr="006B0E45">
              <w:rPr>
                <w:bCs/>
                <w:sz w:val="18"/>
                <w:szCs w:val="18"/>
                <w:lang w:val="fr-FR"/>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75B07" w:rsidRPr="006B0E45" w:rsidRDefault="00D75B07" w:rsidP="000E03CA">
            <w:pPr>
              <w:suppressAutoHyphens w:val="0"/>
              <w:spacing w:before="40" w:after="120" w:line="276" w:lineRule="auto"/>
              <w:jc w:val="center"/>
              <w:rPr>
                <w:bCs/>
                <w:sz w:val="18"/>
                <w:szCs w:val="18"/>
                <w:lang w:val="fr-FR"/>
              </w:rPr>
            </w:pPr>
            <w:r w:rsidRPr="006B0E45">
              <w:rPr>
                <w:bCs/>
                <w:sz w:val="18"/>
                <w:szCs w:val="18"/>
                <w:lang w:val="fr-FR"/>
              </w:rPr>
              <w:t>(3)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75B07" w:rsidRPr="006B0E45" w:rsidRDefault="00D75B07" w:rsidP="000E03CA">
            <w:pPr>
              <w:suppressAutoHyphens w:val="0"/>
              <w:spacing w:before="40" w:after="120" w:line="276" w:lineRule="auto"/>
              <w:jc w:val="center"/>
              <w:rPr>
                <w:bCs/>
                <w:sz w:val="18"/>
                <w:szCs w:val="18"/>
                <w:lang w:val="fr-FR"/>
              </w:rPr>
            </w:pPr>
            <w:r w:rsidRPr="006B0E45">
              <w:rPr>
                <w:bCs/>
                <w:sz w:val="18"/>
                <w:szCs w:val="18"/>
                <w:lang w:val="fr-FR"/>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5B07" w:rsidRPr="006B0E45" w:rsidRDefault="00D75B07" w:rsidP="000E03CA">
            <w:pPr>
              <w:suppressAutoHyphens w:val="0"/>
              <w:spacing w:before="40" w:after="120" w:line="276" w:lineRule="auto"/>
              <w:jc w:val="center"/>
              <w:rPr>
                <w:bCs/>
                <w:sz w:val="18"/>
                <w:szCs w:val="18"/>
                <w:lang w:val="fr-FR"/>
              </w:rPr>
            </w:pPr>
            <w:r w:rsidRPr="006B0E45">
              <w:rPr>
                <w:bCs/>
                <w:sz w:val="18"/>
                <w:szCs w:val="18"/>
                <w:lang w:val="fr-FR"/>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75B07" w:rsidRPr="006B0E45" w:rsidRDefault="00D75B07" w:rsidP="000E03CA">
            <w:pPr>
              <w:suppressAutoHyphens w:val="0"/>
              <w:spacing w:before="40" w:after="120" w:line="276" w:lineRule="auto"/>
              <w:jc w:val="center"/>
              <w:rPr>
                <w:bCs/>
                <w:sz w:val="18"/>
                <w:szCs w:val="18"/>
                <w:lang w:val="fr-FR"/>
              </w:rPr>
            </w:pPr>
            <w:r w:rsidRPr="006B0E45">
              <w:rPr>
                <w:bCs/>
                <w:sz w:val="18"/>
                <w:szCs w:val="18"/>
                <w:lang w:val="fr-FR"/>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75B07" w:rsidRPr="006B0E45" w:rsidRDefault="00D75B07" w:rsidP="000E03CA">
            <w:pPr>
              <w:suppressAutoHyphens w:val="0"/>
              <w:spacing w:before="40" w:after="120" w:line="276" w:lineRule="auto"/>
              <w:jc w:val="center"/>
              <w:rPr>
                <w:bCs/>
                <w:sz w:val="18"/>
                <w:szCs w:val="18"/>
                <w:lang w:val="fr-FR"/>
              </w:rPr>
            </w:pPr>
            <w:r w:rsidRPr="006B0E45">
              <w:rPr>
                <w:bCs/>
                <w:sz w:val="18"/>
                <w:szCs w:val="18"/>
                <w:lang w:val="fr-FR"/>
              </w:rPr>
              <w:t>(7a)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75B07" w:rsidRPr="006B0E45" w:rsidRDefault="00D75B07" w:rsidP="000E03CA">
            <w:pPr>
              <w:suppressAutoHyphens w:val="0"/>
              <w:spacing w:before="40" w:after="120" w:line="276" w:lineRule="auto"/>
              <w:jc w:val="center"/>
              <w:rPr>
                <w:bCs/>
                <w:sz w:val="18"/>
                <w:szCs w:val="18"/>
                <w:lang w:val="fr-FR"/>
              </w:rPr>
            </w:pPr>
            <w:r w:rsidRPr="006B0E45">
              <w:rPr>
                <w:bCs/>
                <w:sz w:val="18"/>
                <w:szCs w:val="18"/>
                <w:lang w:val="fr-FR"/>
              </w:rPr>
              <w:t>(7b)</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5B07" w:rsidRPr="006B0E45" w:rsidRDefault="00D75B07" w:rsidP="000E03CA">
            <w:pPr>
              <w:suppressAutoHyphens w:val="0"/>
              <w:spacing w:before="40" w:after="120" w:line="276" w:lineRule="auto"/>
              <w:jc w:val="center"/>
              <w:rPr>
                <w:bCs/>
                <w:sz w:val="18"/>
                <w:szCs w:val="18"/>
                <w:lang w:val="fr-FR"/>
              </w:rPr>
            </w:pPr>
            <w:r w:rsidRPr="006B0E45">
              <w:rPr>
                <w:bCs/>
                <w:sz w:val="18"/>
                <w:szCs w:val="18"/>
                <w:lang w:val="fr-FR"/>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75B07" w:rsidRPr="006B0E45" w:rsidRDefault="00D75B07" w:rsidP="000E03CA">
            <w:pPr>
              <w:suppressAutoHyphens w:val="0"/>
              <w:spacing w:before="40" w:after="120" w:line="276" w:lineRule="auto"/>
              <w:jc w:val="center"/>
              <w:rPr>
                <w:bCs/>
                <w:sz w:val="18"/>
                <w:szCs w:val="18"/>
                <w:lang w:val="fr-FR"/>
              </w:rPr>
            </w:pPr>
            <w:r w:rsidRPr="006B0E45">
              <w:rPr>
                <w:bCs/>
                <w:sz w:val="18"/>
                <w:szCs w:val="18"/>
                <w:lang w:val="fr-FR"/>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5B07" w:rsidRPr="006B0E45" w:rsidRDefault="00D75B07" w:rsidP="000E03CA">
            <w:pPr>
              <w:suppressAutoHyphens w:val="0"/>
              <w:spacing w:before="40" w:after="120" w:line="276" w:lineRule="auto"/>
              <w:jc w:val="center"/>
              <w:rPr>
                <w:bCs/>
                <w:sz w:val="18"/>
                <w:szCs w:val="18"/>
                <w:lang w:val="fr-FR"/>
              </w:rPr>
            </w:pPr>
            <w:r w:rsidRPr="006B0E45">
              <w:rPr>
                <w:bCs/>
                <w:sz w:val="18"/>
                <w:szCs w:val="18"/>
                <w:lang w:val="fr-FR"/>
              </w:rPr>
              <w:t>(10)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75B07" w:rsidRPr="006B0E45" w:rsidRDefault="00D75B07" w:rsidP="000E03CA">
            <w:pPr>
              <w:suppressAutoHyphens w:val="0"/>
              <w:spacing w:before="40" w:after="120" w:line="276" w:lineRule="auto"/>
              <w:jc w:val="center"/>
              <w:rPr>
                <w:bCs/>
                <w:iCs/>
                <w:sz w:val="18"/>
                <w:szCs w:val="18"/>
                <w:lang w:val="fr-FR"/>
              </w:rPr>
            </w:pPr>
            <w:r w:rsidRPr="006B0E45">
              <w:rPr>
                <w:bCs/>
                <w:iCs/>
                <w:sz w:val="18"/>
                <w:szCs w:val="18"/>
                <w:lang w:val="fr-FR"/>
              </w:rPr>
              <w:t>(11)</w:t>
            </w:r>
          </w:p>
        </w:tc>
      </w:tr>
      <w:tr w:rsidR="00D75B07" w:rsidRPr="006B0E45" w:rsidTr="000E03CA">
        <w:trPr>
          <w:cantSplit/>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D75B07" w:rsidRPr="006B0E45" w:rsidRDefault="0078524D" w:rsidP="000E03CA">
            <w:pPr>
              <w:suppressAutoHyphens w:val="0"/>
              <w:spacing w:line="200" w:lineRule="exact"/>
              <w:rPr>
                <w:sz w:val="18"/>
                <w:szCs w:val="18"/>
                <w:lang w:val="fr-FR"/>
              </w:rPr>
            </w:pPr>
            <w:r>
              <w:rPr>
                <w:sz w:val="18"/>
                <w:szCs w:val="18"/>
                <w:lang w:val="fr-FR"/>
              </w:rPr>
              <w:t>[</w:t>
            </w:r>
            <w:r w:rsidR="00D75B07" w:rsidRPr="006B0E45">
              <w:rPr>
                <w:sz w:val="18"/>
                <w:szCs w:val="18"/>
                <w:lang w:val="fr-FR"/>
              </w:rPr>
              <w:t>3549</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D75B07" w:rsidRPr="006B0E45" w:rsidRDefault="00D75B07" w:rsidP="000E03CA">
            <w:pPr>
              <w:tabs>
                <w:tab w:val="left" w:pos="288"/>
                <w:tab w:val="left" w:pos="576"/>
                <w:tab w:val="left" w:pos="864"/>
                <w:tab w:val="left" w:pos="1152"/>
              </w:tabs>
              <w:spacing w:before="40" w:after="40" w:line="210" w:lineRule="exact"/>
              <w:ind w:right="40"/>
              <w:rPr>
                <w:sz w:val="18"/>
                <w:szCs w:val="18"/>
                <w:lang w:val="fr-FR"/>
              </w:rPr>
            </w:pPr>
            <w:r w:rsidRPr="006B0E45">
              <w:rPr>
                <w:sz w:val="18"/>
                <w:szCs w:val="18"/>
                <w:lang w:val="fr-FR"/>
              </w:rPr>
              <w:t xml:space="preserve">DÉCHETS MÉDICAUX </w:t>
            </w:r>
            <w:r w:rsidRPr="006B0E45">
              <w:rPr>
                <w:sz w:val="18"/>
                <w:szCs w:val="18"/>
                <w:lang w:val="fr-FR"/>
              </w:rPr>
              <w:br/>
            </w:r>
            <w:r>
              <w:rPr>
                <w:sz w:val="18"/>
                <w:szCs w:val="18"/>
                <w:lang w:val="fr-FR"/>
              </w:rPr>
              <w:t xml:space="preserve">INFECTIEUX POUR L’HOMME, </w:t>
            </w:r>
            <w:r w:rsidRPr="006B0E45">
              <w:rPr>
                <w:sz w:val="18"/>
                <w:szCs w:val="18"/>
                <w:lang w:val="fr-FR"/>
              </w:rPr>
              <w:t>CATÉGORIE A, solides ou DÉCHETS MÉDICAUX INFECTIEU</w:t>
            </w:r>
            <w:r>
              <w:rPr>
                <w:sz w:val="18"/>
                <w:szCs w:val="18"/>
                <w:lang w:val="fr-FR"/>
              </w:rPr>
              <w:t>X</w:t>
            </w:r>
            <w:r w:rsidRPr="006B0E45">
              <w:rPr>
                <w:sz w:val="18"/>
                <w:szCs w:val="18"/>
                <w:lang w:val="fr-FR"/>
              </w:rPr>
              <w:t xml:space="preserve"> POUR LES ANIMAUX uniquement, CATÉGORIE A, solides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75B07" w:rsidRPr="006B0E45" w:rsidRDefault="00D75B07" w:rsidP="000E03CA">
            <w:pPr>
              <w:suppressAutoHyphens w:val="0"/>
              <w:spacing w:before="40" w:after="40" w:line="220" w:lineRule="exact"/>
              <w:ind w:right="113"/>
              <w:jc w:val="center"/>
              <w:rPr>
                <w:sz w:val="18"/>
                <w:szCs w:val="16"/>
                <w:lang w:val="fr-FR"/>
              </w:rPr>
            </w:pPr>
            <w:r w:rsidRPr="006B0E45">
              <w:rPr>
                <w:sz w:val="18"/>
                <w:szCs w:val="16"/>
                <w:lang w:val="fr-FR"/>
              </w:rPr>
              <w:t>6.2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75B07" w:rsidRPr="006B0E45" w:rsidRDefault="00D75B07" w:rsidP="000E03CA">
            <w:pPr>
              <w:suppressAutoHyphens w:val="0"/>
              <w:spacing w:before="40" w:after="40" w:line="220" w:lineRule="exact"/>
              <w:ind w:right="113"/>
              <w:jc w:val="center"/>
              <w:rPr>
                <w:sz w:val="18"/>
                <w:szCs w:val="16"/>
                <w:lang w:val="fr-F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5B07" w:rsidRPr="006B0E45" w:rsidRDefault="00D75B07" w:rsidP="000E03CA">
            <w:pPr>
              <w:suppressAutoHyphens w:val="0"/>
              <w:spacing w:before="40" w:after="40" w:line="220" w:lineRule="exact"/>
              <w:ind w:right="113"/>
              <w:jc w:val="center"/>
              <w:rPr>
                <w:sz w:val="18"/>
                <w:szCs w:val="16"/>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75B07" w:rsidRPr="006B0E45" w:rsidRDefault="00D75B07" w:rsidP="000E03CA">
            <w:pPr>
              <w:suppressAutoHyphens w:val="0"/>
              <w:spacing w:before="40" w:after="40" w:line="220" w:lineRule="exact"/>
              <w:ind w:right="113"/>
              <w:jc w:val="center"/>
              <w:rPr>
                <w:sz w:val="18"/>
                <w:szCs w:val="16"/>
                <w:lang w:val="fr-FR"/>
              </w:rPr>
            </w:pPr>
            <w:r>
              <w:rPr>
                <w:sz w:val="18"/>
                <w:szCs w:val="16"/>
                <w:lang w:val="fr-FR"/>
              </w:rPr>
              <w:t>395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75B07" w:rsidRPr="006B0E45" w:rsidRDefault="00D75B07" w:rsidP="000E03CA">
            <w:pPr>
              <w:suppressAutoHyphens w:val="0"/>
              <w:spacing w:before="40" w:after="40" w:line="220" w:lineRule="exact"/>
              <w:ind w:right="113"/>
              <w:jc w:val="center"/>
              <w:rPr>
                <w:sz w:val="18"/>
                <w:szCs w:val="16"/>
                <w:lang w:val="fr-FR"/>
              </w:rPr>
            </w:pPr>
            <w:r w:rsidRPr="006B0E45">
              <w:rPr>
                <w:sz w:val="18"/>
                <w:szCs w:val="16"/>
                <w:lang w:val="fr-FR"/>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75B07" w:rsidRPr="006B0E45" w:rsidRDefault="00D75B07" w:rsidP="000E03CA">
            <w:pPr>
              <w:suppressAutoHyphens w:val="0"/>
              <w:spacing w:before="40" w:after="40" w:line="220" w:lineRule="exact"/>
              <w:ind w:right="113"/>
              <w:jc w:val="center"/>
              <w:rPr>
                <w:sz w:val="18"/>
                <w:szCs w:val="16"/>
                <w:lang w:val="fr-FR"/>
              </w:rPr>
            </w:pPr>
            <w:r w:rsidRPr="006B0E45">
              <w:rPr>
                <w:sz w:val="18"/>
                <w:szCs w:val="16"/>
                <w:lang w:val="fr-FR"/>
              </w:rPr>
              <w:t>E0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5B07" w:rsidRPr="006B0E45" w:rsidRDefault="00D75B07" w:rsidP="000E03CA">
            <w:pPr>
              <w:suppressAutoHyphens w:val="0"/>
              <w:spacing w:before="40" w:after="40" w:line="220" w:lineRule="exact"/>
              <w:ind w:right="113"/>
              <w:jc w:val="center"/>
              <w:rPr>
                <w:sz w:val="18"/>
                <w:szCs w:val="16"/>
                <w:lang w:val="fr-FR"/>
              </w:rPr>
            </w:pPr>
            <w:r w:rsidRPr="006B0E45">
              <w:rPr>
                <w:sz w:val="18"/>
                <w:szCs w:val="16"/>
                <w:lang w:val="fr-FR"/>
              </w:rPr>
              <w:t>P622</w:t>
            </w:r>
          </w:p>
          <w:p w:rsidR="00D75B07" w:rsidRPr="006B0E45" w:rsidRDefault="00D75B07" w:rsidP="000E03CA">
            <w:pPr>
              <w:suppressAutoHyphens w:val="0"/>
              <w:spacing w:before="40" w:after="40" w:line="220" w:lineRule="exact"/>
              <w:ind w:right="113"/>
              <w:jc w:val="center"/>
              <w:rPr>
                <w:sz w:val="18"/>
                <w:szCs w:val="16"/>
                <w:highlight w:val="yellow"/>
                <w:lang w:val="fr-FR"/>
              </w:rPr>
            </w:pPr>
            <w:r w:rsidRPr="006B0E45">
              <w:rPr>
                <w:sz w:val="18"/>
                <w:szCs w:val="16"/>
                <w:lang w:val="fr-FR"/>
              </w:rPr>
              <w:t>LP622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75B07" w:rsidRPr="006B0E45" w:rsidRDefault="00D75B07" w:rsidP="000E03CA">
            <w:pPr>
              <w:suppressAutoHyphens w:val="0"/>
              <w:spacing w:before="40" w:after="40" w:line="220" w:lineRule="exact"/>
              <w:ind w:right="113"/>
              <w:jc w:val="center"/>
              <w:rPr>
                <w:sz w:val="18"/>
                <w:szCs w:val="16"/>
                <w:highlight w:val="yellow"/>
                <w:lang w:val="fr-F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5B07" w:rsidRPr="006B0E45" w:rsidRDefault="00D75B07" w:rsidP="000E03CA">
            <w:pPr>
              <w:suppressAutoHyphens w:val="0"/>
              <w:spacing w:before="40" w:after="40" w:line="220" w:lineRule="exact"/>
              <w:ind w:right="113"/>
              <w:jc w:val="center"/>
              <w:rPr>
                <w:sz w:val="18"/>
                <w:szCs w:val="16"/>
                <w:lang w:val="fr-FR"/>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75B07" w:rsidRDefault="00D75B07" w:rsidP="000E03CA">
            <w:pPr>
              <w:suppressAutoHyphens w:val="0"/>
              <w:spacing w:before="40" w:after="40" w:line="220" w:lineRule="exact"/>
              <w:ind w:right="113"/>
              <w:jc w:val="center"/>
              <w:rPr>
                <w:sz w:val="18"/>
                <w:szCs w:val="16"/>
                <w:lang w:val="fr-FR"/>
              </w:rPr>
            </w:pPr>
          </w:p>
          <w:p w:rsidR="0078524D" w:rsidRDefault="0078524D" w:rsidP="000E03CA">
            <w:pPr>
              <w:suppressAutoHyphens w:val="0"/>
              <w:spacing w:before="40" w:after="40" w:line="220" w:lineRule="exact"/>
              <w:ind w:right="113"/>
              <w:jc w:val="center"/>
              <w:rPr>
                <w:sz w:val="18"/>
                <w:szCs w:val="16"/>
                <w:lang w:val="fr-FR"/>
              </w:rPr>
            </w:pPr>
          </w:p>
          <w:p w:rsidR="0078524D" w:rsidRPr="006B0E45" w:rsidRDefault="0078524D" w:rsidP="000E03CA">
            <w:pPr>
              <w:suppressAutoHyphens w:val="0"/>
              <w:spacing w:before="40" w:after="40" w:line="220" w:lineRule="exact"/>
              <w:ind w:right="113"/>
              <w:jc w:val="center"/>
              <w:rPr>
                <w:sz w:val="18"/>
                <w:szCs w:val="16"/>
                <w:lang w:val="fr-FR"/>
              </w:rPr>
            </w:pPr>
            <w:r>
              <w:rPr>
                <w:sz w:val="18"/>
                <w:szCs w:val="16"/>
                <w:lang w:val="fr-FR"/>
              </w:rPr>
              <w:t>]</w:t>
            </w:r>
          </w:p>
        </w:tc>
      </w:tr>
    </w:tbl>
    <w:p w:rsidR="00D75B07" w:rsidRPr="00D75B07" w:rsidRDefault="00D75B07" w:rsidP="00EC04C9">
      <w:pPr>
        <w:pStyle w:val="SingleTxtG"/>
        <w:rPr>
          <w:lang w:val="fr-FR"/>
        </w:rPr>
      </w:pPr>
      <w:r w:rsidRPr="00FB2D02">
        <w:rPr>
          <w:i/>
          <w:iCs/>
          <w:lang w:val="fr-FR"/>
        </w:rPr>
        <w:t xml:space="preserve">(Document de référence : </w:t>
      </w:r>
      <w:r w:rsidR="002D2EE8" w:rsidRPr="00B605F8">
        <w:rPr>
          <w:i/>
          <w:iCs/>
        </w:rPr>
        <w:t>ST/SG/AC.10/C.3/2018/20</w:t>
      </w:r>
      <w:r w:rsidR="002D2EE8">
        <w:rPr>
          <w:i/>
          <w:iCs/>
        </w:rPr>
        <w:t xml:space="preserve"> et </w:t>
      </w:r>
      <w:r>
        <w:rPr>
          <w:i/>
          <w:iCs/>
          <w:lang w:val="fr-FR"/>
        </w:rPr>
        <w:t>document informel INF.70, remplace l’amendement figurant en annexe II du document ST/SG/AC.10/C.3/102/Add.1</w:t>
      </w:r>
      <w:r w:rsidRPr="00FB2D02">
        <w:rPr>
          <w:bCs/>
          <w:i/>
          <w:iCs/>
          <w:lang w:val="fr-FR"/>
        </w:rPr>
        <w:t>)</w:t>
      </w:r>
    </w:p>
    <w:p w:rsidR="00070297" w:rsidRPr="00070297" w:rsidRDefault="00E50117" w:rsidP="00070297">
      <w:pPr>
        <w:pStyle w:val="SingleTxtG"/>
      </w:pPr>
      <w:bookmarkStart w:id="3" w:name="_Hlk512869277"/>
      <w:r w:rsidRPr="00070297">
        <w:lastRenderedPageBreak/>
        <w:t xml:space="preserve">Pour les </w:t>
      </w:r>
      <w:r w:rsidR="00B22558">
        <w:t>No</w:t>
      </w:r>
      <w:r w:rsidR="002D2EE8">
        <w:t>s</w:t>
      </w:r>
      <w:r w:rsidRPr="00070297">
        <w:t xml:space="preserve"> ONU 0340</w:t>
      </w:r>
      <w:r w:rsidR="00070297" w:rsidRPr="00070297">
        <w:t>, 0341, 0342 et 0343, insérer « 393 » dans la colonne (6).</w:t>
      </w:r>
    </w:p>
    <w:p w:rsidR="00E50117" w:rsidRDefault="00E50117" w:rsidP="00070297">
      <w:pPr>
        <w:pStyle w:val="SingleTxtG"/>
        <w:rPr>
          <w:i/>
          <w:iCs/>
          <w:lang w:val="fr-FR"/>
        </w:rPr>
      </w:pPr>
      <w:r w:rsidRPr="00070297">
        <w:rPr>
          <w:i/>
          <w:iCs/>
          <w:lang w:val="fr-FR"/>
        </w:rPr>
        <w:t xml:space="preserve">(Document de référence : </w:t>
      </w:r>
      <w:r w:rsidR="00E15143" w:rsidRPr="001539C6">
        <w:rPr>
          <w:i/>
          <w:iCs/>
        </w:rPr>
        <w:t>ST/SG/AC.10/C.3/201</w:t>
      </w:r>
      <w:r w:rsidR="00E15143">
        <w:rPr>
          <w:i/>
          <w:iCs/>
        </w:rPr>
        <w:t>8</w:t>
      </w:r>
      <w:r w:rsidR="00E15143" w:rsidRPr="001539C6">
        <w:rPr>
          <w:i/>
          <w:iCs/>
        </w:rPr>
        <w:t>/</w:t>
      </w:r>
      <w:r w:rsidR="00E15143">
        <w:rPr>
          <w:i/>
          <w:iCs/>
        </w:rPr>
        <w:t xml:space="preserve">9 et </w:t>
      </w:r>
      <w:r w:rsidRPr="00070297">
        <w:rPr>
          <w:i/>
          <w:iCs/>
          <w:lang w:val="fr-FR"/>
        </w:rPr>
        <w:t xml:space="preserve">document informel INF.67, annexe 2, </w:t>
      </w:r>
      <w:r w:rsidR="00B22558">
        <w:rPr>
          <w:i/>
          <w:iCs/>
          <w:lang w:val="fr-FR"/>
        </w:rPr>
        <w:t>amendement</w:t>
      </w:r>
      <w:r w:rsidRPr="00070297">
        <w:rPr>
          <w:i/>
          <w:iCs/>
          <w:lang w:val="fr-FR"/>
        </w:rPr>
        <w:t xml:space="preserve"> 5, tel que modifié)</w:t>
      </w:r>
    </w:p>
    <w:p w:rsidR="00B60A84" w:rsidRDefault="00B60A84" w:rsidP="00B60A84">
      <w:pPr>
        <w:pStyle w:val="SingleTxtG"/>
        <w:rPr>
          <w:lang w:val="fr-FR"/>
        </w:rPr>
      </w:pPr>
      <w:r>
        <w:rPr>
          <w:lang w:val="fr-FR"/>
        </w:rPr>
        <w:t>Pour les</w:t>
      </w:r>
      <w:r w:rsidRPr="004C18D3">
        <w:rPr>
          <w:lang w:val="fr-FR"/>
        </w:rPr>
        <w:t xml:space="preserve"> </w:t>
      </w:r>
      <w:r w:rsidRPr="00DF0D41">
        <w:rPr>
          <w:lang w:val="fr-FR"/>
        </w:rPr>
        <w:t>No</w:t>
      </w:r>
      <w:r w:rsidR="002D2EE8">
        <w:rPr>
          <w:lang w:val="fr-FR"/>
        </w:rPr>
        <w:t>s</w:t>
      </w:r>
      <w:r w:rsidRPr="00DF0D41">
        <w:rPr>
          <w:lang w:val="fr-FR"/>
        </w:rPr>
        <w:t xml:space="preserve"> ONU </w:t>
      </w:r>
      <w:bookmarkEnd w:id="3"/>
      <w:r w:rsidRPr="00DF0D41">
        <w:rPr>
          <w:lang w:val="fr-FR"/>
        </w:rPr>
        <w:t xml:space="preserve">1092, 1098, 1143, 1163, 1238, 1239, 1244, 1595, 1695, 1752, 1809, 2334, 2337, 2646 et 3023, dans la colonne </w:t>
      </w:r>
      <w:r>
        <w:rPr>
          <w:lang w:val="fr-FR"/>
        </w:rPr>
        <w:t>(</w:t>
      </w:r>
      <w:r w:rsidRPr="00DF0D41">
        <w:rPr>
          <w:lang w:val="fr-FR"/>
        </w:rPr>
        <w:t>11</w:t>
      </w:r>
      <w:r>
        <w:rPr>
          <w:lang w:val="fr-FR"/>
        </w:rPr>
        <w:t>) :</w:t>
      </w:r>
      <w:r w:rsidRPr="00DF0D41">
        <w:rPr>
          <w:lang w:val="fr-FR"/>
        </w:rPr>
        <w:t xml:space="preserve"> supprimer « TP35 ».</w:t>
      </w:r>
    </w:p>
    <w:p w:rsidR="00B60A84" w:rsidRPr="001539C6" w:rsidRDefault="00B60A84" w:rsidP="00B60A84">
      <w:pPr>
        <w:spacing w:before="120" w:after="120" w:line="240" w:lineRule="auto"/>
        <w:ind w:left="1134" w:right="1134"/>
        <w:jc w:val="both"/>
        <w:rPr>
          <w:i/>
          <w:iCs/>
        </w:rPr>
      </w:pPr>
      <w:r w:rsidRPr="001539C6">
        <w:rPr>
          <w:i/>
          <w:iCs/>
        </w:rPr>
        <w:t>(</w:t>
      </w:r>
      <w:r w:rsidRPr="001539C6">
        <w:rPr>
          <w:i/>
          <w:iCs/>
          <w:lang w:val="fr-FR"/>
        </w:rPr>
        <w:t>Document de référence</w:t>
      </w:r>
      <w:r>
        <w:rPr>
          <w:i/>
          <w:iCs/>
          <w:lang w:val="fr-FR"/>
        </w:rPr>
        <w:t> </w:t>
      </w:r>
      <w:r w:rsidRPr="001539C6">
        <w:rPr>
          <w:i/>
          <w:iCs/>
        </w:rPr>
        <w:t>: ST/SG/AC.10/C.3/201</w:t>
      </w:r>
      <w:r>
        <w:rPr>
          <w:i/>
          <w:iCs/>
        </w:rPr>
        <w:t>8</w:t>
      </w:r>
      <w:r w:rsidRPr="001539C6">
        <w:rPr>
          <w:i/>
          <w:iCs/>
        </w:rPr>
        <w:t>/</w:t>
      </w:r>
      <w:r>
        <w:rPr>
          <w:i/>
          <w:iCs/>
        </w:rPr>
        <w:t>31</w:t>
      </w:r>
      <w:r w:rsidRPr="001539C6">
        <w:rPr>
          <w:i/>
          <w:iCs/>
        </w:rPr>
        <w:t>)</w:t>
      </w:r>
    </w:p>
    <w:p w:rsidR="00B60A84" w:rsidRDefault="00B60A84" w:rsidP="00B60A84">
      <w:pPr>
        <w:pStyle w:val="SingleTxtG"/>
        <w:rPr>
          <w:lang w:val="fr-FR"/>
        </w:rPr>
      </w:pPr>
      <w:r w:rsidRPr="00DF0D41">
        <w:rPr>
          <w:lang w:val="fr-FR"/>
        </w:rPr>
        <w:t>Pour les No</w:t>
      </w:r>
      <w:r w:rsidR="002D2EE8">
        <w:rPr>
          <w:lang w:val="fr-FR"/>
        </w:rPr>
        <w:t>s</w:t>
      </w:r>
      <w:r w:rsidRPr="00DF0D41">
        <w:rPr>
          <w:lang w:val="fr-FR"/>
        </w:rPr>
        <w:t xml:space="preserve"> ONU 1135, 1182, 1251, 1541, 1580, 1605, 1670, 1810, 1834, 1838, 1892, 2232, 2382, 2474, 2477, 2481, 2482, 2483, 2484, 2485, 2486, 2487, 2488, 2521, 2605, </w:t>
      </w:r>
      <w:r>
        <w:rPr>
          <w:lang w:val="fr-FR"/>
        </w:rPr>
        <w:t xml:space="preserve">2606, </w:t>
      </w:r>
      <w:r w:rsidRPr="00DF0D41">
        <w:rPr>
          <w:lang w:val="fr-FR"/>
        </w:rPr>
        <w:t xml:space="preserve">2644, 2668, 3079 et 3246, dans la colonne </w:t>
      </w:r>
      <w:r>
        <w:rPr>
          <w:lang w:val="fr-FR"/>
        </w:rPr>
        <w:t>(</w:t>
      </w:r>
      <w:r w:rsidRPr="00DF0D41">
        <w:rPr>
          <w:lang w:val="fr-FR"/>
        </w:rPr>
        <w:t>11</w:t>
      </w:r>
      <w:r>
        <w:rPr>
          <w:lang w:val="fr-FR"/>
        </w:rPr>
        <w:t>) :</w:t>
      </w:r>
      <w:r w:rsidRPr="00DF0D41">
        <w:rPr>
          <w:lang w:val="fr-FR"/>
        </w:rPr>
        <w:t xml:space="preserve"> supprimer « TP37 ».</w:t>
      </w:r>
    </w:p>
    <w:p w:rsidR="00B60A84" w:rsidRPr="001539C6" w:rsidRDefault="00B60A84" w:rsidP="00B60A84">
      <w:pPr>
        <w:spacing w:before="120" w:after="120" w:line="240" w:lineRule="auto"/>
        <w:ind w:left="1134" w:right="1134"/>
        <w:jc w:val="both"/>
        <w:rPr>
          <w:i/>
          <w:iCs/>
        </w:rPr>
      </w:pPr>
      <w:r w:rsidRPr="001539C6">
        <w:rPr>
          <w:i/>
          <w:iCs/>
        </w:rPr>
        <w:t>(</w:t>
      </w:r>
      <w:r w:rsidRPr="001539C6">
        <w:rPr>
          <w:i/>
          <w:iCs/>
          <w:lang w:val="fr-FR"/>
        </w:rPr>
        <w:t>Document de référence</w:t>
      </w:r>
      <w:r>
        <w:rPr>
          <w:i/>
          <w:iCs/>
          <w:lang w:val="fr-FR"/>
        </w:rPr>
        <w:t> </w:t>
      </w:r>
      <w:r w:rsidRPr="001539C6">
        <w:rPr>
          <w:i/>
          <w:iCs/>
        </w:rPr>
        <w:t>: ST/SG/AC.10/C.3/201</w:t>
      </w:r>
      <w:r>
        <w:rPr>
          <w:i/>
          <w:iCs/>
        </w:rPr>
        <w:t>8</w:t>
      </w:r>
      <w:r w:rsidRPr="001539C6">
        <w:rPr>
          <w:i/>
          <w:iCs/>
        </w:rPr>
        <w:t>/</w:t>
      </w:r>
      <w:r>
        <w:rPr>
          <w:i/>
          <w:iCs/>
        </w:rPr>
        <w:t>31 tel que modifié</w:t>
      </w:r>
      <w:r w:rsidRPr="001539C6">
        <w:rPr>
          <w:i/>
          <w:iCs/>
        </w:rPr>
        <w:t>)</w:t>
      </w:r>
    </w:p>
    <w:p w:rsidR="00B60A84" w:rsidRDefault="00B60A84" w:rsidP="00B60A84">
      <w:pPr>
        <w:pStyle w:val="SingleTxtG"/>
        <w:rPr>
          <w:lang w:val="fr-FR"/>
        </w:rPr>
      </w:pPr>
      <w:r w:rsidRPr="00D1751A">
        <w:rPr>
          <w:lang w:val="fr-FR"/>
        </w:rPr>
        <w:t>Pour les No</w:t>
      </w:r>
      <w:r w:rsidR="002D2EE8">
        <w:rPr>
          <w:lang w:val="fr-FR"/>
        </w:rPr>
        <w:t>s</w:t>
      </w:r>
      <w:r w:rsidRPr="00D1751A">
        <w:rPr>
          <w:lang w:val="fr-FR"/>
        </w:rPr>
        <w:t xml:space="preserve"> ONU </w:t>
      </w:r>
      <w:r>
        <w:rPr>
          <w:lang w:val="fr-FR"/>
        </w:rPr>
        <w:t xml:space="preserve">1372, 1387, 1856, 1857 et 3360 supprimer « 117 » et </w:t>
      </w:r>
      <w:r w:rsidRPr="00D1751A">
        <w:rPr>
          <w:lang w:val="fr-FR"/>
        </w:rPr>
        <w:t>insérer « </w:t>
      </w:r>
      <w:r>
        <w:rPr>
          <w:lang w:val="fr-FR"/>
        </w:rPr>
        <w:t>123</w:t>
      </w:r>
      <w:r w:rsidRPr="00D1751A">
        <w:rPr>
          <w:lang w:val="fr-FR"/>
        </w:rPr>
        <w:t> » dans la colonne (6)</w:t>
      </w:r>
      <w:r>
        <w:rPr>
          <w:lang w:val="fr-FR"/>
        </w:rPr>
        <w:t>.</w:t>
      </w:r>
    </w:p>
    <w:p w:rsidR="00B60A84" w:rsidRDefault="00B60A84" w:rsidP="00B60A84">
      <w:pPr>
        <w:spacing w:before="120" w:after="120" w:line="240" w:lineRule="auto"/>
        <w:ind w:left="1134" w:right="1134"/>
        <w:jc w:val="both"/>
        <w:rPr>
          <w:i/>
          <w:iCs/>
        </w:rPr>
      </w:pPr>
      <w:r w:rsidRPr="001539C6">
        <w:rPr>
          <w:i/>
          <w:iCs/>
        </w:rPr>
        <w:t>(</w:t>
      </w:r>
      <w:r w:rsidRPr="001539C6">
        <w:rPr>
          <w:i/>
          <w:iCs/>
          <w:lang w:val="fr-FR"/>
        </w:rPr>
        <w:t>Document de référence</w:t>
      </w:r>
      <w:r>
        <w:rPr>
          <w:i/>
          <w:iCs/>
          <w:lang w:val="fr-FR"/>
        </w:rPr>
        <w:t> </w:t>
      </w:r>
      <w:r w:rsidRPr="001539C6">
        <w:rPr>
          <w:i/>
          <w:iCs/>
        </w:rPr>
        <w:t>: ST/SG/AC.10/C.3/201</w:t>
      </w:r>
      <w:r>
        <w:rPr>
          <w:i/>
          <w:iCs/>
        </w:rPr>
        <w:t>8</w:t>
      </w:r>
      <w:r w:rsidRPr="001539C6">
        <w:rPr>
          <w:i/>
          <w:iCs/>
        </w:rPr>
        <w:t>/</w:t>
      </w:r>
      <w:r>
        <w:rPr>
          <w:i/>
          <w:iCs/>
        </w:rPr>
        <w:t>28 tel que modifié</w:t>
      </w:r>
      <w:r w:rsidRPr="001539C6">
        <w:rPr>
          <w:i/>
          <w:iCs/>
        </w:rPr>
        <w:t>)</w:t>
      </w:r>
    </w:p>
    <w:p w:rsidR="00B60A84" w:rsidRPr="00A52711" w:rsidRDefault="00B60A84" w:rsidP="00B60A84">
      <w:pPr>
        <w:spacing w:before="120" w:after="120" w:line="240" w:lineRule="auto"/>
        <w:ind w:left="1134" w:right="1134"/>
        <w:jc w:val="both"/>
      </w:pPr>
      <w:r w:rsidRPr="00A52711">
        <w:t>Pour le No ONU 2381, supprimer «</w:t>
      </w:r>
      <w:r>
        <w:rPr>
          <w:lang w:val="fr-FR"/>
        </w:rPr>
        <w:t> </w:t>
      </w:r>
      <w:r w:rsidRPr="00A52711">
        <w:t>TP39</w:t>
      </w:r>
      <w:r>
        <w:rPr>
          <w:lang w:val="fr-FR"/>
        </w:rPr>
        <w:t> </w:t>
      </w:r>
      <w:r w:rsidRPr="00A52711">
        <w:t>»</w:t>
      </w:r>
      <w:r w:rsidR="00CD5300">
        <w:t xml:space="preserve"> </w:t>
      </w:r>
      <w:r w:rsidR="00CD5300" w:rsidRPr="00A52711">
        <w:t xml:space="preserve">dans la colonne </w:t>
      </w:r>
      <w:r w:rsidR="00CD5300">
        <w:t>(</w:t>
      </w:r>
      <w:r w:rsidR="00CD5300" w:rsidRPr="00A52711">
        <w:t>11</w:t>
      </w:r>
      <w:r w:rsidR="00CD5300">
        <w:t>)</w:t>
      </w:r>
      <w:r w:rsidRPr="00A52711">
        <w:t>.</w:t>
      </w:r>
    </w:p>
    <w:p w:rsidR="00B60A84" w:rsidRDefault="00B60A84" w:rsidP="00B60A84">
      <w:pPr>
        <w:spacing w:before="120" w:after="120" w:line="240" w:lineRule="auto"/>
        <w:ind w:left="1134" w:right="1134"/>
        <w:jc w:val="both"/>
        <w:rPr>
          <w:i/>
          <w:iCs/>
        </w:rPr>
      </w:pPr>
      <w:r w:rsidRPr="001539C6">
        <w:rPr>
          <w:i/>
          <w:iCs/>
        </w:rPr>
        <w:t>(</w:t>
      </w:r>
      <w:r w:rsidRPr="001539C6">
        <w:rPr>
          <w:i/>
          <w:iCs/>
          <w:lang w:val="fr-FR"/>
        </w:rPr>
        <w:t>Document de référence</w:t>
      </w:r>
      <w:r>
        <w:rPr>
          <w:i/>
          <w:iCs/>
          <w:lang w:val="fr-FR"/>
        </w:rPr>
        <w:t> </w:t>
      </w:r>
      <w:r w:rsidRPr="001539C6">
        <w:rPr>
          <w:i/>
          <w:iCs/>
        </w:rPr>
        <w:t>: ST/SG/AC.10/C.3/201</w:t>
      </w:r>
      <w:r>
        <w:rPr>
          <w:i/>
          <w:iCs/>
        </w:rPr>
        <w:t>8</w:t>
      </w:r>
      <w:r w:rsidRPr="001539C6">
        <w:rPr>
          <w:i/>
          <w:iCs/>
        </w:rPr>
        <w:t>/</w:t>
      </w:r>
      <w:r>
        <w:rPr>
          <w:i/>
          <w:iCs/>
        </w:rPr>
        <w:t>31</w:t>
      </w:r>
      <w:r w:rsidRPr="001539C6">
        <w:rPr>
          <w:i/>
          <w:iCs/>
        </w:rPr>
        <w:t>)</w:t>
      </w:r>
    </w:p>
    <w:p w:rsidR="00E50117" w:rsidRPr="00070297" w:rsidRDefault="00E50117" w:rsidP="00B60A84">
      <w:pPr>
        <w:spacing w:before="120" w:after="120" w:line="240" w:lineRule="auto"/>
        <w:ind w:left="1134" w:right="1134"/>
        <w:jc w:val="both"/>
      </w:pPr>
      <w:r w:rsidRPr="00070297">
        <w:t xml:space="preserve">Pour les </w:t>
      </w:r>
      <w:r w:rsidR="00B22558">
        <w:t>No</w:t>
      </w:r>
      <w:r w:rsidR="002D2EE8">
        <w:t>s</w:t>
      </w:r>
      <w:r w:rsidRPr="00070297">
        <w:t xml:space="preserve"> ONU 2555, 2556</w:t>
      </w:r>
      <w:r w:rsidR="00070297" w:rsidRPr="00070297">
        <w:t>, 2557 et 3380, insérer « 394 » dans la colonne (6).</w:t>
      </w:r>
    </w:p>
    <w:p w:rsidR="00E50117" w:rsidRPr="00E50117" w:rsidRDefault="00E50117" w:rsidP="00B60A84">
      <w:pPr>
        <w:spacing w:before="120" w:after="120" w:line="240" w:lineRule="auto"/>
        <w:ind w:left="1134" w:right="1134"/>
        <w:jc w:val="both"/>
        <w:rPr>
          <w:i/>
          <w:iCs/>
        </w:rPr>
      </w:pPr>
      <w:r w:rsidRPr="00070297">
        <w:rPr>
          <w:i/>
          <w:iCs/>
        </w:rPr>
        <w:t xml:space="preserve">(Document de référence : document informel INF.67, annexe 2, </w:t>
      </w:r>
      <w:r w:rsidR="00B22558">
        <w:rPr>
          <w:i/>
          <w:iCs/>
        </w:rPr>
        <w:t>amendement</w:t>
      </w:r>
      <w:r w:rsidRPr="00070297">
        <w:rPr>
          <w:i/>
          <w:iCs/>
        </w:rPr>
        <w:t xml:space="preserve"> 5, tel que modifié)</w:t>
      </w:r>
    </w:p>
    <w:p w:rsidR="008157D2" w:rsidRPr="00FB2D02" w:rsidRDefault="008157D2" w:rsidP="008157D2">
      <w:pPr>
        <w:pStyle w:val="SingleTxtG"/>
        <w:rPr>
          <w:lang w:val="fr-FR"/>
        </w:rPr>
      </w:pPr>
      <w:r>
        <w:rPr>
          <w:lang w:val="fr-FR"/>
        </w:rPr>
        <w:t>Pour les No</w:t>
      </w:r>
      <w:r w:rsidR="002D2EE8">
        <w:rPr>
          <w:lang w:val="fr-FR"/>
        </w:rPr>
        <w:t>s</w:t>
      </w:r>
      <w:r w:rsidRPr="00FB2D02">
        <w:rPr>
          <w:lang w:val="fr-FR"/>
        </w:rPr>
        <w:t xml:space="preserve"> ONU </w:t>
      </w:r>
      <w:r>
        <w:rPr>
          <w:lang w:val="fr-FR"/>
        </w:rPr>
        <w:t>3091 et 3481</w:t>
      </w:r>
      <w:r w:rsidRPr="00FB2D02">
        <w:rPr>
          <w:lang w:val="fr-FR"/>
        </w:rPr>
        <w:t xml:space="preserve">, </w:t>
      </w:r>
      <w:r w:rsidR="007C17FE">
        <w:rPr>
          <w:lang w:val="fr-FR"/>
        </w:rPr>
        <w:t xml:space="preserve">insérer « 390 » </w:t>
      </w:r>
      <w:r>
        <w:rPr>
          <w:lang w:val="fr-FR"/>
        </w:rPr>
        <w:t>dans la colonne (6)</w:t>
      </w:r>
      <w:r w:rsidRPr="00FB2D02">
        <w:rPr>
          <w:lang w:val="fr-FR"/>
        </w:rPr>
        <w:t>.</w:t>
      </w:r>
    </w:p>
    <w:p w:rsidR="008157D2" w:rsidRPr="00FB2D02" w:rsidRDefault="008157D2" w:rsidP="008157D2">
      <w:pPr>
        <w:pStyle w:val="SingleTxtG"/>
        <w:rPr>
          <w:lang w:val="fr-FR"/>
        </w:rPr>
      </w:pPr>
      <w:r w:rsidRPr="00FB2D02">
        <w:rPr>
          <w:i/>
          <w:iCs/>
          <w:lang w:val="fr-FR"/>
        </w:rPr>
        <w:t xml:space="preserve">(Document de référence : </w:t>
      </w:r>
      <w:r w:rsidR="00B22558" w:rsidRPr="00FB2D02">
        <w:rPr>
          <w:bCs/>
          <w:i/>
          <w:iCs/>
          <w:lang w:val="fr-FR"/>
        </w:rPr>
        <w:t>ST/SG/AC.10/C.3/2018/</w:t>
      </w:r>
      <w:r w:rsidR="00B22558">
        <w:rPr>
          <w:bCs/>
          <w:i/>
          <w:iCs/>
          <w:lang w:val="fr-FR"/>
        </w:rPr>
        <w:t xml:space="preserve">37 et </w:t>
      </w:r>
      <w:r>
        <w:rPr>
          <w:i/>
          <w:iCs/>
          <w:lang w:val="fr-FR"/>
        </w:rPr>
        <w:t>document informel INF.65/Rev.1</w:t>
      </w:r>
      <w:r w:rsidRPr="00FB2D02">
        <w:rPr>
          <w:bCs/>
          <w:i/>
          <w:iCs/>
          <w:lang w:val="fr-FR"/>
        </w:rPr>
        <w:t>)</w:t>
      </w:r>
    </w:p>
    <w:p w:rsidR="00B60A84" w:rsidRPr="00A52711" w:rsidRDefault="00B60A84" w:rsidP="00B60A84">
      <w:pPr>
        <w:spacing w:before="120" w:after="120" w:line="240" w:lineRule="auto"/>
        <w:ind w:left="1134" w:right="1134"/>
      </w:pPr>
      <w:r w:rsidRPr="00A52711">
        <w:t>Pour le No ONU 3148, supprimer «</w:t>
      </w:r>
      <w:r>
        <w:rPr>
          <w:lang w:val="fr-FR"/>
        </w:rPr>
        <w:t> </w:t>
      </w:r>
      <w:r w:rsidRPr="00A52711">
        <w:t>TP38</w:t>
      </w:r>
      <w:r>
        <w:rPr>
          <w:lang w:val="fr-FR"/>
        </w:rPr>
        <w:t> </w:t>
      </w:r>
      <w:r w:rsidRPr="00A52711">
        <w:t>»</w:t>
      </w:r>
      <w:r w:rsidR="0068757A" w:rsidRPr="0068757A">
        <w:t xml:space="preserve"> </w:t>
      </w:r>
      <w:r w:rsidR="0068757A" w:rsidRPr="00A52711">
        <w:t xml:space="preserve">dans la colonne </w:t>
      </w:r>
      <w:r w:rsidR="0068757A">
        <w:t>(</w:t>
      </w:r>
      <w:r w:rsidR="0068757A" w:rsidRPr="00A52711">
        <w:t>11</w:t>
      </w:r>
      <w:r w:rsidR="0068757A">
        <w:t>)</w:t>
      </w:r>
      <w:r w:rsidRPr="00A52711">
        <w:t>.</w:t>
      </w:r>
    </w:p>
    <w:p w:rsidR="00B60A84" w:rsidRDefault="00B60A84" w:rsidP="00B60A84">
      <w:pPr>
        <w:spacing w:before="120" w:after="120" w:line="240" w:lineRule="auto"/>
        <w:ind w:left="1134" w:right="1134"/>
        <w:jc w:val="both"/>
        <w:rPr>
          <w:i/>
          <w:iCs/>
        </w:rPr>
      </w:pPr>
      <w:r w:rsidRPr="001539C6">
        <w:rPr>
          <w:i/>
          <w:iCs/>
        </w:rPr>
        <w:t>(</w:t>
      </w:r>
      <w:r w:rsidRPr="001539C6">
        <w:rPr>
          <w:i/>
          <w:iCs/>
          <w:lang w:val="fr-FR"/>
        </w:rPr>
        <w:t>Document de référence</w:t>
      </w:r>
      <w:r>
        <w:rPr>
          <w:i/>
          <w:iCs/>
          <w:lang w:val="fr-FR"/>
        </w:rPr>
        <w:t> </w:t>
      </w:r>
      <w:r w:rsidRPr="001539C6">
        <w:rPr>
          <w:i/>
          <w:iCs/>
        </w:rPr>
        <w:t>: ST/SG/AC.10/C.3/201</w:t>
      </w:r>
      <w:r>
        <w:rPr>
          <w:i/>
          <w:iCs/>
        </w:rPr>
        <w:t>8</w:t>
      </w:r>
      <w:r w:rsidRPr="001539C6">
        <w:rPr>
          <w:i/>
          <w:iCs/>
        </w:rPr>
        <w:t>/</w:t>
      </w:r>
      <w:r>
        <w:rPr>
          <w:i/>
          <w:iCs/>
        </w:rPr>
        <w:t>31</w:t>
      </w:r>
      <w:r w:rsidRPr="001539C6">
        <w:rPr>
          <w:i/>
          <w:iCs/>
        </w:rPr>
        <w:t>)</w:t>
      </w:r>
    </w:p>
    <w:p w:rsidR="00DB4BC8" w:rsidRPr="00FB2D02" w:rsidRDefault="00DB4BC8" w:rsidP="00DB4BC8">
      <w:pPr>
        <w:pStyle w:val="SingleTxtG"/>
        <w:rPr>
          <w:lang w:val="fr-FR"/>
        </w:rPr>
      </w:pPr>
      <w:r>
        <w:rPr>
          <w:lang w:val="fr-FR"/>
        </w:rPr>
        <w:t>Pour le No</w:t>
      </w:r>
      <w:r w:rsidRPr="00FB2D02">
        <w:rPr>
          <w:lang w:val="fr-FR"/>
        </w:rPr>
        <w:t xml:space="preserve"> ONU </w:t>
      </w:r>
      <w:r>
        <w:rPr>
          <w:lang w:val="fr-FR"/>
        </w:rPr>
        <w:t>3529</w:t>
      </w:r>
      <w:r w:rsidRPr="00FB2D02">
        <w:rPr>
          <w:lang w:val="fr-FR"/>
        </w:rPr>
        <w:t xml:space="preserve">, </w:t>
      </w:r>
      <w:r>
        <w:rPr>
          <w:lang w:val="fr-FR"/>
        </w:rPr>
        <w:t>insérer</w:t>
      </w:r>
      <w:r w:rsidRPr="00FB2D02">
        <w:rPr>
          <w:lang w:val="fr-FR"/>
        </w:rPr>
        <w:t xml:space="preserve"> « 3</w:t>
      </w:r>
      <w:r>
        <w:rPr>
          <w:lang w:val="fr-FR"/>
        </w:rPr>
        <w:t>56</w:t>
      </w:r>
      <w:r w:rsidRPr="00FB2D02">
        <w:rPr>
          <w:lang w:val="fr-FR"/>
        </w:rPr>
        <w:t> »</w:t>
      </w:r>
      <w:r w:rsidR="0068757A" w:rsidRPr="0068757A">
        <w:rPr>
          <w:lang w:val="fr-FR"/>
        </w:rPr>
        <w:t xml:space="preserve"> </w:t>
      </w:r>
      <w:r w:rsidR="0068757A">
        <w:rPr>
          <w:lang w:val="fr-FR"/>
        </w:rPr>
        <w:t>dans la colonne (6)</w:t>
      </w:r>
      <w:r w:rsidRPr="00FB2D02">
        <w:rPr>
          <w:lang w:val="fr-FR"/>
        </w:rPr>
        <w:t>.</w:t>
      </w:r>
    </w:p>
    <w:p w:rsidR="00DB4BC8" w:rsidRDefault="00DB4BC8" w:rsidP="00DB4BC8">
      <w:pPr>
        <w:spacing w:before="120" w:after="120" w:line="240" w:lineRule="auto"/>
        <w:ind w:left="1134" w:right="1134"/>
        <w:jc w:val="both"/>
        <w:rPr>
          <w:bCs/>
          <w:i/>
          <w:iCs/>
          <w:lang w:val="fr-FR"/>
        </w:rPr>
      </w:pPr>
      <w:r w:rsidRPr="00FB2D02">
        <w:rPr>
          <w:i/>
          <w:iCs/>
          <w:lang w:val="fr-FR"/>
        </w:rPr>
        <w:t xml:space="preserve">(Document de référence : </w:t>
      </w:r>
      <w:r>
        <w:rPr>
          <w:i/>
          <w:iCs/>
          <w:lang w:val="fr-FR"/>
        </w:rPr>
        <w:t>document informel INF.61</w:t>
      </w:r>
      <w:r w:rsidRPr="00FB2D02">
        <w:rPr>
          <w:bCs/>
          <w:i/>
          <w:iCs/>
          <w:lang w:val="fr-FR"/>
        </w:rPr>
        <w:t>)</w:t>
      </w:r>
    </w:p>
    <w:p w:rsidR="00B60A84" w:rsidRDefault="00B60A84" w:rsidP="000659B4">
      <w:pPr>
        <w:pStyle w:val="H1G"/>
      </w:pPr>
      <w:r>
        <w:tab/>
      </w:r>
      <w:r>
        <w:tab/>
        <w:t>Chapitre 3.3</w:t>
      </w:r>
    </w:p>
    <w:p w:rsidR="003E787A" w:rsidRDefault="003E787A" w:rsidP="003E787A">
      <w:pPr>
        <w:pStyle w:val="SingleTxtG"/>
        <w:rPr>
          <w:lang w:val="fr-FR"/>
        </w:rPr>
      </w:pPr>
      <w:r>
        <w:rPr>
          <w:lang w:val="fr-FR"/>
        </w:rPr>
        <w:t>Disposition spéciale 356</w:t>
      </w:r>
      <w:r>
        <w:rPr>
          <w:lang w:val="fr-FR"/>
        </w:rPr>
        <w:tab/>
        <w:t xml:space="preserve">Après « des bateaux », ajouter </w:t>
      </w:r>
      <w:proofErr w:type="gramStart"/>
      <w:r>
        <w:rPr>
          <w:lang w:val="fr-FR"/>
        </w:rPr>
        <w:t>« ,</w:t>
      </w:r>
      <w:proofErr w:type="gramEnd"/>
      <w:r>
        <w:rPr>
          <w:lang w:val="fr-FR"/>
        </w:rPr>
        <w:t xml:space="preserve"> des machines, des moteurs » (deux fois).</w:t>
      </w:r>
    </w:p>
    <w:p w:rsidR="003E787A" w:rsidRDefault="003E787A" w:rsidP="003E787A">
      <w:pPr>
        <w:spacing w:before="120" w:after="120" w:line="240" w:lineRule="auto"/>
        <w:ind w:left="1134" w:right="1134"/>
        <w:jc w:val="both"/>
        <w:rPr>
          <w:i/>
          <w:iCs/>
        </w:rPr>
      </w:pPr>
      <w:r w:rsidRPr="00FB2D02">
        <w:rPr>
          <w:i/>
          <w:iCs/>
          <w:lang w:val="fr-FR"/>
        </w:rPr>
        <w:t xml:space="preserve">(Document de référence : </w:t>
      </w:r>
      <w:r>
        <w:rPr>
          <w:i/>
          <w:iCs/>
          <w:lang w:val="fr-FR"/>
        </w:rPr>
        <w:t>document informel INF.61</w:t>
      </w:r>
      <w:r w:rsidRPr="00FB2D02">
        <w:rPr>
          <w:bCs/>
          <w:i/>
          <w:iCs/>
          <w:lang w:val="fr-FR"/>
        </w:rPr>
        <w:t>)</w:t>
      </w:r>
    </w:p>
    <w:p w:rsidR="00B60A84" w:rsidRDefault="00B60A84" w:rsidP="00B60A84">
      <w:pPr>
        <w:pStyle w:val="SingleTxtG"/>
        <w:rPr>
          <w:lang w:val="fr-FR"/>
        </w:rPr>
      </w:pPr>
      <w:r>
        <w:rPr>
          <w:lang w:val="fr-FR"/>
        </w:rPr>
        <w:t>Disposition spéciale 363 j)</w:t>
      </w:r>
      <w:r>
        <w:rPr>
          <w:lang w:val="fr-FR"/>
        </w:rPr>
        <w:tab/>
        <w:t>Dans le dernier paragraphe, supprimer « </w:t>
      </w:r>
      <w:r w:rsidRPr="00FB6CDD">
        <w:rPr>
          <w:szCs w:val="22"/>
        </w:rPr>
        <w:t>conformément au 5.3.1.1.2</w:t>
      </w:r>
      <w:r>
        <w:rPr>
          <w:szCs w:val="22"/>
        </w:rPr>
        <w:t xml:space="preserve"> ». Ajouter la nouvelle phrase suivante à la fin de ce paragraphe : « Les plaques-étiquettes doivent correspondre à la classe indiquée dans la colonne 3 de la Liste des marchandises dangereuses </w:t>
      </w:r>
      <w:r>
        <w:t xml:space="preserve">du chapitre 3.2 </w:t>
      </w:r>
      <w:r>
        <w:rPr>
          <w:szCs w:val="22"/>
        </w:rPr>
        <w:t>et être conformes aux spécifications du 5.3.1.2.1; ».</w:t>
      </w:r>
    </w:p>
    <w:p w:rsidR="00B60A84" w:rsidRDefault="00B60A84" w:rsidP="00B60A84">
      <w:pPr>
        <w:spacing w:before="120" w:after="120" w:line="240" w:lineRule="auto"/>
        <w:ind w:left="1134" w:right="1134"/>
        <w:jc w:val="both"/>
        <w:rPr>
          <w:i/>
          <w:iCs/>
        </w:rPr>
      </w:pPr>
      <w:r w:rsidRPr="001539C6">
        <w:rPr>
          <w:i/>
          <w:iCs/>
        </w:rPr>
        <w:t>(</w:t>
      </w:r>
      <w:r w:rsidRPr="001539C6">
        <w:rPr>
          <w:i/>
          <w:iCs/>
          <w:lang w:val="fr-FR"/>
        </w:rPr>
        <w:t>Document de référence</w:t>
      </w:r>
      <w:r>
        <w:rPr>
          <w:i/>
          <w:iCs/>
          <w:lang w:val="fr-FR"/>
        </w:rPr>
        <w:t> </w:t>
      </w:r>
      <w:r w:rsidRPr="001539C6">
        <w:rPr>
          <w:i/>
          <w:iCs/>
        </w:rPr>
        <w:t>: ST/SG/AC.10/C.3/201</w:t>
      </w:r>
      <w:r>
        <w:rPr>
          <w:i/>
          <w:iCs/>
        </w:rPr>
        <w:t>8</w:t>
      </w:r>
      <w:r w:rsidRPr="001539C6">
        <w:rPr>
          <w:i/>
          <w:iCs/>
        </w:rPr>
        <w:t>/</w:t>
      </w:r>
      <w:r>
        <w:rPr>
          <w:i/>
          <w:iCs/>
        </w:rPr>
        <w:t>19</w:t>
      </w:r>
      <w:r w:rsidRPr="001539C6">
        <w:rPr>
          <w:i/>
          <w:iCs/>
        </w:rPr>
        <w:t>)</w:t>
      </w:r>
    </w:p>
    <w:p w:rsidR="00B60A84" w:rsidRDefault="00B60A84" w:rsidP="00B60A84">
      <w:pPr>
        <w:pStyle w:val="SingleTxtG"/>
        <w:rPr>
          <w:lang w:val="fr-FR"/>
        </w:rPr>
      </w:pPr>
      <w:r>
        <w:rPr>
          <w:lang w:val="fr-FR"/>
        </w:rPr>
        <w:t>Disposition spéciale 363 k)</w:t>
      </w:r>
      <w:r>
        <w:rPr>
          <w:lang w:val="fr-FR"/>
        </w:rPr>
        <w:tab/>
        <w:t>Dans le dernier paragraphe, supprimer « </w:t>
      </w:r>
      <w:r w:rsidRPr="00FB6CDD">
        <w:rPr>
          <w:szCs w:val="22"/>
        </w:rPr>
        <w:t>conformément au 5.3.1.1.2</w:t>
      </w:r>
      <w:r>
        <w:rPr>
          <w:szCs w:val="22"/>
        </w:rPr>
        <w:t xml:space="preserve"> ». Ajouter la nouvelle phrase suivante à la fin de ce paragraphe : « Les plaques-étiquettes doivent correspondre à la classe indiquée dans la colonne 3 de la Liste des marchandises dangereuses </w:t>
      </w:r>
      <w:r>
        <w:t xml:space="preserve">du chapitre 3.2 </w:t>
      </w:r>
      <w:r>
        <w:rPr>
          <w:szCs w:val="22"/>
        </w:rPr>
        <w:t>et être conformes aux spécifications du 5.3.1.2.1; ».</w:t>
      </w:r>
    </w:p>
    <w:p w:rsidR="00B60A84" w:rsidRDefault="00B60A84" w:rsidP="00B60A84">
      <w:pPr>
        <w:spacing w:before="120" w:after="120" w:line="240" w:lineRule="auto"/>
        <w:ind w:left="1134" w:right="1134"/>
        <w:jc w:val="both"/>
        <w:rPr>
          <w:i/>
          <w:iCs/>
        </w:rPr>
      </w:pPr>
      <w:r w:rsidRPr="001539C6">
        <w:rPr>
          <w:i/>
          <w:iCs/>
        </w:rPr>
        <w:t>(</w:t>
      </w:r>
      <w:r w:rsidRPr="001539C6">
        <w:rPr>
          <w:i/>
          <w:iCs/>
          <w:lang w:val="fr-FR"/>
        </w:rPr>
        <w:t>Document de référence</w:t>
      </w:r>
      <w:r>
        <w:rPr>
          <w:i/>
          <w:iCs/>
          <w:lang w:val="fr-FR"/>
        </w:rPr>
        <w:t> </w:t>
      </w:r>
      <w:r w:rsidRPr="001539C6">
        <w:rPr>
          <w:i/>
          <w:iCs/>
        </w:rPr>
        <w:t>: ST/SG/AC.10/C.3/201</w:t>
      </w:r>
      <w:r>
        <w:rPr>
          <w:i/>
          <w:iCs/>
        </w:rPr>
        <w:t>8</w:t>
      </w:r>
      <w:r w:rsidRPr="001539C6">
        <w:rPr>
          <w:i/>
          <w:iCs/>
        </w:rPr>
        <w:t>/</w:t>
      </w:r>
      <w:r>
        <w:rPr>
          <w:i/>
          <w:iCs/>
        </w:rPr>
        <w:t>19</w:t>
      </w:r>
      <w:r w:rsidRPr="001539C6">
        <w:rPr>
          <w:i/>
          <w:iCs/>
        </w:rPr>
        <w:t>)</w:t>
      </w:r>
    </w:p>
    <w:p w:rsidR="008157D2" w:rsidRDefault="008157D2" w:rsidP="008157D2">
      <w:pPr>
        <w:pStyle w:val="SingleTxtG"/>
        <w:rPr>
          <w:lang w:val="fr-FR"/>
        </w:rPr>
      </w:pPr>
      <w:r>
        <w:rPr>
          <w:lang w:val="fr-FR"/>
        </w:rPr>
        <w:lastRenderedPageBreak/>
        <w:t>Disposition spéciale 376</w:t>
      </w:r>
      <w:r>
        <w:rPr>
          <w:lang w:val="fr-FR"/>
        </w:rPr>
        <w:tab/>
        <w:t>Modifier le Nota pour lire comme suit :</w:t>
      </w:r>
    </w:p>
    <w:p w:rsidR="008157D2" w:rsidRDefault="008157D2" w:rsidP="008157D2">
      <w:pPr>
        <w:pStyle w:val="SingleTxtG"/>
        <w:rPr>
          <w:i/>
          <w:iCs/>
          <w:lang w:val="fr-FR"/>
        </w:rPr>
      </w:pPr>
      <w:r>
        <w:rPr>
          <w:lang w:val="fr-FR"/>
        </w:rPr>
        <w:t>« </w:t>
      </w:r>
      <w:r w:rsidRPr="0064774E">
        <w:rPr>
          <w:b/>
          <w:bCs/>
          <w:i/>
          <w:iCs/>
          <w:lang w:val="fr-FR"/>
        </w:rPr>
        <w:t>NOTA</w:t>
      </w:r>
      <w:r w:rsidR="00DC20AE">
        <w:rPr>
          <w:b/>
          <w:bCs/>
          <w:i/>
          <w:iCs/>
          <w:lang w:val="fr-FR"/>
        </w:rPr>
        <w:t xml:space="preserve"> </w:t>
      </w:r>
      <w:r w:rsidRPr="0064774E">
        <w:rPr>
          <w:b/>
          <w:bCs/>
          <w:i/>
          <w:iCs/>
          <w:lang w:val="fr-FR"/>
        </w:rPr>
        <w:t>:</w:t>
      </w:r>
      <w:r w:rsidRPr="0064774E">
        <w:rPr>
          <w:i/>
          <w:iCs/>
          <w:lang w:val="fr-FR"/>
        </w:rPr>
        <w:t xml:space="preserve"> </w:t>
      </w:r>
      <w:r>
        <w:rPr>
          <w:i/>
          <w:iCs/>
          <w:lang w:val="fr-FR"/>
        </w:rPr>
        <w:tab/>
      </w:r>
      <w:r w:rsidRPr="0064774E">
        <w:rPr>
          <w:i/>
          <w:iCs/>
          <w:lang w:val="fr-FR"/>
        </w:rPr>
        <w:t xml:space="preserve">Afin de déterminer si une </w:t>
      </w:r>
      <w:r>
        <w:rPr>
          <w:i/>
          <w:iCs/>
          <w:lang w:val="fr-FR"/>
        </w:rPr>
        <w:t xml:space="preserve">pile ou </w:t>
      </w:r>
      <w:r w:rsidRPr="0064774E">
        <w:rPr>
          <w:i/>
          <w:iCs/>
          <w:lang w:val="fr-FR"/>
        </w:rPr>
        <w:t xml:space="preserve">batterie peut être considérée comme endommagée ou défectueuse, une </w:t>
      </w:r>
      <w:r>
        <w:rPr>
          <w:i/>
          <w:iCs/>
          <w:lang w:val="fr-FR"/>
        </w:rPr>
        <w:t>estimation</w:t>
      </w:r>
      <w:r w:rsidRPr="0064774E">
        <w:rPr>
          <w:i/>
          <w:iCs/>
          <w:lang w:val="fr-FR"/>
        </w:rPr>
        <w:t xml:space="preserve"> ou une évaluation doit être effectuée sur la base des critères de sécurité du fabricant de la pile, de la batterie ou du produit </w:t>
      </w:r>
      <w:r>
        <w:rPr>
          <w:i/>
          <w:iCs/>
          <w:lang w:val="fr-FR"/>
        </w:rPr>
        <w:t xml:space="preserve">fini qui les contient </w:t>
      </w:r>
      <w:r w:rsidRPr="0064774E">
        <w:rPr>
          <w:i/>
          <w:iCs/>
          <w:lang w:val="fr-FR"/>
        </w:rPr>
        <w:t xml:space="preserve">ou par un expert technique connaissant les caractéristiques de sécurité de la </w:t>
      </w:r>
      <w:r>
        <w:rPr>
          <w:i/>
          <w:iCs/>
          <w:lang w:val="fr-FR"/>
        </w:rPr>
        <w:t xml:space="preserve">pile ou de la </w:t>
      </w:r>
      <w:r w:rsidRPr="0064774E">
        <w:rPr>
          <w:i/>
          <w:iCs/>
          <w:lang w:val="fr-FR"/>
        </w:rPr>
        <w:t xml:space="preserve">batterie. Une </w:t>
      </w:r>
      <w:r>
        <w:rPr>
          <w:i/>
          <w:iCs/>
          <w:lang w:val="fr-FR"/>
        </w:rPr>
        <w:t>estimation</w:t>
      </w:r>
      <w:r w:rsidRPr="0064774E">
        <w:rPr>
          <w:i/>
          <w:iCs/>
          <w:lang w:val="fr-FR"/>
        </w:rPr>
        <w:t xml:space="preserve"> ou évaluation peut </w:t>
      </w:r>
      <w:r>
        <w:rPr>
          <w:i/>
          <w:iCs/>
          <w:lang w:val="fr-FR"/>
        </w:rPr>
        <w:t>inclure</w:t>
      </w:r>
      <w:r w:rsidRPr="0064774E">
        <w:rPr>
          <w:i/>
          <w:iCs/>
          <w:lang w:val="fr-FR"/>
        </w:rPr>
        <w:t>, sans s'y limiter, les critères suivants</w:t>
      </w:r>
      <w:r w:rsidR="00DC20AE">
        <w:rPr>
          <w:i/>
          <w:iCs/>
          <w:lang w:val="fr-FR"/>
        </w:rPr>
        <w:t xml:space="preserve"> </w:t>
      </w:r>
      <w:r w:rsidRPr="0064774E">
        <w:rPr>
          <w:i/>
          <w:iCs/>
          <w:lang w:val="fr-FR"/>
        </w:rPr>
        <w:t>:</w:t>
      </w:r>
    </w:p>
    <w:p w:rsidR="008157D2" w:rsidRDefault="008A3492" w:rsidP="008A3492">
      <w:pPr>
        <w:pStyle w:val="SingleTxtG"/>
        <w:ind w:left="1854" w:hanging="360"/>
        <w:rPr>
          <w:i/>
          <w:iCs/>
          <w:lang w:val="fr-FR"/>
        </w:rPr>
      </w:pPr>
      <w:r>
        <w:rPr>
          <w:i/>
          <w:iCs/>
          <w:lang w:val="fr-FR"/>
        </w:rPr>
        <w:t>-</w:t>
      </w:r>
      <w:r>
        <w:rPr>
          <w:i/>
          <w:iCs/>
          <w:lang w:val="fr-FR"/>
        </w:rPr>
        <w:tab/>
      </w:r>
      <w:r w:rsidR="008157D2">
        <w:rPr>
          <w:i/>
          <w:iCs/>
          <w:lang w:val="fr-FR"/>
        </w:rPr>
        <w:t>Danger important tel que présence de gaz, incendie ou fuite d’électrolyte</w:t>
      </w:r>
      <w:r w:rsidR="00DC20AE">
        <w:rPr>
          <w:i/>
          <w:iCs/>
          <w:lang w:val="fr-FR"/>
        </w:rPr>
        <w:t xml:space="preserve"> </w:t>
      </w:r>
      <w:r w:rsidR="008157D2">
        <w:rPr>
          <w:i/>
          <w:iCs/>
          <w:lang w:val="fr-FR"/>
        </w:rPr>
        <w:t>;</w:t>
      </w:r>
    </w:p>
    <w:p w:rsidR="008157D2" w:rsidRDefault="008A3492" w:rsidP="008A3492">
      <w:pPr>
        <w:pStyle w:val="SingleTxtG"/>
        <w:ind w:left="1854" w:hanging="360"/>
        <w:rPr>
          <w:i/>
          <w:iCs/>
          <w:lang w:val="fr-FR"/>
        </w:rPr>
      </w:pPr>
      <w:r>
        <w:rPr>
          <w:i/>
          <w:iCs/>
          <w:lang w:val="fr-FR"/>
        </w:rPr>
        <w:t>-</w:t>
      </w:r>
      <w:r>
        <w:rPr>
          <w:i/>
          <w:iCs/>
          <w:lang w:val="fr-FR"/>
        </w:rPr>
        <w:tab/>
      </w:r>
      <w:r w:rsidR="008157D2">
        <w:rPr>
          <w:i/>
          <w:iCs/>
          <w:lang w:val="fr-FR"/>
        </w:rPr>
        <w:t xml:space="preserve">Utilisation qui a été faite de la pile ou de la batterie et éventuel </w:t>
      </w:r>
      <w:r w:rsidR="008157D2" w:rsidRPr="0064774E">
        <w:rPr>
          <w:i/>
          <w:iCs/>
          <w:lang w:val="fr-FR"/>
        </w:rPr>
        <w:t>usage impropre de celle-ci</w:t>
      </w:r>
      <w:r w:rsidR="00DC20AE">
        <w:rPr>
          <w:i/>
          <w:iCs/>
          <w:lang w:val="fr-FR"/>
        </w:rPr>
        <w:t xml:space="preserve"> </w:t>
      </w:r>
      <w:r w:rsidR="008157D2">
        <w:rPr>
          <w:i/>
          <w:iCs/>
          <w:lang w:val="fr-FR"/>
        </w:rPr>
        <w:t>;</w:t>
      </w:r>
    </w:p>
    <w:p w:rsidR="008157D2" w:rsidRPr="005419C7" w:rsidRDefault="008A3492" w:rsidP="008A3492">
      <w:pPr>
        <w:pStyle w:val="SingleTxtG"/>
        <w:ind w:left="1854" w:hanging="360"/>
        <w:rPr>
          <w:i/>
          <w:iCs/>
          <w:lang w:val="fr-FR"/>
        </w:rPr>
      </w:pPr>
      <w:r>
        <w:rPr>
          <w:i/>
          <w:iCs/>
          <w:lang w:val="fr-FR"/>
        </w:rPr>
        <w:t>-</w:t>
      </w:r>
      <w:r>
        <w:rPr>
          <w:i/>
          <w:iCs/>
          <w:lang w:val="fr-FR"/>
        </w:rPr>
        <w:tab/>
      </w:r>
      <w:r w:rsidR="008157D2">
        <w:rPr>
          <w:i/>
          <w:iCs/>
          <w:lang w:val="fr-FR"/>
        </w:rPr>
        <w:t>S</w:t>
      </w:r>
      <w:r w:rsidR="008157D2" w:rsidRPr="005419C7">
        <w:rPr>
          <w:i/>
          <w:iCs/>
          <w:lang w:val="fr-FR"/>
        </w:rPr>
        <w:t xml:space="preserve">ignes de dommages physiques, tels que déformation </w:t>
      </w:r>
      <w:r w:rsidR="008157D2">
        <w:rPr>
          <w:i/>
          <w:iCs/>
          <w:lang w:val="fr-FR"/>
        </w:rPr>
        <w:t xml:space="preserve">du </w:t>
      </w:r>
      <w:r w:rsidR="008157D2" w:rsidRPr="005419C7">
        <w:rPr>
          <w:i/>
          <w:iCs/>
          <w:lang w:val="fr-FR"/>
        </w:rPr>
        <w:t>boîtier</w:t>
      </w:r>
      <w:r w:rsidR="008157D2">
        <w:rPr>
          <w:i/>
          <w:iCs/>
          <w:lang w:val="fr-FR"/>
        </w:rPr>
        <w:t xml:space="preserve"> de la pile ou </w:t>
      </w:r>
      <w:r w:rsidR="008157D2" w:rsidRPr="005419C7">
        <w:rPr>
          <w:i/>
          <w:iCs/>
          <w:lang w:val="fr-FR"/>
        </w:rPr>
        <w:t>de la batterie, ou couleurs sur le boîtier</w:t>
      </w:r>
      <w:r w:rsidR="00DC20AE">
        <w:rPr>
          <w:i/>
          <w:iCs/>
          <w:lang w:val="fr-FR"/>
        </w:rPr>
        <w:t xml:space="preserve"> </w:t>
      </w:r>
      <w:r w:rsidR="008157D2" w:rsidRPr="005419C7">
        <w:rPr>
          <w:i/>
          <w:iCs/>
          <w:lang w:val="fr-FR"/>
        </w:rPr>
        <w:t>;</w:t>
      </w:r>
    </w:p>
    <w:p w:rsidR="008157D2" w:rsidRPr="005419C7" w:rsidRDefault="008A3492" w:rsidP="008A3492">
      <w:pPr>
        <w:pStyle w:val="SingleTxtG"/>
        <w:ind w:left="1854" w:hanging="360"/>
        <w:rPr>
          <w:i/>
          <w:iCs/>
          <w:lang w:val="fr-FR"/>
        </w:rPr>
      </w:pPr>
      <w:r>
        <w:rPr>
          <w:i/>
          <w:iCs/>
          <w:lang w:val="fr-FR"/>
        </w:rPr>
        <w:t>-</w:t>
      </w:r>
      <w:r>
        <w:rPr>
          <w:i/>
          <w:iCs/>
          <w:lang w:val="fr-FR"/>
        </w:rPr>
        <w:tab/>
      </w:r>
      <w:r w:rsidR="008157D2" w:rsidRPr="005419C7">
        <w:rPr>
          <w:i/>
          <w:iCs/>
          <w:lang w:val="fr-FR"/>
        </w:rPr>
        <w:t>Protection contre les courts-circuits externes et internes, tels que les mesures de tension ou d'isolation</w:t>
      </w:r>
      <w:r w:rsidR="00DC20AE">
        <w:rPr>
          <w:i/>
          <w:iCs/>
          <w:lang w:val="fr-FR"/>
        </w:rPr>
        <w:t xml:space="preserve"> </w:t>
      </w:r>
      <w:r w:rsidR="008157D2" w:rsidRPr="005419C7">
        <w:rPr>
          <w:i/>
          <w:iCs/>
          <w:lang w:val="fr-FR"/>
        </w:rPr>
        <w:t>;</w:t>
      </w:r>
    </w:p>
    <w:p w:rsidR="008157D2" w:rsidRPr="005419C7" w:rsidRDefault="008A3492" w:rsidP="008A3492">
      <w:pPr>
        <w:pStyle w:val="SingleTxtG"/>
        <w:ind w:left="1854" w:hanging="360"/>
        <w:rPr>
          <w:i/>
          <w:iCs/>
          <w:lang w:val="fr-FR"/>
        </w:rPr>
      </w:pPr>
      <w:r>
        <w:rPr>
          <w:i/>
          <w:iCs/>
          <w:lang w:val="fr-FR"/>
        </w:rPr>
        <w:t>-</w:t>
      </w:r>
      <w:r>
        <w:rPr>
          <w:i/>
          <w:iCs/>
          <w:lang w:val="fr-FR"/>
        </w:rPr>
        <w:tab/>
      </w:r>
      <w:r w:rsidR="008157D2">
        <w:rPr>
          <w:i/>
          <w:iCs/>
          <w:lang w:val="fr-FR"/>
        </w:rPr>
        <w:t>Etat des dispositifs de sécurité de la pile ou de la batterie</w:t>
      </w:r>
      <w:r w:rsidR="00DC20AE">
        <w:rPr>
          <w:i/>
          <w:iCs/>
          <w:lang w:val="fr-FR"/>
        </w:rPr>
        <w:t xml:space="preserve"> </w:t>
      </w:r>
      <w:r w:rsidR="008157D2" w:rsidRPr="005419C7">
        <w:rPr>
          <w:i/>
          <w:iCs/>
          <w:lang w:val="fr-FR"/>
        </w:rPr>
        <w:t xml:space="preserve">; </w:t>
      </w:r>
      <w:proofErr w:type="gramStart"/>
      <w:r w:rsidR="008157D2" w:rsidRPr="005419C7">
        <w:rPr>
          <w:i/>
          <w:iCs/>
          <w:lang w:val="fr-FR"/>
        </w:rPr>
        <w:t>ou</w:t>
      </w:r>
      <w:proofErr w:type="gramEnd"/>
    </w:p>
    <w:p w:rsidR="008157D2" w:rsidRDefault="008A3492" w:rsidP="008A3492">
      <w:pPr>
        <w:pStyle w:val="SingleTxtG"/>
        <w:ind w:left="1854" w:hanging="360"/>
        <w:rPr>
          <w:i/>
          <w:iCs/>
          <w:lang w:val="fr-FR"/>
        </w:rPr>
      </w:pPr>
      <w:r>
        <w:rPr>
          <w:i/>
          <w:iCs/>
          <w:lang w:val="fr-FR"/>
        </w:rPr>
        <w:t>-</w:t>
      </w:r>
      <w:r>
        <w:rPr>
          <w:i/>
          <w:iCs/>
          <w:lang w:val="fr-FR"/>
        </w:rPr>
        <w:tab/>
      </w:r>
      <w:r w:rsidR="008157D2" w:rsidRPr="005419C7">
        <w:rPr>
          <w:i/>
          <w:iCs/>
          <w:lang w:val="fr-FR"/>
        </w:rPr>
        <w:t xml:space="preserve">Dommages à </w:t>
      </w:r>
      <w:r w:rsidR="008157D2">
        <w:rPr>
          <w:i/>
          <w:iCs/>
          <w:lang w:val="fr-FR"/>
        </w:rPr>
        <w:t>tout composant de sécurité interne, tel</w:t>
      </w:r>
      <w:r w:rsidR="008157D2" w:rsidRPr="005419C7">
        <w:rPr>
          <w:i/>
          <w:iCs/>
          <w:lang w:val="fr-FR"/>
        </w:rPr>
        <w:t xml:space="preserve"> que système de gestion de la batterie.</w:t>
      </w:r>
      <w:r w:rsidR="008157D2">
        <w:rPr>
          <w:i/>
          <w:iCs/>
          <w:lang w:val="fr-FR"/>
        </w:rPr>
        <w:t> ».</w:t>
      </w:r>
    </w:p>
    <w:p w:rsidR="008157D2" w:rsidRDefault="008157D2" w:rsidP="008157D2">
      <w:pPr>
        <w:pStyle w:val="SingleTxtG"/>
        <w:rPr>
          <w:bCs/>
          <w:i/>
          <w:iCs/>
          <w:lang w:val="fr-FR"/>
        </w:rPr>
      </w:pPr>
      <w:r w:rsidRPr="00FB2D02">
        <w:rPr>
          <w:i/>
          <w:iCs/>
          <w:lang w:val="fr-FR"/>
        </w:rPr>
        <w:t xml:space="preserve">(Document de référence : </w:t>
      </w:r>
      <w:r w:rsidR="005B2E82" w:rsidRPr="001539C6">
        <w:rPr>
          <w:i/>
          <w:iCs/>
        </w:rPr>
        <w:t>ST/SG/AC.10/C.3/201</w:t>
      </w:r>
      <w:r w:rsidR="005B2E82">
        <w:rPr>
          <w:i/>
          <w:iCs/>
        </w:rPr>
        <w:t>8</w:t>
      </w:r>
      <w:r w:rsidR="005B2E82" w:rsidRPr="001539C6">
        <w:rPr>
          <w:i/>
          <w:iCs/>
        </w:rPr>
        <w:t>/</w:t>
      </w:r>
      <w:r w:rsidR="005B2E82">
        <w:rPr>
          <w:i/>
          <w:iCs/>
        </w:rPr>
        <w:t xml:space="preserve">51 et </w:t>
      </w:r>
      <w:r>
        <w:rPr>
          <w:i/>
          <w:iCs/>
          <w:lang w:val="fr-FR"/>
        </w:rPr>
        <w:t>document informel INF.69/Rev.1</w:t>
      </w:r>
      <w:r w:rsidRPr="00FB2D02">
        <w:rPr>
          <w:bCs/>
          <w:i/>
          <w:iCs/>
          <w:lang w:val="fr-FR"/>
        </w:rPr>
        <w:t>)</w:t>
      </w:r>
    </w:p>
    <w:p w:rsidR="00B22558" w:rsidRDefault="00B22558" w:rsidP="00B22558">
      <w:pPr>
        <w:pStyle w:val="SingleTxtG"/>
        <w:rPr>
          <w:lang w:val="fr-FR"/>
        </w:rPr>
      </w:pPr>
      <w:r>
        <w:rPr>
          <w:lang w:val="fr-FR"/>
        </w:rPr>
        <w:t>Ajouter les nouvelles dispositions spéciales suivantes :</w:t>
      </w:r>
    </w:p>
    <w:p w:rsidR="00B22558" w:rsidRPr="00987D7E" w:rsidRDefault="00B22558" w:rsidP="00B22558">
      <w:pPr>
        <w:pStyle w:val="SingleTxtG"/>
        <w:rPr>
          <w:lang w:val="fr-FR"/>
        </w:rPr>
      </w:pPr>
      <w:r>
        <w:rPr>
          <w:lang w:val="fr-FR"/>
        </w:rPr>
        <w:t>« 390</w:t>
      </w:r>
      <w:r>
        <w:rPr>
          <w:lang w:val="fr-FR"/>
        </w:rPr>
        <w:tab/>
      </w:r>
      <w:r w:rsidRPr="00987D7E">
        <w:rPr>
          <w:lang w:val="fr-FR"/>
        </w:rPr>
        <w:t>Si un colis contient à la fois des piles au lithium contenues dans un équipement et des piles au lithium emballées avec un équipement, les presc</w:t>
      </w:r>
      <w:r>
        <w:rPr>
          <w:lang w:val="fr-FR"/>
        </w:rPr>
        <w:t>riptions suivantes s’appliquent aux fins du marquage du colis et de la documentation</w:t>
      </w:r>
      <w:r w:rsidR="00DC20AE">
        <w:rPr>
          <w:lang w:val="fr-FR"/>
        </w:rPr>
        <w:t xml:space="preserve"> </w:t>
      </w:r>
      <w:r w:rsidRPr="00987D7E">
        <w:rPr>
          <w:lang w:val="fr-FR"/>
        </w:rPr>
        <w:t>:</w:t>
      </w:r>
    </w:p>
    <w:p w:rsidR="00B22558" w:rsidRPr="00987D7E" w:rsidRDefault="00B22558" w:rsidP="00B22558">
      <w:pPr>
        <w:pStyle w:val="SingleTxtG"/>
        <w:rPr>
          <w:lang w:val="fr-FR"/>
        </w:rPr>
      </w:pPr>
      <w:r>
        <w:rPr>
          <w:lang w:val="fr-FR"/>
        </w:rPr>
        <w:t>a)</w:t>
      </w:r>
      <w:r>
        <w:rPr>
          <w:lang w:val="fr-FR"/>
        </w:rPr>
        <w:tab/>
      </w:r>
      <w:r w:rsidRPr="00987D7E">
        <w:rPr>
          <w:lang w:val="fr-FR"/>
        </w:rPr>
        <w:t xml:space="preserve">Le colis doit porter la mention </w:t>
      </w:r>
      <w:r>
        <w:rPr>
          <w:lang w:val="fr-FR"/>
        </w:rPr>
        <w:t>"UN</w:t>
      </w:r>
      <w:r w:rsidRPr="00987D7E">
        <w:rPr>
          <w:lang w:val="fr-FR"/>
        </w:rPr>
        <w:t xml:space="preserve"> 3091 Piles au lithium métal emball</w:t>
      </w:r>
      <w:r>
        <w:rPr>
          <w:lang w:val="fr-FR"/>
        </w:rPr>
        <w:t>ées avec un équipement</w:t>
      </w:r>
      <w:r w:rsidRPr="00987D7E">
        <w:rPr>
          <w:lang w:val="fr-FR"/>
        </w:rPr>
        <w:t>" ou "</w:t>
      </w:r>
      <w:r>
        <w:rPr>
          <w:lang w:val="fr-FR"/>
        </w:rPr>
        <w:t>UN</w:t>
      </w:r>
      <w:r w:rsidRPr="00987D7E">
        <w:rPr>
          <w:lang w:val="fr-FR"/>
        </w:rPr>
        <w:t xml:space="preserve"> 3481 Piles au lithium ion</w:t>
      </w:r>
      <w:r w:rsidR="002D2EE8">
        <w:rPr>
          <w:lang w:val="fr-FR"/>
        </w:rPr>
        <w:t>ique</w:t>
      </w:r>
      <w:r w:rsidRPr="00987D7E">
        <w:rPr>
          <w:lang w:val="fr-FR"/>
        </w:rPr>
        <w:t xml:space="preserve"> emballées avec un équipement", selon le cas. Si un colis contient à la fois des piles au lithium ion</w:t>
      </w:r>
      <w:r w:rsidR="002D2EE8">
        <w:rPr>
          <w:lang w:val="fr-FR"/>
        </w:rPr>
        <w:t>ique</w:t>
      </w:r>
      <w:r w:rsidRPr="00987D7E">
        <w:rPr>
          <w:lang w:val="fr-FR"/>
        </w:rPr>
        <w:t xml:space="preserve"> et des piles au lithium métal emballées avec un équipement et contenues dans un équipement, le colis doit porter la mention des deux types de piles. Cependant, il n’est pas nécessaire de prendre en compte les piles bouton installées dans un équipement (y</w:t>
      </w:r>
      <w:r>
        <w:rPr>
          <w:lang w:val="fr-FR"/>
        </w:rPr>
        <w:t xml:space="preserve"> compris les circuits imprimés)</w:t>
      </w:r>
      <w:r w:rsidR="00DC20AE">
        <w:rPr>
          <w:lang w:val="fr-FR"/>
        </w:rPr>
        <w:t xml:space="preserve"> </w:t>
      </w:r>
      <w:r>
        <w:rPr>
          <w:lang w:val="fr-FR"/>
        </w:rPr>
        <w:t>;</w:t>
      </w:r>
    </w:p>
    <w:p w:rsidR="00B22558" w:rsidRDefault="00B22558" w:rsidP="00B22558">
      <w:pPr>
        <w:pStyle w:val="SingleTxtG"/>
        <w:rPr>
          <w:lang w:val="fr-FR"/>
        </w:rPr>
      </w:pPr>
      <w:r w:rsidRPr="00987D7E">
        <w:rPr>
          <w:lang w:val="fr-FR"/>
        </w:rPr>
        <w:t>b)</w:t>
      </w:r>
      <w:r w:rsidRPr="00987D7E">
        <w:rPr>
          <w:lang w:val="fr-FR"/>
        </w:rPr>
        <w:tab/>
        <w:t xml:space="preserve">Le document de transport doit porter la mention </w:t>
      </w:r>
      <w:r>
        <w:rPr>
          <w:lang w:val="fr-FR"/>
        </w:rPr>
        <w:t>"UN</w:t>
      </w:r>
      <w:r w:rsidRPr="00987D7E">
        <w:rPr>
          <w:lang w:val="fr-FR"/>
        </w:rPr>
        <w:t xml:space="preserve"> 3091 Piles au lithium métal emballées avec un équipement</w:t>
      </w:r>
      <w:r>
        <w:rPr>
          <w:lang w:val="fr-FR"/>
        </w:rPr>
        <w:t>"</w:t>
      </w:r>
      <w:r w:rsidRPr="00987D7E">
        <w:rPr>
          <w:lang w:val="fr-FR"/>
        </w:rPr>
        <w:t xml:space="preserve"> ou </w:t>
      </w:r>
      <w:r>
        <w:rPr>
          <w:lang w:val="fr-FR"/>
        </w:rPr>
        <w:t xml:space="preserve">"UN </w:t>
      </w:r>
      <w:r w:rsidRPr="00987D7E">
        <w:rPr>
          <w:lang w:val="fr-FR"/>
        </w:rPr>
        <w:t>3481 Piles au lithium ion</w:t>
      </w:r>
      <w:r w:rsidR="002D2EE8">
        <w:rPr>
          <w:lang w:val="fr-FR"/>
        </w:rPr>
        <w:t>ique</w:t>
      </w:r>
      <w:r w:rsidRPr="00987D7E">
        <w:rPr>
          <w:lang w:val="fr-FR"/>
        </w:rPr>
        <w:t xml:space="preserve"> emballées avec un équipement</w:t>
      </w:r>
      <w:r>
        <w:rPr>
          <w:lang w:val="fr-FR"/>
        </w:rPr>
        <w:t>"</w:t>
      </w:r>
      <w:r w:rsidRPr="00987D7E">
        <w:rPr>
          <w:lang w:val="fr-FR"/>
        </w:rPr>
        <w:t>, selon le cas. Si un colis contient à la fois des piles au lithium métal et des piles au lithium ion</w:t>
      </w:r>
      <w:r w:rsidR="002D2EE8">
        <w:rPr>
          <w:lang w:val="fr-FR"/>
        </w:rPr>
        <w:t>ique</w:t>
      </w:r>
      <w:r w:rsidRPr="00987D7E">
        <w:rPr>
          <w:lang w:val="fr-FR"/>
        </w:rPr>
        <w:t xml:space="preserve"> emballées avec un équipement et contenues dans un équipement, le document de transport doit indiquer à la fois </w:t>
      </w:r>
      <w:r>
        <w:rPr>
          <w:lang w:val="fr-FR"/>
        </w:rPr>
        <w:t xml:space="preserve">"UN </w:t>
      </w:r>
      <w:r w:rsidRPr="00987D7E">
        <w:rPr>
          <w:lang w:val="fr-FR"/>
        </w:rPr>
        <w:t>3091 Piles au lithium méta</w:t>
      </w:r>
      <w:r>
        <w:rPr>
          <w:lang w:val="fr-FR"/>
        </w:rPr>
        <w:t>l emballées avec un équipement"</w:t>
      </w:r>
      <w:r w:rsidRPr="00987D7E">
        <w:rPr>
          <w:lang w:val="fr-FR"/>
        </w:rPr>
        <w:t xml:space="preserve"> et </w:t>
      </w:r>
      <w:r>
        <w:rPr>
          <w:lang w:val="fr-FR"/>
        </w:rPr>
        <w:t xml:space="preserve">"UN </w:t>
      </w:r>
      <w:r w:rsidRPr="00987D7E">
        <w:rPr>
          <w:lang w:val="fr-FR"/>
        </w:rPr>
        <w:t>3481 Piles au lithium io</w:t>
      </w:r>
      <w:r>
        <w:rPr>
          <w:lang w:val="fr-FR"/>
        </w:rPr>
        <w:t>n</w:t>
      </w:r>
      <w:r w:rsidR="002D2EE8">
        <w:rPr>
          <w:lang w:val="fr-FR"/>
        </w:rPr>
        <w:t>ique</w:t>
      </w:r>
      <w:r>
        <w:rPr>
          <w:lang w:val="fr-FR"/>
        </w:rPr>
        <w:t xml:space="preserve"> emballées avec un équipement"</w:t>
      </w:r>
      <w:r w:rsidRPr="00987D7E">
        <w:rPr>
          <w:lang w:val="fr-FR"/>
        </w:rPr>
        <w:t>.</w:t>
      </w:r>
    </w:p>
    <w:p w:rsidR="00B22558" w:rsidRDefault="00B22558" w:rsidP="00B22558">
      <w:pPr>
        <w:pStyle w:val="SingleTxtG"/>
        <w:rPr>
          <w:bCs/>
          <w:i/>
          <w:iCs/>
          <w:lang w:val="fr-FR"/>
        </w:rPr>
      </w:pPr>
      <w:r w:rsidRPr="00FB2D02">
        <w:rPr>
          <w:i/>
          <w:iCs/>
          <w:lang w:val="fr-FR"/>
        </w:rPr>
        <w:t xml:space="preserve">(Document de référence : </w:t>
      </w:r>
      <w:r w:rsidRPr="001539C6">
        <w:rPr>
          <w:i/>
          <w:iCs/>
        </w:rPr>
        <w:t>ST/SG/AC.10/C.3/201</w:t>
      </w:r>
      <w:r>
        <w:rPr>
          <w:i/>
          <w:iCs/>
        </w:rPr>
        <w:t>8</w:t>
      </w:r>
      <w:r w:rsidRPr="001539C6">
        <w:rPr>
          <w:i/>
          <w:iCs/>
        </w:rPr>
        <w:t>/</w:t>
      </w:r>
      <w:r>
        <w:rPr>
          <w:i/>
          <w:iCs/>
        </w:rPr>
        <w:t xml:space="preserve">37 and </w:t>
      </w:r>
      <w:r>
        <w:rPr>
          <w:i/>
          <w:iCs/>
          <w:lang w:val="fr-FR"/>
        </w:rPr>
        <w:t>document informel INF.65/Rev.1 tel que modifié</w:t>
      </w:r>
      <w:r w:rsidRPr="00FB2D02">
        <w:rPr>
          <w:bCs/>
          <w:i/>
          <w:iCs/>
          <w:lang w:val="fr-FR"/>
        </w:rPr>
        <w:t>)</w:t>
      </w:r>
    </w:p>
    <w:p w:rsidR="00B22558" w:rsidRPr="00F16320" w:rsidRDefault="00B22558" w:rsidP="00B22558">
      <w:pPr>
        <w:pStyle w:val="SingleTxtG"/>
      </w:pPr>
      <w:r w:rsidRPr="00F16320">
        <w:t>« 393</w:t>
      </w:r>
      <w:r w:rsidRPr="00F16320">
        <w:tab/>
        <w:t>La nitrocellulose doit remplir les critères de l’épreuve de Bergmann-Junk ou de l’épreuve au violet de méthyle qui figurent à l’appendice 10 du Manuel d’épreuves et de critères. Il n’est pas nécessaire de réaliser les épreuves de la série 3 c). »</w:t>
      </w:r>
    </w:p>
    <w:p w:rsidR="00B22558" w:rsidRPr="00F16320" w:rsidRDefault="00B22558" w:rsidP="00B22558">
      <w:pPr>
        <w:pStyle w:val="SingleTxtG"/>
        <w:rPr>
          <w:i/>
          <w:iCs/>
          <w:lang w:val="fr-FR"/>
        </w:rPr>
      </w:pPr>
      <w:r w:rsidRPr="00F16320">
        <w:rPr>
          <w:i/>
          <w:iCs/>
          <w:lang w:val="fr-FR"/>
        </w:rPr>
        <w:t xml:space="preserve">(Document de référence : </w:t>
      </w:r>
      <w:r w:rsidRPr="001539C6">
        <w:rPr>
          <w:i/>
          <w:iCs/>
        </w:rPr>
        <w:t>ST/SG/AC.10/C.3/201</w:t>
      </w:r>
      <w:r>
        <w:rPr>
          <w:i/>
          <w:iCs/>
        </w:rPr>
        <w:t>8</w:t>
      </w:r>
      <w:r w:rsidRPr="001539C6">
        <w:rPr>
          <w:i/>
          <w:iCs/>
        </w:rPr>
        <w:t>/</w:t>
      </w:r>
      <w:r w:rsidR="005970C8">
        <w:rPr>
          <w:i/>
          <w:iCs/>
        </w:rPr>
        <w:t xml:space="preserve">9 et </w:t>
      </w:r>
      <w:r w:rsidRPr="00F16320">
        <w:rPr>
          <w:i/>
          <w:iCs/>
          <w:lang w:val="fr-FR"/>
        </w:rPr>
        <w:t xml:space="preserve">document informel INF.67, annexe 2, </w:t>
      </w:r>
      <w:r w:rsidR="00C811BD">
        <w:rPr>
          <w:i/>
          <w:iCs/>
          <w:lang w:val="fr-FR"/>
        </w:rPr>
        <w:t>amendement</w:t>
      </w:r>
      <w:r w:rsidRPr="00F16320">
        <w:rPr>
          <w:i/>
          <w:iCs/>
          <w:lang w:val="fr-FR"/>
        </w:rPr>
        <w:t xml:space="preserve"> 5, tel que modifié)</w:t>
      </w:r>
    </w:p>
    <w:p w:rsidR="00B22558" w:rsidRPr="00F16320" w:rsidRDefault="00B22558" w:rsidP="00B22558">
      <w:pPr>
        <w:pStyle w:val="SingleTxtG"/>
      </w:pPr>
      <w:r w:rsidRPr="00F16320">
        <w:t>« 394</w:t>
      </w:r>
      <w:r w:rsidRPr="00F16320">
        <w:tab/>
        <w:t>La nitrocellulose doit remplir les critères de l’épreuve de Bergmann-Junk ou de l’épreuve au violet de méthyle qui figurent à l’appendice 10 du Manuel d’épreuves et de critères. ».</w:t>
      </w:r>
    </w:p>
    <w:p w:rsidR="00B22558" w:rsidRDefault="00B22558" w:rsidP="00B22558">
      <w:pPr>
        <w:pStyle w:val="SingleTxtG"/>
        <w:rPr>
          <w:lang w:val="fr-FR"/>
        </w:rPr>
      </w:pPr>
      <w:r w:rsidRPr="00F16320">
        <w:rPr>
          <w:i/>
          <w:iCs/>
          <w:lang w:val="fr-FR"/>
        </w:rPr>
        <w:lastRenderedPageBreak/>
        <w:t xml:space="preserve">(Document de référence : </w:t>
      </w:r>
      <w:r w:rsidR="005970C8" w:rsidRPr="001539C6">
        <w:rPr>
          <w:i/>
          <w:iCs/>
        </w:rPr>
        <w:t>ST/SG/AC.10/C.3/201</w:t>
      </w:r>
      <w:r w:rsidR="005970C8">
        <w:rPr>
          <w:i/>
          <w:iCs/>
        </w:rPr>
        <w:t>8</w:t>
      </w:r>
      <w:r w:rsidR="005970C8" w:rsidRPr="001539C6">
        <w:rPr>
          <w:i/>
          <w:iCs/>
        </w:rPr>
        <w:t>/</w:t>
      </w:r>
      <w:r w:rsidR="005970C8">
        <w:rPr>
          <w:i/>
          <w:iCs/>
        </w:rPr>
        <w:t xml:space="preserve">9 et </w:t>
      </w:r>
      <w:r w:rsidRPr="00F16320">
        <w:rPr>
          <w:i/>
          <w:iCs/>
          <w:lang w:val="fr-FR"/>
        </w:rPr>
        <w:t xml:space="preserve">document informel INF.67, annexe 2, </w:t>
      </w:r>
      <w:r w:rsidR="00C811BD">
        <w:rPr>
          <w:i/>
          <w:iCs/>
          <w:lang w:val="fr-FR"/>
        </w:rPr>
        <w:t>amendement</w:t>
      </w:r>
      <w:r w:rsidRPr="00F16320">
        <w:rPr>
          <w:i/>
          <w:iCs/>
          <w:lang w:val="fr-FR"/>
        </w:rPr>
        <w:t xml:space="preserve"> 5, tel que modifié)</w:t>
      </w:r>
    </w:p>
    <w:p w:rsidR="00B22558" w:rsidRPr="00DD20E7" w:rsidRDefault="00B22558" w:rsidP="00B22558">
      <w:pPr>
        <w:pStyle w:val="SingleTxtG"/>
        <w:rPr>
          <w:lang w:val="fr-FR"/>
        </w:rPr>
      </w:pPr>
      <w:r>
        <w:rPr>
          <w:lang w:val="fr-FR"/>
        </w:rPr>
        <w:t>« 395</w:t>
      </w:r>
      <w:r>
        <w:rPr>
          <w:lang w:val="fr-FR"/>
        </w:rPr>
        <w:tab/>
        <w:t xml:space="preserve">Cette rubrique ne doit être utilisée que pour les déchets médicaux solides de catégorie A </w:t>
      </w:r>
      <w:r w:rsidRPr="00B120FD">
        <w:rPr>
          <w:lang w:val="fr-FR"/>
        </w:rPr>
        <w:t>transportés en vue de leur élimination.</w:t>
      </w:r>
      <w:r>
        <w:rPr>
          <w:lang w:val="fr-FR"/>
        </w:rPr>
        <w:t> ».</w:t>
      </w:r>
    </w:p>
    <w:p w:rsidR="00B22558" w:rsidRPr="00FB2D02" w:rsidRDefault="00B22558" w:rsidP="00B22558">
      <w:pPr>
        <w:pStyle w:val="SingleTxtG"/>
        <w:rPr>
          <w:lang w:val="fr-FR"/>
        </w:rPr>
      </w:pPr>
      <w:r w:rsidRPr="00FB2D02">
        <w:rPr>
          <w:i/>
          <w:iCs/>
          <w:lang w:val="fr-FR"/>
        </w:rPr>
        <w:t xml:space="preserve">(Document de référence : </w:t>
      </w:r>
      <w:r w:rsidR="005970C8" w:rsidRPr="001539C6">
        <w:rPr>
          <w:i/>
          <w:iCs/>
        </w:rPr>
        <w:t>ST/SG/AC.10/C.3/201</w:t>
      </w:r>
      <w:r w:rsidR="005970C8">
        <w:rPr>
          <w:i/>
          <w:iCs/>
        </w:rPr>
        <w:t>8</w:t>
      </w:r>
      <w:r w:rsidR="005970C8" w:rsidRPr="001539C6">
        <w:rPr>
          <w:i/>
          <w:iCs/>
        </w:rPr>
        <w:t>/</w:t>
      </w:r>
      <w:r w:rsidR="005970C8">
        <w:rPr>
          <w:i/>
          <w:iCs/>
        </w:rPr>
        <w:t xml:space="preserve">20 et </w:t>
      </w:r>
      <w:r>
        <w:rPr>
          <w:i/>
          <w:iCs/>
          <w:lang w:val="fr-FR"/>
        </w:rPr>
        <w:t>document informel INF.70</w:t>
      </w:r>
      <w:r w:rsidRPr="00FB2D02">
        <w:rPr>
          <w:bCs/>
          <w:i/>
          <w:iCs/>
          <w:lang w:val="fr-FR"/>
        </w:rPr>
        <w:t>)</w:t>
      </w:r>
    </w:p>
    <w:p w:rsidR="00653193" w:rsidRDefault="00653193" w:rsidP="000659B4">
      <w:pPr>
        <w:pStyle w:val="H1G"/>
        <w:rPr>
          <w:lang w:val="fr-FR"/>
        </w:rPr>
      </w:pPr>
      <w:r>
        <w:rPr>
          <w:lang w:val="fr-FR"/>
        </w:rPr>
        <w:tab/>
      </w:r>
      <w:r>
        <w:rPr>
          <w:lang w:val="fr-FR"/>
        </w:rPr>
        <w:tab/>
        <w:t>Appen</w:t>
      </w:r>
      <w:r w:rsidR="00CB0355">
        <w:rPr>
          <w:lang w:val="fr-FR"/>
        </w:rPr>
        <w:t>dice B</w:t>
      </w:r>
    </w:p>
    <w:p w:rsidR="00C811BD" w:rsidRDefault="00C811BD" w:rsidP="00C811BD">
      <w:pPr>
        <w:pStyle w:val="SingleTxtG"/>
      </w:pPr>
      <w:r w:rsidRPr="00C811BD">
        <w:t>Dans la définition de « détonateurs », après « les DÉTONATEURS POUR MUNITION » remplacer la virgule par « et ». Remplacer « les DÉTONATEURS de mine (de sautage) NON ÉLECTRIQUES » PAR «</w:t>
      </w:r>
      <w:r w:rsidR="00DC20AE">
        <w:t xml:space="preserve"> </w:t>
      </w:r>
      <w:r w:rsidRPr="00C811BD">
        <w:t xml:space="preserve">NON </w:t>
      </w:r>
      <w:r w:rsidR="00161854" w:rsidRPr="00C811BD">
        <w:t xml:space="preserve">ÉLECTRIQUES, </w:t>
      </w:r>
      <w:r w:rsidRPr="00C811BD">
        <w:t xml:space="preserve">et ÉLECTRONIQUES programmables » </w:t>
      </w:r>
    </w:p>
    <w:p w:rsidR="00D75574" w:rsidRDefault="00DC20AE" w:rsidP="00C811BD">
      <w:pPr>
        <w:pStyle w:val="SingleTxtG"/>
        <w:rPr>
          <w:i/>
          <w:iCs/>
        </w:rPr>
      </w:pPr>
      <w:r>
        <w:rPr>
          <w:i/>
          <w:iCs/>
        </w:rPr>
        <w:t xml:space="preserve">(Document de référence : </w:t>
      </w:r>
      <w:r w:rsidR="00C811BD" w:rsidRPr="001539C6">
        <w:rPr>
          <w:i/>
          <w:iCs/>
        </w:rPr>
        <w:t>ST/SG/AC.10/C.3/201</w:t>
      </w:r>
      <w:r w:rsidR="00C811BD">
        <w:rPr>
          <w:i/>
          <w:iCs/>
        </w:rPr>
        <w:t>8</w:t>
      </w:r>
      <w:r w:rsidR="00C811BD" w:rsidRPr="001539C6">
        <w:rPr>
          <w:i/>
          <w:iCs/>
        </w:rPr>
        <w:t>/</w:t>
      </w:r>
      <w:r w:rsidR="00C811BD">
        <w:rPr>
          <w:i/>
          <w:iCs/>
        </w:rPr>
        <w:t xml:space="preserve">58 et </w:t>
      </w:r>
      <w:r w:rsidR="00D75574" w:rsidRPr="00C811BD">
        <w:rPr>
          <w:i/>
          <w:iCs/>
        </w:rPr>
        <w:t xml:space="preserve">document informel INF.67/annexe 2, </w:t>
      </w:r>
      <w:r w:rsidR="00C811BD">
        <w:rPr>
          <w:i/>
          <w:iCs/>
        </w:rPr>
        <w:t>amendement</w:t>
      </w:r>
      <w:r w:rsidR="00D75574" w:rsidRPr="00C811BD">
        <w:rPr>
          <w:i/>
          <w:iCs/>
        </w:rPr>
        <w:t xml:space="preserve"> 4)</w:t>
      </w:r>
    </w:p>
    <w:p w:rsidR="00EF0D5E" w:rsidRDefault="00EF0D5E" w:rsidP="00EF0D5E">
      <w:pPr>
        <w:pStyle w:val="SingleTxtG"/>
      </w:pPr>
      <w:r>
        <w:t>Ajouter la nouvelle définition suivante pour « DÉTONATEURS de mine (de sautage) ÉLECTRONIQUES programmables » :</w:t>
      </w:r>
    </w:p>
    <w:p w:rsidR="00EF0D5E" w:rsidRDefault="00EF0D5E" w:rsidP="00EF0D5E">
      <w:pPr>
        <w:pStyle w:val="SingleTxtG"/>
        <w:rPr>
          <w:lang w:eastAsia="zh-CN"/>
        </w:rPr>
      </w:pPr>
      <w:r>
        <w:t>« DÉTONATEURS de mine (de sautage) ÉLECTRONIQUES programmables</w:t>
      </w:r>
    </w:p>
    <w:p w:rsidR="00EF0D5E" w:rsidRDefault="00EF0D5E" w:rsidP="00EF0D5E">
      <w:pPr>
        <w:pStyle w:val="SingleTxtG"/>
        <w:rPr>
          <w:sz w:val="22"/>
          <w:szCs w:val="22"/>
        </w:rPr>
      </w:pPr>
      <w:r>
        <w:t>Détonateurs dotés de dispositifs de sûreté et de sécurité améliorés, utilisant des composants électroniques pour transmettre un signal de mise à feu avec des commandes validées et des communications sécurisées. Les détonateurs de ce type ne peuvent pas être initiés par d'autres moyens. ».</w:t>
      </w:r>
    </w:p>
    <w:p w:rsidR="00EF0D5E" w:rsidRDefault="00EF0D5E" w:rsidP="00EF0D5E">
      <w:pPr>
        <w:pStyle w:val="SingleTxtG"/>
        <w:rPr>
          <w:i/>
          <w:iCs/>
        </w:rPr>
      </w:pPr>
      <w:r w:rsidRPr="00C811BD">
        <w:rPr>
          <w:i/>
          <w:iCs/>
        </w:rPr>
        <w:t xml:space="preserve">(Document de référence :  </w:t>
      </w:r>
      <w:r w:rsidRPr="001539C6">
        <w:rPr>
          <w:i/>
          <w:iCs/>
        </w:rPr>
        <w:t>ST/SG/AC.10/C.3/201</w:t>
      </w:r>
      <w:r>
        <w:rPr>
          <w:i/>
          <w:iCs/>
        </w:rPr>
        <w:t>8</w:t>
      </w:r>
      <w:r w:rsidRPr="001539C6">
        <w:rPr>
          <w:i/>
          <w:iCs/>
        </w:rPr>
        <w:t>/</w:t>
      </w:r>
      <w:r>
        <w:rPr>
          <w:i/>
          <w:iCs/>
        </w:rPr>
        <w:t xml:space="preserve">58 et </w:t>
      </w:r>
      <w:r w:rsidRPr="00C811BD">
        <w:rPr>
          <w:i/>
          <w:iCs/>
        </w:rPr>
        <w:t xml:space="preserve">document informel INF.67/annexe 2, </w:t>
      </w:r>
      <w:r>
        <w:rPr>
          <w:i/>
          <w:iCs/>
        </w:rPr>
        <w:t>amendement</w:t>
      </w:r>
      <w:r w:rsidRPr="00C811BD">
        <w:rPr>
          <w:i/>
          <w:iCs/>
        </w:rPr>
        <w:t xml:space="preserve"> 4)</w:t>
      </w:r>
    </w:p>
    <w:p w:rsidR="00B60A84" w:rsidRPr="0078529F" w:rsidRDefault="00B60A84" w:rsidP="000659B4">
      <w:pPr>
        <w:pStyle w:val="H1G"/>
      </w:pPr>
      <w:r>
        <w:tab/>
      </w:r>
      <w:r>
        <w:tab/>
        <w:t>Chapitre 4.1</w:t>
      </w:r>
    </w:p>
    <w:p w:rsidR="00B60A84" w:rsidRDefault="00B60A84" w:rsidP="00B60A84">
      <w:pPr>
        <w:pStyle w:val="SingleTxtG"/>
      </w:pPr>
      <w:r>
        <w:t>4.1.1.3</w:t>
      </w:r>
      <w:r>
        <w:tab/>
      </w:r>
      <w:r>
        <w:tab/>
        <w:t>Ajouter le nouveau 4.1.1.3.1 suivant :</w:t>
      </w:r>
    </w:p>
    <w:p w:rsidR="00B60A84" w:rsidRDefault="00B60A84" w:rsidP="00B60A84">
      <w:pPr>
        <w:pStyle w:val="SingleTxtG"/>
      </w:pPr>
      <w:r>
        <w:t>« 4.1.1.3.1</w:t>
      </w:r>
      <w:r>
        <w:tab/>
        <w:t xml:space="preserve">Les emballages, y compris les GRV et les grands emballages, peuvent être conformes à un </w:t>
      </w:r>
      <w:r w:rsidR="00DC20AE">
        <w:t xml:space="preserve">ou </w:t>
      </w:r>
      <w:r>
        <w:t>plusieurs modèles types ayant satisfait aux épreuves et peuvent porter plus d’une marque. ».</w:t>
      </w:r>
    </w:p>
    <w:p w:rsidR="00B60A84" w:rsidRDefault="00B60A84" w:rsidP="00B60A84">
      <w:pPr>
        <w:spacing w:before="120" w:after="120" w:line="240" w:lineRule="auto"/>
        <w:ind w:left="1134" w:right="1134"/>
        <w:jc w:val="both"/>
        <w:rPr>
          <w:i/>
          <w:iCs/>
        </w:rPr>
      </w:pPr>
      <w:r w:rsidRPr="001539C6">
        <w:rPr>
          <w:i/>
          <w:iCs/>
        </w:rPr>
        <w:t>(</w:t>
      </w:r>
      <w:r w:rsidRPr="001539C6">
        <w:rPr>
          <w:i/>
          <w:iCs/>
          <w:lang w:val="fr-FR"/>
        </w:rPr>
        <w:t>Document de référence</w:t>
      </w:r>
      <w:r>
        <w:rPr>
          <w:i/>
          <w:iCs/>
          <w:lang w:val="fr-FR"/>
        </w:rPr>
        <w:t> </w:t>
      </w:r>
      <w:r w:rsidRPr="001539C6">
        <w:rPr>
          <w:i/>
          <w:iCs/>
        </w:rPr>
        <w:t xml:space="preserve">: </w:t>
      </w:r>
      <w:r w:rsidR="006B22B2" w:rsidRPr="001539C6">
        <w:rPr>
          <w:i/>
          <w:iCs/>
        </w:rPr>
        <w:t>ST/SG/AC.10/C.3/201</w:t>
      </w:r>
      <w:r w:rsidR="006B22B2">
        <w:rPr>
          <w:i/>
          <w:iCs/>
        </w:rPr>
        <w:t>8</w:t>
      </w:r>
      <w:r w:rsidR="006B22B2" w:rsidRPr="001539C6">
        <w:rPr>
          <w:i/>
          <w:iCs/>
        </w:rPr>
        <w:t>/</w:t>
      </w:r>
      <w:r w:rsidR="00780966">
        <w:rPr>
          <w:i/>
          <w:iCs/>
        </w:rPr>
        <w:t>49</w:t>
      </w:r>
      <w:r w:rsidR="006B22B2">
        <w:rPr>
          <w:i/>
          <w:iCs/>
        </w:rPr>
        <w:t xml:space="preserve"> et </w:t>
      </w:r>
      <w:r>
        <w:rPr>
          <w:i/>
          <w:iCs/>
        </w:rPr>
        <w:t>document informel INF.53</w:t>
      </w:r>
      <w:r w:rsidR="003C0565">
        <w:rPr>
          <w:i/>
          <w:iCs/>
        </w:rPr>
        <w:t>,</w:t>
      </w:r>
      <w:r>
        <w:rPr>
          <w:i/>
          <w:iCs/>
        </w:rPr>
        <w:t xml:space="preserve"> tel que modifié</w:t>
      </w:r>
      <w:r w:rsidRPr="001539C6">
        <w:rPr>
          <w:i/>
          <w:iCs/>
        </w:rPr>
        <w:t>)</w:t>
      </w:r>
    </w:p>
    <w:p w:rsidR="00DC20AE" w:rsidRDefault="00DC20AE">
      <w:pPr>
        <w:suppressAutoHyphens w:val="0"/>
        <w:spacing w:line="240" w:lineRule="auto"/>
      </w:pPr>
      <w:r>
        <w:br w:type="page"/>
      </w:r>
    </w:p>
    <w:p w:rsidR="00BB6120" w:rsidRDefault="00BB6120" w:rsidP="00B60A84">
      <w:pPr>
        <w:pStyle w:val="SingleTxtG"/>
      </w:pPr>
      <w:r>
        <w:lastRenderedPageBreak/>
        <w:t>4.1.4.1, instruction d’emballage P80</w:t>
      </w:r>
      <w:r w:rsidR="000C681E">
        <w:t>1</w:t>
      </w:r>
      <w:r>
        <w:tab/>
        <w:t>Modifier pour lire comme suit :</w:t>
      </w:r>
    </w:p>
    <w:tbl>
      <w:tblPr>
        <w:tblW w:w="9643" w:type="dxa"/>
        <w:tblInd w:w="54" w:type="dxa"/>
        <w:tblLayout w:type="fixed"/>
        <w:tblCellMar>
          <w:left w:w="56" w:type="dxa"/>
          <w:right w:w="56" w:type="dxa"/>
        </w:tblCellMar>
        <w:tblLook w:val="0000" w:firstRow="0" w:lastRow="0" w:firstColumn="0" w:lastColumn="0" w:noHBand="0" w:noVBand="0"/>
      </w:tblPr>
      <w:tblGrid>
        <w:gridCol w:w="855"/>
        <w:gridCol w:w="7938"/>
        <w:gridCol w:w="850"/>
      </w:tblGrid>
      <w:tr w:rsidR="00BB6120" w:rsidRPr="00077C40" w:rsidTr="008A5DC1">
        <w:tc>
          <w:tcPr>
            <w:tcW w:w="855" w:type="dxa"/>
            <w:tcBorders>
              <w:top w:val="single" w:sz="8" w:space="0" w:color="000000"/>
              <w:left w:val="single" w:sz="8" w:space="0" w:color="000000"/>
              <w:bottom w:val="single" w:sz="8" w:space="0" w:color="000000"/>
            </w:tcBorders>
          </w:tcPr>
          <w:p w:rsidR="00BB6120" w:rsidRPr="00077C40" w:rsidRDefault="00BB6120" w:rsidP="008A5DC1">
            <w:pPr>
              <w:tabs>
                <w:tab w:val="left" w:pos="1418"/>
                <w:tab w:val="left" w:pos="1985"/>
                <w:tab w:val="left" w:pos="2552"/>
                <w:tab w:val="left" w:pos="3119"/>
                <w:tab w:val="left" w:pos="3686"/>
                <w:tab w:val="left" w:pos="4253"/>
                <w:tab w:val="left" w:pos="4820"/>
              </w:tabs>
              <w:suppressAutoHyphens w:val="0"/>
              <w:spacing w:before="24" w:after="24" w:line="240" w:lineRule="auto"/>
              <w:rPr>
                <w:b/>
                <w:bCs/>
                <w:lang w:val="fr-FR"/>
              </w:rPr>
            </w:pPr>
            <w:r w:rsidRPr="00077C40">
              <w:rPr>
                <w:lang w:val="fr-FR"/>
              </w:rPr>
              <w:br w:type="page"/>
            </w:r>
            <w:r w:rsidRPr="00077C40">
              <w:rPr>
                <w:b/>
                <w:lang w:val="fr-FR"/>
              </w:rPr>
              <w:t>P801</w:t>
            </w:r>
          </w:p>
        </w:tc>
        <w:tc>
          <w:tcPr>
            <w:tcW w:w="7938" w:type="dxa"/>
            <w:tcBorders>
              <w:top w:val="single" w:sz="8" w:space="0" w:color="000000"/>
              <w:left w:val="nil"/>
              <w:bottom w:val="single" w:sz="8" w:space="0" w:color="000000"/>
            </w:tcBorders>
          </w:tcPr>
          <w:p w:rsidR="00BB6120" w:rsidRPr="00077C40" w:rsidRDefault="00BB6120" w:rsidP="008A5DC1">
            <w:pPr>
              <w:pageBreakBefore/>
              <w:tabs>
                <w:tab w:val="left" w:pos="1418"/>
                <w:tab w:val="left" w:pos="1985"/>
                <w:tab w:val="left" w:pos="2552"/>
                <w:tab w:val="left" w:pos="3119"/>
                <w:tab w:val="left" w:pos="3686"/>
                <w:tab w:val="left" w:pos="4253"/>
                <w:tab w:val="left" w:pos="4820"/>
              </w:tabs>
              <w:suppressAutoHyphens w:val="0"/>
              <w:spacing w:before="24" w:after="24" w:line="240" w:lineRule="auto"/>
              <w:jc w:val="center"/>
              <w:rPr>
                <w:b/>
                <w:bCs/>
                <w:lang w:val="fr-FR"/>
              </w:rPr>
            </w:pPr>
            <w:r w:rsidRPr="00077C40">
              <w:rPr>
                <w:b/>
                <w:bCs/>
                <w:lang w:val="fr-FR"/>
              </w:rPr>
              <w:t xml:space="preserve">INSTRUCTION D'EMBALLAGE </w:t>
            </w:r>
          </w:p>
        </w:tc>
        <w:tc>
          <w:tcPr>
            <w:tcW w:w="850" w:type="dxa"/>
            <w:tcBorders>
              <w:top w:val="single" w:sz="8" w:space="0" w:color="000000"/>
              <w:bottom w:val="single" w:sz="8" w:space="0" w:color="000000"/>
              <w:right w:val="single" w:sz="8" w:space="0" w:color="000000"/>
            </w:tcBorders>
          </w:tcPr>
          <w:p w:rsidR="00BB6120" w:rsidRPr="00077C40" w:rsidRDefault="00BB6120" w:rsidP="008A5DC1">
            <w:pPr>
              <w:pageBreakBefore/>
              <w:tabs>
                <w:tab w:val="left" w:pos="1418"/>
                <w:tab w:val="left" w:pos="1985"/>
                <w:tab w:val="left" w:pos="2552"/>
                <w:tab w:val="left" w:pos="3119"/>
                <w:tab w:val="left" w:pos="3686"/>
                <w:tab w:val="left" w:pos="4253"/>
                <w:tab w:val="left" w:pos="4820"/>
              </w:tabs>
              <w:suppressAutoHyphens w:val="0"/>
              <w:spacing w:before="24" w:after="24" w:line="240" w:lineRule="auto"/>
              <w:jc w:val="right"/>
              <w:outlineLvl w:val="8"/>
              <w:rPr>
                <w:b/>
                <w:bCs/>
                <w:lang w:val="fr-FR"/>
              </w:rPr>
            </w:pPr>
            <w:r w:rsidRPr="00077C40">
              <w:rPr>
                <w:b/>
                <w:lang w:val="fr-FR"/>
              </w:rPr>
              <w:t>P801</w:t>
            </w:r>
          </w:p>
        </w:tc>
      </w:tr>
      <w:tr w:rsidR="00BB6120" w:rsidRPr="00077C40" w:rsidTr="008A5DC1">
        <w:tc>
          <w:tcPr>
            <w:tcW w:w="9643" w:type="dxa"/>
            <w:gridSpan w:val="3"/>
            <w:tcBorders>
              <w:top w:val="single" w:sz="8" w:space="0" w:color="000000"/>
              <w:left w:val="single" w:sz="8" w:space="0" w:color="000000"/>
              <w:bottom w:val="single" w:sz="8" w:space="0" w:color="000000"/>
              <w:right w:val="single" w:sz="8" w:space="0" w:color="000000"/>
            </w:tcBorders>
          </w:tcPr>
          <w:p w:rsidR="00BB6120" w:rsidRPr="00077C40" w:rsidRDefault="00BB6120" w:rsidP="008A5DC1">
            <w:pPr>
              <w:tabs>
                <w:tab w:val="left" w:pos="1418"/>
                <w:tab w:val="left" w:pos="1985"/>
                <w:tab w:val="left" w:pos="2552"/>
                <w:tab w:val="left" w:pos="3119"/>
                <w:tab w:val="left" w:pos="3686"/>
                <w:tab w:val="left" w:pos="4253"/>
                <w:tab w:val="left" w:pos="4820"/>
              </w:tabs>
              <w:suppressAutoHyphens w:val="0"/>
              <w:spacing w:before="24" w:after="24" w:line="240" w:lineRule="auto"/>
              <w:jc w:val="both"/>
              <w:rPr>
                <w:lang w:val="fr-FR"/>
              </w:rPr>
            </w:pPr>
            <w:r w:rsidRPr="00077C40">
              <w:rPr>
                <w:lang w:val="fr-FR"/>
              </w:rPr>
              <w:t xml:space="preserve">Cette instruction s'applique aux </w:t>
            </w:r>
            <w:r>
              <w:rPr>
                <w:lang w:val="fr-FR"/>
              </w:rPr>
              <w:t>Nos ONU 2794, 2795 et 3028.</w:t>
            </w:r>
          </w:p>
        </w:tc>
      </w:tr>
      <w:tr w:rsidR="00BB6120" w:rsidRPr="00077C40" w:rsidTr="008A5DC1">
        <w:tc>
          <w:tcPr>
            <w:tcW w:w="9643" w:type="dxa"/>
            <w:gridSpan w:val="3"/>
            <w:tcBorders>
              <w:top w:val="single" w:sz="8" w:space="0" w:color="000000"/>
              <w:left w:val="single" w:sz="8" w:space="0" w:color="000000"/>
              <w:right w:val="single" w:sz="8" w:space="0" w:color="000000"/>
            </w:tcBorders>
          </w:tcPr>
          <w:p w:rsidR="00BB6120" w:rsidRPr="00077C40" w:rsidRDefault="00BB6120" w:rsidP="008A5DC1">
            <w:pPr>
              <w:tabs>
                <w:tab w:val="left" w:pos="1418"/>
                <w:tab w:val="left" w:pos="1985"/>
                <w:tab w:val="left" w:pos="2552"/>
                <w:tab w:val="left" w:pos="3119"/>
                <w:tab w:val="left" w:pos="3686"/>
                <w:tab w:val="left" w:pos="4253"/>
                <w:tab w:val="left" w:pos="4820"/>
              </w:tabs>
              <w:suppressAutoHyphens w:val="0"/>
              <w:spacing w:before="24" w:after="24" w:line="240" w:lineRule="auto"/>
              <w:jc w:val="both"/>
              <w:rPr>
                <w:lang w:val="fr-FR"/>
              </w:rPr>
            </w:pPr>
            <w:r w:rsidRPr="00077C40">
              <w:rPr>
                <w:lang w:val="fr-FR"/>
              </w:rPr>
              <w:t>Les</w:t>
            </w:r>
            <w:r>
              <w:rPr>
                <w:lang w:val="fr-FR"/>
              </w:rPr>
              <w:t xml:space="preserve"> </w:t>
            </w:r>
            <w:r w:rsidRPr="00077C40">
              <w:rPr>
                <w:lang w:val="fr-FR"/>
              </w:rPr>
              <w:t xml:space="preserve">emballages suivants sont autorisés s'il est satisfait aux dispositions générales des </w:t>
            </w:r>
            <w:r w:rsidRPr="00077C40">
              <w:rPr>
                <w:b/>
                <w:lang w:val="fr-FR"/>
              </w:rPr>
              <w:t>4.1.1</w:t>
            </w:r>
            <w:r>
              <w:rPr>
                <w:b/>
                <w:lang w:val="fr-FR"/>
              </w:rPr>
              <w:t>.1</w:t>
            </w:r>
            <w:r w:rsidRPr="00077C40">
              <w:rPr>
                <w:lang w:val="fr-FR"/>
              </w:rPr>
              <w:t>,</w:t>
            </w:r>
            <w:r>
              <w:rPr>
                <w:lang w:val="fr-FR"/>
              </w:rPr>
              <w:t xml:space="preserve"> </w:t>
            </w:r>
            <w:r>
              <w:rPr>
                <w:b/>
                <w:bCs/>
                <w:lang w:val="fr-FR"/>
              </w:rPr>
              <w:t>4.1.1.2</w:t>
            </w:r>
            <w:r>
              <w:rPr>
                <w:lang w:val="fr-FR"/>
              </w:rPr>
              <w:t xml:space="preserve">, </w:t>
            </w:r>
            <w:r>
              <w:rPr>
                <w:b/>
                <w:bCs/>
                <w:lang w:val="fr-FR"/>
              </w:rPr>
              <w:t>4.1.1.6</w:t>
            </w:r>
            <w:r w:rsidRPr="00077C40">
              <w:rPr>
                <w:lang w:val="fr-FR"/>
              </w:rPr>
              <w:t xml:space="preserve"> et </w:t>
            </w:r>
            <w:r w:rsidRPr="00077C40">
              <w:rPr>
                <w:b/>
                <w:lang w:val="fr-FR"/>
              </w:rPr>
              <w:t>4.1.3</w:t>
            </w:r>
            <w:r w:rsidRPr="00077C40">
              <w:rPr>
                <w:lang w:val="fr-FR"/>
              </w:rPr>
              <w:t>:</w:t>
            </w:r>
          </w:p>
        </w:tc>
      </w:tr>
      <w:tr w:rsidR="00BB6120" w:rsidRPr="00077C40" w:rsidTr="008A5DC1">
        <w:tc>
          <w:tcPr>
            <w:tcW w:w="9643" w:type="dxa"/>
            <w:gridSpan w:val="3"/>
            <w:tcBorders>
              <w:left w:val="single" w:sz="8" w:space="0" w:color="000000"/>
              <w:right w:val="single" w:sz="8" w:space="0" w:color="000000"/>
            </w:tcBorders>
          </w:tcPr>
          <w:p w:rsidR="00BB6120" w:rsidRPr="00077C40" w:rsidRDefault="00BB6120" w:rsidP="008A5DC1">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513" w:hanging="513"/>
              <w:jc w:val="both"/>
              <w:rPr>
                <w:lang w:val="fr-FR"/>
              </w:rPr>
            </w:pPr>
            <w:r w:rsidRPr="00077C40">
              <w:rPr>
                <w:lang w:val="fr-FR"/>
              </w:rPr>
              <w:t>1)</w:t>
            </w:r>
            <w:r w:rsidRPr="00077C40">
              <w:rPr>
                <w:lang w:val="fr-FR"/>
              </w:rPr>
              <w:tab/>
              <w:t>Emballages extérieurs rigides</w:t>
            </w:r>
            <w:r>
              <w:rPr>
                <w:lang w:val="fr-FR"/>
              </w:rPr>
              <w:t>, h</w:t>
            </w:r>
            <w:r w:rsidRPr="00077C40">
              <w:rPr>
                <w:lang w:val="fr-FR"/>
              </w:rPr>
              <w:t>arasses en bois</w:t>
            </w:r>
            <w:r>
              <w:rPr>
                <w:lang w:val="fr-FR"/>
              </w:rPr>
              <w:t xml:space="preserve"> ou p</w:t>
            </w:r>
            <w:r w:rsidRPr="00077C40">
              <w:rPr>
                <w:lang w:val="fr-FR"/>
              </w:rPr>
              <w:t>alettes</w:t>
            </w:r>
            <w:r>
              <w:rPr>
                <w:lang w:val="fr-FR"/>
              </w:rPr>
              <w:t>.</w:t>
            </w:r>
          </w:p>
        </w:tc>
      </w:tr>
      <w:tr w:rsidR="00BB6120" w:rsidRPr="00077C40" w:rsidTr="008A5DC1">
        <w:tc>
          <w:tcPr>
            <w:tcW w:w="9643" w:type="dxa"/>
            <w:gridSpan w:val="3"/>
            <w:tcBorders>
              <w:left w:val="single" w:sz="8" w:space="0" w:color="000000"/>
              <w:right w:val="single" w:sz="8" w:space="0" w:color="000000"/>
            </w:tcBorders>
          </w:tcPr>
          <w:p w:rsidR="00BB6120" w:rsidRPr="00077C40" w:rsidRDefault="00BB6120" w:rsidP="008A5DC1">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Pr>
                <w:lang w:val="fr-FR"/>
              </w:rPr>
              <w:t>En outre, les conditions suivantes doivent être remplies</w:t>
            </w:r>
            <w:r w:rsidR="00DC20AE">
              <w:rPr>
                <w:lang w:val="fr-FR"/>
              </w:rPr>
              <w:t xml:space="preserve"> </w:t>
            </w:r>
            <w:r>
              <w:rPr>
                <w:lang w:val="fr-FR"/>
              </w:rPr>
              <w:t>:</w:t>
            </w:r>
          </w:p>
        </w:tc>
      </w:tr>
      <w:tr w:rsidR="00BB6120" w:rsidRPr="00077C40" w:rsidTr="008A5DC1">
        <w:tc>
          <w:tcPr>
            <w:tcW w:w="9643" w:type="dxa"/>
            <w:gridSpan w:val="3"/>
            <w:tcBorders>
              <w:left w:val="single" w:sz="8" w:space="0" w:color="000000"/>
              <w:right w:val="single" w:sz="8" w:space="0" w:color="000000"/>
            </w:tcBorders>
          </w:tcPr>
          <w:p w:rsidR="00BB6120" w:rsidRPr="0016645D" w:rsidRDefault="00BB6120" w:rsidP="008A5DC1">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16645D">
              <w:rPr>
                <w:lang w:val="fr-FR"/>
              </w:rPr>
              <w:t xml:space="preserve">a) </w:t>
            </w:r>
            <w:r w:rsidRPr="0016645D">
              <w:rPr>
                <w:lang w:val="fr-FR"/>
              </w:rPr>
              <w:tab/>
              <w:t>Les accumulateurs empilés doivent être placés sur plusieurs niveaux séparés par une couche en matériau non conducteur d’électricité</w:t>
            </w:r>
            <w:r w:rsidR="00DC20AE">
              <w:rPr>
                <w:lang w:val="fr-FR"/>
              </w:rPr>
              <w:t xml:space="preserve"> </w:t>
            </w:r>
            <w:r w:rsidRPr="0016645D">
              <w:rPr>
                <w:lang w:val="fr-FR"/>
              </w:rPr>
              <w:t>;</w:t>
            </w:r>
          </w:p>
        </w:tc>
      </w:tr>
      <w:tr w:rsidR="00BB6120" w:rsidRPr="00077C40" w:rsidTr="008A5DC1">
        <w:tc>
          <w:tcPr>
            <w:tcW w:w="9643" w:type="dxa"/>
            <w:gridSpan w:val="3"/>
            <w:tcBorders>
              <w:left w:val="single" w:sz="8" w:space="0" w:color="000000"/>
              <w:right w:val="single" w:sz="8" w:space="0" w:color="000000"/>
            </w:tcBorders>
          </w:tcPr>
          <w:p w:rsidR="00BB6120" w:rsidRPr="0016645D" w:rsidRDefault="00BB6120" w:rsidP="008A5DC1">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16645D">
              <w:rPr>
                <w:lang w:val="fr-FR"/>
              </w:rPr>
              <w:t xml:space="preserve">b) </w:t>
            </w:r>
            <w:r w:rsidRPr="0016645D">
              <w:rPr>
                <w:lang w:val="fr-FR"/>
              </w:rPr>
              <w:tab/>
              <w:t>Les bornes des accumulateurs ne doivent pas supporter le poids d’autres éléments qui leur seraient superposés</w:t>
            </w:r>
            <w:r w:rsidR="00DC20AE">
              <w:rPr>
                <w:lang w:val="fr-FR"/>
              </w:rPr>
              <w:t xml:space="preserve"> </w:t>
            </w:r>
            <w:r w:rsidRPr="0016645D">
              <w:rPr>
                <w:lang w:val="fr-FR"/>
              </w:rPr>
              <w:t>;</w:t>
            </w:r>
          </w:p>
        </w:tc>
      </w:tr>
      <w:tr w:rsidR="00BB6120" w:rsidRPr="00077C40" w:rsidTr="008A5DC1">
        <w:tc>
          <w:tcPr>
            <w:tcW w:w="9643" w:type="dxa"/>
            <w:gridSpan w:val="3"/>
            <w:tcBorders>
              <w:left w:val="single" w:sz="8" w:space="0" w:color="000000"/>
              <w:right w:val="single" w:sz="8" w:space="0" w:color="000000"/>
            </w:tcBorders>
          </w:tcPr>
          <w:p w:rsidR="00BB6120" w:rsidRPr="0016645D" w:rsidRDefault="00BB6120" w:rsidP="008A5DC1">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16645D">
              <w:rPr>
                <w:lang w:val="fr-FR"/>
              </w:rPr>
              <w:t xml:space="preserve">c) </w:t>
            </w:r>
            <w:r w:rsidRPr="0016645D">
              <w:rPr>
                <w:lang w:val="fr-FR"/>
              </w:rPr>
              <w:tab/>
              <w:t>Les accumulateurs doivent être emballés ou assujettis de manière à empêcher tout mouvement accidentel</w:t>
            </w:r>
            <w:r w:rsidR="00DC20AE">
              <w:rPr>
                <w:lang w:val="fr-FR"/>
              </w:rPr>
              <w:t xml:space="preserve"> </w:t>
            </w:r>
            <w:r w:rsidRPr="0016645D">
              <w:rPr>
                <w:lang w:val="fr-FR"/>
              </w:rPr>
              <w:t>;</w:t>
            </w:r>
          </w:p>
        </w:tc>
      </w:tr>
      <w:tr w:rsidR="00BB6120" w:rsidRPr="00077C40" w:rsidTr="008A5DC1">
        <w:tc>
          <w:tcPr>
            <w:tcW w:w="9643" w:type="dxa"/>
            <w:gridSpan w:val="3"/>
            <w:tcBorders>
              <w:left w:val="single" w:sz="8" w:space="0" w:color="000000"/>
              <w:right w:val="single" w:sz="8" w:space="0" w:color="000000"/>
            </w:tcBorders>
          </w:tcPr>
          <w:p w:rsidR="00BB6120" w:rsidRPr="0016645D" w:rsidRDefault="00BB6120" w:rsidP="008A5DC1">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16645D">
              <w:rPr>
                <w:lang w:val="fr-FR"/>
              </w:rPr>
              <w:t xml:space="preserve">d) </w:t>
            </w:r>
            <w:r w:rsidRPr="0016645D">
              <w:rPr>
                <w:lang w:val="fr-FR"/>
              </w:rPr>
              <w:tab/>
              <w:t>Les accumulateurs ne doivent présenter aucune fuite dans des conditions normales de transport ou des mesures appropriées doivent être prises pour empêcher toute fuite d’électrolyte du colis (par exemple l’emballage individuel des accumulateurs ou d’autr</w:t>
            </w:r>
            <w:r>
              <w:rPr>
                <w:lang w:val="fr-FR"/>
              </w:rPr>
              <w:t>es moyens tout aussi efficaces)</w:t>
            </w:r>
            <w:r w:rsidR="00DC20AE">
              <w:rPr>
                <w:lang w:val="fr-FR"/>
              </w:rPr>
              <w:t xml:space="preserve"> </w:t>
            </w:r>
            <w:r w:rsidRPr="0016645D">
              <w:rPr>
                <w:lang w:val="fr-FR"/>
              </w:rPr>
              <w:t>; et</w:t>
            </w:r>
          </w:p>
        </w:tc>
      </w:tr>
      <w:tr w:rsidR="00BB6120" w:rsidRPr="00077C40" w:rsidTr="008A5DC1">
        <w:tc>
          <w:tcPr>
            <w:tcW w:w="9643" w:type="dxa"/>
            <w:gridSpan w:val="3"/>
            <w:tcBorders>
              <w:left w:val="single" w:sz="8" w:space="0" w:color="000000"/>
              <w:right w:val="single" w:sz="8" w:space="0" w:color="000000"/>
            </w:tcBorders>
          </w:tcPr>
          <w:p w:rsidR="00BB6120" w:rsidRDefault="00BB6120" w:rsidP="008A5DC1">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Pr>
                <w:lang w:val="fr-FR"/>
              </w:rPr>
              <w:t xml:space="preserve">e) </w:t>
            </w:r>
            <w:r w:rsidRPr="00077C40">
              <w:rPr>
                <w:lang w:val="fr-FR"/>
              </w:rPr>
              <w:tab/>
            </w:r>
            <w:r w:rsidRPr="0016645D">
              <w:rPr>
                <w:lang w:val="fr-FR"/>
              </w:rPr>
              <w:t>Les accumulateurs doivent être protégés des courts-circuits.</w:t>
            </w:r>
          </w:p>
        </w:tc>
      </w:tr>
      <w:tr w:rsidR="00BB6120" w:rsidRPr="0016645D" w:rsidTr="008A5DC1">
        <w:tc>
          <w:tcPr>
            <w:tcW w:w="9643" w:type="dxa"/>
            <w:gridSpan w:val="3"/>
            <w:tcBorders>
              <w:left w:val="single" w:sz="8" w:space="0" w:color="000000"/>
              <w:right w:val="single" w:sz="8" w:space="0" w:color="000000"/>
            </w:tcBorders>
          </w:tcPr>
          <w:p w:rsidR="00BB6120" w:rsidRPr="0016645D" w:rsidRDefault="00BB6120" w:rsidP="008A5DC1">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513" w:hanging="513"/>
              <w:jc w:val="both"/>
              <w:rPr>
                <w:lang w:val="fr-FR"/>
              </w:rPr>
            </w:pPr>
            <w:r w:rsidRPr="0016645D">
              <w:rPr>
                <w:lang w:val="fr-FR"/>
              </w:rPr>
              <w:t>2)</w:t>
            </w:r>
            <w:r w:rsidRPr="0016645D">
              <w:rPr>
                <w:lang w:val="fr-FR"/>
              </w:rPr>
              <w:tab/>
              <w:t>Des bacs d’acier inoxydable ou de plastique peuvent aussi être utilisés pour le transport des accumulateurs usagés</w:t>
            </w:r>
            <w:r>
              <w:rPr>
                <w:lang w:val="fr-FR"/>
              </w:rPr>
              <w:t>.</w:t>
            </w:r>
          </w:p>
        </w:tc>
      </w:tr>
      <w:tr w:rsidR="00BB6120" w:rsidRPr="0016645D" w:rsidTr="008A5DC1">
        <w:tc>
          <w:tcPr>
            <w:tcW w:w="9643" w:type="dxa"/>
            <w:gridSpan w:val="3"/>
            <w:tcBorders>
              <w:left w:val="single" w:sz="8" w:space="0" w:color="000000"/>
              <w:right w:val="single" w:sz="8" w:space="0" w:color="000000"/>
            </w:tcBorders>
          </w:tcPr>
          <w:p w:rsidR="00BB6120" w:rsidRPr="0016645D" w:rsidRDefault="00BB6120" w:rsidP="008A5DC1">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Pr>
                <w:lang w:val="fr-FR"/>
              </w:rPr>
              <w:t>En outre, les conditions suivantes doivent être remplies</w:t>
            </w:r>
            <w:r w:rsidR="00DC20AE">
              <w:rPr>
                <w:lang w:val="fr-FR"/>
              </w:rPr>
              <w:t xml:space="preserve"> </w:t>
            </w:r>
            <w:r>
              <w:rPr>
                <w:lang w:val="fr-FR"/>
              </w:rPr>
              <w:t>:</w:t>
            </w:r>
          </w:p>
        </w:tc>
      </w:tr>
      <w:tr w:rsidR="00BB6120" w:rsidRPr="0016645D" w:rsidTr="008A5DC1">
        <w:tc>
          <w:tcPr>
            <w:tcW w:w="9643" w:type="dxa"/>
            <w:gridSpan w:val="3"/>
            <w:tcBorders>
              <w:left w:val="single" w:sz="8" w:space="0" w:color="000000"/>
              <w:right w:val="single" w:sz="8" w:space="0" w:color="000000"/>
            </w:tcBorders>
          </w:tcPr>
          <w:p w:rsidR="00BB6120" w:rsidRDefault="00BB6120" w:rsidP="008A5DC1">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4F3C41">
              <w:rPr>
                <w:lang w:val="fr-FR"/>
              </w:rPr>
              <w:t>a)</w:t>
            </w:r>
            <w:r w:rsidRPr="004F3C41">
              <w:rPr>
                <w:lang w:val="fr-FR"/>
              </w:rPr>
              <w:tab/>
              <w:t xml:space="preserve">Les bacs pour accumulateurs doivent être résistants aux électrolytes </w:t>
            </w:r>
            <w:r>
              <w:rPr>
                <w:lang w:val="fr-FR"/>
              </w:rPr>
              <w:t>qui étaient</w:t>
            </w:r>
            <w:r w:rsidRPr="004F3C41">
              <w:rPr>
                <w:lang w:val="fr-FR"/>
              </w:rPr>
              <w:t xml:space="preserve"> contenus dans les accumulate</w:t>
            </w:r>
            <w:r>
              <w:rPr>
                <w:lang w:val="fr-FR"/>
              </w:rPr>
              <w:t>urs</w:t>
            </w:r>
            <w:r w:rsidR="00DC20AE">
              <w:rPr>
                <w:lang w:val="fr-FR"/>
              </w:rPr>
              <w:t xml:space="preserve"> </w:t>
            </w:r>
            <w:r w:rsidRPr="004F3C41">
              <w:rPr>
                <w:lang w:val="fr-FR"/>
              </w:rPr>
              <w:t>;</w:t>
            </w:r>
          </w:p>
        </w:tc>
      </w:tr>
      <w:tr w:rsidR="00BB6120" w:rsidRPr="0016645D" w:rsidTr="008A5DC1">
        <w:tc>
          <w:tcPr>
            <w:tcW w:w="9643" w:type="dxa"/>
            <w:gridSpan w:val="3"/>
            <w:tcBorders>
              <w:left w:val="single" w:sz="8" w:space="0" w:color="000000"/>
              <w:right w:val="single" w:sz="8" w:space="0" w:color="000000"/>
            </w:tcBorders>
          </w:tcPr>
          <w:p w:rsidR="00BB6120" w:rsidRDefault="00BB6120" w:rsidP="008A5DC1">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4F3C41">
              <w:rPr>
                <w:lang w:val="fr-FR"/>
              </w:rPr>
              <w:t>b)</w:t>
            </w:r>
            <w:r w:rsidRPr="004F3C41">
              <w:rPr>
                <w:lang w:val="fr-FR"/>
              </w:rPr>
              <w:tab/>
              <w:t>La hauteur de chargement des accumulateurs ne doit pas dépasser le bord supérieu</w:t>
            </w:r>
            <w:r>
              <w:rPr>
                <w:lang w:val="fr-FR"/>
              </w:rPr>
              <w:t>r des parois des bacs</w:t>
            </w:r>
            <w:r w:rsidR="00DC20AE">
              <w:rPr>
                <w:lang w:val="fr-FR"/>
              </w:rPr>
              <w:t xml:space="preserve"> </w:t>
            </w:r>
            <w:r w:rsidRPr="004F3C41">
              <w:rPr>
                <w:lang w:val="fr-FR"/>
              </w:rPr>
              <w:t>;</w:t>
            </w:r>
          </w:p>
        </w:tc>
      </w:tr>
      <w:tr w:rsidR="00BB6120" w:rsidRPr="0016645D" w:rsidTr="008A5DC1">
        <w:tc>
          <w:tcPr>
            <w:tcW w:w="9643" w:type="dxa"/>
            <w:gridSpan w:val="3"/>
            <w:tcBorders>
              <w:left w:val="single" w:sz="8" w:space="0" w:color="000000"/>
              <w:right w:val="single" w:sz="8" w:space="0" w:color="000000"/>
            </w:tcBorders>
          </w:tcPr>
          <w:p w:rsidR="00BB6120" w:rsidRDefault="00BB6120" w:rsidP="008A5DC1">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Pr>
                <w:lang w:val="fr-FR"/>
              </w:rPr>
              <w:t>c</w:t>
            </w:r>
            <w:r w:rsidRPr="004F3C41">
              <w:rPr>
                <w:lang w:val="fr-FR"/>
              </w:rPr>
              <w:t>)</w:t>
            </w:r>
            <w:r w:rsidRPr="004F3C41">
              <w:rPr>
                <w:lang w:val="fr-FR"/>
              </w:rPr>
              <w:tab/>
            </w:r>
            <w:r>
              <w:rPr>
                <w:lang w:val="fr-FR"/>
              </w:rPr>
              <w:t>Aucun résidu</w:t>
            </w:r>
            <w:r w:rsidRPr="004F3C41">
              <w:rPr>
                <w:lang w:val="fr-FR"/>
              </w:rPr>
              <w:t xml:space="preserve"> de l’électrolyte contenu dans les accumulateurs ne doit adhérer </w:t>
            </w:r>
            <w:proofErr w:type="gramStart"/>
            <w:r w:rsidRPr="004F3C41">
              <w:rPr>
                <w:lang w:val="fr-FR"/>
              </w:rPr>
              <w:t>à la surface extérieures</w:t>
            </w:r>
            <w:proofErr w:type="gramEnd"/>
            <w:r w:rsidRPr="004F3C41">
              <w:rPr>
                <w:lang w:val="fr-FR"/>
              </w:rPr>
              <w:t xml:space="preserve"> des bacs</w:t>
            </w:r>
            <w:r w:rsidR="00DC20AE">
              <w:rPr>
                <w:lang w:val="fr-FR"/>
              </w:rPr>
              <w:t xml:space="preserve"> </w:t>
            </w:r>
            <w:r w:rsidRPr="004F3C41">
              <w:rPr>
                <w:lang w:val="fr-FR"/>
              </w:rPr>
              <w:t>;</w:t>
            </w:r>
          </w:p>
        </w:tc>
      </w:tr>
      <w:tr w:rsidR="00BB6120" w:rsidRPr="0016645D" w:rsidTr="008A5DC1">
        <w:tc>
          <w:tcPr>
            <w:tcW w:w="9643" w:type="dxa"/>
            <w:gridSpan w:val="3"/>
            <w:tcBorders>
              <w:left w:val="single" w:sz="8" w:space="0" w:color="000000"/>
              <w:right w:val="single" w:sz="8" w:space="0" w:color="000000"/>
            </w:tcBorders>
          </w:tcPr>
          <w:p w:rsidR="00BB6120" w:rsidRDefault="00BB6120" w:rsidP="008A5DC1">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4F3C41">
              <w:rPr>
                <w:lang w:val="fr-FR"/>
              </w:rPr>
              <w:t>d)</w:t>
            </w:r>
            <w:r w:rsidRPr="004F3C41">
              <w:rPr>
                <w:lang w:val="fr-FR"/>
              </w:rPr>
              <w:tab/>
              <w:t>Dans les conditions normales de transport, il ne doit y avoir aucune fuite d’électrolyte des bacs</w:t>
            </w:r>
            <w:r w:rsidR="00DC20AE">
              <w:rPr>
                <w:lang w:val="fr-FR"/>
              </w:rPr>
              <w:t xml:space="preserve"> </w:t>
            </w:r>
            <w:r w:rsidRPr="004F3C41">
              <w:rPr>
                <w:lang w:val="fr-FR"/>
              </w:rPr>
              <w:t>;</w:t>
            </w:r>
          </w:p>
        </w:tc>
      </w:tr>
      <w:tr w:rsidR="00BB6120" w:rsidRPr="0016645D" w:rsidTr="008A5DC1">
        <w:tc>
          <w:tcPr>
            <w:tcW w:w="9643" w:type="dxa"/>
            <w:gridSpan w:val="3"/>
            <w:tcBorders>
              <w:left w:val="single" w:sz="8" w:space="0" w:color="000000"/>
              <w:right w:val="single" w:sz="8" w:space="0" w:color="000000"/>
            </w:tcBorders>
          </w:tcPr>
          <w:p w:rsidR="00BB6120" w:rsidRDefault="00BB6120" w:rsidP="008A5DC1">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4F3C41">
              <w:rPr>
                <w:lang w:val="fr-FR"/>
              </w:rPr>
              <w:t>e)</w:t>
            </w:r>
            <w:r w:rsidRPr="004F3C41">
              <w:rPr>
                <w:lang w:val="fr-FR"/>
              </w:rPr>
              <w:tab/>
              <w:t xml:space="preserve">Des mesures doivent être prises pour que les bacs remplis ne </w:t>
            </w:r>
            <w:r>
              <w:rPr>
                <w:lang w:val="fr-FR"/>
              </w:rPr>
              <w:t>puissent perdre de leur contenu</w:t>
            </w:r>
            <w:r w:rsidR="00DC20AE">
              <w:rPr>
                <w:lang w:val="fr-FR"/>
              </w:rPr>
              <w:t xml:space="preserve"> </w:t>
            </w:r>
            <w:r w:rsidRPr="004F3C41">
              <w:rPr>
                <w:lang w:val="fr-FR"/>
              </w:rPr>
              <w:t>; et</w:t>
            </w:r>
          </w:p>
        </w:tc>
      </w:tr>
      <w:tr w:rsidR="00BB6120" w:rsidRPr="0016645D" w:rsidTr="008A5DC1">
        <w:tc>
          <w:tcPr>
            <w:tcW w:w="9643" w:type="dxa"/>
            <w:gridSpan w:val="3"/>
            <w:tcBorders>
              <w:left w:val="single" w:sz="8" w:space="0" w:color="000000"/>
              <w:right w:val="single" w:sz="8" w:space="0" w:color="000000"/>
            </w:tcBorders>
          </w:tcPr>
          <w:p w:rsidR="00BB6120" w:rsidRDefault="00BB6120" w:rsidP="008A5DC1">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4F3C41">
              <w:rPr>
                <w:lang w:val="fr-FR"/>
              </w:rPr>
              <w:t>f)</w:t>
            </w:r>
            <w:r w:rsidRPr="004F3C41">
              <w:rPr>
                <w:lang w:val="fr-FR"/>
              </w:rPr>
              <w:tab/>
              <w:t>Des mesures doivent être prises pour éviter les courts-circuits</w:t>
            </w:r>
            <w:r>
              <w:rPr>
                <w:lang w:val="fr-FR"/>
              </w:rPr>
              <w:t xml:space="preserve"> (par exemple</w:t>
            </w:r>
            <w:r w:rsidR="00DC20AE">
              <w:rPr>
                <w:lang w:val="fr-FR"/>
              </w:rPr>
              <w:t xml:space="preserve"> </w:t>
            </w:r>
            <w:r>
              <w:rPr>
                <w:lang w:val="fr-FR"/>
              </w:rPr>
              <w:t>:</w:t>
            </w:r>
            <w:r w:rsidRPr="0057774A">
              <w:rPr>
                <w:lang w:val="fr-FR"/>
              </w:rPr>
              <w:t xml:space="preserve"> les </w:t>
            </w:r>
            <w:r w:rsidRPr="004F3C41">
              <w:rPr>
                <w:lang w:val="fr-FR"/>
              </w:rPr>
              <w:t xml:space="preserve">accumulateurs </w:t>
            </w:r>
            <w:r>
              <w:rPr>
                <w:lang w:val="fr-FR"/>
              </w:rPr>
              <w:t>sont déchargé</w:t>
            </w:r>
            <w:r w:rsidRPr="0057774A">
              <w:rPr>
                <w:lang w:val="fr-FR"/>
              </w:rPr>
              <w:t>s</w:t>
            </w:r>
            <w:r>
              <w:rPr>
                <w:lang w:val="fr-FR"/>
              </w:rPr>
              <w:t xml:space="preserve">, </w:t>
            </w:r>
            <w:r w:rsidRPr="0057774A">
              <w:rPr>
                <w:lang w:val="fr-FR"/>
              </w:rPr>
              <w:t xml:space="preserve">protection individuelle des bornes </w:t>
            </w:r>
            <w:r>
              <w:rPr>
                <w:lang w:val="fr-FR"/>
              </w:rPr>
              <w:t xml:space="preserve">des </w:t>
            </w:r>
            <w:r w:rsidRPr="004F3C41">
              <w:rPr>
                <w:lang w:val="fr-FR"/>
              </w:rPr>
              <w:t>accumulateurs</w:t>
            </w:r>
            <w:r>
              <w:rPr>
                <w:lang w:val="fr-FR"/>
              </w:rPr>
              <w:t xml:space="preserve">, </w:t>
            </w:r>
            <w:proofErr w:type="spellStart"/>
            <w:r>
              <w:rPr>
                <w:lang w:val="fr-FR"/>
              </w:rPr>
              <w:t>etc</w:t>
            </w:r>
            <w:proofErr w:type="spellEnd"/>
            <w:r>
              <w:rPr>
                <w:lang w:val="fr-FR"/>
              </w:rPr>
              <w:t>)</w:t>
            </w:r>
            <w:r w:rsidRPr="004F3C41">
              <w:rPr>
                <w:lang w:val="fr-FR"/>
              </w:rPr>
              <w:t>.</w:t>
            </w:r>
          </w:p>
        </w:tc>
      </w:tr>
      <w:tr w:rsidR="00BB6120" w:rsidRPr="00077C40" w:rsidTr="008A5DC1">
        <w:tc>
          <w:tcPr>
            <w:tcW w:w="9643" w:type="dxa"/>
            <w:gridSpan w:val="3"/>
            <w:tcBorders>
              <w:left w:val="single" w:sz="8" w:space="0" w:color="000000"/>
              <w:bottom w:val="single" w:sz="8" w:space="0" w:color="000000"/>
              <w:right w:val="single" w:sz="8" w:space="0" w:color="000000"/>
            </w:tcBorders>
            <w:tcMar>
              <w:top w:w="57" w:type="dxa"/>
              <w:bottom w:w="57" w:type="dxa"/>
            </w:tcMar>
          </w:tcPr>
          <w:p w:rsidR="00BB6120" w:rsidRPr="00077C40" w:rsidRDefault="00BB6120" w:rsidP="008A5DC1">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p>
        </w:tc>
      </w:tr>
    </w:tbl>
    <w:p w:rsidR="00780966" w:rsidRDefault="00780966" w:rsidP="00780966">
      <w:pPr>
        <w:spacing w:before="120" w:after="120" w:line="240" w:lineRule="auto"/>
        <w:ind w:left="1134" w:right="1134"/>
        <w:jc w:val="both"/>
        <w:rPr>
          <w:i/>
          <w:iCs/>
        </w:rPr>
      </w:pPr>
      <w:r w:rsidRPr="001539C6">
        <w:rPr>
          <w:i/>
          <w:iCs/>
        </w:rPr>
        <w:t>(</w:t>
      </w:r>
      <w:r w:rsidRPr="001539C6">
        <w:rPr>
          <w:i/>
          <w:iCs/>
          <w:lang w:val="fr-FR"/>
        </w:rPr>
        <w:t>Document de référence</w:t>
      </w:r>
      <w:r>
        <w:rPr>
          <w:i/>
          <w:iCs/>
          <w:lang w:val="fr-FR"/>
        </w:rPr>
        <w:t> </w:t>
      </w:r>
      <w:r w:rsidRPr="001539C6">
        <w:rPr>
          <w:i/>
          <w:iCs/>
        </w:rPr>
        <w:t>: ST/SG/AC.10/C.3/201</w:t>
      </w:r>
      <w:r>
        <w:rPr>
          <w:i/>
          <w:iCs/>
        </w:rPr>
        <w:t>8</w:t>
      </w:r>
      <w:r w:rsidRPr="001539C6">
        <w:rPr>
          <w:i/>
          <w:iCs/>
        </w:rPr>
        <w:t>/</w:t>
      </w:r>
      <w:r>
        <w:rPr>
          <w:i/>
          <w:iCs/>
        </w:rPr>
        <w:t xml:space="preserve">21 et </w:t>
      </w:r>
      <w:r>
        <w:rPr>
          <w:i/>
          <w:iCs/>
          <w:lang w:val="fr-FR"/>
        </w:rPr>
        <w:t>document informel INF.62</w:t>
      </w:r>
      <w:r w:rsidRPr="001539C6">
        <w:rPr>
          <w:i/>
          <w:iCs/>
        </w:rPr>
        <w:t>)</w:t>
      </w:r>
    </w:p>
    <w:p w:rsidR="00DC20AE" w:rsidRDefault="00DC20AE">
      <w:pPr>
        <w:suppressAutoHyphens w:val="0"/>
        <w:spacing w:line="240" w:lineRule="auto"/>
        <w:rPr>
          <w:iCs/>
          <w:lang w:val="fr-FR"/>
        </w:rPr>
      </w:pPr>
      <w:r>
        <w:rPr>
          <w:iCs/>
          <w:lang w:val="fr-FR"/>
        </w:rPr>
        <w:br w:type="page"/>
      </w:r>
    </w:p>
    <w:p w:rsidR="008E5A7A" w:rsidRPr="006B0E45" w:rsidRDefault="008E5A7A" w:rsidP="00780966">
      <w:pPr>
        <w:pStyle w:val="SingleTxtG"/>
        <w:rPr>
          <w:iCs/>
          <w:lang w:val="fr-FR"/>
        </w:rPr>
      </w:pPr>
      <w:r w:rsidRPr="006B0E45">
        <w:rPr>
          <w:iCs/>
          <w:lang w:val="fr-FR"/>
        </w:rPr>
        <w:lastRenderedPageBreak/>
        <w:t>[4.1.4.1</w:t>
      </w:r>
      <w:r w:rsidRPr="006B0E45">
        <w:rPr>
          <w:iCs/>
          <w:lang w:val="fr-FR"/>
        </w:rPr>
        <w:tab/>
        <w:t>Ajouter la nouvelle instruction d’emballage P622 suivante :</w:t>
      </w:r>
    </w:p>
    <w:tbl>
      <w:tblPr>
        <w:tblW w:w="9643" w:type="dxa"/>
        <w:tblInd w:w="54"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855"/>
        <w:gridCol w:w="2359"/>
        <w:gridCol w:w="3214"/>
        <w:gridCol w:w="2365"/>
        <w:gridCol w:w="850"/>
      </w:tblGrid>
      <w:tr w:rsidR="008E5A7A" w:rsidRPr="008A3492" w:rsidTr="00513990">
        <w:trPr>
          <w:tblHeader/>
        </w:trPr>
        <w:tc>
          <w:tcPr>
            <w:tcW w:w="855" w:type="dxa"/>
            <w:tcBorders>
              <w:top w:val="single" w:sz="4" w:space="0" w:color="000000"/>
              <w:bottom w:val="single" w:sz="4" w:space="0" w:color="auto"/>
            </w:tcBorders>
          </w:tcPr>
          <w:p w:rsidR="008E5A7A" w:rsidRPr="008A3492" w:rsidRDefault="008E5A7A" w:rsidP="00513990">
            <w:pPr>
              <w:spacing w:before="40" w:after="40"/>
              <w:rPr>
                <w:b/>
                <w:bCs/>
                <w:color w:val="000000"/>
                <w:sz w:val="18"/>
                <w:szCs w:val="18"/>
                <w:lang w:val="fr-FR"/>
              </w:rPr>
            </w:pPr>
            <w:r w:rsidRPr="008A3492">
              <w:rPr>
                <w:b/>
                <w:bCs/>
                <w:sz w:val="18"/>
                <w:szCs w:val="18"/>
                <w:lang w:val="fr-FR"/>
              </w:rPr>
              <w:t>P622</w:t>
            </w:r>
          </w:p>
        </w:tc>
        <w:tc>
          <w:tcPr>
            <w:tcW w:w="7938" w:type="dxa"/>
            <w:gridSpan w:val="3"/>
            <w:tcBorders>
              <w:top w:val="single" w:sz="4" w:space="0" w:color="000000"/>
              <w:bottom w:val="single" w:sz="4" w:space="0" w:color="auto"/>
            </w:tcBorders>
          </w:tcPr>
          <w:p w:rsidR="008E5A7A" w:rsidRPr="008A3492" w:rsidRDefault="008E5A7A" w:rsidP="00513990">
            <w:pPr>
              <w:spacing w:before="40" w:after="40"/>
              <w:jc w:val="center"/>
              <w:rPr>
                <w:b/>
                <w:bCs/>
                <w:color w:val="000000"/>
                <w:sz w:val="18"/>
                <w:szCs w:val="18"/>
                <w:lang w:val="fr-FR"/>
              </w:rPr>
            </w:pPr>
            <w:r w:rsidRPr="008A3492">
              <w:rPr>
                <w:b/>
                <w:bCs/>
                <w:sz w:val="18"/>
                <w:szCs w:val="18"/>
                <w:lang w:val="fr-FR"/>
              </w:rPr>
              <w:t>INSTRUCTION D’EMBALLAGE</w:t>
            </w:r>
          </w:p>
        </w:tc>
        <w:tc>
          <w:tcPr>
            <w:tcW w:w="850" w:type="dxa"/>
            <w:tcBorders>
              <w:top w:val="single" w:sz="4" w:space="0" w:color="000000"/>
              <w:bottom w:val="single" w:sz="4" w:space="0" w:color="auto"/>
            </w:tcBorders>
          </w:tcPr>
          <w:p w:rsidR="008E5A7A" w:rsidRPr="008A3492" w:rsidRDefault="008E5A7A" w:rsidP="00513990">
            <w:pPr>
              <w:spacing w:before="40" w:after="40"/>
              <w:rPr>
                <w:b/>
                <w:bCs/>
                <w:color w:val="000000"/>
                <w:sz w:val="18"/>
                <w:szCs w:val="18"/>
                <w:lang w:val="fr-FR"/>
              </w:rPr>
            </w:pPr>
            <w:r w:rsidRPr="008A3492">
              <w:rPr>
                <w:b/>
                <w:bCs/>
                <w:sz w:val="18"/>
                <w:szCs w:val="18"/>
                <w:lang w:val="fr-FR"/>
              </w:rPr>
              <w:t xml:space="preserve">      P622</w:t>
            </w:r>
          </w:p>
        </w:tc>
      </w:tr>
      <w:tr w:rsidR="008E5A7A" w:rsidRPr="008A3492" w:rsidTr="00513990">
        <w:tc>
          <w:tcPr>
            <w:tcW w:w="9643" w:type="dxa"/>
            <w:gridSpan w:val="5"/>
            <w:tcBorders>
              <w:top w:val="single" w:sz="4" w:space="0" w:color="auto"/>
              <w:bottom w:val="single" w:sz="4" w:space="0" w:color="000000"/>
            </w:tcBorders>
          </w:tcPr>
          <w:p w:rsidR="008E5A7A" w:rsidRPr="008A3492" w:rsidRDefault="008E5A7A" w:rsidP="00513990">
            <w:pPr>
              <w:spacing w:before="40" w:after="40" w:line="240" w:lineRule="auto"/>
              <w:rPr>
                <w:color w:val="000000"/>
                <w:sz w:val="18"/>
                <w:szCs w:val="18"/>
                <w:lang w:val="fr-FR"/>
              </w:rPr>
            </w:pPr>
            <w:r w:rsidRPr="008A3492">
              <w:rPr>
                <w:sz w:val="18"/>
                <w:szCs w:val="18"/>
                <w:lang w:val="fr-FR"/>
              </w:rPr>
              <w:t>La présente instruction s’applique au No ONU 3549.</w:t>
            </w:r>
          </w:p>
        </w:tc>
      </w:tr>
      <w:tr w:rsidR="008E5A7A" w:rsidRPr="008A3492" w:rsidTr="00513990">
        <w:tc>
          <w:tcPr>
            <w:tcW w:w="9643" w:type="dxa"/>
            <w:gridSpan w:val="5"/>
            <w:tcBorders>
              <w:top w:val="single" w:sz="4" w:space="0" w:color="000000"/>
              <w:bottom w:val="single" w:sz="4" w:space="0" w:color="000000"/>
            </w:tcBorders>
          </w:tcPr>
          <w:p w:rsidR="008E5A7A" w:rsidRPr="008A3492" w:rsidRDefault="008E5A7A" w:rsidP="00513990">
            <w:pPr>
              <w:spacing w:before="40" w:after="40" w:line="240" w:lineRule="auto"/>
              <w:rPr>
                <w:color w:val="000000"/>
                <w:sz w:val="18"/>
                <w:szCs w:val="18"/>
                <w:lang w:val="fr-FR"/>
              </w:rPr>
            </w:pPr>
            <w:r w:rsidRPr="008A3492">
              <w:rPr>
                <w:sz w:val="18"/>
                <w:szCs w:val="18"/>
                <w:lang w:val="fr-FR"/>
              </w:rPr>
              <w:t xml:space="preserve">Les emballages suivants sont autorisés s’il est satisfait aux dispositions générales des </w:t>
            </w:r>
            <w:r w:rsidRPr="008A3492">
              <w:rPr>
                <w:b/>
                <w:sz w:val="18"/>
                <w:szCs w:val="18"/>
                <w:lang w:val="fr-FR"/>
              </w:rPr>
              <w:t>4.1.1</w:t>
            </w:r>
            <w:r w:rsidRPr="008A3492">
              <w:rPr>
                <w:sz w:val="18"/>
                <w:szCs w:val="18"/>
                <w:lang w:val="fr-FR"/>
              </w:rPr>
              <w:t xml:space="preserve"> et </w:t>
            </w:r>
            <w:r w:rsidRPr="008A3492">
              <w:rPr>
                <w:b/>
                <w:sz w:val="18"/>
                <w:szCs w:val="18"/>
                <w:lang w:val="fr-FR"/>
              </w:rPr>
              <w:t>4.1.3</w:t>
            </w:r>
            <w:r w:rsidRPr="008A3492">
              <w:rPr>
                <w:sz w:val="18"/>
                <w:szCs w:val="18"/>
                <w:lang w:val="fr-FR"/>
              </w:rPr>
              <w:t> :</w:t>
            </w:r>
          </w:p>
        </w:tc>
      </w:tr>
      <w:tr w:rsidR="008E5A7A" w:rsidRPr="008A3492" w:rsidTr="00513990">
        <w:tc>
          <w:tcPr>
            <w:tcW w:w="3214" w:type="dxa"/>
            <w:gridSpan w:val="2"/>
            <w:tcBorders>
              <w:top w:val="single" w:sz="4" w:space="0" w:color="000000"/>
              <w:bottom w:val="single" w:sz="4" w:space="0" w:color="000000"/>
              <w:right w:val="single" w:sz="4" w:space="0" w:color="auto"/>
            </w:tcBorders>
          </w:tcPr>
          <w:p w:rsidR="008E5A7A" w:rsidRPr="008A3492" w:rsidRDefault="008E5A7A" w:rsidP="00513990">
            <w:pPr>
              <w:spacing w:before="40" w:after="40"/>
              <w:rPr>
                <w:b/>
                <w:color w:val="000000"/>
                <w:sz w:val="18"/>
                <w:szCs w:val="18"/>
                <w:lang w:val="fr-FR"/>
              </w:rPr>
            </w:pPr>
            <w:r w:rsidRPr="008A3492">
              <w:rPr>
                <w:b/>
                <w:bCs/>
                <w:sz w:val="18"/>
                <w:szCs w:val="18"/>
                <w:lang w:val="fr-FR"/>
              </w:rPr>
              <w:t>Emballages intérieurs</w:t>
            </w:r>
          </w:p>
        </w:tc>
        <w:tc>
          <w:tcPr>
            <w:tcW w:w="3214" w:type="dxa"/>
            <w:tcBorders>
              <w:top w:val="single" w:sz="4" w:space="0" w:color="000000"/>
              <w:left w:val="single" w:sz="4" w:space="0" w:color="auto"/>
              <w:bottom w:val="single" w:sz="4" w:space="0" w:color="000000"/>
              <w:right w:val="single" w:sz="4" w:space="0" w:color="auto"/>
            </w:tcBorders>
          </w:tcPr>
          <w:p w:rsidR="008E5A7A" w:rsidRPr="008A3492" w:rsidRDefault="008E5A7A" w:rsidP="00513990">
            <w:pPr>
              <w:spacing w:before="40" w:after="40"/>
              <w:rPr>
                <w:b/>
                <w:color w:val="000000"/>
                <w:sz w:val="18"/>
                <w:szCs w:val="18"/>
                <w:lang w:val="fr-FR"/>
              </w:rPr>
            </w:pPr>
            <w:r w:rsidRPr="008A3492">
              <w:rPr>
                <w:b/>
                <w:bCs/>
                <w:sz w:val="18"/>
                <w:szCs w:val="18"/>
                <w:lang w:val="fr-FR"/>
              </w:rPr>
              <w:t>Emballages intermédiaires</w:t>
            </w:r>
          </w:p>
        </w:tc>
        <w:tc>
          <w:tcPr>
            <w:tcW w:w="3215" w:type="dxa"/>
            <w:gridSpan w:val="2"/>
            <w:tcBorders>
              <w:top w:val="single" w:sz="4" w:space="0" w:color="000000"/>
              <w:left w:val="single" w:sz="4" w:space="0" w:color="auto"/>
              <w:bottom w:val="single" w:sz="4" w:space="0" w:color="000000"/>
            </w:tcBorders>
          </w:tcPr>
          <w:p w:rsidR="008E5A7A" w:rsidRPr="008A3492" w:rsidRDefault="008E5A7A" w:rsidP="00513990">
            <w:pPr>
              <w:spacing w:before="40" w:after="40"/>
              <w:rPr>
                <w:b/>
                <w:color w:val="000000"/>
                <w:sz w:val="18"/>
                <w:szCs w:val="18"/>
                <w:lang w:val="fr-FR"/>
              </w:rPr>
            </w:pPr>
            <w:r w:rsidRPr="008A3492">
              <w:rPr>
                <w:b/>
                <w:bCs/>
                <w:sz w:val="18"/>
                <w:szCs w:val="18"/>
                <w:lang w:val="fr-FR"/>
              </w:rPr>
              <w:t>Emballages extérieurs</w:t>
            </w:r>
          </w:p>
        </w:tc>
      </w:tr>
      <w:tr w:rsidR="008E5A7A" w:rsidRPr="008A3492" w:rsidTr="00513990">
        <w:trPr>
          <w:trHeight w:val="2897"/>
        </w:trPr>
        <w:tc>
          <w:tcPr>
            <w:tcW w:w="3214" w:type="dxa"/>
            <w:gridSpan w:val="2"/>
            <w:tcBorders>
              <w:top w:val="single" w:sz="4" w:space="0" w:color="000000"/>
              <w:bottom w:val="single" w:sz="4" w:space="0" w:color="000000"/>
              <w:right w:val="single" w:sz="4" w:space="0" w:color="auto"/>
            </w:tcBorders>
          </w:tcPr>
          <w:p w:rsidR="008E5A7A" w:rsidRPr="008A3492" w:rsidRDefault="008E5A7A" w:rsidP="00513990">
            <w:pPr>
              <w:spacing w:before="40" w:after="40"/>
              <w:rPr>
                <w:color w:val="000000"/>
                <w:sz w:val="18"/>
                <w:szCs w:val="18"/>
                <w:lang w:val="fr-FR"/>
              </w:rPr>
            </w:pPr>
            <w:proofErr w:type="gramStart"/>
            <w:r w:rsidRPr="008A3492">
              <w:rPr>
                <w:sz w:val="18"/>
                <w:szCs w:val="18"/>
                <w:lang w:val="fr-FR"/>
              </w:rPr>
              <w:t>en</w:t>
            </w:r>
            <w:proofErr w:type="gramEnd"/>
            <w:r w:rsidRPr="008A3492">
              <w:rPr>
                <w:sz w:val="18"/>
                <w:szCs w:val="18"/>
                <w:lang w:val="fr-FR"/>
              </w:rPr>
              <w:t xml:space="preserve"> métal</w:t>
            </w:r>
          </w:p>
          <w:p w:rsidR="008E5A7A" w:rsidRPr="008A3492" w:rsidRDefault="008E5A7A" w:rsidP="00513990">
            <w:pPr>
              <w:spacing w:before="40" w:after="40"/>
              <w:rPr>
                <w:color w:val="000000"/>
                <w:sz w:val="18"/>
                <w:szCs w:val="18"/>
                <w:lang w:val="fr-FR"/>
              </w:rPr>
            </w:pPr>
            <w:proofErr w:type="gramStart"/>
            <w:r w:rsidRPr="008A3492">
              <w:rPr>
                <w:sz w:val="18"/>
                <w:szCs w:val="18"/>
                <w:lang w:val="fr-FR"/>
              </w:rPr>
              <w:t>en</w:t>
            </w:r>
            <w:proofErr w:type="gramEnd"/>
            <w:r w:rsidRPr="008A3492">
              <w:rPr>
                <w:sz w:val="18"/>
                <w:szCs w:val="18"/>
                <w:lang w:val="fr-FR"/>
              </w:rPr>
              <w:t xml:space="preserve"> plastique</w:t>
            </w:r>
          </w:p>
        </w:tc>
        <w:tc>
          <w:tcPr>
            <w:tcW w:w="3214" w:type="dxa"/>
            <w:tcBorders>
              <w:top w:val="single" w:sz="4" w:space="0" w:color="000000"/>
              <w:left w:val="single" w:sz="4" w:space="0" w:color="auto"/>
              <w:bottom w:val="single" w:sz="4" w:space="0" w:color="000000"/>
              <w:right w:val="single" w:sz="4" w:space="0" w:color="auto"/>
            </w:tcBorders>
          </w:tcPr>
          <w:p w:rsidR="008E5A7A" w:rsidRPr="008A3492" w:rsidRDefault="008E5A7A" w:rsidP="00513990">
            <w:pPr>
              <w:spacing w:before="40" w:after="40"/>
              <w:rPr>
                <w:color w:val="000000"/>
                <w:sz w:val="18"/>
                <w:szCs w:val="18"/>
                <w:lang w:val="fr-FR"/>
              </w:rPr>
            </w:pPr>
            <w:proofErr w:type="gramStart"/>
            <w:r w:rsidRPr="008A3492">
              <w:rPr>
                <w:sz w:val="18"/>
                <w:szCs w:val="18"/>
                <w:lang w:val="fr-FR"/>
              </w:rPr>
              <w:t>en</w:t>
            </w:r>
            <w:proofErr w:type="gramEnd"/>
            <w:r w:rsidRPr="008A3492">
              <w:rPr>
                <w:sz w:val="18"/>
                <w:szCs w:val="18"/>
                <w:lang w:val="fr-FR"/>
              </w:rPr>
              <w:t xml:space="preserve"> métal</w:t>
            </w:r>
          </w:p>
          <w:p w:rsidR="008E5A7A" w:rsidRPr="008A3492" w:rsidRDefault="008E5A7A" w:rsidP="00513990">
            <w:pPr>
              <w:spacing w:before="40" w:after="40"/>
              <w:rPr>
                <w:color w:val="000000"/>
                <w:sz w:val="18"/>
                <w:szCs w:val="18"/>
                <w:lang w:val="fr-FR"/>
              </w:rPr>
            </w:pPr>
            <w:proofErr w:type="gramStart"/>
            <w:r w:rsidRPr="008A3492">
              <w:rPr>
                <w:sz w:val="18"/>
                <w:szCs w:val="18"/>
                <w:lang w:val="fr-FR"/>
              </w:rPr>
              <w:t>en</w:t>
            </w:r>
            <w:proofErr w:type="gramEnd"/>
            <w:r w:rsidRPr="008A3492">
              <w:rPr>
                <w:sz w:val="18"/>
                <w:szCs w:val="18"/>
                <w:lang w:val="fr-FR"/>
              </w:rPr>
              <w:t xml:space="preserve"> plastique</w:t>
            </w:r>
          </w:p>
        </w:tc>
        <w:tc>
          <w:tcPr>
            <w:tcW w:w="3215" w:type="dxa"/>
            <w:gridSpan w:val="2"/>
            <w:tcBorders>
              <w:top w:val="single" w:sz="4" w:space="0" w:color="000000"/>
              <w:left w:val="single" w:sz="4" w:space="0" w:color="auto"/>
              <w:bottom w:val="single" w:sz="4" w:space="0" w:color="000000"/>
            </w:tcBorders>
          </w:tcPr>
          <w:p w:rsidR="008E5A7A" w:rsidRPr="008A3492" w:rsidRDefault="008E5A7A" w:rsidP="00513990">
            <w:pPr>
              <w:spacing w:before="40" w:after="40"/>
              <w:rPr>
                <w:b/>
                <w:color w:val="000000"/>
                <w:sz w:val="18"/>
                <w:szCs w:val="18"/>
                <w:lang w:val="fr-FR"/>
              </w:rPr>
            </w:pPr>
            <w:r w:rsidRPr="008A3492">
              <w:rPr>
                <w:b/>
                <w:bCs/>
                <w:sz w:val="18"/>
                <w:szCs w:val="18"/>
                <w:lang w:val="fr-FR"/>
              </w:rPr>
              <w:t>Caisses</w:t>
            </w:r>
          </w:p>
          <w:p w:rsidR="008E5A7A" w:rsidRPr="008A3492" w:rsidRDefault="008E5A7A" w:rsidP="00513990">
            <w:pPr>
              <w:spacing w:before="40" w:after="40"/>
              <w:rPr>
                <w:color w:val="000000"/>
                <w:sz w:val="18"/>
                <w:szCs w:val="18"/>
                <w:lang w:val="es-ES"/>
              </w:rPr>
            </w:pPr>
            <w:r w:rsidRPr="008A3492">
              <w:rPr>
                <w:sz w:val="18"/>
                <w:szCs w:val="18"/>
                <w:lang w:val="es-ES"/>
              </w:rPr>
              <w:t xml:space="preserve">en </w:t>
            </w:r>
            <w:proofErr w:type="spellStart"/>
            <w:r w:rsidRPr="008A3492">
              <w:rPr>
                <w:sz w:val="18"/>
                <w:szCs w:val="18"/>
                <w:lang w:val="es-ES"/>
              </w:rPr>
              <w:t>acier</w:t>
            </w:r>
            <w:proofErr w:type="spellEnd"/>
            <w:r w:rsidRPr="008A3492">
              <w:rPr>
                <w:sz w:val="18"/>
                <w:szCs w:val="18"/>
                <w:lang w:val="es-ES"/>
              </w:rPr>
              <w:t xml:space="preserve"> (4A)</w:t>
            </w:r>
          </w:p>
          <w:p w:rsidR="008E5A7A" w:rsidRPr="008A3492" w:rsidRDefault="008E5A7A" w:rsidP="00513990">
            <w:pPr>
              <w:spacing w:before="40" w:after="40"/>
              <w:rPr>
                <w:color w:val="000000"/>
                <w:sz w:val="18"/>
                <w:szCs w:val="18"/>
                <w:lang w:val="es-ES"/>
              </w:rPr>
            </w:pPr>
            <w:r w:rsidRPr="008A3492">
              <w:rPr>
                <w:sz w:val="18"/>
                <w:szCs w:val="18"/>
                <w:lang w:val="es-ES"/>
              </w:rPr>
              <w:t xml:space="preserve">en </w:t>
            </w:r>
            <w:proofErr w:type="spellStart"/>
            <w:r w:rsidRPr="008A3492">
              <w:rPr>
                <w:sz w:val="18"/>
                <w:szCs w:val="18"/>
                <w:lang w:val="es-ES"/>
              </w:rPr>
              <w:t>aluminium</w:t>
            </w:r>
            <w:proofErr w:type="spellEnd"/>
            <w:r w:rsidRPr="008A3492">
              <w:rPr>
                <w:sz w:val="18"/>
                <w:szCs w:val="18"/>
                <w:lang w:val="es-ES"/>
              </w:rPr>
              <w:t xml:space="preserve"> (4B)</w:t>
            </w:r>
          </w:p>
          <w:p w:rsidR="008E5A7A" w:rsidRPr="008A3492" w:rsidRDefault="008E5A7A" w:rsidP="00513990">
            <w:pPr>
              <w:spacing w:before="40" w:after="40"/>
              <w:rPr>
                <w:color w:val="000000"/>
                <w:sz w:val="18"/>
                <w:szCs w:val="18"/>
                <w:lang w:val="fr-FR"/>
              </w:rPr>
            </w:pPr>
            <w:proofErr w:type="gramStart"/>
            <w:r w:rsidRPr="008A3492">
              <w:rPr>
                <w:sz w:val="18"/>
                <w:szCs w:val="18"/>
                <w:lang w:val="fr-FR"/>
              </w:rPr>
              <w:t>en</w:t>
            </w:r>
            <w:proofErr w:type="gramEnd"/>
            <w:r w:rsidRPr="008A3492">
              <w:rPr>
                <w:sz w:val="18"/>
                <w:szCs w:val="18"/>
                <w:lang w:val="fr-FR"/>
              </w:rPr>
              <w:t xml:space="preserve"> contreplaqué (4D)</w:t>
            </w:r>
          </w:p>
          <w:p w:rsidR="008E5A7A" w:rsidRPr="008A3492" w:rsidRDefault="008E5A7A" w:rsidP="00513990">
            <w:pPr>
              <w:spacing w:before="40" w:after="40"/>
              <w:rPr>
                <w:color w:val="000000"/>
                <w:sz w:val="18"/>
                <w:szCs w:val="18"/>
                <w:lang w:val="fr-FR"/>
              </w:rPr>
            </w:pPr>
            <w:proofErr w:type="gramStart"/>
            <w:r w:rsidRPr="008A3492">
              <w:rPr>
                <w:sz w:val="18"/>
                <w:szCs w:val="18"/>
                <w:lang w:val="fr-FR"/>
              </w:rPr>
              <w:t>en</w:t>
            </w:r>
            <w:proofErr w:type="gramEnd"/>
            <w:r w:rsidRPr="008A3492">
              <w:rPr>
                <w:sz w:val="18"/>
                <w:szCs w:val="18"/>
                <w:lang w:val="fr-FR"/>
              </w:rPr>
              <w:t xml:space="preserve"> carton rigide (4G)</w:t>
            </w:r>
          </w:p>
          <w:p w:rsidR="008E5A7A" w:rsidRPr="008A3492" w:rsidRDefault="008E5A7A" w:rsidP="00513990">
            <w:pPr>
              <w:spacing w:before="40" w:after="40"/>
              <w:rPr>
                <w:color w:val="000000"/>
                <w:sz w:val="18"/>
                <w:szCs w:val="18"/>
                <w:lang w:val="fr-FR"/>
              </w:rPr>
            </w:pPr>
            <w:proofErr w:type="gramStart"/>
            <w:r w:rsidRPr="008A3492">
              <w:rPr>
                <w:sz w:val="18"/>
                <w:szCs w:val="18"/>
                <w:lang w:val="fr-FR"/>
              </w:rPr>
              <w:t>en</w:t>
            </w:r>
            <w:proofErr w:type="gramEnd"/>
            <w:r w:rsidRPr="008A3492">
              <w:rPr>
                <w:sz w:val="18"/>
                <w:szCs w:val="18"/>
                <w:lang w:val="fr-FR"/>
              </w:rPr>
              <w:t xml:space="preserve"> un autre métal (4N)</w:t>
            </w:r>
          </w:p>
          <w:p w:rsidR="008E5A7A" w:rsidRPr="008A3492" w:rsidRDefault="008E5A7A" w:rsidP="00513990">
            <w:pPr>
              <w:spacing w:before="40" w:after="40"/>
              <w:rPr>
                <w:color w:val="000000"/>
                <w:sz w:val="18"/>
                <w:szCs w:val="18"/>
                <w:lang w:val="fr-FR"/>
              </w:rPr>
            </w:pPr>
            <w:proofErr w:type="gramStart"/>
            <w:r w:rsidRPr="008A3492">
              <w:rPr>
                <w:sz w:val="18"/>
                <w:szCs w:val="18"/>
                <w:lang w:val="fr-FR"/>
              </w:rPr>
              <w:t>en</w:t>
            </w:r>
            <w:proofErr w:type="gramEnd"/>
            <w:r w:rsidRPr="008A3492">
              <w:rPr>
                <w:sz w:val="18"/>
                <w:szCs w:val="18"/>
                <w:lang w:val="fr-FR"/>
              </w:rPr>
              <w:t xml:space="preserve"> plastique rigide (4H2)</w:t>
            </w:r>
          </w:p>
          <w:p w:rsidR="008E5A7A" w:rsidRPr="008A3492" w:rsidRDefault="008E5A7A" w:rsidP="00513990">
            <w:pPr>
              <w:spacing w:before="40" w:after="40"/>
              <w:rPr>
                <w:b/>
                <w:color w:val="000000"/>
                <w:sz w:val="18"/>
                <w:szCs w:val="18"/>
                <w:lang w:val="fr-FR"/>
              </w:rPr>
            </w:pPr>
            <w:r w:rsidRPr="008A3492">
              <w:rPr>
                <w:b/>
                <w:bCs/>
                <w:sz w:val="18"/>
                <w:szCs w:val="18"/>
                <w:lang w:val="fr-FR"/>
              </w:rPr>
              <w:t>Fûts</w:t>
            </w:r>
          </w:p>
          <w:p w:rsidR="008E5A7A" w:rsidRPr="008A3492" w:rsidRDefault="008E5A7A" w:rsidP="00513990">
            <w:pPr>
              <w:spacing w:before="40" w:after="40"/>
              <w:rPr>
                <w:color w:val="000000"/>
                <w:sz w:val="18"/>
                <w:szCs w:val="18"/>
                <w:lang w:val="es-ES"/>
              </w:rPr>
            </w:pPr>
            <w:r w:rsidRPr="008A3492">
              <w:rPr>
                <w:sz w:val="18"/>
                <w:szCs w:val="18"/>
                <w:lang w:val="es-ES"/>
              </w:rPr>
              <w:t xml:space="preserve">en </w:t>
            </w:r>
            <w:proofErr w:type="spellStart"/>
            <w:r w:rsidRPr="008A3492">
              <w:rPr>
                <w:sz w:val="18"/>
                <w:szCs w:val="18"/>
                <w:lang w:val="es-ES"/>
              </w:rPr>
              <w:t>acier</w:t>
            </w:r>
            <w:proofErr w:type="spellEnd"/>
            <w:r w:rsidRPr="008A3492">
              <w:rPr>
                <w:sz w:val="18"/>
                <w:szCs w:val="18"/>
                <w:lang w:val="es-ES"/>
              </w:rPr>
              <w:t xml:space="preserve"> (1A2)</w:t>
            </w:r>
          </w:p>
          <w:p w:rsidR="008E5A7A" w:rsidRPr="008A3492" w:rsidRDefault="008E5A7A" w:rsidP="00513990">
            <w:pPr>
              <w:spacing w:before="40" w:after="40"/>
              <w:rPr>
                <w:color w:val="000000"/>
                <w:sz w:val="18"/>
                <w:szCs w:val="18"/>
                <w:lang w:val="es-ES"/>
              </w:rPr>
            </w:pPr>
            <w:r w:rsidRPr="008A3492">
              <w:rPr>
                <w:sz w:val="18"/>
                <w:szCs w:val="18"/>
                <w:lang w:val="es-ES"/>
              </w:rPr>
              <w:t xml:space="preserve">en </w:t>
            </w:r>
            <w:proofErr w:type="spellStart"/>
            <w:r w:rsidRPr="008A3492">
              <w:rPr>
                <w:sz w:val="18"/>
                <w:szCs w:val="18"/>
                <w:lang w:val="es-ES"/>
              </w:rPr>
              <w:t>aluminium</w:t>
            </w:r>
            <w:proofErr w:type="spellEnd"/>
            <w:r w:rsidRPr="008A3492">
              <w:rPr>
                <w:sz w:val="18"/>
                <w:szCs w:val="18"/>
                <w:lang w:val="es-ES"/>
              </w:rPr>
              <w:t xml:space="preserve"> (1B2)</w:t>
            </w:r>
          </w:p>
          <w:p w:rsidR="008E5A7A" w:rsidRPr="008A3492" w:rsidRDefault="008E5A7A" w:rsidP="00513990">
            <w:pPr>
              <w:spacing w:before="40" w:after="40"/>
              <w:rPr>
                <w:color w:val="000000"/>
                <w:sz w:val="18"/>
                <w:szCs w:val="18"/>
                <w:lang w:val="fr-FR"/>
              </w:rPr>
            </w:pPr>
            <w:proofErr w:type="gramStart"/>
            <w:r w:rsidRPr="008A3492">
              <w:rPr>
                <w:sz w:val="18"/>
                <w:szCs w:val="18"/>
                <w:lang w:val="fr-FR"/>
              </w:rPr>
              <w:t>en</w:t>
            </w:r>
            <w:proofErr w:type="gramEnd"/>
            <w:r w:rsidRPr="008A3492">
              <w:rPr>
                <w:sz w:val="18"/>
                <w:szCs w:val="18"/>
                <w:lang w:val="fr-FR"/>
              </w:rPr>
              <w:t xml:space="preserve"> contre-plaqué (1D)</w:t>
            </w:r>
          </w:p>
          <w:p w:rsidR="008E5A7A" w:rsidRPr="008A3492" w:rsidRDefault="008E5A7A" w:rsidP="00513990">
            <w:pPr>
              <w:spacing w:before="40" w:after="40"/>
              <w:rPr>
                <w:color w:val="000000"/>
                <w:sz w:val="18"/>
                <w:szCs w:val="18"/>
                <w:lang w:val="fr-FR"/>
              </w:rPr>
            </w:pPr>
            <w:proofErr w:type="gramStart"/>
            <w:r w:rsidRPr="008A3492">
              <w:rPr>
                <w:sz w:val="18"/>
                <w:szCs w:val="18"/>
                <w:lang w:val="fr-FR"/>
              </w:rPr>
              <w:t>en</w:t>
            </w:r>
            <w:proofErr w:type="gramEnd"/>
            <w:r w:rsidRPr="008A3492">
              <w:rPr>
                <w:sz w:val="18"/>
                <w:szCs w:val="18"/>
                <w:lang w:val="fr-FR"/>
              </w:rPr>
              <w:t xml:space="preserve"> carton (1G)</w:t>
            </w:r>
          </w:p>
          <w:p w:rsidR="008E5A7A" w:rsidRPr="008A3492" w:rsidRDefault="008E5A7A" w:rsidP="00513990">
            <w:pPr>
              <w:spacing w:before="40" w:after="40"/>
              <w:rPr>
                <w:color w:val="000000"/>
                <w:sz w:val="18"/>
                <w:szCs w:val="18"/>
                <w:lang w:val="fr-FR"/>
              </w:rPr>
            </w:pPr>
            <w:proofErr w:type="gramStart"/>
            <w:r w:rsidRPr="008A3492">
              <w:rPr>
                <w:sz w:val="18"/>
                <w:szCs w:val="18"/>
                <w:lang w:val="fr-FR"/>
              </w:rPr>
              <w:t>en</w:t>
            </w:r>
            <w:proofErr w:type="gramEnd"/>
            <w:r w:rsidRPr="008A3492">
              <w:rPr>
                <w:sz w:val="18"/>
                <w:szCs w:val="18"/>
                <w:lang w:val="fr-FR"/>
              </w:rPr>
              <w:t xml:space="preserve"> un autre métal (1N2)</w:t>
            </w:r>
          </w:p>
          <w:p w:rsidR="008E5A7A" w:rsidRPr="008A3492" w:rsidRDefault="008E5A7A" w:rsidP="00513990">
            <w:pPr>
              <w:spacing w:before="40" w:after="40"/>
              <w:rPr>
                <w:color w:val="000000"/>
                <w:sz w:val="18"/>
                <w:szCs w:val="18"/>
                <w:lang w:val="fr-FR"/>
              </w:rPr>
            </w:pPr>
            <w:proofErr w:type="gramStart"/>
            <w:r w:rsidRPr="008A3492">
              <w:rPr>
                <w:sz w:val="18"/>
                <w:szCs w:val="18"/>
                <w:lang w:val="fr-FR"/>
              </w:rPr>
              <w:t>en</w:t>
            </w:r>
            <w:proofErr w:type="gramEnd"/>
            <w:r w:rsidRPr="008A3492">
              <w:rPr>
                <w:sz w:val="18"/>
                <w:szCs w:val="18"/>
                <w:lang w:val="fr-FR"/>
              </w:rPr>
              <w:t xml:space="preserve"> plastique (1H2)</w:t>
            </w:r>
          </w:p>
          <w:p w:rsidR="008E5A7A" w:rsidRPr="008A3492" w:rsidRDefault="008E5A7A" w:rsidP="00513990">
            <w:pPr>
              <w:spacing w:before="40" w:after="40"/>
              <w:rPr>
                <w:b/>
                <w:color w:val="000000"/>
                <w:sz w:val="18"/>
                <w:szCs w:val="18"/>
                <w:lang w:val="fr-FR"/>
              </w:rPr>
            </w:pPr>
            <w:r w:rsidRPr="008A3492">
              <w:rPr>
                <w:b/>
                <w:bCs/>
                <w:sz w:val="18"/>
                <w:szCs w:val="18"/>
                <w:lang w:val="fr-FR"/>
              </w:rPr>
              <w:t>Bidons (jerricans)</w:t>
            </w:r>
          </w:p>
          <w:p w:rsidR="008E5A7A" w:rsidRPr="008A3492" w:rsidRDefault="008E5A7A" w:rsidP="00513990">
            <w:pPr>
              <w:spacing w:before="40" w:after="40"/>
              <w:rPr>
                <w:color w:val="000000"/>
                <w:sz w:val="18"/>
                <w:szCs w:val="18"/>
                <w:lang w:val="es-ES"/>
              </w:rPr>
            </w:pPr>
            <w:r w:rsidRPr="008A3492">
              <w:rPr>
                <w:sz w:val="18"/>
                <w:szCs w:val="18"/>
                <w:lang w:val="es-ES"/>
              </w:rPr>
              <w:t xml:space="preserve">en </w:t>
            </w:r>
            <w:proofErr w:type="spellStart"/>
            <w:r w:rsidRPr="008A3492">
              <w:rPr>
                <w:sz w:val="18"/>
                <w:szCs w:val="18"/>
                <w:lang w:val="es-ES"/>
              </w:rPr>
              <w:t>acier</w:t>
            </w:r>
            <w:proofErr w:type="spellEnd"/>
            <w:r w:rsidRPr="008A3492">
              <w:rPr>
                <w:sz w:val="18"/>
                <w:szCs w:val="18"/>
                <w:lang w:val="es-ES"/>
              </w:rPr>
              <w:t xml:space="preserve"> (3A2)</w:t>
            </w:r>
          </w:p>
          <w:p w:rsidR="008E5A7A" w:rsidRPr="008A3492" w:rsidRDefault="008E5A7A" w:rsidP="00513990">
            <w:pPr>
              <w:spacing w:before="40" w:after="40"/>
              <w:rPr>
                <w:color w:val="000000"/>
                <w:sz w:val="18"/>
                <w:szCs w:val="18"/>
                <w:lang w:val="es-ES"/>
              </w:rPr>
            </w:pPr>
            <w:r w:rsidRPr="008A3492">
              <w:rPr>
                <w:sz w:val="18"/>
                <w:szCs w:val="18"/>
                <w:lang w:val="es-ES"/>
              </w:rPr>
              <w:t xml:space="preserve">en </w:t>
            </w:r>
            <w:proofErr w:type="spellStart"/>
            <w:r w:rsidRPr="008A3492">
              <w:rPr>
                <w:sz w:val="18"/>
                <w:szCs w:val="18"/>
                <w:lang w:val="es-ES"/>
              </w:rPr>
              <w:t>aluminium</w:t>
            </w:r>
            <w:proofErr w:type="spellEnd"/>
            <w:r w:rsidRPr="008A3492">
              <w:rPr>
                <w:sz w:val="18"/>
                <w:szCs w:val="18"/>
                <w:lang w:val="es-ES"/>
              </w:rPr>
              <w:t xml:space="preserve"> (3B2)</w:t>
            </w:r>
          </w:p>
          <w:p w:rsidR="008E5A7A" w:rsidRPr="008A3492" w:rsidRDefault="008E5A7A" w:rsidP="00513990">
            <w:pPr>
              <w:spacing w:before="40" w:after="40"/>
              <w:rPr>
                <w:color w:val="000000"/>
                <w:sz w:val="18"/>
                <w:szCs w:val="18"/>
                <w:lang w:val="fr-FR"/>
              </w:rPr>
            </w:pPr>
            <w:proofErr w:type="gramStart"/>
            <w:r w:rsidRPr="008A3492">
              <w:rPr>
                <w:sz w:val="18"/>
                <w:szCs w:val="18"/>
                <w:lang w:val="fr-FR"/>
              </w:rPr>
              <w:t>en</w:t>
            </w:r>
            <w:proofErr w:type="gramEnd"/>
            <w:r w:rsidRPr="008A3492">
              <w:rPr>
                <w:sz w:val="18"/>
                <w:szCs w:val="18"/>
                <w:lang w:val="fr-FR"/>
              </w:rPr>
              <w:t xml:space="preserve"> plastique (3H2)</w:t>
            </w:r>
          </w:p>
        </w:tc>
      </w:tr>
      <w:tr w:rsidR="008E5A7A" w:rsidRPr="008A3492" w:rsidTr="00513990">
        <w:tc>
          <w:tcPr>
            <w:tcW w:w="9643" w:type="dxa"/>
            <w:gridSpan w:val="5"/>
          </w:tcPr>
          <w:p w:rsidR="008E5A7A" w:rsidRPr="008A3492" w:rsidRDefault="008E5A7A" w:rsidP="00513990">
            <w:pPr>
              <w:spacing w:before="40" w:after="40"/>
              <w:rPr>
                <w:color w:val="000000"/>
                <w:sz w:val="18"/>
                <w:szCs w:val="18"/>
                <w:lang w:val="fr-FR"/>
              </w:rPr>
            </w:pPr>
            <w:r w:rsidRPr="008A3492">
              <w:rPr>
                <w:sz w:val="18"/>
                <w:szCs w:val="18"/>
                <w:lang w:val="fr-FR"/>
              </w:rPr>
              <w:t xml:space="preserve">L’emballage extérieur doit satisfaire au niveau d’épreuve du groupe d’emballage I pour les matières solides. </w:t>
            </w:r>
          </w:p>
        </w:tc>
      </w:tr>
      <w:tr w:rsidR="008E5A7A" w:rsidRPr="008A3492" w:rsidTr="00513990">
        <w:trPr>
          <w:trHeight w:val="244"/>
        </w:trPr>
        <w:tc>
          <w:tcPr>
            <w:tcW w:w="9643" w:type="dxa"/>
            <w:gridSpan w:val="5"/>
            <w:tcBorders>
              <w:top w:val="single" w:sz="4" w:space="0" w:color="000000"/>
              <w:bottom w:val="single" w:sz="4" w:space="0" w:color="000000"/>
            </w:tcBorders>
          </w:tcPr>
          <w:p w:rsidR="008E5A7A" w:rsidRPr="008A3492" w:rsidRDefault="008E5A7A" w:rsidP="00513990">
            <w:pPr>
              <w:spacing w:before="40" w:after="40"/>
              <w:rPr>
                <w:color w:val="000000"/>
                <w:sz w:val="18"/>
                <w:szCs w:val="18"/>
                <w:lang w:val="fr-FR"/>
              </w:rPr>
            </w:pPr>
            <w:r w:rsidRPr="008A3492">
              <w:rPr>
                <w:b/>
                <w:bCs/>
                <w:sz w:val="18"/>
                <w:szCs w:val="18"/>
                <w:lang w:val="fr-FR"/>
              </w:rPr>
              <w:t>Dispositions supplémentaires :</w:t>
            </w:r>
          </w:p>
        </w:tc>
      </w:tr>
      <w:tr w:rsidR="008E5A7A" w:rsidRPr="008A3492" w:rsidTr="00513990">
        <w:trPr>
          <w:trHeight w:val="360"/>
        </w:trPr>
        <w:tc>
          <w:tcPr>
            <w:tcW w:w="9643" w:type="dxa"/>
            <w:gridSpan w:val="5"/>
            <w:tcBorders>
              <w:top w:val="single" w:sz="4" w:space="0" w:color="000000"/>
              <w:bottom w:val="nil"/>
            </w:tcBorders>
            <w:vAlign w:val="center"/>
          </w:tcPr>
          <w:p w:rsidR="008E5A7A" w:rsidRPr="008A3492" w:rsidRDefault="008E5A7A" w:rsidP="00DC20AE">
            <w:pPr>
              <w:ind w:left="284" w:hanging="284"/>
              <w:rPr>
                <w:color w:val="000000"/>
                <w:sz w:val="18"/>
                <w:szCs w:val="18"/>
                <w:lang w:val="fr-FR"/>
              </w:rPr>
            </w:pPr>
            <w:r w:rsidRPr="008A3492">
              <w:rPr>
                <w:sz w:val="18"/>
                <w:szCs w:val="18"/>
                <w:lang w:val="fr-FR"/>
              </w:rPr>
              <w:t>1.</w:t>
            </w:r>
            <w:r w:rsidRPr="008A3492">
              <w:rPr>
                <w:sz w:val="18"/>
                <w:szCs w:val="18"/>
                <w:lang w:val="fr-FR"/>
              </w:rPr>
              <w:tab/>
              <w:t>Les objets fragiles doivent être contenus soit dans des emballages intérieurs rigides, soit dans des emballages intermédiaires rigides.</w:t>
            </w:r>
          </w:p>
        </w:tc>
      </w:tr>
      <w:tr w:rsidR="008E5A7A" w:rsidRPr="008A3492" w:rsidTr="00513990">
        <w:trPr>
          <w:trHeight w:val="360"/>
        </w:trPr>
        <w:tc>
          <w:tcPr>
            <w:tcW w:w="9643" w:type="dxa"/>
            <w:gridSpan w:val="5"/>
            <w:tcBorders>
              <w:top w:val="nil"/>
              <w:bottom w:val="nil"/>
            </w:tcBorders>
            <w:vAlign w:val="center"/>
          </w:tcPr>
          <w:p w:rsidR="008E5A7A" w:rsidRPr="008A3492" w:rsidRDefault="008E5A7A" w:rsidP="00DC20AE">
            <w:pPr>
              <w:ind w:left="284" w:hanging="284"/>
              <w:rPr>
                <w:color w:val="000000"/>
                <w:sz w:val="18"/>
                <w:szCs w:val="18"/>
                <w:lang w:val="fr-FR"/>
              </w:rPr>
            </w:pPr>
            <w:r w:rsidRPr="008A3492">
              <w:rPr>
                <w:sz w:val="18"/>
                <w:szCs w:val="18"/>
                <w:lang w:val="fr-FR"/>
              </w:rPr>
              <w:t>2.</w:t>
            </w:r>
            <w:r w:rsidRPr="008A3492">
              <w:rPr>
                <w:sz w:val="18"/>
                <w:szCs w:val="18"/>
                <w:lang w:val="fr-FR"/>
              </w:rPr>
              <w:tab/>
              <w:t>Les emballages intérieurs contenant des objets tranchants ou pointus tels que du verre brisé et des aiguilles doivent être rigides et résistants à la perforation.</w:t>
            </w:r>
          </w:p>
        </w:tc>
      </w:tr>
      <w:tr w:rsidR="008E5A7A" w:rsidRPr="008A3492" w:rsidTr="00513990">
        <w:trPr>
          <w:trHeight w:val="360"/>
        </w:trPr>
        <w:tc>
          <w:tcPr>
            <w:tcW w:w="9643" w:type="dxa"/>
            <w:gridSpan w:val="5"/>
            <w:tcBorders>
              <w:top w:val="nil"/>
              <w:bottom w:val="nil"/>
            </w:tcBorders>
            <w:vAlign w:val="center"/>
          </w:tcPr>
          <w:p w:rsidR="008E5A7A" w:rsidRPr="008A3492" w:rsidRDefault="00DC20AE" w:rsidP="00DC20AE">
            <w:pPr>
              <w:ind w:left="284" w:hanging="284"/>
              <w:rPr>
                <w:color w:val="000000"/>
                <w:sz w:val="18"/>
                <w:szCs w:val="18"/>
                <w:lang w:val="fr-FR"/>
              </w:rPr>
            </w:pPr>
            <w:r>
              <w:rPr>
                <w:sz w:val="18"/>
                <w:szCs w:val="18"/>
                <w:lang w:val="fr-FR"/>
              </w:rPr>
              <w:t>3.</w:t>
            </w:r>
            <w:r>
              <w:rPr>
                <w:sz w:val="18"/>
                <w:szCs w:val="18"/>
                <w:lang w:val="fr-FR"/>
              </w:rPr>
              <w:tab/>
              <w:t xml:space="preserve">L’emballage intérieur, </w:t>
            </w:r>
            <w:r w:rsidR="008E5A7A" w:rsidRPr="008A3492">
              <w:rPr>
                <w:sz w:val="18"/>
                <w:szCs w:val="18"/>
                <w:lang w:val="fr-FR"/>
              </w:rPr>
              <w:t>l’emballage intermédiaire et l’emballage extérieur doivent être capables de retenir les liquides.</w:t>
            </w:r>
            <w:r w:rsidR="008E5A7A" w:rsidRPr="008A3492">
              <w:rPr>
                <w:rFonts w:ascii="inherit" w:hAnsi="inherit"/>
                <w:color w:val="212121"/>
                <w:sz w:val="18"/>
                <w:szCs w:val="18"/>
                <w:lang w:val="fr-FR"/>
              </w:rPr>
              <w:t xml:space="preserve"> Les emballages extérieurs qui ne sont pas capables de retenir les liquides par construction doivent être équipé d'une doublure intérieure ou faire l’objet de mesures appropriées afin de permettre la rétention des liquides.</w:t>
            </w:r>
          </w:p>
        </w:tc>
      </w:tr>
      <w:tr w:rsidR="008E5A7A" w:rsidRPr="008A3492" w:rsidTr="00513990">
        <w:trPr>
          <w:trHeight w:val="360"/>
        </w:trPr>
        <w:tc>
          <w:tcPr>
            <w:tcW w:w="9643" w:type="dxa"/>
            <w:gridSpan w:val="5"/>
            <w:tcBorders>
              <w:top w:val="nil"/>
              <w:bottom w:val="nil"/>
            </w:tcBorders>
            <w:vAlign w:val="center"/>
          </w:tcPr>
          <w:p w:rsidR="008E5A7A" w:rsidRPr="008A3492" w:rsidRDefault="008E5A7A" w:rsidP="00DC20AE">
            <w:pPr>
              <w:ind w:left="284" w:hanging="284"/>
              <w:rPr>
                <w:sz w:val="18"/>
                <w:szCs w:val="18"/>
                <w:lang w:val="fr-FR"/>
              </w:rPr>
            </w:pPr>
            <w:r w:rsidRPr="008A3492">
              <w:rPr>
                <w:sz w:val="18"/>
                <w:szCs w:val="18"/>
                <w:lang w:val="fr-FR"/>
              </w:rPr>
              <w:t>4.</w:t>
            </w:r>
            <w:r w:rsidRPr="008A3492">
              <w:rPr>
                <w:sz w:val="18"/>
                <w:szCs w:val="18"/>
                <w:lang w:val="fr-FR"/>
              </w:rPr>
              <w:tab/>
              <w:t xml:space="preserve">L’emballage intérieur et l’emballage intermédiaire peuvent être souples. Lorsque des emballages souples sont utilisés, ils doivent satisfaire à l’épreuve de résistance aux chocs à au moins 165 g suivant la norme ISO 7765-1:1988 « Films et feuilles de plastique − Détermination de la résistance au choc par la méthode par chute libre de projectile − Partie 1 : Méthodes dites de l’“escalier” » et satisfaire à l’épreuve de résistance à la déchirure à au moins 480 g sur des plans perpendiculaires et parallèles au plan longitudinal du sac suivant la norme ISO 6383-2:1983 « Films et feuilles de plastique − Détermination de la résistance au déchirement − Partie 2 : Méthode </w:t>
            </w:r>
            <w:proofErr w:type="spellStart"/>
            <w:r w:rsidRPr="008A3492">
              <w:rPr>
                <w:sz w:val="18"/>
                <w:szCs w:val="18"/>
                <w:lang w:val="fr-FR"/>
              </w:rPr>
              <w:t>Elmendorf</w:t>
            </w:r>
            <w:proofErr w:type="spellEnd"/>
            <w:r w:rsidRPr="008A3492">
              <w:rPr>
                <w:sz w:val="18"/>
                <w:szCs w:val="18"/>
                <w:lang w:val="fr-FR"/>
              </w:rPr>
              <w:t> ». La masse nette maximale de chaque emballage intérieur souple doit être de 30 kg.</w:t>
            </w:r>
          </w:p>
        </w:tc>
      </w:tr>
      <w:tr w:rsidR="008E5A7A" w:rsidRPr="008A3492" w:rsidTr="00513990">
        <w:trPr>
          <w:trHeight w:val="360"/>
        </w:trPr>
        <w:tc>
          <w:tcPr>
            <w:tcW w:w="9643" w:type="dxa"/>
            <w:gridSpan w:val="5"/>
            <w:tcBorders>
              <w:top w:val="nil"/>
              <w:bottom w:val="nil"/>
            </w:tcBorders>
            <w:vAlign w:val="center"/>
          </w:tcPr>
          <w:p w:rsidR="008E5A7A" w:rsidRPr="008A3492" w:rsidRDefault="008E5A7A" w:rsidP="00DC20AE">
            <w:pPr>
              <w:ind w:left="284" w:hanging="284"/>
              <w:rPr>
                <w:sz w:val="18"/>
                <w:szCs w:val="18"/>
                <w:lang w:val="fr-FR"/>
              </w:rPr>
            </w:pPr>
            <w:r w:rsidRPr="008A3492">
              <w:rPr>
                <w:sz w:val="18"/>
                <w:szCs w:val="18"/>
                <w:lang w:val="fr-FR"/>
              </w:rPr>
              <w:t>5.</w:t>
            </w:r>
            <w:r w:rsidRPr="008A3492">
              <w:rPr>
                <w:sz w:val="18"/>
                <w:szCs w:val="18"/>
                <w:lang w:val="fr-FR"/>
              </w:rPr>
              <w:tab/>
              <w:t>Chaque emballage intermédiaire souple ne doit contenir qu’un seul emballage intérieur.</w:t>
            </w:r>
          </w:p>
        </w:tc>
      </w:tr>
      <w:tr w:rsidR="008E5A7A" w:rsidRPr="008A3492" w:rsidTr="00513990">
        <w:trPr>
          <w:trHeight w:val="360"/>
        </w:trPr>
        <w:tc>
          <w:tcPr>
            <w:tcW w:w="9643" w:type="dxa"/>
            <w:gridSpan w:val="5"/>
            <w:tcBorders>
              <w:top w:val="nil"/>
              <w:bottom w:val="nil"/>
            </w:tcBorders>
            <w:vAlign w:val="center"/>
          </w:tcPr>
          <w:p w:rsidR="008E5A7A" w:rsidRPr="008A3492" w:rsidRDefault="008E5A7A" w:rsidP="00DC20AE">
            <w:pPr>
              <w:ind w:left="284" w:hanging="284"/>
              <w:rPr>
                <w:sz w:val="18"/>
                <w:szCs w:val="18"/>
                <w:lang w:val="fr-FR"/>
              </w:rPr>
            </w:pPr>
            <w:r w:rsidRPr="008A3492">
              <w:rPr>
                <w:sz w:val="18"/>
                <w:szCs w:val="18"/>
                <w:lang w:val="fr-FR"/>
              </w:rPr>
              <w:t>6.</w:t>
            </w:r>
            <w:r w:rsidRPr="008A3492">
              <w:rPr>
                <w:sz w:val="18"/>
                <w:szCs w:val="18"/>
                <w:lang w:val="fr-FR"/>
              </w:rPr>
              <w:tab/>
              <w:t>Les emballages intérieurs contenant une petite quantité de liquide libre peuvent être contenus dans un emballage intermédiaire pour autant qu’il y ait suffisamment de matériau absorbant ou solidifiant dans l’emballage intérieur ou intermédiaire pour absorber ou solidifier la totalité du contenu liquide présent. Un matériau absorbant approprié pouvant résister aux températures et aux vibrations susceptibles de se produire dans des conditions normales de transport doit être utilisé.</w:t>
            </w:r>
          </w:p>
        </w:tc>
      </w:tr>
      <w:tr w:rsidR="008E5A7A" w:rsidRPr="008A3492" w:rsidTr="00DC20AE">
        <w:trPr>
          <w:trHeight w:val="363"/>
        </w:trPr>
        <w:tc>
          <w:tcPr>
            <w:tcW w:w="9643" w:type="dxa"/>
            <w:gridSpan w:val="5"/>
            <w:tcBorders>
              <w:top w:val="nil"/>
              <w:bottom w:val="single" w:sz="4" w:space="0" w:color="auto"/>
            </w:tcBorders>
            <w:vAlign w:val="center"/>
          </w:tcPr>
          <w:p w:rsidR="008E5A7A" w:rsidRPr="008A3492" w:rsidRDefault="008E5A7A" w:rsidP="00DC20AE">
            <w:pPr>
              <w:ind w:left="284" w:hanging="284"/>
              <w:rPr>
                <w:sz w:val="18"/>
                <w:szCs w:val="18"/>
                <w:lang w:val="fr-FR"/>
              </w:rPr>
            </w:pPr>
            <w:r w:rsidRPr="008A3492">
              <w:rPr>
                <w:sz w:val="18"/>
                <w:szCs w:val="18"/>
                <w:lang w:val="fr-FR"/>
              </w:rPr>
              <w:t xml:space="preserve">7. </w:t>
            </w:r>
            <w:r w:rsidRPr="008A3492">
              <w:rPr>
                <w:sz w:val="18"/>
                <w:szCs w:val="18"/>
                <w:lang w:val="fr-FR"/>
              </w:rPr>
              <w:tab/>
              <w:t>Les emballages intermédiaires doivent être placés dans des emballages extérieurs avec interposition de matières de rembourrage appropriées ou de matériau absorbant.</w:t>
            </w:r>
          </w:p>
        </w:tc>
      </w:tr>
    </w:tbl>
    <w:p w:rsidR="008E5A7A" w:rsidRDefault="008E5A7A" w:rsidP="008E5A7A">
      <w:pPr>
        <w:pStyle w:val="SingleTxtG"/>
        <w:rPr>
          <w:lang w:val="fr-FR"/>
        </w:rPr>
      </w:pPr>
      <w:r w:rsidRPr="006B0E45">
        <w:rPr>
          <w:lang w:val="fr-FR"/>
        </w:rPr>
        <w:t>]</w:t>
      </w:r>
    </w:p>
    <w:p w:rsidR="00780966" w:rsidRDefault="00780966" w:rsidP="008E5A7A">
      <w:pPr>
        <w:pStyle w:val="SingleTxtG"/>
        <w:rPr>
          <w:lang w:val="fr-FR"/>
        </w:rPr>
      </w:pPr>
      <w:r w:rsidRPr="00FB2D02">
        <w:rPr>
          <w:i/>
          <w:iCs/>
          <w:lang w:val="fr-FR"/>
        </w:rPr>
        <w:lastRenderedPageBreak/>
        <w:t xml:space="preserve">(Document de référence : </w:t>
      </w:r>
      <w:r w:rsidR="00DC20AE">
        <w:rPr>
          <w:bCs/>
          <w:i/>
          <w:iCs/>
        </w:rPr>
        <w:t xml:space="preserve">ST/SG/AC.10/C.3/2018/20 </w:t>
      </w:r>
      <w:r w:rsidR="000C681E" w:rsidRPr="000C681E">
        <w:rPr>
          <w:bCs/>
          <w:i/>
          <w:iCs/>
        </w:rPr>
        <w:t xml:space="preserve">et </w:t>
      </w:r>
      <w:r>
        <w:rPr>
          <w:i/>
          <w:iCs/>
          <w:lang w:val="fr-FR"/>
        </w:rPr>
        <w:t>document informel INF.70, remplace l’amendement figurant en annexe II du document ST/SG/AC.10/C.3/102/Add.1</w:t>
      </w:r>
      <w:r w:rsidRPr="00FB2D02">
        <w:rPr>
          <w:bCs/>
          <w:i/>
          <w:iCs/>
          <w:lang w:val="fr-FR"/>
        </w:rPr>
        <w:t>)</w:t>
      </w:r>
    </w:p>
    <w:p w:rsidR="00B60A84" w:rsidRDefault="00B60A84" w:rsidP="00B60A84">
      <w:pPr>
        <w:pStyle w:val="SingleTxtG"/>
      </w:pPr>
      <w:r w:rsidRPr="004C39EC">
        <w:t>4.1.4.1, instruction d’emballage P907 (telle que corrigée dans ST/SG/AC.10/C.3/102/Add.1) :</w:t>
      </w:r>
      <w:r w:rsidRPr="004C39EC">
        <w:tab/>
      </w:r>
    </w:p>
    <w:p w:rsidR="00B60A84" w:rsidRDefault="00B60A84" w:rsidP="00B60A84">
      <w:pPr>
        <w:pStyle w:val="SingleTxtG"/>
      </w:pPr>
      <w:r w:rsidRPr="004C39EC">
        <w:t>Remplacer la ligne de titre par : « La présente instruction d’emballage s’applique aux objets tels que machines, appareils ou dispositifs relevant du N</w:t>
      </w:r>
      <w:r w:rsidRPr="00303826">
        <w:t>o</w:t>
      </w:r>
      <w:r w:rsidRPr="004C39EC">
        <w:t xml:space="preserve"> ONU 3363. ». </w:t>
      </w:r>
    </w:p>
    <w:p w:rsidR="00B60A84" w:rsidRPr="004C39EC" w:rsidRDefault="00B60A84" w:rsidP="00B60A84">
      <w:pPr>
        <w:pStyle w:val="SingleTxtG"/>
      </w:pPr>
      <w:r w:rsidRPr="004C39EC">
        <w:t>Dans le texte figurant sous cette ligne de titre :</w:t>
      </w:r>
    </w:p>
    <w:p w:rsidR="00B60A84" w:rsidRPr="0057171C" w:rsidRDefault="00B60A84" w:rsidP="00B60A84">
      <w:pPr>
        <w:pStyle w:val="SingleTxtG"/>
        <w:rPr>
          <w:lang w:val="fr-FR"/>
        </w:rPr>
      </w:pPr>
      <w:r w:rsidRPr="004C39EC">
        <w:t>Dans la première phrase, remplacer « machines ou appareils » par « objets ». Dans la deuxième phrase, remplacer «</w:t>
      </w:r>
      <w:r w:rsidR="00DC20AE">
        <w:t xml:space="preserve"> </w:t>
      </w:r>
      <w:proofErr w:type="gramStart"/>
      <w:r w:rsidRPr="004C39EC">
        <w:t>des  machines</w:t>
      </w:r>
      <w:proofErr w:type="gramEnd"/>
      <w:r w:rsidRPr="004C39EC">
        <w:t xml:space="preserve"> ou des appareils » par « des objets ». Dans la cinquième sixième phrase, remplacer « dans la machine ou dans l’appareil » par « dans l’objet » et remplacer « en dehors de la machine ou de l'appareil » par « en dehors de l’objet ». Dans la sixième phrase, remplacer « de la machine ou de l’appareil » par « de l’objet ».</w:t>
      </w:r>
    </w:p>
    <w:p w:rsidR="00B60A84" w:rsidRDefault="00B60A84" w:rsidP="00B60A84">
      <w:pPr>
        <w:spacing w:before="120" w:after="120" w:line="240" w:lineRule="auto"/>
        <w:ind w:left="1134" w:right="1134"/>
        <w:rPr>
          <w:i/>
          <w:iCs/>
        </w:rPr>
      </w:pPr>
      <w:r w:rsidRPr="001539C6">
        <w:rPr>
          <w:i/>
          <w:iCs/>
        </w:rPr>
        <w:t>(</w:t>
      </w:r>
      <w:r w:rsidRPr="001539C6">
        <w:rPr>
          <w:i/>
          <w:iCs/>
          <w:lang w:val="fr-FR"/>
        </w:rPr>
        <w:t>Document de référence</w:t>
      </w:r>
      <w:r>
        <w:rPr>
          <w:i/>
          <w:iCs/>
          <w:lang w:val="fr-FR"/>
        </w:rPr>
        <w:t> </w:t>
      </w:r>
      <w:r w:rsidRPr="001539C6">
        <w:rPr>
          <w:i/>
          <w:iCs/>
        </w:rPr>
        <w:t>: ST/SG/AC.10/C.3/201</w:t>
      </w:r>
      <w:r>
        <w:rPr>
          <w:i/>
          <w:iCs/>
        </w:rPr>
        <w:t>8</w:t>
      </w:r>
      <w:r w:rsidRPr="001539C6">
        <w:rPr>
          <w:i/>
          <w:iCs/>
        </w:rPr>
        <w:t>/</w:t>
      </w:r>
      <w:r>
        <w:rPr>
          <w:i/>
          <w:iCs/>
        </w:rPr>
        <w:t>7, remplace l’amendement figurant en annexe II du document ST/SG/AC.10/C.3/104/Add.1</w:t>
      </w:r>
      <w:r w:rsidRPr="001539C6">
        <w:rPr>
          <w:i/>
          <w:iCs/>
        </w:rPr>
        <w:t>)</w:t>
      </w:r>
    </w:p>
    <w:p w:rsidR="00780966" w:rsidRDefault="00780966" w:rsidP="00780966">
      <w:pPr>
        <w:pStyle w:val="SingleTxtG"/>
      </w:pPr>
      <w:r>
        <w:t>4.1.4.1, instruction d’emballage P903</w:t>
      </w:r>
      <w:r>
        <w:tab/>
        <w:t>Ajouter le nouveau paragraphe 5) suivant :</w:t>
      </w:r>
    </w:p>
    <w:p w:rsidR="00780966" w:rsidRDefault="00780966" w:rsidP="00780966">
      <w:pPr>
        <w:pStyle w:val="SingleTxtG"/>
      </w:pPr>
      <w:r>
        <w:t>« 5)</w:t>
      </w:r>
      <w:r>
        <w:tab/>
      </w:r>
      <w:r w:rsidRPr="001F1AE1">
        <w:t xml:space="preserve">Pour les </w:t>
      </w:r>
      <w:r>
        <w:t xml:space="preserve">emballages contenant à la fois des </w:t>
      </w:r>
      <w:r w:rsidRPr="001F1AE1">
        <w:t>piles ou batteries emballées avec un équipement</w:t>
      </w:r>
      <w:r>
        <w:t xml:space="preserve"> et des </w:t>
      </w:r>
      <w:r w:rsidRPr="001F1AE1">
        <w:t>piles ou batteries contenues dans un équipement</w:t>
      </w:r>
      <w:r w:rsidR="00DC20AE">
        <w:t xml:space="preserve"> </w:t>
      </w:r>
      <w:r w:rsidRPr="001F1AE1">
        <w:t>:</w:t>
      </w:r>
    </w:p>
    <w:p w:rsidR="00780966" w:rsidRDefault="00780966" w:rsidP="00780966">
      <w:pPr>
        <w:pStyle w:val="SingleTxtG"/>
      </w:pPr>
      <w:r>
        <w:t>a)</w:t>
      </w:r>
      <w:r>
        <w:tab/>
        <w:t>Pour le piles et les batteries, des emballages qui entourent complètement les piles ou les batteries, placés ensuite avec l'équipement dans un emballage conforme aux prescriptions du paragraphe 1) de la présente instruction d'emballage</w:t>
      </w:r>
      <w:r w:rsidR="00DC20AE">
        <w:t xml:space="preserve"> </w:t>
      </w:r>
      <w:r>
        <w:t xml:space="preserve">; </w:t>
      </w:r>
      <w:proofErr w:type="gramStart"/>
      <w:r>
        <w:t>ou</w:t>
      </w:r>
      <w:proofErr w:type="gramEnd"/>
    </w:p>
    <w:p w:rsidR="00780966" w:rsidRDefault="008A3492" w:rsidP="00780966">
      <w:pPr>
        <w:pStyle w:val="SingleTxtG"/>
      </w:pPr>
      <w:r>
        <w:t>b)</w:t>
      </w:r>
      <w:r w:rsidR="00780966">
        <w:tab/>
        <w:t>Des emballages conformes aux prescriptions du paragraphe 1) de la présente instruction d'emballage, placés ensuite avec l'équipement dans un emballage extérieur robuste fabriqué</w:t>
      </w:r>
      <w:r w:rsidR="00780966" w:rsidRPr="00F24C85">
        <w:t xml:space="preserve"> en un matériau approprié, présentant une</w:t>
      </w:r>
      <w:r w:rsidR="00780966">
        <w:t xml:space="preserve"> résistance suffisante et conçu</w:t>
      </w:r>
      <w:r w:rsidR="00780966" w:rsidRPr="00F24C85">
        <w:t xml:space="preserve"> en fonction de </w:t>
      </w:r>
      <w:r w:rsidR="00780966">
        <w:t>sa</w:t>
      </w:r>
      <w:r w:rsidR="00780966" w:rsidRPr="00F24C85">
        <w:t xml:space="preserve"> con</w:t>
      </w:r>
      <w:r w:rsidR="00780966">
        <w:t>tenance et de l'usage auquel il</w:t>
      </w:r>
      <w:r w:rsidR="00780966" w:rsidRPr="00F24C85">
        <w:t xml:space="preserve"> </w:t>
      </w:r>
      <w:r w:rsidR="00780966">
        <w:t>est destiné</w:t>
      </w:r>
      <w:r w:rsidR="00780966" w:rsidRPr="00F24C85">
        <w:t>.</w:t>
      </w:r>
      <w:r w:rsidR="00780966">
        <w:t xml:space="preserve"> Les emballages extérieurs doivent être construits de manière à empêcher tout fonctionnement accidentel pendant le transport et il n’est pas nécessaire qu’ils satisfassent aux dispositions du 4.1.1.3.</w:t>
      </w:r>
    </w:p>
    <w:p w:rsidR="00780966" w:rsidRDefault="00780966" w:rsidP="00780966">
      <w:pPr>
        <w:pStyle w:val="SingleTxtG"/>
      </w:pPr>
      <w:r w:rsidRPr="00987D7E">
        <w:t>L’équipement doit être protégé contre le mouvement à l’intérieur de l’emballage extérieur.</w:t>
      </w:r>
    </w:p>
    <w:p w:rsidR="00780966" w:rsidRDefault="00780966" w:rsidP="00780966">
      <w:pPr>
        <w:pStyle w:val="SingleTxtG"/>
      </w:pPr>
      <w:r w:rsidRPr="00987D7E">
        <w:t>Les dispositifs tels qu’étiquettes d’identification par radiofréquence, montres et enregistreurs de température, qui ne sont pas susceptibles de générer un dégagement dangereux de chaleur peuvent être transportés dans des emballages extérieurs robustes lorsqu'ils sont intentionnellement actifs. Lorsqu'ils sont actifs, ces dispositifs doivent satisfaire à des normes définies relatives à la radiation électromagnétique pour assurer que le fonctionnement du dispositif n'interfère pas avec les systèmes aériens.</w:t>
      </w:r>
      <w:r>
        <w:t> ».</w:t>
      </w:r>
    </w:p>
    <w:p w:rsidR="00780966" w:rsidRPr="001F1AE1" w:rsidRDefault="00780966" w:rsidP="00780966">
      <w:pPr>
        <w:pStyle w:val="SingleTxtG"/>
      </w:pPr>
      <w:r w:rsidRPr="001539C6">
        <w:rPr>
          <w:i/>
          <w:iCs/>
        </w:rPr>
        <w:t>(</w:t>
      </w:r>
      <w:r w:rsidRPr="001539C6">
        <w:rPr>
          <w:i/>
          <w:iCs/>
          <w:lang w:val="fr-FR"/>
        </w:rPr>
        <w:t>Document de référence</w:t>
      </w:r>
      <w:r>
        <w:rPr>
          <w:i/>
          <w:iCs/>
          <w:lang w:val="fr-FR"/>
        </w:rPr>
        <w:t> </w:t>
      </w:r>
      <w:r w:rsidRPr="001539C6">
        <w:rPr>
          <w:i/>
          <w:iCs/>
        </w:rPr>
        <w:t>: ST/SG/AC.10/C.3/201</w:t>
      </w:r>
      <w:r>
        <w:rPr>
          <w:i/>
          <w:iCs/>
        </w:rPr>
        <w:t>8</w:t>
      </w:r>
      <w:r w:rsidRPr="001539C6">
        <w:rPr>
          <w:i/>
          <w:iCs/>
        </w:rPr>
        <w:t>/</w:t>
      </w:r>
      <w:r w:rsidR="00524E3C">
        <w:rPr>
          <w:i/>
          <w:iCs/>
        </w:rPr>
        <w:t>37</w:t>
      </w:r>
      <w:r>
        <w:rPr>
          <w:i/>
          <w:iCs/>
        </w:rPr>
        <w:t xml:space="preserve"> et </w:t>
      </w:r>
      <w:r>
        <w:rPr>
          <w:i/>
          <w:iCs/>
          <w:lang w:val="fr-FR"/>
        </w:rPr>
        <w:t>document informel INF.65/Rev.1 tel que modifié</w:t>
      </w:r>
      <w:r w:rsidRPr="001539C6">
        <w:rPr>
          <w:i/>
          <w:iCs/>
        </w:rPr>
        <w:t>)</w:t>
      </w:r>
    </w:p>
    <w:p w:rsidR="00B60A84" w:rsidRPr="00CA445C" w:rsidRDefault="00B60A84" w:rsidP="00B60A84">
      <w:pPr>
        <w:pStyle w:val="SingleTxtG"/>
      </w:pPr>
      <w:r w:rsidRPr="004C39EC">
        <w:t>4.1.4.</w:t>
      </w:r>
      <w:r>
        <w:t>2</w:t>
      </w:r>
      <w:r w:rsidRPr="004C39EC">
        <w:t xml:space="preserve">, instruction d’emballage </w:t>
      </w:r>
      <w:r>
        <w:t>IBC520</w:t>
      </w:r>
      <w:r w:rsidRPr="00B301AF">
        <w:t xml:space="preserve"> </w:t>
      </w:r>
      <w:r>
        <w:tab/>
      </w:r>
      <w:r w:rsidRPr="00CC6AA6">
        <w:t>Pour le No ONU 31</w:t>
      </w:r>
      <w:r>
        <w:t>1</w:t>
      </w:r>
      <w:r w:rsidRPr="00CC6AA6">
        <w:t>9,</w:t>
      </w:r>
      <w:r>
        <w:t xml:space="preserve"> i</w:t>
      </w:r>
      <w:r w:rsidRPr="00B301AF">
        <w:t>nsérer les nouvelles rubriques suivantes</w:t>
      </w:r>
      <w:r>
        <w:t> </w:t>
      </w:r>
      <w:r w:rsidRPr="00B301AF">
        <w:t>:</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00"/>
        <w:gridCol w:w="2412"/>
        <w:gridCol w:w="1606"/>
        <w:gridCol w:w="1607"/>
        <w:gridCol w:w="1607"/>
        <w:gridCol w:w="1607"/>
      </w:tblGrid>
      <w:tr w:rsidR="00B60A84" w:rsidRPr="00B301AF" w:rsidTr="008A5DC1">
        <w:trPr>
          <w:cantSplit/>
          <w:tblHeader/>
        </w:trPr>
        <w:tc>
          <w:tcPr>
            <w:tcW w:w="800" w:type="dxa"/>
            <w:tcBorders>
              <w:top w:val="single" w:sz="4" w:space="0" w:color="auto"/>
              <w:bottom w:val="single" w:sz="12" w:space="0" w:color="auto"/>
            </w:tcBorders>
            <w:shd w:val="clear" w:color="auto" w:fill="auto"/>
            <w:vAlign w:val="bottom"/>
          </w:tcPr>
          <w:p w:rsidR="00B60A84" w:rsidRPr="00B301AF" w:rsidRDefault="00B60A84" w:rsidP="008A5DC1">
            <w:pPr>
              <w:spacing w:before="80" w:after="80" w:line="200" w:lineRule="exact"/>
              <w:ind w:right="113"/>
              <w:rPr>
                <w:i/>
                <w:sz w:val="16"/>
              </w:rPr>
            </w:pPr>
            <w:r w:rsidRPr="00B301AF">
              <w:rPr>
                <w:i/>
                <w:sz w:val="16"/>
              </w:rPr>
              <w:t>No ONU</w:t>
            </w:r>
          </w:p>
        </w:tc>
        <w:tc>
          <w:tcPr>
            <w:tcW w:w="2412" w:type="dxa"/>
            <w:tcBorders>
              <w:top w:val="single" w:sz="4" w:space="0" w:color="auto"/>
              <w:bottom w:val="single" w:sz="12" w:space="0" w:color="auto"/>
            </w:tcBorders>
            <w:shd w:val="clear" w:color="auto" w:fill="auto"/>
            <w:vAlign w:val="bottom"/>
          </w:tcPr>
          <w:p w:rsidR="00B60A84" w:rsidRPr="00B301AF" w:rsidRDefault="00B60A84" w:rsidP="008A5DC1">
            <w:pPr>
              <w:spacing w:before="80" w:after="80" w:line="200" w:lineRule="exact"/>
              <w:ind w:right="113"/>
              <w:rPr>
                <w:i/>
                <w:sz w:val="16"/>
              </w:rPr>
            </w:pPr>
            <w:r w:rsidRPr="00B301AF">
              <w:rPr>
                <w:i/>
                <w:sz w:val="16"/>
              </w:rPr>
              <w:t>Peroxyde organique</w:t>
            </w:r>
          </w:p>
        </w:tc>
        <w:tc>
          <w:tcPr>
            <w:tcW w:w="1606" w:type="dxa"/>
            <w:tcBorders>
              <w:top w:val="single" w:sz="4" w:space="0" w:color="auto"/>
              <w:bottom w:val="single" w:sz="12" w:space="0" w:color="auto"/>
            </w:tcBorders>
            <w:shd w:val="clear" w:color="auto" w:fill="auto"/>
            <w:vAlign w:val="bottom"/>
          </w:tcPr>
          <w:p w:rsidR="00B60A84" w:rsidRPr="00B301AF" w:rsidRDefault="00B60A84" w:rsidP="008A5DC1">
            <w:pPr>
              <w:spacing w:before="80" w:after="80" w:line="200" w:lineRule="exact"/>
              <w:ind w:right="113"/>
              <w:rPr>
                <w:i/>
                <w:sz w:val="16"/>
              </w:rPr>
            </w:pPr>
            <w:r w:rsidRPr="00B301AF">
              <w:rPr>
                <w:i/>
                <w:sz w:val="16"/>
              </w:rPr>
              <w:t>Type de GRV</w:t>
            </w:r>
          </w:p>
        </w:tc>
        <w:tc>
          <w:tcPr>
            <w:tcW w:w="1607" w:type="dxa"/>
            <w:tcBorders>
              <w:top w:val="single" w:sz="4" w:space="0" w:color="auto"/>
              <w:bottom w:val="single" w:sz="12" w:space="0" w:color="auto"/>
            </w:tcBorders>
            <w:shd w:val="clear" w:color="auto" w:fill="auto"/>
            <w:vAlign w:val="bottom"/>
          </w:tcPr>
          <w:p w:rsidR="00B60A84" w:rsidRPr="00B301AF" w:rsidRDefault="00B60A84" w:rsidP="008A5DC1">
            <w:pPr>
              <w:spacing w:before="80" w:after="80" w:line="200" w:lineRule="exact"/>
              <w:ind w:right="113"/>
              <w:rPr>
                <w:i/>
                <w:sz w:val="16"/>
              </w:rPr>
            </w:pPr>
            <w:r w:rsidRPr="00B301AF">
              <w:rPr>
                <w:i/>
                <w:sz w:val="16"/>
              </w:rPr>
              <w:t>Quantité maximale (litres)</w:t>
            </w:r>
          </w:p>
        </w:tc>
        <w:tc>
          <w:tcPr>
            <w:tcW w:w="1607" w:type="dxa"/>
            <w:tcBorders>
              <w:top w:val="single" w:sz="4" w:space="0" w:color="auto"/>
              <w:bottom w:val="single" w:sz="12" w:space="0" w:color="auto"/>
            </w:tcBorders>
            <w:shd w:val="clear" w:color="auto" w:fill="auto"/>
            <w:vAlign w:val="bottom"/>
          </w:tcPr>
          <w:p w:rsidR="00B60A84" w:rsidRPr="00B301AF" w:rsidRDefault="00B60A84" w:rsidP="008A5DC1">
            <w:pPr>
              <w:spacing w:before="80" w:after="80" w:line="200" w:lineRule="exact"/>
              <w:ind w:right="113"/>
              <w:rPr>
                <w:i/>
                <w:sz w:val="16"/>
              </w:rPr>
            </w:pPr>
            <w:r w:rsidRPr="00B301AF">
              <w:rPr>
                <w:i/>
                <w:sz w:val="16"/>
              </w:rPr>
              <w:t xml:space="preserve">Temp. </w:t>
            </w:r>
            <w:proofErr w:type="gramStart"/>
            <w:r w:rsidRPr="00B301AF">
              <w:rPr>
                <w:i/>
                <w:sz w:val="16"/>
              </w:rPr>
              <w:t>de</w:t>
            </w:r>
            <w:proofErr w:type="gramEnd"/>
            <w:r w:rsidRPr="00B301AF">
              <w:rPr>
                <w:i/>
                <w:sz w:val="16"/>
              </w:rPr>
              <w:t xml:space="preserve"> régulation</w:t>
            </w:r>
          </w:p>
        </w:tc>
        <w:tc>
          <w:tcPr>
            <w:tcW w:w="1607" w:type="dxa"/>
            <w:tcBorders>
              <w:top w:val="single" w:sz="4" w:space="0" w:color="auto"/>
              <w:bottom w:val="single" w:sz="12" w:space="0" w:color="auto"/>
            </w:tcBorders>
            <w:shd w:val="clear" w:color="auto" w:fill="auto"/>
            <w:vAlign w:val="bottom"/>
          </w:tcPr>
          <w:p w:rsidR="00B60A84" w:rsidRPr="00B301AF" w:rsidRDefault="00B60A84" w:rsidP="008A5DC1">
            <w:pPr>
              <w:spacing w:before="80" w:after="80" w:line="200" w:lineRule="exact"/>
              <w:ind w:right="113"/>
              <w:rPr>
                <w:i/>
                <w:sz w:val="16"/>
              </w:rPr>
            </w:pPr>
            <w:r w:rsidRPr="00B301AF">
              <w:rPr>
                <w:i/>
                <w:sz w:val="16"/>
              </w:rPr>
              <w:t xml:space="preserve">Temp. </w:t>
            </w:r>
            <w:proofErr w:type="gramStart"/>
            <w:r w:rsidRPr="00B301AF">
              <w:rPr>
                <w:i/>
                <w:sz w:val="16"/>
              </w:rPr>
              <w:t>critique</w:t>
            </w:r>
            <w:proofErr w:type="gramEnd"/>
          </w:p>
        </w:tc>
      </w:tr>
      <w:tr w:rsidR="00B60A84" w:rsidRPr="00B301AF" w:rsidTr="008A5DC1">
        <w:tc>
          <w:tcPr>
            <w:tcW w:w="800" w:type="dxa"/>
            <w:tcBorders>
              <w:top w:val="single" w:sz="12" w:space="0" w:color="auto"/>
            </w:tcBorders>
            <w:shd w:val="clear" w:color="auto" w:fill="auto"/>
          </w:tcPr>
          <w:p w:rsidR="00B60A84" w:rsidRPr="00B301AF" w:rsidRDefault="00B60A84" w:rsidP="008A5DC1">
            <w:pPr>
              <w:spacing w:before="40" w:after="120"/>
              <w:ind w:right="113"/>
              <w:rPr>
                <w:sz w:val="18"/>
                <w:szCs w:val="18"/>
              </w:rPr>
            </w:pPr>
            <w:r w:rsidRPr="00B301AF">
              <w:rPr>
                <w:sz w:val="18"/>
                <w:szCs w:val="18"/>
              </w:rPr>
              <w:t>3119</w:t>
            </w:r>
          </w:p>
        </w:tc>
        <w:tc>
          <w:tcPr>
            <w:tcW w:w="2412" w:type="dxa"/>
            <w:tcBorders>
              <w:top w:val="single" w:sz="12" w:space="0" w:color="auto"/>
            </w:tcBorders>
            <w:shd w:val="clear" w:color="auto" w:fill="auto"/>
            <w:vAlign w:val="bottom"/>
          </w:tcPr>
          <w:p w:rsidR="00B60A84" w:rsidRPr="00B301AF" w:rsidRDefault="00B60A84" w:rsidP="008A5DC1">
            <w:pPr>
              <w:spacing w:before="60" w:after="60" w:line="200" w:lineRule="exact"/>
              <w:ind w:left="57" w:right="57"/>
              <w:rPr>
                <w:rFonts w:asciiTheme="majorBidi" w:hAnsiTheme="majorBidi" w:cstheme="majorBidi"/>
                <w:sz w:val="16"/>
                <w:szCs w:val="16"/>
              </w:rPr>
            </w:pPr>
            <w:proofErr w:type="spellStart"/>
            <w:r w:rsidRPr="00B301AF">
              <w:rPr>
                <w:rFonts w:asciiTheme="majorBidi" w:hAnsiTheme="majorBidi" w:cstheme="majorBidi"/>
                <w:sz w:val="16"/>
                <w:szCs w:val="16"/>
              </w:rPr>
              <w:t>P</w:t>
            </w:r>
            <w:r>
              <w:rPr>
                <w:rFonts w:asciiTheme="majorBidi" w:hAnsiTheme="majorBidi" w:cstheme="majorBidi"/>
                <w:sz w:val="16"/>
                <w:szCs w:val="16"/>
              </w:rPr>
              <w:t>eroxypivalate</w:t>
            </w:r>
            <w:proofErr w:type="spellEnd"/>
            <w:r>
              <w:rPr>
                <w:rFonts w:asciiTheme="majorBidi" w:hAnsiTheme="majorBidi" w:cstheme="majorBidi"/>
                <w:sz w:val="16"/>
                <w:szCs w:val="16"/>
              </w:rPr>
              <w:t xml:space="preserve"> de </w:t>
            </w:r>
            <w:proofErr w:type="spellStart"/>
            <w:r>
              <w:rPr>
                <w:rFonts w:asciiTheme="majorBidi" w:hAnsiTheme="majorBidi" w:cstheme="majorBidi"/>
                <w:sz w:val="16"/>
                <w:szCs w:val="16"/>
              </w:rPr>
              <w:t>tert</w:t>
            </w:r>
            <w:proofErr w:type="spellEnd"/>
            <w:r>
              <w:rPr>
                <w:rFonts w:asciiTheme="majorBidi" w:hAnsiTheme="majorBidi" w:cstheme="majorBidi"/>
                <w:sz w:val="16"/>
                <w:szCs w:val="16"/>
              </w:rPr>
              <w:t>-amyle</w:t>
            </w:r>
            <w:r w:rsidRPr="00B301AF">
              <w:rPr>
                <w:rFonts w:asciiTheme="majorBidi" w:hAnsiTheme="majorBidi" w:cstheme="majorBidi"/>
                <w:sz w:val="16"/>
                <w:szCs w:val="16"/>
              </w:rPr>
              <w:t xml:space="preserve">, </w:t>
            </w:r>
            <w:r w:rsidRPr="00B301AF">
              <w:rPr>
                <w:rFonts w:asciiTheme="majorBidi" w:hAnsiTheme="majorBidi" w:cstheme="majorBidi"/>
                <w:sz w:val="16"/>
                <w:szCs w:val="16"/>
              </w:rPr>
              <w:br/>
              <w:t>à 42 % au plus en dispersion stable dans l’eau</w:t>
            </w:r>
          </w:p>
        </w:tc>
        <w:tc>
          <w:tcPr>
            <w:tcW w:w="1606" w:type="dxa"/>
            <w:tcBorders>
              <w:top w:val="single" w:sz="12" w:space="0" w:color="auto"/>
            </w:tcBorders>
            <w:shd w:val="clear" w:color="auto" w:fill="auto"/>
          </w:tcPr>
          <w:p w:rsidR="00B60A84" w:rsidRPr="00B301AF" w:rsidRDefault="00B60A84" w:rsidP="008A5DC1">
            <w:pPr>
              <w:spacing w:before="60" w:after="60" w:line="200" w:lineRule="exact"/>
              <w:ind w:left="57" w:right="57"/>
              <w:jc w:val="center"/>
              <w:rPr>
                <w:rFonts w:asciiTheme="majorBidi" w:hAnsiTheme="majorBidi" w:cstheme="majorBidi"/>
                <w:sz w:val="16"/>
                <w:szCs w:val="16"/>
              </w:rPr>
            </w:pPr>
            <w:r w:rsidRPr="00B301AF">
              <w:rPr>
                <w:rFonts w:asciiTheme="majorBidi" w:hAnsiTheme="majorBidi" w:cstheme="majorBidi"/>
                <w:sz w:val="16"/>
                <w:szCs w:val="16"/>
              </w:rPr>
              <w:t>31HA1</w:t>
            </w:r>
          </w:p>
        </w:tc>
        <w:tc>
          <w:tcPr>
            <w:tcW w:w="1607" w:type="dxa"/>
            <w:tcBorders>
              <w:top w:val="single" w:sz="12" w:space="0" w:color="auto"/>
            </w:tcBorders>
            <w:shd w:val="clear" w:color="auto" w:fill="auto"/>
          </w:tcPr>
          <w:p w:rsidR="00B60A84" w:rsidRPr="00B301AF" w:rsidRDefault="00B60A84" w:rsidP="008A5DC1">
            <w:pPr>
              <w:spacing w:before="60" w:after="60" w:line="200" w:lineRule="exact"/>
              <w:ind w:left="57" w:right="57"/>
              <w:jc w:val="center"/>
              <w:rPr>
                <w:rFonts w:asciiTheme="majorBidi" w:hAnsiTheme="majorBidi" w:cstheme="majorBidi"/>
                <w:sz w:val="16"/>
                <w:szCs w:val="16"/>
              </w:rPr>
            </w:pPr>
            <w:r w:rsidRPr="00B301AF">
              <w:rPr>
                <w:rFonts w:asciiTheme="majorBidi" w:hAnsiTheme="majorBidi" w:cstheme="majorBidi"/>
                <w:sz w:val="16"/>
                <w:szCs w:val="16"/>
              </w:rPr>
              <w:t>1 000</w:t>
            </w:r>
          </w:p>
        </w:tc>
        <w:tc>
          <w:tcPr>
            <w:tcW w:w="1607" w:type="dxa"/>
            <w:tcBorders>
              <w:top w:val="single" w:sz="12" w:space="0" w:color="auto"/>
            </w:tcBorders>
            <w:shd w:val="clear" w:color="auto" w:fill="auto"/>
          </w:tcPr>
          <w:p w:rsidR="00B60A84" w:rsidRPr="00B301AF" w:rsidRDefault="00B60A84" w:rsidP="008A5DC1">
            <w:pPr>
              <w:spacing w:before="60" w:after="60" w:line="200" w:lineRule="exact"/>
              <w:ind w:left="57" w:right="57"/>
              <w:jc w:val="center"/>
              <w:rPr>
                <w:rFonts w:asciiTheme="majorBidi" w:hAnsiTheme="majorBidi" w:cstheme="majorBidi"/>
                <w:sz w:val="16"/>
                <w:szCs w:val="16"/>
              </w:rPr>
            </w:pPr>
            <w:r w:rsidRPr="00B301AF">
              <w:rPr>
                <w:rFonts w:asciiTheme="majorBidi" w:hAnsiTheme="majorBidi" w:cstheme="majorBidi"/>
                <w:sz w:val="16"/>
                <w:szCs w:val="16"/>
              </w:rPr>
              <w:t>0 ºC</w:t>
            </w:r>
          </w:p>
        </w:tc>
        <w:tc>
          <w:tcPr>
            <w:tcW w:w="1607" w:type="dxa"/>
            <w:tcBorders>
              <w:top w:val="single" w:sz="12" w:space="0" w:color="auto"/>
            </w:tcBorders>
            <w:shd w:val="clear" w:color="auto" w:fill="auto"/>
          </w:tcPr>
          <w:p w:rsidR="00B60A84" w:rsidRPr="00B301AF" w:rsidRDefault="00B60A84" w:rsidP="008A5DC1">
            <w:pPr>
              <w:spacing w:before="60" w:after="60" w:line="200" w:lineRule="exact"/>
              <w:ind w:left="57" w:right="57"/>
              <w:jc w:val="center"/>
              <w:rPr>
                <w:rFonts w:asciiTheme="majorBidi" w:hAnsiTheme="majorBidi" w:cstheme="majorBidi"/>
                <w:sz w:val="16"/>
                <w:szCs w:val="16"/>
              </w:rPr>
            </w:pPr>
            <w:r w:rsidRPr="00B301AF">
              <w:rPr>
                <w:rFonts w:asciiTheme="majorBidi" w:hAnsiTheme="majorBidi" w:cstheme="majorBidi"/>
                <w:sz w:val="16"/>
                <w:szCs w:val="16"/>
              </w:rPr>
              <w:t>+10 ºC</w:t>
            </w:r>
          </w:p>
        </w:tc>
      </w:tr>
      <w:tr w:rsidR="00B60A84" w:rsidRPr="00CC6AA6" w:rsidTr="008A5DC1">
        <w:tc>
          <w:tcPr>
            <w:tcW w:w="800" w:type="dxa"/>
            <w:shd w:val="clear" w:color="auto" w:fill="auto"/>
          </w:tcPr>
          <w:p w:rsidR="00B60A84" w:rsidRPr="00B301AF" w:rsidRDefault="00B60A84" w:rsidP="008A5DC1">
            <w:pPr>
              <w:spacing w:before="40" w:after="120"/>
              <w:ind w:right="113"/>
              <w:rPr>
                <w:sz w:val="18"/>
                <w:szCs w:val="18"/>
              </w:rPr>
            </w:pPr>
            <w:r w:rsidRPr="00B301AF">
              <w:rPr>
                <w:sz w:val="18"/>
                <w:szCs w:val="18"/>
              </w:rPr>
              <w:t>3119</w:t>
            </w:r>
          </w:p>
        </w:tc>
        <w:tc>
          <w:tcPr>
            <w:tcW w:w="2412" w:type="dxa"/>
            <w:shd w:val="clear" w:color="auto" w:fill="auto"/>
            <w:vAlign w:val="bottom"/>
          </w:tcPr>
          <w:p w:rsidR="00B60A84" w:rsidRPr="00B301AF" w:rsidRDefault="00B60A84" w:rsidP="008A5DC1">
            <w:pPr>
              <w:spacing w:before="60" w:after="60" w:line="200" w:lineRule="exact"/>
              <w:ind w:left="57" w:right="57"/>
              <w:rPr>
                <w:rFonts w:asciiTheme="majorBidi" w:hAnsiTheme="majorBidi" w:cstheme="majorBidi"/>
                <w:sz w:val="16"/>
                <w:szCs w:val="16"/>
              </w:rPr>
            </w:pPr>
            <w:proofErr w:type="spellStart"/>
            <w:r w:rsidRPr="00B301AF">
              <w:rPr>
                <w:rFonts w:asciiTheme="majorBidi" w:hAnsiTheme="majorBidi" w:cstheme="majorBidi"/>
                <w:sz w:val="16"/>
                <w:szCs w:val="16"/>
              </w:rPr>
              <w:t>P</w:t>
            </w:r>
            <w:r>
              <w:rPr>
                <w:rFonts w:asciiTheme="majorBidi" w:hAnsiTheme="majorBidi" w:cstheme="majorBidi"/>
                <w:sz w:val="16"/>
                <w:szCs w:val="16"/>
              </w:rPr>
              <w:t>eroxypivalate</w:t>
            </w:r>
            <w:proofErr w:type="spellEnd"/>
            <w:r>
              <w:rPr>
                <w:rFonts w:asciiTheme="majorBidi" w:hAnsiTheme="majorBidi" w:cstheme="majorBidi"/>
                <w:sz w:val="16"/>
                <w:szCs w:val="16"/>
              </w:rPr>
              <w:t xml:space="preserve"> de </w:t>
            </w:r>
            <w:proofErr w:type="spellStart"/>
            <w:r>
              <w:rPr>
                <w:rFonts w:asciiTheme="majorBidi" w:hAnsiTheme="majorBidi" w:cstheme="majorBidi"/>
                <w:sz w:val="16"/>
                <w:szCs w:val="16"/>
              </w:rPr>
              <w:t>tert</w:t>
            </w:r>
            <w:proofErr w:type="spellEnd"/>
            <w:r>
              <w:rPr>
                <w:rFonts w:asciiTheme="majorBidi" w:hAnsiTheme="majorBidi" w:cstheme="majorBidi"/>
                <w:sz w:val="16"/>
                <w:szCs w:val="16"/>
              </w:rPr>
              <w:t>-butyle</w:t>
            </w:r>
            <w:r w:rsidRPr="00B301AF">
              <w:rPr>
                <w:rFonts w:asciiTheme="majorBidi" w:hAnsiTheme="majorBidi" w:cstheme="majorBidi"/>
                <w:sz w:val="16"/>
                <w:szCs w:val="16"/>
              </w:rPr>
              <w:t xml:space="preserve">, </w:t>
            </w:r>
            <w:r w:rsidRPr="00B301AF">
              <w:rPr>
                <w:rFonts w:asciiTheme="majorBidi" w:hAnsiTheme="majorBidi" w:cstheme="majorBidi"/>
                <w:sz w:val="16"/>
                <w:szCs w:val="16"/>
              </w:rPr>
              <w:br/>
              <w:t>à 42 % au plus dans un diluant de type A</w:t>
            </w:r>
          </w:p>
        </w:tc>
        <w:tc>
          <w:tcPr>
            <w:tcW w:w="1606" w:type="dxa"/>
            <w:shd w:val="clear" w:color="auto" w:fill="auto"/>
          </w:tcPr>
          <w:p w:rsidR="00B60A84" w:rsidRPr="00B301AF" w:rsidRDefault="00B60A84" w:rsidP="008A5DC1">
            <w:pPr>
              <w:spacing w:before="60" w:after="60" w:line="200" w:lineRule="exact"/>
              <w:ind w:left="57" w:right="57"/>
              <w:jc w:val="center"/>
              <w:rPr>
                <w:rFonts w:asciiTheme="majorBidi" w:hAnsiTheme="majorBidi" w:cstheme="majorBidi"/>
                <w:sz w:val="16"/>
                <w:szCs w:val="16"/>
              </w:rPr>
            </w:pPr>
            <w:r w:rsidRPr="00B301AF">
              <w:rPr>
                <w:rFonts w:asciiTheme="majorBidi" w:hAnsiTheme="majorBidi" w:cstheme="majorBidi"/>
                <w:sz w:val="16"/>
                <w:szCs w:val="16"/>
              </w:rPr>
              <w:t>31HA1</w:t>
            </w:r>
            <w:r w:rsidRPr="00B301AF">
              <w:rPr>
                <w:rFonts w:asciiTheme="majorBidi" w:hAnsiTheme="majorBidi" w:cstheme="majorBidi"/>
                <w:sz w:val="16"/>
                <w:szCs w:val="16"/>
              </w:rPr>
              <w:br/>
              <w:t>31A</w:t>
            </w:r>
          </w:p>
        </w:tc>
        <w:tc>
          <w:tcPr>
            <w:tcW w:w="1607" w:type="dxa"/>
            <w:shd w:val="clear" w:color="auto" w:fill="auto"/>
          </w:tcPr>
          <w:p w:rsidR="00B60A84" w:rsidRPr="00B301AF" w:rsidRDefault="00B60A84" w:rsidP="008A5DC1">
            <w:pPr>
              <w:spacing w:before="60" w:after="60" w:line="200" w:lineRule="exact"/>
              <w:ind w:left="57" w:right="57"/>
              <w:jc w:val="center"/>
              <w:rPr>
                <w:rFonts w:asciiTheme="majorBidi" w:hAnsiTheme="majorBidi" w:cstheme="majorBidi"/>
                <w:sz w:val="16"/>
                <w:szCs w:val="16"/>
              </w:rPr>
            </w:pPr>
            <w:r w:rsidRPr="00B301AF">
              <w:rPr>
                <w:rFonts w:asciiTheme="majorBidi" w:hAnsiTheme="majorBidi" w:cstheme="majorBidi"/>
                <w:sz w:val="16"/>
                <w:szCs w:val="16"/>
              </w:rPr>
              <w:t>1 000</w:t>
            </w:r>
            <w:r w:rsidRPr="00B301AF">
              <w:rPr>
                <w:rFonts w:asciiTheme="majorBidi" w:hAnsiTheme="majorBidi" w:cstheme="majorBidi"/>
                <w:sz w:val="16"/>
                <w:szCs w:val="16"/>
              </w:rPr>
              <w:br/>
              <w:t>1 250</w:t>
            </w:r>
          </w:p>
        </w:tc>
        <w:tc>
          <w:tcPr>
            <w:tcW w:w="1607" w:type="dxa"/>
            <w:shd w:val="clear" w:color="auto" w:fill="auto"/>
          </w:tcPr>
          <w:p w:rsidR="00B60A84" w:rsidRPr="00B301AF" w:rsidRDefault="00B60A84" w:rsidP="008A5DC1">
            <w:pPr>
              <w:spacing w:before="60" w:after="60" w:line="200" w:lineRule="exact"/>
              <w:ind w:left="57" w:right="57"/>
              <w:jc w:val="center"/>
              <w:rPr>
                <w:rFonts w:asciiTheme="majorBidi" w:hAnsiTheme="majorBidi" w:cstheme="majorBidi"/>
                <w:sz w:val="16"/>
                <w:szCs w:val="16"/>
                <w:lang w:val="en-US"/>
              </w:rPr>
            </w:pPr>
            <w:r>
              <w:rPr>
                <w:rFonts w:asciiTheme="majorBidi" w:hAnsiTheme="majorBidi" w:cstheme="majorBidi"/>
                <w:sz w:val="16"/>
                <w:szCs w:val="16"/>
              </w:rPr>
              <w:t>+</w:t>
            </w:r>
            <w:r w:rsidRPr="00B301AF">
              <w:rPr>
                <w:rFonts w:asciiTheme="majorBidi" w:hAnsiTheme="majorBidi" w:cstheme="majorBidi"/>
                <w:sz w:val="16"/>
                <w:szCs w:val="16"/>
              </w:rPr>
              <w:t>10 ºC</w:t>
            </w:r>
            <w:r w:rsidRPr="00B301AF">
              <w:rPr>
                <w:rFonts w:asciiTheme="majorBidi" w:hAnsiTheme="majorBidi" w:cstheme="majorBidi"/>
                <w:sz w:val="16"/>
                <w:szCs w:val="16"/>
              </w:rPr>
              <w:br/>
            </w:r>
            <w:r>
              <w:rPr>
                <w:rFonts w:asciiTheme="majorBidi" w:hAnsiTheme="majorBidi" w:cstheme="majorBidi"/>
                <w:sz w:val="16"/>
                <w:szCs w:val="16"/>
              </w:rPr>
              <w:t>+</w:t>
            </w:r>
            <w:r w:rsidRPr="00B301AF">
              <w:rPr>
                <w:rFonts w:asciiTheme="majorBidi" w:hAnsiTheme="majorBidi" w:cstheme="majorBidi"/>
                <w:sz w:val="16"/>
                <w:szCs w:val="16"/>
              </w:rPr>
              <w:t>1</w:t>
            </w:r>
            <w:r w:rsidRPr="00B301AF">
              <w:rPr>
                <w:rFonts w:asciiTheme="majorBidi" w:hAnsiTheme="majorBidi" w:cstheme="majorBidi"/>
                <w:sz w:val="16"/>
                <w:szCs w:val="16"/>
                <w:lang w:val="en-US"/>
              </w:rPr>
              <w:t>0 ºC</w:t>
            </w:r>
          </w:p>
        </w:tc>
        <w:tc>
          <w:tcPr>
            <w:tcW w:w="1607" w:type="dxa"/>
            <w:shd w:val="clear" w:color="auto" w:fill="auto"/>
          </w:tcPr>
          <w:p w:rsidR="00B60A84" w:rsidRPr="00C25671" w:rsidRDefault="00B60A84" w:rsidP="008A5DC1">
            <w:pPr>
              <w:spacing w:before="60" w:after="60" w:line="200" w:lineRule="exact"/>
              <w:ind w:left="57" w:right="57"/>
              <w:jc w:val="center"/>
              <w:rPr>
                <w:rFonts w:asciiTheme="majorBidi" w:hAnsiTheme="majorBidi" w:cstheme="majorBidi"/>
                <w:sz w:val="16"/>
                <w:szCs w:val="16"/>
                <w:lang w:val="en-US"/>
              </w:rPr>
            </w:pPr>
            <w:r>
              <w:rPr>
                <w:rFonts w:asciiTheme="majorBidi" w:hAnsiTheme="majorBidi" w:cstheme="majorBidi"/>
                <w:sz w:val="16"/>
                <w:szCs w:val="16"/>
                <w:lang w:val="en-US"/>
              </w:rPr>
              <w:t>+</w:t>
            </w:r>
            <w:r w:rsidRPr="00B301AF">
              <w:rPr>
                <w:rFonts w:asciiTheme="majorBidi" w:hAnsiTheme="majorBidi" w:cstheme="majorBidi"/>
                <w:sz w:val="16"/>
                <w:szCs w:val="16"/>
                <w:lang w:val="en-US"/>
              </w:rPr>
              <w:t>15 ºC</w:t>
            </w:r>
            <w:r w:rsidRPr="00B301AF">
              <w:rPr>
                <w:rFonts w:asciiTheme="majorBidi" w:hAnsiTheme="majorBidi" w:cstheme="majorBidi"/>
                <w:sz w:val="16"/>
                <w:szCs w:val="16"/>
                <w:lang w:val="en-US"/>
              </w:rPr>
              <w:br/>
            </w:r>
            <w:r>
              <w:rPr>
                <w:rFonts w:asciiTheme="majorBidi" w:hAnsiTheme="majorBidi" w:cstheme="majorBidi"/>
                <w:sz w:val="16"/>
                <w:szCs w:val="16"/>
                <w:lang w:val="en-US"/>
              </w:rPr>
              <w:t>+</w:t>
            </w:r>
            <w:r w:rsidRPr="00B301AF">
              <w:rPr>
                <w:rFonts w:asciiTheme="majorBidi" w:hAnsiTheme="majorBidi" w:cstheme="majorBidi"/>
                <w:sz w:val="16"/>
                <w:szCs w:val="16"/>
                <w:lang w:val="en-US"/>
              </w:rPr>
              <w:t>15 ºC</w:t>
            </w:r>
          </w:p>
        </w:tc>
      </w:tr>
    </w:tbl>
    <w:p w:rsidR="00B60A84" w:rsidRDefault="00B60A84" w:rsidP="00B60A84">
      <w:pPr>
        <w:spacing w:before="120" w:after="120" w:line="240" w:lineRule="auto"/>
        <w:ind w:left="1134" w:right="1134"/>
        <w:jc w:val="both"/>
        <w:rPr>
          <w:i/>
          <w:iCs/>
        </w:rPr>
      </w:pPr>
      <w:r w:rsidRPr="001539C6">
        <w:rPr>
          <w:i/>
          <w:iCs/>
        </w:rPr>
        <w:lastRenderedPageBreak/>
        <w:t>(</w:t>
      </w:r>
      <w:r w:rsidRPr="001539C6">
        <w:rPr>
          <w:i/>
          <w:iCs/>
          <w:lang w:val="fr-FR"/>
        </w:rPr>
        <w:t>Document de référence</w:t>
      </w:r>
      <w:r>
        <w:rPr>
          <w:i/>
          <w:iCs/>
          <w:lang w:val="fr-FR"/>
        </w:rPr>
        <w:t> </w:t>
      </w:r>
      <w:r w:rsidRPr="001539C6">
        <w:rPr>
          <w:i/>
          <w:iCs/>
        </w:rPr>
        <w:t>: ST/SG/AC.10/C.3/201</w:t>
      </w:r>
      <w:r>
        <w:rPr>
          <w:i/>
          <w:iCs/>
        </w:rPr>
        <w:t>8</w:t>
      </w:r>
      <w:r w:rsidRPr="001539C6">
        <w:rPr>
          <w:i/>
          <w:iCs/>
        </w:rPr>
        <w:t>/</w:t>
      </w:r>
      <w:r>
        <w:rPr>
          <w:i/>
          <w:iCs/>
        </w:rPr>
        <w:t>29</w:t>
      </w:r>
      <w:r w:rsidRPr="001539C6">
        <w:rPr>
          <w:i/>
          <w:iCs/>
        </w:rPr>
        <w:t>)</w:t>
      </w:r>
    </w:p>
    <w:p w:rsidR="00D12C1C" w:rsidRPr="006B0E45" w:rsidRDefault="002D2EE8" w:rsidP="00D12C1C">
      <w:pPr>
        <w:pStyle w:val="SingleTxtG"/>
        <w:rPr>
          <w:lang w:val="fr-FR"/>
        </w:rPr>
      </w:pPr>
      <w:r>
        <w:rPr>
          <w:lang w:val="fr-FR"/>
        </w:rPr>
        <w:t>[</w:t>
      </w:r>
      <w:r w:rsidR="00D12C1C" w:rsidRPr="006B0E45">
        <w:rPr>
          <w:lang w:val="fr-FR"/>
        </w:rPr>
        <w:t>4.1.4.3</w:t>
      </w:r>
      <w:r w:rsidR="00D12C1C" w:rsidRPr="006B0E45">
        <w:rPr>
          <w:lang w:val="fr-FR"/>
        </w:rPr>
        <w:tab/>
        <w:t>Ajouter la nouvelle instruction d’emballage LP622 suivante :</w:t>
      </w:r>
    </w:p>
    <w:tbl>
      <w:tblPr>
        <w:tblW w:w="9643" w:type="dxa"/>
        <w:tblInd w:w="54"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855"/>
        <w:gridCol w:w="2359"/>
        <w:gridCol w:w="3214"/>
        <w:gridCol w:w="2221"/>
        <w:gridCol w:w="994"/>
      </w:tblGrid>
      <w:tr w:rsidR="00D12C1C" w:rsidRPr="008A3492" w:rsidTr="008A5DC1">
        <w:tc>
          <w:tcPr>
            <w:tcW w:w="855" w:type="dxa"/>
            <w:tcBorders>
              <w:bottom w:val="single" w:sz="4" w:space="0" w:color="000000"/>
            </w:tcBorders>
          </w:tcPr>
          <w:p w:rsidR="00D12C1C" w:rsidRPr="008A3492" w:rsidRDefault="00D12C1C" w:rsidP="008A5DC1">
            <w:pPr>
              <w:spacing w:before="60" w:after="60"/>
              <w:rPr>
                <w:b/>
                <w:bCs/>
                <w:color w:val="000000"/>
                <w:sz w:val="18"/>
                <w:szCs w:val="18"/>
                <w:lang w:val="fr-FR"/>
              </w:rPr>
            </w:pPr>
            <w:r w:rsidRPr="008A3492">
              <w:rPr>
                <w:b/>
                <w:bCs/>
                <w:sz w:val="18"/>
                <w:szCs w:val="18"/>
                <w:lang w:val="fr-FR"/>
              </w:rPr>
              <w:t>LP622</w:t>
            </w:r>
          </w:p>
        </w:tc>
        <w:tc>
          <w:tcPr>
            <w:tcW w:w="7794" w:type="dxa"/>
            <w:gridSpan w:val="3"/>
            <w:tcBorders>
              <w:bottom w:val="single" w:sz="4" w:space="0" w:color="000000"/>
            </w:tcBorders>
          </w:tcPr>
          <w:p w:rsidR="00D12C1C" w:rsidRPr="008A3492" w:rsidRDefault="00D12C1C" w:rsidP="008A5DC1">
            <w:pPr>
              <w:spacing w:before="60" w:after="60"/>
              <w:jc w:val="center"/>
              <w:rPr>
                <w:b/>
                <w:bCs/>
                <w:color w:val="000000"/>
                <w:sz w:val="18"/>
                <w:szCs w:val="18"/>
                <w:lang w:val="fr-FR"/>
              </w:rPr>
            </w:pPr>
            <w:r w:rsidRPr="008A3492">
              <w:rPr>
                <w:b/>
                <w:bCs/>
                <w:sz w:val="18"/>
                <w:szCs w:val="18"/>
                <w:lang w:val="fr-FR"/>
              </w:rPr>
              <w:t>INSTRUCTION D’EMBALLAGE</w:t>
            </w:r>
          </w:p>
        </w:tc>
        <w:tc>
          <w:tcPr>
            <w:tcW w:w="994" w:type="dxa"/>
            <w:tcBorders>
              <w:bottom w:val="single" w:sz="4" w:space="0" w:color="000000"/>
            </w:tcBorders>
          </w:tcPr>
          <w:p w:rsidR="00D12C1C" w:rsidRPr="008A3492" w:rsidRDefault="00713F45" w:rsidP="008A5DC1">
            <w:pPr>
              <w:spacing w:before="60" w:after="60"/>
              <w:rPr>
                <w:b/>
                <w:bCs/>
                <w:color w:val="000000"/>
                <w:sz w:val="18"/>
                <w:szCs w:val="18"/>
                <w:lang w:val="fr-FR"/>
              </w:rPr>
            </w:pPr>
            <w:r w:rsidRPr="008A3492">
              <w:rPr>
                <w:b/>
                <w:bCs/>
                <w:sz w:val="18"/>
                <w:szCs w:val="18"/>
                <w:lang w:val="fr-FR"/>
              </w:rPr>
              <w:t xml:space="preserve">      </w:t>
            </w:r>
            <w:r w:rsidR="00D12C1C" w:rsidRPr="008A3492">
              <w:rPr>
                <w:b/>
                <w:bCs/>
                <w:sz w:val="18"/>
                <w:szCs w:val="18"/>
                <w:lang w:val="fr-FR"/>
              </w:rPr>
              <w:t>LP622</w:t>
            </w:r>
          </w:p>
        </w:tc>
      </w:tr>
      <w:tr w:rsidR="00D12C1C" w:rsidRPr="008A3492" w:rsidTr="008A5DC1">
        <w:tc>
          <w:tcPr>
            <w:tcW w:w="9643" w:type="dxa"/>
            <w:gridSpan w:val="5"/>
            <w:tcBorders>
              <w:top w:val="single" w:sz="4" w:space="0" w:color="000000"/>
              <w:bottom w:val="single" w:sz="4" w:space="0" w:color="000000"/>
            </w:tcBorders>
          </w:tcPr>
          <w:p w:rsidR="00D12C1C" w:rsidRPr="008A3492" w:rsidRDefault="00D12C1C" w:rsidP="008A5DC1">
            <w:pPr>
              <w:spacing w:before="60" w:after="60"/>
              <w:rPr>
                <w:color w:val="000000"/>
                <w:sz w:val="18"/>
                <w:szCs w:val="18"/>
                <w:lang w:val="fr-FR"/>
              </w:rPr>
            </w:pPr>
            <w:r w:rsidRPr="008A3492">
              <w:rPr>
                <w:sz w:val="18"/>
                <w:szCs w:val="18"/>
                <w:lang w:val="fr-FR"/>
              </w:rPr>
              <w:t>La présente instruction s’applique au No ONU 3549.</w:t>
            </w:r>
          </w:p>
        </w:tc>
      </w:tr>
      <w:tr w:rsidR="00D12C1C" w:rsidRPr="008A3492" w:rsidTr="008A5DC1">
        <w:tc>
          <w:tcPr>
            <w:tcW w:w="9643" w:type="dxa"/>
            <w:gridSpan w:val="5"/>
            <w:tcBorders>
              <w:top w:val="single" w:sz="4" w:space="0" w:color="000000"/>
              <w:bottom w:val="single" w:sz="4" w:space="0" w:color="000000"/>
            </w:tcBorders>
          </w:tcPr>
          <w:p w:rsidR="00D12C1C" w:rsidRPr="008A3492" w:rsidRDefault="00D12C1C" w:rsidP="008A5DC1">
            <w:pPr>
              <w:spacing w:before="60" w:after="60"/>
              <w:rPr>
                <w:color w:val="000000"/>
                <w:sz w:val="18"/>
                <w:szCs w:val="18"/>
                <w:lang w:val="fr-FR"/>
              </w:rPr>
            </w:pPr>
            <w:r w:rsidRPr="008A3492">
              <w:rPr>
                <w:sz w:val="18"/>
                <w:szCs w:val="18"/>
                <w:lang w:val="fr-FR"/>
              </w:rPr>
              <w:t xml:space="preserve">Les emballages suivants sont autorisés s’il est satisfait aux dispositions générales des sections </w:t>
            </w:r>
            <w:r w:rsidRPr="008A3492">
              <w:rPr>
                <w:b/>
                <w:sz w:val="18"/>
                <w:szCs w:val="18"/>
                <w:lang w:val="fr-FR"/>
              </w:rPr>
              <w:t>4.1.1</w:t>
            </w:r>
            <w:r w:rsidRPr="008A3492">
              <w:rPr>
                <w:sz w:val="18"/>
                <w:szCs w:val="18"/>
                <w:lang w:val="fr-FR"/>
              </w:rPr>
              <w:t xml:space="preserve"> et </w:t>
            </w:r>
            <w:r w:rsidRPr="008A3492">
              <w:rPr>
                <w:b/>
                <w:sz w:val="18"/>
                <w:szCs w:val="18"/>
                <w:lang w:val="fr-FR"/>
              </w:rPr>
              <w:t>4.1.3</w:t>
            </w:r>
            <w:r w:rsidRPr="008A3492">
              <w:rPr>
                <w:sz w:val="18"/>
                <w:szCs w:val="18"/>
                <w:lang w:val="fr-FR"/>
              </w:rPr>
              <w:t> :</w:t>
            </w:r>
          </w:p>
        </w:tc>
      </w:tr>
      <w:tr w:rsidR="00D12C1C" w:rsidRPr="008A3492" w:rsidTr="008A5DC1">
        <w:tc>
          <w:tcPr>
            <w:tcW w:w="3214" w:type="dxa"/>
            <w:gridSpan w:val="2"/>
            <w:tcBorders>
              <w:top w:val="single" w:sz="4" w:space="0" w:color="000000"/>
              <w:bottom w:val="single" w:sz="4" w:space="0" w:color="000000"/>
              <w:right w:val="single" w:sz="4" w:space="0" w:color="auto"/>
            </w:tcBorders>
          </w:tcPr>
          <w:p w:rsidR="00D12C1C" w:rsidRPr="008A3492" w:rsidRDefault="00D12C1C" w:rsidP="008A5DC1">
            <w:pPr>
              <w:spacing w:before="60" w:after="60"/>
              <w:rPr>
                <w:b/>
                <w:color w:val="000000"/>
                <w:sz w:val="18"/>
                <w:szCs w:val="18"/>
                <w:lang w:val="fr-FR"/>
              </w:rPr>
            </w:pPr>
            <w:r w:rsidRPr="008A3492">
              <w:rPr>
                <w:b/>
                <w:bCs/>
                <w:sz w:val="18"/>
                <w:szCs w:val="18"/>
                <w:lang w:val="fr-FR"/>
              </w:rPr>
              <w:t>Emballages intérieurs</w:t>
            </w:r>
          </w:p>
        </w:tc>
        <w:tc>
          <w:tcPr>
            <w:tcW w:w="3214" w:type="dxa"/>
            <w:tcBorders>
              <w:top w:val="single" w:sz="4" w:space="0" w:color="000000"/>
              <w:left w:val="single" w:sz="4" w:space="0" w:color="auto"/>
              <w:bottom w:val="single" w:sz="4" w:space="0" w:color="000000"/>
              <w:right w:val="single" w:sz="4" w:space="0" w:color="auto"/>
            </w:tcBorders>
          </w:tcPr>
          <w:p w:rsidR="00D12C1C" w:rsidRPr="008A3492" w:rsidRDefault="00D12C1C" w:rsidP="008A5DC1">
            <w:pPr>
              <w:spacing w:before="60" w:after="60"/>
              <w:rPr>
                <w:b/>
                <w:color w:val="000000"/>
                <w:sz w:val="18"/>
                <w:szCs w:val="18"/>
                <w:lang w:val="fr-FR"/>
              </w:rPr>
            </w:pPr>
            <w:r w:rsidRPr="008A3492">
              <w:rPr>
                <w:b/>
                <w:bCs/>
                <w:sz w:val="18"/>
                <w:szCs w:val="18"/>
                <w:lang w:val="fr-FR"/>
              </w:rPr>
              <w:t>Emballages intermédiaires</w:t>
            </w:r>
          </w:p>
        </w:tc>
        <w:tc>
          <w:tcPr>
            <w:tcW w:w="3215" w:type="dxa"/>
            <w:gridSpan w:val="2"/>
            <w:tcBorders>
              <w:top w:val="single" w:sz="4" w:space="0" w:color="000000"/>
              <w:left w:val="single" w:sz="4" w:space="0" w:color="auto"/>
              <w:bottom w:val="single" w:sz="4" w:space="0" w:color="000000"/>
            </w:tcBorders>
          </w:tcPr>
          <w:p w:rsidR="00D12C1C" w:rsidRPr="008A3492" w:rsidRDefault="00D12C1C" w:rsidP="008A5DC1">
            <w:pPr>
              <w:spacing w:before="60" w:after="60"/>
              <w:rPr>
                <w:b/>
                <w:color w:val="000000"/>
                <w:sz w:val="18"/>
                <w:szCs w:val="18"/>
                <w:lang w:val="fr-FR"/>
              </w:rPr>
            </w:pPr>
            <w:r w:rsidRPr="008A3492">
              <w:rPr>
                <w:b/>
                <w:bCs/>
                <w:sz w:val="18"/>
                <w:szCs w:val="18"/>
                <w:lang w:val="fr-FR"/>
              </w:rPr>
              <w:t>Emballages extérieurs</w:t>
            </w:r>
          </w:p>
        </w:tc>
      </w:tr>
      <w:tr w:rsidR="00D12C1C" w:rsidRPr="008A3492" w:rsidTr="008A5DC1">
        <w:trPr>
          <w:trHeight w:val="1394"/>
        </w:trPr>
        <w:tc>
          <w:tcPr>
            <w:tcW w:w="3214" w:type="dxa"/>
            <w:gridSpan w:val="2"/>
            <w:tcBorders>
              <w:top w:val="single" w:sz="4" w:space="0" w:color="000000"/>
              <w:bottom w:val="single" w:sz="4" w:space="0" w:color="000000"/>
              <w:right w:val="single" w:sz="4" w:space="0" w:color="auto"/>
            </w:tcBorders>
          </w:tcPr>
          <w:p w:rsidR="00D12C1C" w:rsidRPr="008A3492" w:rsidRDefault="00D12C1C" w:rsidP="008A5DC1">
            <w:pPr>
              <w:spacing w:before="60" w:after="60"/>
              <w:rPr>
                <w:color w:val="000000"/>
                <w:sz w:val="18"/>
                <w:szCs w:val="18"/>
                <w:lang w:val="fr-FR"/>
              </w:rPr>
            </w:pPr>
            <w:proofErr w:type="gramStart"/>
            <w:r w:rsidRPr="008A3492">
              <w:rPr>
                <w:sz w:val="18"/>
                <w:szCs w:val="18"/>
                <w:lang w:val="fr-FR"/>
              </w:rPr>
              <w:t>en</w:t>
            </w:r>
            <w:proofErr w:type="gramEnd"/>
            <w:r w:rsidRPr="008A3492">
              <w:rPr>
                <w:sz w:val="18"/>
                <w:szCs w:val="18"/>
                <w:lang w:val="fr-FR"/>
              </w:rPr>
              <w:t xml:space="preserve"> métal</w:t>
            </w:r>
          </w:p>
          <w:p w:rsidR="00D12C1C" w:rsidRPr="008A3492" w:rsidRDefault="00D12C1C" w:rsidP="008A5DC1">
            <w:pPr>
              <w:spacing w:before="60" w:after="60"/>
              <w:rPr>
                <w:color w:val="000000"/>
                <w:sz w:val="18"/>
                <w:szCs w:val="18"/>
                <w:lang w:val="fr-FR"/>
              </w:rPr>
            </w:pPr>
            <w:proofErr w:type="gramStart"/>
            <w:r w:rsidRPr="008A3492">
              <w:rPr>
                <w:sz w:val="18"/>
                <w:szCs w:val="18"/>
                <w:lang w:val="fr-FR"/>
              </w:rPr>
              <w:t>en</w:t>
            </w:r>
            <w:proofErr w:type="gramEnd"/>
            <w:r w:rsidRPr="008A3492">
              <w:rPr>
                <w:sz w:val="18"/>
                <w:szCs w:val="18"/>
                <w:lang w:val="fr-FR"/>
              </w:rPr>
              <w:t xml:space="preserve"> plastique</w:t>
            </w:r>
          </w:p>
        </w:tc>
        <w:tc>
          <w:tcPr>
            <w:tcW w:w="3214" w:type="dxa"/>
            <w:tcBorders>
              <w:top w:val="single" w:sz="4" w:space="0" w:color="000000"/>
              <w:left w:val="single" w:sz="4" w:space="0" w:color="auto"/>
              <w:bottom w:val="single" w:sz="4" w:space="0" w:color="000000"/>
              <w:right w:val="single" w:sz="4" w:space="0" w:color="auto"/>
            </w:tcBorders>
          </w:tcPr>
          <w:p w:rsidR="00D12C1C" w:rsidRPr="008A3492" w:rsidRDefault="00D12C1C" w:rsidP="008A5DC1">
            <w:pPr>
              <w:spacing w:before="60" w:after="60"/>
              <w:rPr>
                <w:color w:val="000000"/>
                <w:sz w:val="18"/>
                <w:szCs w:val="18"/>
                <w:lang w:val="fr-FR"/>
              </w:rPr>
            </w:pPr>
            <w:proofErr w:type="gramStart"/>
            <w:r w:rsidRPr="008A3492">
              <w:rPr>
                <w:sz w:val="18"/>
                <w:szCs w:val="18"/>
                <w:lang w:val="fr-FR"/>
              </w:rPr>
              <w:t>en</w:t>
            </w:r>
            <w:proofErr w:type="gramEnd"/>
            <w:r w:rsidRPr="008A3492">
              <w:rPr>
                <w:sz w:val="18"/>
                <w:szCs w:val="18"/>
                <w:lang w:val="fr-FR"/>
              </w:rPr>
              <w:t xml:space="preserve"> métal</w:t>
            </w:r>
          </w:p>
          <w:p w:rsidR="00D12C1C" w:rsidRPr="008A3492" w:rsidRDefault="00D12C1C" w:rsidP="008A5DC1">
            <w:pPr>
              <w:spacing w:before="60" w:after="60"/>
              <w:rPr>
                <w:color w:val="000000"/>
                <w:sz w:val="18"/>
                <w:szCs w:val="18"/>
                <w:lang w:val="fr-FR"/>
              </w:rPr>
            </w:pPr>
            <w:proofErr w:type="gramStart"/>
            <w:r w:rsidRPr="008A3492">
              <w:rPr>
                <w:sz w:val="18"/>
                <w:szCs w:val="18"/>
                <w:lang w:val="fr-FR"/>
              </w:rPr>
              <w:t>en</w:t>
            </w:r>
            <w:proofErr w:type="gramEnd"/>
            <w:r w:rsidRPr="008A3492">
              <w:rPr>
                <w:sz w:val="18"/>
                <w:szCs w:val="18"/>
                <w:lang w:val="fr-FR"/>
              </w:rPr>
              <w:t xml:space="preserve"> plastique</w:t>
            </w:r>
          </w:p>
        </w:tc>
        <w:tc>
          <w:tcPr>
            <w:tcW w:w="3215" w:type="dxa"/>
            <w:gridSpan w:val="2"/>
            <w:tcBorders>
              <w:top w:val="single" w:sz="4" w:space="0" w:color="000000"/>
              <w:left w:val="single" w:sz="4" w:space="0" w:color="auto"/>
              <w:bottom w:val="single" w:sz="4" w:space="0" w:color="000000"/>
            </w:tcBorders>
          </w:tcPr>
          <w:p w:rsidR="00D12C1C" w:rsidRPr="008A3492" w:rsidRDefault="00D12C1C" w:rsidP="008A5DC1">
            <w:pPr>
              <w:spacing w:before="60" w:after="60"/>
              <w:rPr>
                <w:color w:val="000000"/>
                <w:sz w:val="18"/>
                <w:szCs w:val="18"/>
                <w:lang w:val="es-ES"/>
              </w:rPr>
            </w:pPr>
            <w:r w:rsidRPr="008A3492">
              <w:rPr>
                <w:sz w:val="18"/>
                <w:szCs w:val="18"/>
                <w:lang w:val="es-ES"/>
              </w:rPr>
              <w:t xml:space="preserve">en </w:t>
            </w:r>
            <w:proofErr w:type="spellStart"/>
            <w:r w:rsidRPr="008A3492">
              <w:rPr>
                <w:sz w:val="18"/>
                <w:szCs w:val="18"/>
                <w:lang w:val="es-ES"/>
              </w:rPr>
              <w:t>acier</w:t>
            </w:r>
            <w:proofErr w:type="spellEnd"/>
            <w:r w:rsidRPr="008A3492">
              <w:rPr>
                <w:sz w:val="18"/>
                <w:szCs w:val="18"/>
                <w:lang w:val="es-ES"/>
              </w:rPr>
              <w:t xml:space="preserve"> (50A)</w:t>
            </w:r>
          </w:p>
          <w:p w:rsidR="00D12C1C" w:rsidRPr="008A3492" w:rsidRDefault="00D12C1C" w:rsidP="008A5DC1">
            <w:pPr>
              <w:spacing w:before="60" w:after="60"/>
              <w:rPr>
                <w:color w:val="000000"/>
                <w:sz w:val="18"/>
                <w:szCs w:val="18"/>
                <w:lang w:val="es-ES"/>
              </w:rPr>
            </w:pPr>
            <w:r w:rsidRPr="008A3492">
              <w:rPr>
                <w:sz w:val="18"/>
                <w:szCs w:val="18"/>
                <w:lang w:val="es-ES"/>
              </w:rPr>
              <w:t xml:space="preserve">en </w:t>
            </w:r>
            <w:proofErr w:type="spellStart"/>
            <w:r w:rsidRPr="008A3492">
              <w:rPr>
                <w:sz w:val="18"/>
                <w:szCs w:val="18"/>
                <w:lang w:val="es-ES"/>
              </w:rPr>
              <w:t>aluminium</w:t>
            </w:r>
            <w:proofErr w:type="spellEnd"/>
            <w:r w:rsidRPr="008A3492">
              <w:rPr>
                <w:sz w:val="18"/>
                <w:szCs w:val="18"/>
                <w:lang w:val="es-ES"/>
              </w:rPr>
              <w:t xml:space="preserve"> (50B)</w:t>
            </w:r>
          </w:p>
          <w:p w:rsidR="00D12C1C" w:rsidRPr="008A3492" w:rsidRDefault="00D12C1C" w:rsidP="008A5DC1">
            <w:pPr>
              <w:spacing w:before="60" w:after="60"/>
              <w:rPr>
                <w:color w:val="000000"/>
                <w:sz w:val="18"/>
                <w:szCs w:val="18"/>
                <w:lang w:val="fr-FR"/>
              </w:rPr>
            </w:pPr>
            <w:proofErr w:type="gramStart"/>
            <w:r w:rsidRPr="008A3492">
              <w:rPr>
                <w:sz w:val="18"/>
                <w:szCs w:val="18"/>
                <w:lang w:val="fr-FR"/>
              </w:rPr>
              <w:t>en</w:t>
            </w:r>
            <w:proofErr w:type="gramEnd"/>
            <w:r w:rsidRPr="008A3492">
              <w:rPr>
                <w:sz w:val="18"/>
                <w:szCs w:val="18"/>
                <w:lang w:val="fr-FR"/>
              </w:rPr>
              <w:t xml:space="preserve"> contreplaqué (50D)</w:t>
            </w:r>
          </w:p>
          <w:p w:rsidR="00D12C1C" w:rsidRPr="008A3492" w:rsidRDefault="00D12C1C" w:rsidP="008A5DC1">
            <w:pPr>
              <w:spacing w:before="60" w:after="60"/>
              <w:rPr>
                <w:color w:val="000000"/>
                <w:sz w:val="18"/>
                <w:szCs w:val="18"/>
                <w:lang w:val="fr-FR"/>
              </w:rPr>
            </w:pPr>
            <w:proofErr w:type="gramStart"/>
            <w:r w:rsidRPr="008A3492">
              <w:rPr>
                <w:sz w:val="18"/>
                <w:szCs w:val="18"/>
                <w:lang w:val="fr-FR"/>
              </w:rPr>
              <w:t>en</w:t>
            </w:r>
            <w:proofErr w:type="gramEnd"/>
            <w:r w:rsidRPr="008A3492">
              <w:rPr>
                <w:sz w:val="18"/>
                <w:szCs w:val="18"/>
                <w:lang w:val="fr-FR"/>
              </w:rPr>
              <w:t xml:space="preserve"> carton rigide (50G)</w:t>
            </w:r>
          </w:p>
          <w:p w:rsidR="00D12C1C" w:rsidRPr="008A3492" w:rsidRDefault="00D12C1C" w:rsidP="008A5DC1">
            <w:pPr>
              <w:spacing w:before="60" w:after="60"/>
              <w:rPr>
                <w:color w:val="000000"/>
                <w:sz w:val="18"/>
                <w:szCs w:val="18"/>
                <w:lang w:val="fr-FR"/>
              </w:rPr>
            </w:pPr>
            <w:proofErr w:type="gramStart"/>
            <w:r w:rsidRPr="008A3492">
              <w:rPr>
                <w:sz w:val="18"/>
                <w:szCs w:val="18"/>
                <w:lang w:val="fr-FR"/>
              </w:rPr>
              <w:t>en</w:t>
            </w:r>
            <w:proofErr w:type="gramEnd"/>
            <w:r w:rsidRPr="008A3492">
              <w:rPr>
                <w:sz w:val="18"/>
                <w:szCs w:val="18"/>
                <w:lang w:val="fr-FR"/>
              </w:rPr>
              <w:t xml:space="preserve"> un autre métal (50N)</w:t>
            </w:r>
          </w:p>
          <w:p w:rsidR="00D12C1C" w:rsidRPr="008A3492" w:rsidRDefault="00D12C1C" w:rsidP="008A5DC1">
            <w:pPr>
              <w:spacing w:before="60" w:after="60"/>
              <w:rPr>
                <w:color w:val="000000"/>
                <w:sz w:val="18"/>
                <w:szCs w:val="18"/>
                <w:lang w:val="fr-FR"/>
              </w:rPr>
            </w:pPr>
            <w:proofErr w:type="gramStart"/>
            <w:r w:rsidRPr="008A3492">
              <w:rPr>
                <w:sz w:val="18"/>
                <w:szCs w:val="18"/>
                <w:lang w:val="fr-FR"/>
              </w:rPr>
              <w:t>en</w:t>
            </w:r>
            <w:proofErr w:type="gramEnd"/>
            <w:r w:rsidRPr="008A3492">
              <w:rPr>
                <w:sz w:val="18"/>
                <w:szCs w:val="18"/>
                <w:lang w:val="fr-FR"/>
              </w:rPr>
              <w:t xml:space="preserve"> plastique (50H)</w:t>
            </w:r>
          </w:p>
        </w:tc>
      </w:tr>
      <w:tr w:rsidR="00D12C1C" w:rsidRPr="008A3492" w:rsidTr="008A5DC1">
        <w:tc>
          <w:tcPr>
            <w:tcW w:w="9643" w:type="dxa"/>
            <w:gridSpan w:val="5"/>
            <w:tcBorders>
              <w:top w:val="single" w:sz="4" w:space="0" w:color="000000"/>
              <w:bottom w:val="single" w:sz="4" w:space="0" w:color="000000"/>
            </w:tcBorders>
          </w:tcPr>
          <w:p w:rsidR="00D12C1C" w:rsidRPr="008A3492" w:rsidRDefault="00D12C1C" w:rsidP="008A5DC1">
            <w:pPr>
              <w:spacing w:before="60" w:after="60"/>
              <w:rPr>
                <w:color w:val="000000"/>
                <w:sz w:val="18"/>
                <w:szCs w:val="18"/>
                <w:lang w:val="fr-FR"/>
              </w:rPr>
            </w:pPr>
            <w:r w:rsidRPr="008A3492">
              <w:rPr>
                <w:sz w:val="18"/>
                <w:szCs w:val="18"/>
                <w:lang w:val="fr-FR"/>
              </w:rPr>
              <w:t xml:space="preserve">L’emballage extérieur doit satisfaire au niveau d’épreuve du groupe d’emballage I pour les matières solides. </w:t>
            </w:r>
          </w:p>
        </w:tc>
      </w:tr>
      <w:tr w:rsidR="00D12C1C" w:rsidRPr="008A3492" w:rsidTr="008A5DC1">
        <w:tc>
          <w:tcPr>
            <w:tcW w:w="9643" w:type="dxa"/>
            <w:gridSpan w:val="5"/>
            <w:tcBorders>
              <w:top w:val="single" w:sz="4" w:space="0" w:color="000000"/>
              <w:bottom w:val="nil"/>
            </w:tcBorders>
          </w:tcPr>
          <w:p w:rsidR="00D12C1C" w:rsidRPr="008A3492" w:rsidRDefault="00D12C1C" w:rsidP="008A5DC1">
            <w:pPr>
              <w:spacing w:before="60" w:after="60"/>
              <w:rPr>
                <w:color w:val="000000"/>
                <w:sz w:val="18"/>
                <w:szCs w:val="18"/>
                <w:lang w:val="fr-FR"/>
              </w:rPr>
            </w:pPr>
            <w:r w:rsidRPr="008A3492">
              <w:rPr>
                <w:b/>
                <w:bCs/>
                <w:sz w:val="18"/>
                <w:szCs w:val="18"/>
                <w:lang w:val="fr-FR"/>
              </w:rPr>
              <w:t>Dispositions supplémentaires :</w:t>
            </w:r>
          </w:p>
        </w:tc>
      </w:tr>
      <w:tr w:rsidR="00D12C1C" w:rsidRPr="008A3492" w:rsidTr="008A5DC1">
        <w:trPr>
          <w:trHeight w:val="244"/>
        </w:trPr>
        <w:tc>
          <w:tcPr>
            <w:tcW w:w="9643" w:type="dxa"/>
            <w:gridSpan w:val="5"/>
            <w:tcBorders>
              <w:top w:val="nil"/>
              <w:bottom w:val="nil"/>
            </w:tcBorders>
            <w:vAlign w:val="center"/>
          </w:tcPr>
          <w:p w:rsidR="00D12C1C" w:rsidRPr="008A3492" w:rsidRDefault="00D12C1C" w:rsidP="008A5DC1">
            <w:pPr>
              <w:spacing w:before="40" w:after="40"/>
              <w:ind w:left="284" w:hanging="284"/>
              <w:rPr>
                <w:sz w:val="18"/>
                <w:szCs w:val="18"/>
                <w:lang w:val="fr-FR"/>
              </w:rPr>
            </w:pPr>
            <w:r w:rsidRPr="008A3492">
              <w:rPr>
                <w:sz w:val="18"/>
                <w:szCs w:val="18"/>
                <w:lang w:val="fr-FR"/>
              </w:rPr>
              <w:t>1.</w:t>
            </w:r>
            <w:r w:rsidRPr="008A3492">
              <w:rPr>
                <w:sz w:val="18"/>
                <w:szCs w:val="18"/>
                <w:lang w:val="fr-FR"/>
              </w:rPr>
              <w:tab/>
              <w:t>Les objets fragiles doivent être contenus soit dans des emballages intérieurs rigides, soit dans des emballages intermédiaires rigides.</w:t>
            </w:r>
          </w:p>
        </w:tc>
      </w:tr>
      <w:tr w:rsidR="00D12C1C" w:rsidRPr="008A3492" w:rsidTr="008A5DC1">
        <w:trPr>
          <w:trHeight w:val="244"/>
        </w:trPr>
        <w:tc>
          <w:tcPr>
            <w:tcW w:w="9643" w:type="dxa"/>
            <w:gridSpan w:val="5"/>
            <w:tcBorders>
              <w:top w:val="nil"/>
              <w:bottom w:val="nil"/>
            </w:tcBorders>
            <w:vAlign w:val="center"/>
          </w:tcPr>
          <w:p w:rsidR="00D12C1C" w:rsidRPr="008A3492" w:rsidRDefault="00D12C1C" w:rsidP="008A5DC1">
            <w:pPr>
              <w:spacing w:before="40" w:after="40"/>
              <w:ind w:left="284" w:hanging="284"/>
              <w:rPr>
                <w:sz w:val="18"/>
                <w:szCs w:val="18"/>
                <w:lang w:val="fr-FR"/>
              </w:rPr>
            </w:pPr>
            <w:r w:rsidRPr="008A3492">
              <w:rPr>
                <w:sz w:val="18"/>
                <w:szCs w:val="18"/>
                <w:lang w:val="fr-FR"/>
              </w:rPr>
              <w:t>2.</w:t>
            </w:r>
            <w:r w:rsidRPr="008A3492">
              <w:rPr>
                <w:sz w:val="18"/>
                <w:szCs w:val="18"/>
                <w:lang w:val="fr-FR"/>
              </w:rPr>
              <w:tab/>
              <w:t xml:space="preserve">Les emballages intérieurs contenant des objets tranchants ou pointus tels que du verre brisé et des aiguilles doivent être rigides et résistants à la perforation. </w:t>
            </w:r>
            <w:r w:rsidRPr="008A3492">
              <w:rPr>
                <w:rFonts w:ascii="inherit" w:hAnsi="inherit"/>
                <w:color w:val="212121"/>
                <w:sz w:val="18"/>
                <w:szCs w:val="18"/>
                <w:lang w:val="fr-FR"/>
              </w:rPr>
              <w:t>Les emballages extérieurs qui ne sont pas capables de retenir les liquides par construction doivent être équipé d'une doublure intérieure ou faire l’objet de mesures appropriées afin de permettre la rétention des liquides.</w:t>
            </w:r>
          </w:p>
        </w:tc>
      </w:tr>
      <w:tr w:rsidR="00D12C1C" w:rsidRPr="008A3492" w:rsidTr="008A5DC1">
        <w:trPr>
          <w:trHeight w:val="244"/>
        </w:trPr>
        <w:tc>
          <w:tcPr>
            <w:tcW w:w="9643" w:type="dxa"/>
            <w:gridSpan w:val="5"/>
            <w:tcBorders>
              <w:top w:val="nil"/>
              <w:bottom w:val="nil"/>
            </w:tcBorders>
            <w:vAlign w:val="center"/>
          </w:tcPr>
          <w:p w:rsidR="00D12C1C" w:rsidRPr="008A3492" w:rsidRDefault="00D12C1C" w:rsidP="008A5DC1">
            <w:pPr>
              <w:spacing w:before="40" w:after="40"/>
              <w:ind w:left="284" w:hanging="284"/>
              <w:rPr>
                <w:sz w:val="18"/>
                <w:szCs w:val="18"/>
                <w:lang w:val="fr-FR"/>
              </w:rPr>
            </w:pPr>
            <w:r w:rsidRPr="008A3492">
              <w:rPr>
                <w:sz w:val="18"/>
                <w:szCs w:val="18"/>
                <w:lang w:val="fr-FR"/>
              </w:rPr>
              <w:t>3.</w:t>
            </w:r>
            <w:r w:rsidRPr="008A3492">
              <w:rPr>
                <w:sz w:val="18"/>
                <w:szCs w:val="18"/>
                <w:lang w:val="fr-FR"/>
              </w:rPr>
              <w:tab/>
              <w:t>L’emballage intérieur, l’emballage intermédiaire et l’emballage extérieur doivent être capables de retenir les liquides.</w:t>
            </w:r>
          </w:p>
        </w:tc>
      </w:tr>
      <w:tr w:rsidR="00D12C1C" w:rsidRPr="008A3492" w:rsidTr="008A5DC1">
        <w:trPr>
          <w:trHeight w:val="244"/>
        </w:trPr>
        <w:tc>
          <w:tcPr>
            <w:tcW w:w="9643" w:type="dxa"/>
            <w:gridSpan w:val="5"/>
            <w:tcBorders>
              <w:top w:val="nil"/>
              <w:bottom w:val="nil"/>
            </w:tcBorders>
            <w:vAlign w:val="center"/>
          </w:tcPr>
          <w:p w:rsidR="00D12C1C" w:rsidRPr="008A3492" w:rsidRDefault="00D12C1C" w:rsidP="008A5DC1">
            <w:pPr>
              <w:spacing w:before="40" w:after="40"/>
              <w:ind w:left="284" w:hanging="284"/>
              <w:rPr>
                <w:sz w:val="18"/>
                <w:szCs w:val="18"/>
                <w:lang w:val="fr-FR"/>
              </w:rPr>
            </w:pPr>
            <w:r w:rsidRPr="008A3492">
              <w:rPr>
                <w:sz w:val="18"/>
                <w:szCs w:val="18"/>
                <w:lang w:val="fr-FR"/>
              </w:rPr>
              <w:t>4.</w:t>
            </w:r>
            <w:r w:rsidRPr="008A3492">
              <w:rPr>
                <w:sz w:val="18"/>
                <w:szCs w:val="18"/>
                <w:lang w:val="fr-FR"/>
              </w:rPr>
              <w:tab/>
              <w:t xml:space="preserve">L’emballage intérieur et l’emballage intermédiaire peuvent être souples. Lorsque des emballages souples sont utilisés, ils doivent satisfaire à l’épreuve de résistance aux chocs à au moins 165 g suivant la norme ISO 7765-1:1988 « Films et feuilles de plastique − Détermination de la résistance au choc par la méthode par chute libre de projectile − Partie 1 : Méthodes dites de l’“escalier” » et satisfaire à l’épreuve de résistance à la déchirure à au moins 480 g sur des plans perpendiculaires et parallèles au plan longitudinal du sac suivant la norme ISO 6383-2:1983 « Films et feuilles de plastique − Détermination de la résistance au déchirement − Partie 2 : Méthode </w:t>
            </w:r>
            <w:proofErr w:type="spellStart"/>
            <w:r w:rsidRPr="008A3492">
              <w:rPr>
                <w:sz w:val="18"/>
                <w:szCs w:val="18"/>
                <w:lang w:val="fr-FR"/>
              </w:rPr>
              <w:t>Elmendorf</w:t>
            </w:r>
            <w:proofErr w:type="spellEnd"/>
            <w:r w:rsidRPr="008A3492">
              <w:rPr>
                <w:sz w:val="18"/>
                <w:szCs w:val="18"/>
                <w:lang w:val="fr-FR"/>
              </w:rPr>
              <w:t> ». La masse nette maximale de chaque emballage intérieur souple doit être de 30 kg.</w:t>
            </w:r>
          </w:p>
        </w:tc>
      </w:tr>
      <w:tr w:rsidR="00D12C1C" w:rsidRPr="008A3492" w:rsidTr="008A5DC1">
        <w:trPr>
          <w:trHeight w:val="244"/>
        </w:trPr>
        <w:tc>
          <w:tcPr>
            <w:tcW w:w="9643" w:type="dxa"/>
            <w:gridSpan w:val="5"/>
            <w:tcBorders>
              <w:top w:val="nil"/>
              <w:bottom w:val="nil"/>
            </w:tcBorders>
            <w:vAlign w:val="center"/>
          </w:tcPr>
          <w:p w:rsidR="00D12C1C" w:rsidRPr="008A3492" w:rsidRDefault="00D12C1C" w:rsidP="008A5DC1">
            <w:pPr>
              <w:spacing w:before="40" w:after="40"/>
              <w:ind w:left="284" w:hanging="284"/>
              <w:rPr>
                <w:sz w:val="18"/>
                <w:szCs w:val="18"/>
                <w:lang w:val="fr-FR"/>
              </w:rPr>
            </w:pPr>
            <w:r w:rsidRPr="008A3492">
              <w:rPr>
                <w:sz w:val="18"/>
                <w:szCs w:val="18"/>
                <w:lang w:val="fr-FR"/>
              </w:rPr>
              <w:t>5.</w:t>
            </w:r>
            <w:r w:rsidRPr="008A3492">
              <w:rPr>
                <w:sz w:val="18"/>
                <w:szCs w:val="18"/>
                <w:lang w:val="fr-FR"/>
              </w:rPr>
              <w:tab/>
              <w:t>Chaque emballage intermédiaire souple ne doit contenir qu’un seul emballage intérieur.</w:t>
            </w:r>
          </w:p>
        </w:tc>
      </w:tr>
      <w:tr w:rsidR="00D12C1C" w:rsidRPr="008A3492" w:rsidTr="008A5DC1">
        <w:trPr>
          <w:trHeight w:val="244"/>
        </w:trPr>
        <w:tc>
          <w:tcPr>
            <w:tcW w:w="9643" w:type="dxa"/>
            <w:gridSpan w:val="5"/>
            <w:tcBorders>
              <w:top w:val="nil"/>
              <w:bottom w:val="nil"/>
            </w:tcBorders>
            <w:vAlign w:val="center"/>
          </w:tcPr>
          <w:p w:rsidR="00D12C1C" w:rsidRPr="008A3492" w:rsidRDefault="00D12C1C" w:rsidP="008A5DC1">
            <w:pPr>
              <w:spacing w:before="40" w:after="40"/>
              <w:ind w:left="284" w:hanging="284"/>
              <w:rPr>
                <w:sz w:val="18"/>
                <w:szCs w:val="18"/>
                <w:lang w:val="fr-FR"/>
              </w:rPr>
            </w:pPr>
            <w:r w:rsidRPr="008A3492">
              <w:rPr>
                <w:sz w:val="18"/>
                <w:szCs w:val="18"/>
                <w:lang w:val="fr-FR"/>
              </w:rPr>
              <w:t>6.</w:t>
            </w:r>
            <w:r w:rsidRPr="008A3492">
              <w:rPr>
                <w:sz w:val="18"/>
                <w:szCs w:val="18"/>
                <w:lang w:val="fr-FR"/>
              </w:rPr>
              <w:tab/>
              <w:t>Les emballages intérieurs contenant une petite quantité de liquide libre peuvent être contenus dans un emballage intermédiaire pour autant qu’il y ait suffisamment de matériau absorbant ou solidifiant dans l’emballage intérieur ou intermédiaire pour absorber ou solidifier la totalité du contenu liquide présent. Un matériau absorbant approprié pouvant résister aux températures et aux vibrations susceptibles de se produire dans des conditions normales de transport doit être utilisé.</w:t>
            </w:r>
          </w:p>
        </w:tc>
      </w:tr>
      <w:tr w:rsidR="00D12C1C" w:rsidRPr="008A3492" w:rsidTr="008A5DC1">
        <w:trPr>
          <w:trHeight w:val="244"/>
        </w:trPr>
        <w:tc>
          <w:tcPr>
            <w:tcW w:w="9643" w:type="dxa"/>
            <w:gridSpan w:val="5"/>
            <w:tcBorders>
              <w:top w:val="nil"/>
              <w:bottom w:val="single" w:sz="4" w:space="0" w:color="auto"/>
            </w:tcBorders>
            <w:vAlign w:val="center"/>
          </w:tcPr>
          <w:p w:rsidR="00D12C1C" w:rsidRPr="008A3492" w:rsidRDefault="00D12C1C" w:rsidP="008A5DC1">
            <w:pPr>
              <w:spacing w:before="40" w:after="40"/>
              <w:ind w:left="284" w:hanging="284"/>
              <w:rPr>
                <w:sz w:val="18"/>
                <w:szCs w:val="18"/>
                <w:lang w:val="fr-FR"/>
              </w:rPr>
            </w:pPr>
            <w:r w:rsidRPr="008A3492">
              <w:rPr>
                <w:sz w:val="18"/>
                <w:szCs w:val="18"/>
                <w:lang w:val="fr-FR"/>
              </w:rPr>
              <w:t xml:space="preserve">7. </w:t>
            </w:r>
            <w:r w:rsidRPr="008A3492">
              <w:rPr>
                <w:sz w:val="18"/>
                <w:szCs w:val="18"/>
                <w:lang w:val="fr-FR"/>
              </w:rPr>
              <w:tab/>
              <w:t>Les emballages intermédiaires doivent être placés dans des emballages extérieurs avec interposition de matières de rembourrage appropriées ou de matériau absorbant.</w:t>
            </w:r>
          </w:p>
        </w:tc>
      </w:tr>
    </w:tbl>
    <w:p w:rsidR="00D12C1C" w:rsidRPr="006B0E45" w:rsidRDefault="00D12C1C" w:rsidP="00D12C1C">
      <w:pPr>
        <w:pStyle w:val="SingleTxtG"/>
        <w:rPr>
          <w:lang w:val="fr-FR"/>
        </w:rPr>
      </w:pPr>
      <w:bookmarkStart w:id="4" w:name="_Hlk520193160"/>
      <w:r w:rsidRPr="006B0E45">
        <w:rPr>
          <w:lang w:val="fr-FR"/>
        </w:rPr>
        <w:t>]</w:t>
      </w:r>
    </w:p>
    <w:bookmarkEnd w:id="4"/>
    <w:p w:rsidR="00D12C1C" w:rsidRPr="00FB2D02" w:rsidRDefault="00D12C1C" w:rsidP="00D12C1C">
      <w:pPr>
        <w:pStyle w:val="SingleTxtG"/>
        <w:rPr>
          <w:lang w:val="fr-FR"/>
        </w:rPr>
      </w:pPr>
      <w:r w:rsidRPr="00FB2D02">
        <w:rPr>
          <w:i/>
          <w:iCs/>
          <w:lang w:val="fr-FR"/>
        </w:rPr>
        <w:t xml:space="preserve">(Document de référence : </w:t>
      </w:r>
      <w:r w:rsidR="00655B33" w:rsidRPr="00655B33">
        <w:rPr>
          <w:bCs/>
          <w:i/>
          <w:iCs/>
        </w:rPr>
        <w:t>ST/SG/AC.10/C.3/2018/20 et</w:t>
      </w:r>
      <w:r w:rsidR="00655B33">
        <w:rPr>
          <w:bCs/>
          <w:i/>
          <w:iCs/>
        </w:rPr>
        <w:t xml:space="preserve"> </w:t>
      </w:r>
      <w:r>
        <w:rPr>
          <w:i/>
          <w:iCs/>
          <w:lang w:val="fr-FR"/>
        </w:rPr>
        <w:t>document informel INF.70, remplace l’amendement figurant en annexe II du document ST/SG/AC.10/C.3/102/Add.1</w:t>
      </w:r>
      <w:r w:rsidRPr="00FB2D02">
        <w:rPr>
          <w:bCs/>
          <w:i/>
          <w:iCs/>
          <w:lang w:val="fr-FR"/>
        </w:rPr>
        <w:t>)</w:t>
      </w:r>
    </w:p>
    <w:p w:rsidR="00B60A84" w:rsidRPr="0078529F" w:rsidRDefault="00B60A84" w:rsidP="000659B4">
      <w:pPr>
        <w:pStyle w:val="H1G"/>
      </w:pPr>
      <w:r>
        <w:tab/>
      </w:r>
      <w:r>
        <w:tab/>
        <w:t>Chapitre 4.2</w:t>
      </w:r>
    </w:p>
    <w:p w:rsidR="009E6EF2" w:rsidRDefault="009E6EF2" w:rsidP="009E6EF2">
      <w:pPr>
        <w:pStyle w:val="SingleTxtG"/>
      </w:pPr>
      <w:r>
        <w:t>Ajouter le nouveau 4.2.3.7.3 suivant :</w:t>
      </w:r>
    </w:p>
    <w:p w:rsidR="009E6EF2" w:rsidRPr="00CA445C" w:rsidRDefault="009E6EF2" w:rsidP="009E6EF2">
      <w:pPr>
        <w:pStyle w:val="SingleTxtG"/>
      </w:pPr>
      <w:r>
        <w:t>« 4.2.3.7.3</w:t>
      </w:r>
      <w:r>
        <w:tab/>
      </w:r>
      <w:r w:rsidRPr="00CA445C">
        <w:t xml:space="preserve"> </w:t>
      </w:r>
      <w:r w:rsidRPr="00766229">
        <w:t>La date à laquelle le temps de retenue réel expire doit être indiquée dans le document de transport (voir 5.4.1.5.13).</w:t>
      </w:r>
      <w:r>
        <w:t> ».</w:t>
      </w:r>
    </w:p>
    <w:p w:rsidR="009E6EF2" w:rsidRDefault="009E6EF2" w:rsidP="009E6EF2">
      <w:pPr>
        <w:spacing w:before="120" w:after="120" w:line="240" w:lineRule="auto"/>
        <w:ind w:left="1134" w:right="1134"/>
        <w:jc w:val="both"/>
        <w:rPr>
          <w:i/>
          <w:iCs/>
        </w:rPr>
      </w:pPr>
      <w:r w:rsidRPr="001539C6">
        <w:rPr>
          <w:i/>
          <w:iCs/>
        </w:rPr>
        <w:lastRenderedPageBreak/>
        <w:t>(</w:t>
      </w:r>
      <w:r w:rsidRPr="001539C6">
        <w:rPr>
          <w:i/>
          <w:iCs/>
          <w:lang w:val="fr-FR"/>
        </w:rPr>
        <w:t>Document de référence</w:t>
      </w:r>
      <w:r>
        <w:rPr>
          <w:i/>
          <w:iCs/>
          <w:lang w:val="fr-FR"/>
        </w:rPr>
        <w:t> </w:t>
      </w:r>
      <w:r w:rsidRPr="001539C6">
        <w:rPr>
          <w:i/>
          <w:iCs/>
        </w:rPr>
        <w:t>: ST/SG/AC.10/C.3/201</w:t>
      </w:r>
      <w:r>
        <w:rPr>
          <w:i/>
          <w:iCs/>
        </w:rPr>
        <w:t>8</w:t>
      </w:r>
      <w:r w:rsidRPr="001539C6">
        <w:rPr>
          <w:i/>
          <w:iCs/>
        </w:rPr>
        <w:t>/</w:t>
      </w:r>
      <w:r>
        <w:rPr>
          <w:i/>
          <w:iCs/>
        </w:rPr>
        <w:t>42</w:t>
      </w:r>
      <w:r w:rsidRPr="001539C6">
        <w:rPr>
          <w:i/>
          <w:iCs/>
        </w:rPr>
        <w:t>)</w:t>
      </w:r>
    </w:p>
    <w:p w:rsidR="009E6EF2" w:rsidRDefault="009E6EF2" w:rsidP="009E6EF2">
      <w:pPr>
        <w:pStyle w:val="SingleTxtG"/>
      </w:pPr>
      <w:r>
        <w:t>4.2.5.2, disposition spéciale TP19</w:t>
      </w:r>
      <w:r>
        <w:tab/>
        <w:t>Modifier pour lire comme suit :</w:t>
      </w:r>
    </w:p>
    <w:p w:rsidR="009E6EF2" w:rsidRDefault="009E6EF2" w:rsidP="009E6EF2">
      <w:pPr>
        <w:pStyle w:val="SingleTxtG"/>
      </w:pPr>
      <w:bookmarkStart w:id="5" w:name="_Hlk518036205"/>
      <w:r>
        <w:t>« </w:t>
      </w:r>
      <w:r w:rsidRPr="00A5095B">
        <w:t xml:space="preserve">TP19 </w:t>
      </w:r>
      <w:r>
        <w:t>Au moment de la construction, l</w:t>
      </w:r>
      <w:r w:rsidRPr="00A5095B">
        <w:t>'épaisseur calculée du réservoir doit être augmentée de 3 mm</w:t>
      </w:r>
      <w:r>
        <w:t xml:space="preserve"> afin de prévoir une tolérance à la corrosion</w:t>
      </w:r>
      <w:r w:rsidRPr="00A5095B">
        <w:t xml:space="preserve">. L'épaisseur du réservoir doit être vérifiée par ultrasons à </w:t>
      </w:r>
      <w:proofErr w:type="spellStart"/>
      <w:r w:rsidRPr="00A5095B">
        <w:t>mi-intervalle</w:t>
      </w:r>
      <w:proofErr w:type="spellEnd"/>
      <w:r w:rsidRPr="00A5095B">
        <w:t xml:space="preserve"> entre les épreuves périodiques de pression hydraulique</w:t>
      </w:r>
      <w:r>
        <w:t xml:space="preserve"> et ne doit jamais être inférieure à l’épaisseur calculée</w:t>
      </w:r>
      <w:r w:rsidRPr="00A5095B">
        <w:t>.</w:t>
      </w:r>
      <w:r>
        <w:t> ».</w:t>
      </w:r>
    </w:p>
    <w:bookmarkEnd w:id="5"/>
    <w:p w:rsidR="009E6EF2" w:rsidRDefault="009E6EF2" w:rsidP="009E6EF2">
      <w:pPr>
        <w:spacing w:before="120" w:after="120" w:line="240" w:lineRule="auto"/>
        <w:ind w:left="1134" w:right="1134"/>
        <w:jc w:val="both"/>
        <w:rPr>
          <w:i/>
          <w:iCs/>
        </w:rPr>
      </w:pPr>
      <w:r w:rsidRPr="001539C6">
        <w:rPr>
          <w:i/>
          <w:iCs/>
        </w:rPr>
        <w:t>(</w:t>
      </w:r>
      <w:r w:rsidRPr="001539C6">
        <w:rPr>
          <w:i/>
          <w:iCs/>
          <w:lang w:val="fr-FR"/>
        </w:rPr>
        <w:t>Document de référence</w:t>
      </w:r>
      <w:r>
        <w:rPr>
          <w:i/>
          <w:iCs/>
          <w:lang w:val="fr-FR"/>
        </w:rPr>
        <w:t> </w:t>
      </w:r>
      <w:r w:rsidRPr="001539C6">
        <w:rPr>
          <w:i/>
          <w:iCs/>
        </w:rPr>
        <w:t>: ST/SG/AC.10/C.3/201</w:t>
      </w:r>
      <w:r>
        <w:rPr>
          <w:i/>
          <w:iCs/>
        </w:rPr>
        <w:t>8</w:t>
      </w:r>
      <w:r w:rsidRPr="001539C6">
        <w:rPr>
          <w:i/>
          <w:iCs/>
        </w:rPr>
        <w:t>/</w:t>
      </w:r>
      <w:r>
        <w:rPr>
          <w:i/>
          <w:iCs/>
        </w:rPr>
        <w:t>43, option 2 telle que modifiée</w:t>
      </w:r>
      <w:r w:rsidRPr="001539C6">
        <w:rPr>
          <w:i/>
          <w:iCs/>
        </w:rPr>
        <w:t>)</w:t>
      </w:r>
    </w:p>
    <w:p w:rsidR="00B60A84" w:rsidRDefault="00B60A84" w:rsidP="00B60A84">
      <w:pPr>
        <w:pStyle w:val="SingleTxtG"/>
      </w:pPr>
      <w:r>
        <w:t>4.2.5.3</w:t>
      </w:r>
      <w:r>
        <w:tab/>
      </w:r>
      <w:r w:rsidRPr="004C39EC">
        <w:tab/>
      </w:r>
      <w:r>
        <w:t>Supprimer les</w:t>
      </w:r>
      <w:r w:rsidRPr="00A52711">
        <w:t xml:space="preserve"> instructions de transport en citernes mobiles TP35, TP37, TP38 et TP</w:t>
      </w:r>
      <w:r>
        <w:t>39</w:t>
      </w:r>
      <w:r w:rsidRPr="00A52711">
        <w:t xml:space="preserve"> </w:t>
      </w:r>
      <w:r>
        <w:t>et ajouter</w:t>
      </w:r>
      <w:r w:rsidRPr="00A52711">
        <w:t xml:space="preserve"> «</w:t>
      </w:r>
      <w:r>
        <w:t> </w:t>
      </w:r>
      <w:r w:rsidRPr="00A07F0F">
        <w:rPr>
          <w:i/>
          <w:iCs/>
        </w:rPr>
        <w:t>Supprimé</w:t>
      </w:r>
      <w:r>
        <w:t> </w:t>
      </w:r>
      <w:r w:rsidRPr="00A52711">
        <w:t>».</w:t>
      </w:r>
    </w:p>
    <w:p w:rsidR="00B60A84" w:rsidRDefault="00B60A84" w:rsidP="00B60A84">
      <w:pPr>
        <w:spacing w:before="120" w:after="120" w:line="240" w:lineRule="auto"/>
        <w:ind w:left="1134" w:right="1134"/>
        <w:rPr>
          <w:i/>
          <w:iCs/>
        </w:rPr>
      </w:pPr>
      <w:r w:rsidRPr="001539C6">
        <w:rPr>
          <w:i/>
          <w:iCs/>
        </w:rPr>
        <w:t>(</w:t>
      </w:r>
      <w:r w:rsidRPr="001539C6">
        <w:rPr>
          <w:i/>
          <w:iCs/>
          <w:lang w:val="fr-FR"/>
        </w:rPr>
        <w:t>Document de référence</w:t>
      </w:r>
      <w:r>
        <w:rPr>
          <w:i/>
          <w:iCs/>
          <w:lang w:val="fr-FR"/>
        </w:rPr>
        <w:t> </w:t>
      </w:r>
      <w:r w:rsidRPr="001539C6">
        <w:rPr>
          <w:i/>
          <w:iCs/>
        </w:rPr>
        <w:t>: ST/SG/AC.10/C.3/201</w:t>
      </w:r>
      <w:r>
        <w:rPr>
          <w:i/>
          <w:iCs/>
        </w:rPr>
        <w:t>8</w:t>
      </w:r>
      <w:r w:rsidRPr="001539C6">
        <w:rPr>
          <w:i/>
          <w:iCs/>
        </w:rPr>
        <w:t>/</w:t>
      </w:r>
      <w:r>
        <w:rPr>
          <w:i/>
          <w:iCs/>
        </w:rPr>
        <w:t>31</w:t>
      </w:r>
      <w:r w:rsidRPr="001539C6">
        <w:rPr>
          <w:i/>
          <w:iCs/>
        </w:rPr>
        <w:t>)</w:t>
      </w:r>
    </w:p>
    <w:p w:rsidR="00AA4C56" w:rsidRDefault="00101813" w:rsidP="006169EA">
      <w:pPr>
        <w:pStyle w:val="H1G"/>
        <w:rPr>
          <w:lang w:val="fr-FR"/>
        </w:rPr>
      </w:pPr>
      <w:r>
        <w:rPr>
          <w:lang w:val="fr-FR"/>
        </w:rPr>
        <w:tab/>
      </w:r>
      <w:r>
        <w:rPr>
          <w:lang w:val="fr-FR"/>
        </w:rPr>
        <w:tab/>
      </w:r>
      <w:r w:rsidR="00AA4C56">
        <w:rPr>
          <w:lang w:val="fr-FR"/>
        </w:rPr>
        <w:t>Chapitre 5.4</w:t>
      </w:r>
    </w:p>
    <w:p w:rsidR="00AA4C56" w:rsidRDefault="00AA4C56" w:rsidP="00AA4C56">
      <w:pPr>
        <w:pStyle w:val="SingleTxtG"/>
        <w:rPr>
          <w:lang w:val="fr-FR"/>
        </w:rPr>
      </w:pPr>
      <w:r>
        <w:rPr>
          <w:lang w:val="fr-FR"/>
        </w:rPr>
        <w:t xml:space="preserve">Ajouter le nouveau </w:t>
      </w:r>
      <w:r w:rsidR="00D02F36">
        <w:rPr>
          <w:lang w:val="fr-FR"/>
        </w:rPr>
        <w:t>paragraphe</w:t>
      </w:r>
      <w:r>
        <w:rPr>
          <w:lang w:val="fr-FR"/>
        </w:rPr>
        <w:t xml:space="preserve"> 5.4.1.5.13 pour lire comme suit :</w:t>
      </w:r>
    </w:p>
    <w:p w:rsidR="00AA4C56" w:rsidRPr="00AA4C56" w:rsidRDefault="00AA4C56" w:rsidP="00AA4C56">
      <w:pPr>
        <w:pStyle w:val="SingleTxtG"/>
      </w:pPr>
      <w:r w:rsidRPr="00AA4C56">
        <w:t>« 5.4.1.5.13</w:t>
      </w:r>
      <w:r w:rsidRPr="00AA4C56">
        <w:tab/>
      </w:r>
      <w:r w:rsidRPr="0070722E">
        <w:rPr>
          <w:i/>
          <w:iCs/>
        </w:rPr>
        <w:t>Temps de retenue réel</w:t>
      </w:r>
    </w:p>
    <w:p w:rsidR="00AA4C56" w:rsidRPr="00AA4C56" w:rsidRDefault="00AA4C56" w:rsidP="00AA4C56">
      <w:pPr>
        <w:pStyle w:val="SingleTxtG"/>
      </w:pPr>
      <w:r w:rsidRPr="00AA4C56">
        <w:t xml:space="preserve">Dans le cas de citernes mobiles transportant des gaz liquéfiés réfrigérés, l’expéditeur doit indiquer comme suit dans le document de transport la date à laquelle le temps de retenue réel expire : </w:t>
      </w:r>
    </w:p>
    <w:p w:rsidR="00AA4C56" w:rsidRPr="00AA4C56" w:rsidRDefault="00AA4C56" w:rsidP="00AA4C56">
      <w:pPr>
        <w:pStyle w:val="SingleTxtG"/>
      </w:pPr>
      <w:r w:rsidRPr="00AA4C56">
        <w:t>F</w:t>
      </w:r>
      <w:r w:rsidR="00D02F36">
        <w:t>IN DU TEMPS DE RETENUE</w:t>
      </w:r>
      <w:r w:rsidRPr="00AA4C56">
        <w:t> : ............... (JJ/MM/AAAA) ».</w:t>
      </w:r>
    </w:p>
    <w:p w:rsidR="00AA4C56" w:rsidRDefault="00AA4C56" w:rsidP="00AA4C56">
      <w:pPr>
        <w:spacing w:before="120" w:after="120" w:line="240" w:lineRule="auto"/>
        <w:ind w:left="1134" w:right="1134"/>
        <w:jc w:val="both"/>
        <w:rPr>
          <w:i/>
          <w:szCs w:val="24"/>
          <w:lang w:val="fr-FR"/>
        </w:rPr>
      </w:pPr>
      <w:r>
        <w:rPr>
          <w:i/>
          <w:szCs w:val="24"/>
          <w:lang w:val="fr-FR"/>
        </w:rPr>
        <w:t>(Document de référence : ST/SG/AC.10/C.3/2018/42)</w:t>
      </w:r>
    </w:p>
    <w:p w:rsidR="00B60A84" w:rsidRPr="00236B20" w:rsidRDefault="00B60A84" w:rsidP="000659B4">
      <w:pPr>
        <w:pStyle w:val="H1G"/>
      </w:pPr>
      <w:r w:rsidRPr="00236B20">
        <w:tab/>
      </w:r>
      <w:r w:rsidRPr="00236B20">
        <w:tab/>
        <w:t>Chapitre 6.1</w:t>
      </w:r>
    </w:p>
    <w:p w:rsidR="009B57D7" w:rsidRDefault="009B57D7" w:rsidP="009B57D7">
      <w:pPr>
        <w:pStyle w:val="SingleTxtG"/>
        <w:rPr>
          <w:iCs/>
          <w:w w:val="105"/>
        </w:rPr>
      </w:pPr>
      <w:r>
        <w:t>6.1.3.1 e)</w:t>
      </w:r>
      <w:r>
        <w:tab/>
        <w:t>Dans le texte du renvoi de l’astérisque, sous le cadran, remplacer la deuxième phrase par</w:t>
      </w:r>
      <w:r w:rsidR="00DC20AE">
        <w:t xml:space="preserve"> </w:t>
      </w:r>
      <w:r>
        <w:t>: « Dans ce cas, et quand le cadran est accolé à</w:t>
      </w:r>
      <w:r w:rsidRPr="00485121">
        <w:t xml:space="preserve"> la marque "UN" du modèle type</w:t>
      </w:r>
      <w:r>
        <w:t>, l’indication de l’année dans la marque n’est pas obligatoire. Toutefois, si le cadran n’est pas accolé à</w:t>
      </w:r>
      <w:r w:rsidRPr="00485121">
        <w:t xml:space="preserve"> la marque "UN" du modèle type</w:t>
      </w:r>
      <w:r>
        <w:t xml:space="preserve"> les deux chiffres indiquant l’année dans la marque et dans le cadran doivent être identiques. ».</w:t>
      </w:r>
    </w:p>
    <w:p w:rsidR="009B57D7" w:rsidRDefault="009B57D7" w:rsidP="009B57D7">
      <w:pPr>
        <w:spacing w:before="120" w:after="120" w:line="240" w:lineRule="auto"/>
        <w:ind w:left="1134" w:right="1134"/>
        <w:jc w:val="both"/>
        <w:rPr>
          <w:i/>
          <w:iCs/>
        </w:rPr>
      </w:pPr>
      <w:r w:rsidRPr="001539C6">
        <w:rPr>
          <w:i/>
          <w:iCs/>
        </w:rPr>
        <w:t>(</w:t>
      </w:r>
      <w:r w:rsidRPr="001539C6">
        <w:rPr>
          <w:i/>
          <w:iCs/>
          <w:lang w:val="fr-FR"/>
        </w:rPr>
        <w:t>Document de référence</w:t>
      </w:r>
      <w:r>
        <w:rPr>
          <w:i/>
          <w:iCs/>
          <w:lang w:val="fr-FR"/>
        </w:rPr>
        <w:t> </w:t>
      </w:r>
      <w:r w:rsidRPr="001539C6">
        <w:rPr>
          <w:i/>
          <w:iCs/>
        </w:rPr>
        <w:t xml:space="preserve">: </w:t>
      </w:r>
      <w:r w:rsidR="0070722E" w:rsidRPr="00FB6159">
        <w:rPr>
          <w:i/>
          <w:iCs/>
        </w:rPr>
        <w:t>ST/SG/AC.10/C.3/2018/</w:t>
      </w:r>
      <w:r w:rsidR="0070722E">
        <w:rPr>
          <w:i/>
          <w:iCs/>
        </w:rPr>
        <w:t xml:space="preserve">46 et </w:t>
      </w:r>
      <w:r>
        <w:rPr>
          <w:i/>
          <w:iCs/>
        </w:rPr>
        <w:t>document informel INF.63, tel que modifié</w:t>
      </w:r>
      <w:r w:rsidRPr="001539C6">
        <w:rPr>
          <w:i/>
          <w:iCs/>
        </w:rPr>
        <w:t>)</w:t>
      </w:r>
    </w:p>
    <w:p w:rsidR="00B60A84" w:rsidRPr="00EE72C3" w:rsidRDefault="00B60A84" w:rsidP="00B60A84">
      <w:pPr>
        <w:pStyle w:val="SingleTxtG"/>
        <w:rPr>
          <w:lang w:val="fr-FR"/>
        </w:rPr>
      </w:pPr>
      <w:r w:rsidRPr="00EE72C3">
        <w:rPr>
          <w:lang w:val="fr-FR"/>
        </w:rPr>
        <w:t>Ajouter le nouveau 6.1.3.13 suivant :</w:t>
      </w:r>
    </w:p>
    <w:p w:rsidR="00B60A84" w:rsidRPr="00EE72C3" w:rsidRDefault="00B60A84" w:rsidP="00B60A84">
      <w:pPr>
        <w:pStyle w:val="SingleTxtG"/>
        <w:rPr>
          <w:lang w:val="fr-FR"/>
        </w:rPr>
      </w:pPr>
      <w:r w:rsidRPr="00EE72C3">
        <w:rPr>
          <w:lang w:val="fr-FR"/>
        </w:rPr>
        <w:t>« 6.1.3.13</w:t>
      </w:r>
      <w:r w:rsidRPr="00EE72C3">
        <w:rPr>
          <w:lang w:val="fr-FR"/>
        </w:rPr>
        <w:tab/>
        <w:t xml:space="preserve">Lorsqu'un emballage est conforme </w:t>
      </w:r>
      <w:r>
        <w:t xml:space="preserve">à un ou plusieurs modèles types </w:t>
      </w:r>
      <w:r w:rsidRPr="00EE72C3">
        <w:rPr>
          <w:lang w:val="fr-FR"/>
        </w:rPr>
        <w:t>d’emballage</w:t>
      </w:r>
      <w:r>
        <w:rPr>
          <w:lang w:val="fr-FR"/>
        </w:rPr>
        <w:t>s</w:t>
      </w:r>
      <w:r w:rsidRPr="00EE72C3">
        <w:rPr>
          <w:lang w:val="fr-FR"/>
        </w:rPr>
        <w:t xml:space="preserve"> </w:t>
      </w:r>
      <w:r>
        <w:t>ayant satisfait aux épreuves</w:t>
      </w:r>
      <w:r w:rsidRPr="00EE72C3">
        <w:rPr>
          <w:lang w:val="fr-FR"/>
        </w:rPr>
        <w:t xml:space="preserve">, </w:t>
      </w:r>
      <w:r>
        <w:rPr>
          <w:lang w:val="fr-FR"/>
        </w:rPr>
        <w:t xml:space="preserve">y compris </w:t>
      </w:r>
      <w:r>
        <w:t xml:space="preserve">un ou plusieurs modèles types de GRV ou de grands </w:t>
      </w:r>
      <w:r w:rsidRPr="00EE72C3">
        <w:rPr>
          <w:lang w:val="fr-FR"/>
        </w:rPr>
        <w:t>emballage</w:t>
      </w:r>
      <w:r>
        <w:rPr>
          <w:lang w:val="fr-FR"/>
        </w:rPr>
        <w:t>s,</w:t>
      </w:r>
      <w:r w:rsidRPr="00EE72C3">
        <w:rPr>
          <w:lang w:val="fr-FR"/>
        </w:rPr>
        <w:t xml:space="preserve"> l'emballage peut porter plus d’une marque</w:t>
      </w:r>
      <w:r>
        <w:rPr>
          <w:lang w:val="fr-FR"/>
        </w:rPr>
        <w:t xml:space="preserve"> pour indiquer les exigences d’épreuves de performance applicables qui ont été atteintes</w:t>
      </w:r>
      <w:r w:rsidRPr="00EE72C3">
        <w:rPr>
          <w:lang w:val="fr-FR"/>
        </w:rPr>
        <w:t>. Lorsque plus d'une marque apparaît sur un emballage, les marques doivent apparaître à proximité les unes des autres et chaque marque doit apparaître dans son intégralité.</w:t>
      </w:r>
      <w:r>
        <w:rPr>
          <w:lang w:val="fr-FR"/>
        </w:rPr>
        <w:t> ».</w:t>
      </w:r>
    </w:p>
    <w:p w:rsidR="00B60A84" w:rsidRPr="00581D2F" w:rsidRDefault="00B60A84" w:rsidP="00B60A84">
      <w:pPr>
        <w:pStyle w:val="SingleTxtG"/>
        <w:rPr>
          <w:i/>
          <w:lang w:val="fr-FR"/>
        </w:rPr>
      </w:pPr>
      <w:r w:rsidRPr="00581D2F">
        <w:rPr>
          <w:i/>
          <w:lang w:val="fr-FR"/>
        </w:rPr>
        <w:t xml:space="preserve">(Document de référence : </w:t>
      </w:r>
      <w:r w:rsidR="0070722E" w:rsidRPr="00FB6159">
        <w:rPr>
          <w:i/>
          <w:iCs/>
        </w:rPr>
        <w:t>ST/SG/AC.10/C.3/2018/</w:t>
      </w:r>
      <w:r w:rsidR="0070722E">
        <w:rPr>
          <w:i/>
          <w:iCs/>
        </w:rPr>
        <w:t xml:space="preserve">49 et </w:t>
      </w:r>
      <w:r w:rsidRPr="00581D2F">
        <w:rPr>
          <w:i/>
          <w:lang w:val="fr-FR"/>
        </w:rPr>
        <w:t>document informel INF.53, remplace l’amendement figurant en annexe II du document ST/SG/AC.10/C.3/104/Add.1)</w:t>
      </w:r>
    </w:p>
    <w:p w:rsidR="00B60A84" w:rsidRDefault="00B60A84" w:rsidP="00B60A84">
      <w:pPr>
        <w:pStyle w:val="SingleTxtG"/>
        <w:rPr>
          <w:lang w:val="fr-FR"/>
        </w:rPr>
      </w:pPr>
      <w:r w:rsidRPr="00EE72C3">
        <w:rPr>
          <w:lang w:val="fr-FR"/>
        </w:rPr>
        <w:t xml:space="preserve">Ajouter le nouveau </w:t>
      </w:r>
      <w:r w:rsidRPr="00E81843">
        <w:rPr>
          <w:bCs/>
          <w:iCs/>
          <w:lang w:val="fr-FR"/>
        </w:rPr>
        <w:t>6.1.4.2.6</w:t>
      </w:r>
      <w:r>
        <w:rPr>
          <w:bCs/>
          <w:i/>
          <w:lang w:val="fr-FR"/>
        </w:rPr>
        <w:t xml:space="preserve"> </w:t>
      </w:r>
      <w:r w:rsidRPr="00EE72C3">
        <w:rPr>
          <w:lang w:val="fr-FR"/>
        </w:rPr>
        <w:t>suivant :</w:t>
      </w:r>
    </w:p>
    <w:p w:rsidR="00B60A84" w:rsidRPr="00E81843" w:rsidRDefault="00B60A84" w:rsidP="00B60A84">
      <w:pPr>
        <w:pStyle w:val="SingleTxtG"/>
        <w:rPr>
          <w:lang w:val="fr-FR"/>
        </w:rPr>
      </w:pPr>
      <w:r>
        <w:rPr>
          <w:bCs/>
          <w:lang w:val="fr-FR"/>
        </w:rPr>
        <w:t>« 6.1.4.2.6</w:t>
      </w:r>
      <w:r w:rsidRPr="00E81843">
        <w:rPr>
          <w:bCs/>
          <w:lang w:val="fr-FR"/>
        </w:rPr>
        <w:tab/>
      </w:r>
      <w:r w:rsidRPr="00E81843">
        <w:rPr>
          <w:lang w:val="fr-FR"/>
        </w:rPr>
        <w:t>Si les matériaux utilisés pour la virole, les fonds, les fermetures et les accessoires ne sont pas eux-mêmes compatibles avec la matière à transporter, des revêtements ou traitements intérieurs appropriés de protection doivent être appliqués. Ces revêtements ou traitements doivent garder leurs propriétés protectrices dans les conditions normales de transport. ».</w:t>
      </w:r>
    </w:p>
    <w:p w:rsidR="00B60A84" w:rsidRDefault="00B60A84" w:rsidP="00B60A84">
      <w:pPr>
        <w:pStyle w:val="SingleTxtG"/>
      </w:pPr>
      <w:r>
        <w:lastRenderedPageBreak/>
        <w:t>Renuméroter les 6.1.4.2.6 et 6.1.4.2.7 existants en tant que 6.1.4.2.7 et 6.1.4.2.8.</w:t>
      </w:r>
    </w:p>
    <w:p w:rsidR="00B60A84" w:rsidRPr="00FB6159" w:rsidRDefault="00B60A84" w:rsidP="00B60A84">
      <w:pPr>
        <w:pStyle w:val="SingleTxtG"/>
        <w:rPr>
          <w:i/>
          <w:lang w:val="fr-FR"/>
        </w:rPr>
      </w:pPr>
      <w:r w:rsidRPr="00FB6159">
        <w:rPr>
          <w:i/>
          <w:lang w:val="fr-FR"/>
        </w:rPr>
        <w:t xml:space="preserve">(Document de référence : </w:t>
      </w:r>
      <w:r w:rsidRPr="00FB6159">
        <w:rPr>
          <w:i/>
          <w:iCs/>
        </w:rPr>
        <w:t>ST/SG/AC.10/C.3/2018/32</w:t>
      </w:r>
      <w:r w:rsidRPr="00FB6159">
        <w:rPr>
          <w:i/>
          <w:lang w:val="fr-FR"/>
        </w:rPr>
        <w:t>)</w:t>
      </w:r>
    </w:p>
    <w:p w:rsidR="00B60A84" w:rsidRDefault="00B60A84" w:rsidP="00B60A84">
      <w:pPr>
        <w:pStyle w:val="SingleTxtG"/>
        <w:rPr>
          <w:lang w:val="fr-FR"/>
        </w:rPr>
      </w:pPr>
      <w:r w:rsidRPr="00EE72C3">
        <w:rPr>
          <w:lang w:val="fr-FR"/>
        </w:rPr>
        <w:t xml:space="preserve">Ajouter le nouveau </w:t>
      </w:r>
      <w:r w:rsidRPr="00E81843">
        <w:rPr>
          <w:bCs/>
          <w:iCs/>
          <w:lang w:val="fr-FR"/>
        </w:rPr>
        <w:t>6.1.4.</w:t>
      </w:r>
      <w:r>
        <w:rPr>
          <w:bCs/>
          <w:iCs/>
          <w:lang w:val="fr-FR"/>
        </w:rPr>
        <w:t>3</w:t>
      </w:r>
      <w:r w:rsidRPr="00E81843">
        <w:rPr>
          <w:bCs/>
          <w:iCs/>
          <w:lang w:val="fr-FR"/>
        </w:rPr>
        <w:t>.6</w:t>
      </w:r>
      <w:r>
        <w:rPr>
          <w:bCs/>
          <w:i/>
          <w:lang w:val="fr-FR"/>
        </w:rPr>
        <w:t xml:space="preserve"> </w:t>
      </w:r>
      <w:r w:rsidRPr="00EE72C3">
        <w:rPr>
          <w:lang w:val="fr-FR"/>
        </w:rPr>
        <w:t>suivant :</w:t>
      </w:r>
    </w:p>
    <w:p w:rsidR="00B60A84" w:rsidRPr="00E81843" w:rsidRDefault="00B60A84" w:rsidP="00B60A84">
      <w:pPr>
        <w:pStyle w:val="SingleTxtG"/>
        <w:rPr>
          <w:lang w:val="fr-FR"/>
        </w:rPr>
      </w:pPr>
      <w:r>
        <w:rPr>
          <w:bCs/>
          <w:lang w:val="fr-FR"/>
        </w:rPr>
        <w:t>« 6.1.4.3.6</w:t>
      </w:r>
      <w:r w:rsidRPr="00E81843">
        <w:rPr>
          <w:bCs/>
          <w:lang w:val="fr-FR"/>
        </w:rPr>
        <w:tab/>
      </w:r>
      <w:r w:rsidRPr="00E81843">
        <w:rPr>
          <w:lang w:val="fr-FR"/>
        </w:rPr>
        <w:t>Si les matériaux utilisés pour la virole, les fonds, les fermetures et les accessoires ne sont pas eux-mêmes compatibles avec la matière à transporter, des revêtements ou traitements intérieurs appropriés de protection doivent être appliqués. Ces revêtements ou traitements doivent garder leurs propriétés protectrices dans les conditions normales de transport. ».</w:t>
      </w:r>
    </w:p>
    <w:p w:rsidR="00B60A84" w:rsidRDefault="00B60A84" w:rsidP="00B60A84">
      <w:pPr>
        <w:pStyle w:val="SingleTxtG"/>
      </w:pPr>
      <w:r>
        <w:t>Renuméroter les 6.1.4.3.6 et 6.1.4.3.7 existants en tant que 6.1.4.3.7 et 6.1.4.3.8.</w:t>
      </w:r>
    </w:p>
    <w:p w:rsidR="00B60A84" w:rsidRPr="00FB6159" w:rsidRDefault="00B60A84" w:rsidP="00B60A84">
      <w:pPr>
        <w:pStyle w:val="SingleTxtG"/>
        <w:rPr>
          <w:i/>
          <w:lang w:val="fr-FR"/>
        </w:rPr>
      </w:pPr>
      <w:r w:rsidRPr="00FB6159">
        <w:rPr>
          <w:i/>
          <w:lang w:val="fr-FR"/>
        </w:rPr>
        <w:t xml:space="preserve">(Document de référence : </w:t>
      </w:r>
      <w:r w:rsidRPr="00FB6159">
        <w:rPr>
          <w:i/>
          <w:iCs/>
        </w:rPr>
        <w:t>ST/SG/AC.10/C.3/2018/32</w:t>
      </w:r>
      <w:r>
        <w:rPr>
          <w:i/>
          <w:iCs/>
        </w:rPr>
        <w:t>, amendement de conséquence</w:t>
      </w:r>
      <w:r w:rsidRPr="00FB6159">
        <w:rPr>
          <w:i/>
          <w:lang w:val="fr-FR"/>
        </w:rPr>
        <w:t>)</w:t>
      </w:r>
    </w:p>
    <w:p w:rsidR="005C37E4" w:rsidRDefault="00B60A84" w:rsidP="000659B4">
      <w:pPr>
        <w:pStyle w:val="H1G"/>
      </w:pPr>
      <w:r>
        <w:tab/>
      </w:r>
      <w:r>
        <w:tab/>
      </w:r>
      <w:r w:rsidR="005C37E4">
        <w:t>Chapitre 6.2</w:t>
      </w:r>
    </w:p>
    <w:p w:rsidR="005C37E4" w:rsidRDefault="005C37E4" w:rsidP="005C37E4">
      <w:pPr>
        <w:pStyle w:val="SingleTxtG"/>
        <w:rPr>
          <w:lang w:val="fr-FR"/>
        </w:rPr>
      </w:pPr>
      <w:r>
        <w:rPr>
          <w:lang w:val="fr-FR"/>
        </w:rPr>
        <w:t>[6.2.2.1.1</w:t>
      </w:r>
      <w:r>
        <w:rPr>
          <w:lang w:val="fr-FR"/>
        </w:rPr>
        <w:tab/>
        <w:t xml:space="preserve">Dans le tableau, pour les normes </w:t>
      </w:r>
      <w:r w:rsidR="00DA48DB">
        <w:rPr>
          <w:lang w:val="fr-FR"/>
        </w:rPr>
        <w:t>« </w:t>
      </w:r>
      <w:r>
        <w:rPr>
          <w:lang w:val="fr-FR"/>
        </w:rPr>
        <w:t>ISO 11119-</w:t>
      </w:r>
      <w:proofErr w:type="gramStart"/>
      <w:r>
        <w:rPr>
          <w:lang w:val="fr-FR"/>
        </w:rPr>
        <w:t>3:</w:t>
      </w:r>
      <w:proofErr w:type="gramEnd"/>
      <w:r>
        <w:rPr>
          <w:lang w:val="fr-FR"/>
        </w:rPr>
        <w:t>2002</w:t>
      </w:r>
      <w:r w:rsidR="00DA48DB">
        <w:rPr>
          <w:lang w:val="fr-FR"/>
        </w:rPr>
        <w:t> »</w:t>
      </w:r>
      <w:r>
        <w:rPr>
          <w:lang w:val="fr-FR"/>
        </w:rPr>
        <w:t xml:space="preserve"> et </w:t>
      </w:r>
      <w:r w:rsidR="00DA48DB">
        <w:rPr>
          <w:lang w:val="fr-FR"/>
        </w:rPr>
        <w:t>« </w:t>
      </w:r>
      <w:r>
        <w:rPr>
          <w:lang w:val="fr-FR"/>
        </w:rPr>
        <w:t>ISO 11119-3:2013</w:t>
      </w:r>
      <w:r w:rsidR="00DA48DB">
        <w:rPr>
          <w:lang w:val="fr-FR"/>
        </w:rPr>
        <w:t> »</w:t>
      </w:r>
      <w:r>
        <w:rPr>
          <w:lang w:val="fr-FR"/>
        </w:rPr>
        <w:t>, ajouter le Nota suivant dans la deuxième colonne :</w:t>
      </w:r>
    </w:p>
    <w:p w:rsidR="005C37E4" w:rsidRPr="00270A83" w:rsidRDefault="005C37E4" w:rsidP="00270A83">
      <w:pPr>
        <w:pStyle w:val="SingleTxtG"/>
        <w:rPr>
          <w:bCs/>
          <w:lang w:val="fr-FR"/>
        </w:rPr>
      </w:pPr>
      <w:r w:rsidRPr="00270A83">
        <w:rPr>
          <w:bCs/>
          <w:lang w:val="fr-FR"/>
        </w:rPr>
        <w:t>« </w:t>
      </w:r>
      <w:r w:rsidRPr="0070722E">
        <w:rPr>
          <w:b/>
          <w:i/>
          <w:iCs/>
          <w:lang w:val="fr-FR"/>
        </w:rPr>
        <w:t>NOTA</w:t>
      </w:r>
      <w:r w:rsidR="00DC20AE">
        <w:rPr>
          <w:b/>
          <w:i/>
          <w:iCs/>
          <w:lang w:val="fr-FR"/>
        </w:rPr>
        <w:t xml:space="preserve"> </w:t>
      </w:r>
      <w:r w:rsidRPr="0070722E">
        <w:rPr>
          <w:b/>
          <w:i/>
          <w:iCs/>
          <w:lang w:val="fr-FR"/>
        </w:rPr>
        <w:t>:</w:t>
      </w:r>
      <w:r w:rsidRPr="00270A83">
        <w:rPr>
          <w:bCs/>
          <w:lang w:val="fr-FR"/>
        </w:rPr>
        <w:t xml:space="preserve"> </w:t>
      </w:r>
      <w:r w:rsidRPr="00270A83">
        <w:rPr>
          <w:bCs/>
          <w:lang w:val="fr-FR"/>
        </w:rPr>
        <w:tab/>
        <w:t>Cette norme ne doit pas être utilisée pour les bo</w:t>
      </w:r>
      <w:r w:rsidR="000E4712" w:rsidRPr="00270A83">
        <w:rPr>
          <w:bCs/>
          <w:lang w:val="fr-FR"/>
        </w:rPr>
        <w:t xml:space="preserve">uteilles sans liner constituées </w:t>
      </w:r>
      <w:r w:rsidRPr="00270A83">
        <w:rPr>
          <w:bCs/>
          <w:lang w:val="fr-FR"/>
        </w:rPr>
        <w:t>de deux pièces assemblées. ».]</w:t>
      </w:r>
    </w:p>
    <w:p w:rsidR="005C37E4" w:rsidRPr="00FB2D02" w:rsidRDefault="005C37E4" w:rsidP="005C37E4">
      <w:pPr>
        <w:pStyle w:val="SingleTxtG"/>
        <w:spacing w:before="120"/>
        <w:rPr>
          <w:lang w:val="fr-FR"/>
        </w:rPr>
      </w:pPr>
      <w:r w:rsidRPr="00FB2D02">
        <w:rPr>
          <w:i/>
          <w:iCs/>
          <w:lang w:val="fr-FR"/>
        </w:rPr>
        <w:t xml:space="preserve">(Document de référence : </w:t>
      </w:r>
      <w:r>
        <w:rPr>
          <w:i/>
          <w:iCs/>
        </w:rPr>
        <w:t>document informel INF.10 tel que modifié</w:t>
      </w:r>
      <w:r w:rsidRPr="00FB2D02">
        <w:rPr>
          <w:bCs/>
          <w:i/>
          <w:iCs/>
          <w:lang w:val="fr-FR"/>
        </w:rPr>
        <w:t>)</w:t>
      </w:r>
    </w:p>
    <w:p w:rsidR="005C37E4" w:rsidRDefault="005C37E4" w:rsidP="005C37E4">
      <w:pPr>
        <w:pStyle w:val="SingleTxtG"/>
        <w:rPr>
          <w:lang w:val="fr-FR"/>
        </w:rPr>
      </w:pPr>
      <w:r>
        <w:rPr>
          <w:lang w:val="fr-FR"/>
        </w:rPr>
        <w:t>6.2.2.1.1</w:t>
      </w:r>
      <w:r>
        <w:rPr>
          <w:lang w:val="fr-FR"/>
        </w:rPr>
        <w:tab/>
        <w:t>Ajouter la nouvelle ligne suivante dans le tableau (après ISO 11119-</w:t>
      </w:r>
      <w:proofErr w:type="gramStart"/>
      <w:r>
        <w:rPr>
          <w:lang w:val="fr-FR"/>
        </w:rPr>
        <w:t>3:</w:t>
      </w:r>
      <w:proofErr w:type="gramEnd"/>
      <w:r>
        <w:rPr>
          <w:lang w:val="fr-FR"/>
        </w:rPr>
        <w:t>2013)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6"/>
        <w:gridCol w:w="4498"/>
        <w:gridCol w:w="1275"/>
      </w:tblGrid>
      <w:tr w:rsidR="005C37E4" w:rsidRPr="00AA6F5C" w:rsidTr="008A5DC1">
        <w:tc>
          <w:tcPr>
            <w:tcW w:w="1706" w:type="dxa"/>
            <w:shd w:val="clear" w:color="auto" w:fill="auto"/>
          </w:tcPr>
          <w:p w:rsidR="005C37E4" w:rsidRPr="00AA6F5C" w:rsidRDefault="005C37E4" w:rsidP="008A5DC1">
            <w:pPr>
              <w:spacing w:before="60" w:after="60"/>
              <w:ind w:left="57" w:right="57"/>
            </w:pPr>
            <w:r>
              <w:rPr>
                <w:lang w:val="fr-FR"/>
              </w:rPr>
              <w:t>ISO 11119-</w:t>
            </w:r>
            <w:proofErr w:type="gramStart"/>
            <w:r>
              <w:rPr>
                <w:lang w:val="fr-FR"/>
              </w:rPr>
              <w:t>4:</w:t>
            </w:r>
            <w:proofErr w:type="gramEnd"/>
            <w:r>
              <w:rPr>
                <w:lang w:val="fr-FR"/>
              </w:rPr>
              <w:t xml:space="preserve">2016 </w:t>
            </w:r>
          </w:p>
        </w:tc>
        <w:tc>
          <w:tcPr>
            <w:tcW w:w="4498" w:type="dxa"/>
            <w:shd w:val="clear" w:color="auto" w:fill="auto"/>
          </w:tcPr>
          <w:p w:rsidR="005C37E4" w:rsidRPr="00671137" w:rsidRDefault="005C37E4" w:rsidP="008A5DC1">
            <w:pPr>
              <w:spacing w:before="60" w:after="60"/>
              <w:ind w:left="57" w:right="57"/>
            </w:pPr>
            <w:r>
              <w:rPr>
                <w:lang w:val="fr-FR"/>
              </w:rPr>
              <w:t xml:space="preserve">Bouteilles à gaz − Bouteilles à gaz rechargeables en matériau composite et tubes − Conception, construction et essais − Partie </w:t>
            </w:r>
            <w:proofErr w:type="gramStart"/>
            <w:r>
              <w:rPr>
                <w:lang w:val="fr-FR"/>
              </w:rPr>
              <w:t>4:</w:t>
            </w:r>
            <w:proofErr w:type="gramEnd"/>
            <w:r>
              <w:rPr>
                <w:lang w:val="fr-FR"/>
              </w:rPr>
              <w:t xml:space="preserve"> Bouteilles à gaz composites entièrement bobinées renforcées par des fibres et tubes d’une contenance allant jusqu’à 150 l avec liners métalliques transmettant la charge</w:t>
            </w:r>
          </w:p>
        </w:tc>
        <w:tc>
          <w:tcPr>
            <w:tcW w:w="1275" w:type="dxa"/>
            <w:shd w:val="clear" w:color="auto" w:fill="auto"/>
          </w:tcPr>
          <w:p w:rsidR="005C37E4" w:rsidRPr="00AA6F5C" w:rsidRDefault="005C37E4" w:rsidP="008A5DC1">
            <w:pPr>
              <w:spacing w:before="60" w:after="60"/>
              <w:ind w:left="57" w:right="57"/>
            </w:pPr>
            <w:r>
              <w:rPr>
                <w:lang w:val="fr-FR"/>
              </w:rPr>
              <w:t>Jusqu’à nouvel ordre</w:t>
            </w:r>
          </w:p>
        </w:tc>
      </w:tr>
    </w:tbl>
    <w:p w:rsidR="005C37E4" w:rsidRPr="00FB2D02" w:rsidRDefault="005C37E4" w:rsidP="005C37E4">
      <w:pPr>
        <w:pStyle w:val="SingleTxtG"/>
        <w:spacing w:before="120"/>
        <w:rPr>
          <w:lang w:val="fr-FR"/>
        </w:rPr>
      </w:pPr>
      <w:r w:rsidRPr="00FB2D02">
        <w:rPr>
          <w:i/>
          <w:iCs/>
          <w:lang w:val="fr-FR"/>
        </w:rPr>
        <w:t xml:space="preserve">(Document de référence : </w:t>
      </w:r>
      <w:r w:rsidRPr="001539C6">
        <w:rPr>
          <w:i/>
          <w:iCs/>
        </w:rPr>
        <w:t>ST/SG/AC.10/C.3/201</w:t>
      </w:r>
      <w:r>
        <w:rPr>
          <w:i/>
          <w:iCs/>
        </w:rPr>
        <w:t>8</w:t>
      </w:r>
      <w:r w:rsidRPr="001539C6">
        <w:rPr>
          <w:i/>
          <w:iCs/>
        </w:rPr>
        <w:t>/</w:t>
      </w:r>
      <w:r>
        <w:rPr>
          <w:i/>
          <w:iCs/>
        </w:rPr>
        <w:t>23, proposition 2</w:t>
      </w:r>
      <w:r w:rsidRPr="00FB2D02">
        <w:rPr>
          <w:bCs/>
          <w:i/>
          <w:iCs/>
          <w:lang w:val="fr-FR"/>
        </w:rPr>
        <w:t>)</w:t>
      </w:r>
    </w:p>
    <w:p w:rsidR="005C37E4" w:rsidRDefault="005C37E4" w:rsidP="005C37E4">
      <w:pPr>
        <w:pStyle w:val="SingleTxtG"/>
        <w:rPr>
          <w:lang w:val="fr-FR"/>
        </w:rPr>
      </w:pPr>
      <w:r>
        <w:rPr>
          <w:lang w:val="fr-FR"/>
        </w:rPr>
        <w:t>[6.2.2.1.2</w:t>
      </w:r>
      <w:r>
        <w:rPr>
          <w:lang w:val="fr-FR"/>
        </w:rPr>
        <w:tab/>
        <w:t>Dans le tableau, pour la norme ISO 11119-</w:t>
      </w:r>
      <w:proofErr w:type="gramStart"/>
      <w:r>
        <w:rPr>
          <w:lang w:val="fr-FR"/>
        </w:rPr>
        <w:t>3:</w:t>
      </w:r>
      <w:proofErr w:type="gramEnd"/>
      <w:r>
        <w:rPr>
          <w:lang w:val="fr-FR"/>
        </w:rPr>
        <w:t>2013, ajouter le Nota suivant dans la deuxième colonne :</w:t>
      </w:r>
    </w:p>
    <w:p w:rsidR="005C37E4" w:rsidRDefault="005C37E4" w:rsidP="005C37E4">
      <w:pPr>
        <w:pStyle w:val="SingleTxtG"/>
        <w:rPr>
          <w:lang w:val="fr-FR"/>
        </w:rPr>
      </w:pPr>
      <w:r>
        <w:rPr>
          <w:lang w:val="fr-FR"/>
        </w:rPr>
        <w:t>« </w:t>
      </w:r>
      <w:r w:rsidRPr="0070722E">
        <w:rPr>
          <w:b/>
          <w:bCs/>
          <w:i/>
          <w:iCs/>
          <w:lang w:val="fr-FR"/>
        </w:rPr>
        <w:t>NOTA</w:t>
      </w:r>
      <w:r w:rsidR="00DC20AE">
        <w:rPr>
          <w:b/>
          <w:bCs/>
          <w:i/>
          <w:iCs/>
          <w:lang w:val="fr-FR"/>
        </w:rPr>
        <w:t xml:space="preserve"> </w:t>
      </w:r>
      <w:r w:rsidRPr="0070722E">
        <w:rPr>
          <w:b/>
          <w:bCs/>
          <w:i/>
          <w:iCs/>
          <w:lang w:val="fr-FR"/>
        </w:rPr>
        <w:t>:</w:t>
      </w:r>
      <w:r w:rsidRPr="00272AFA">
        <w:rPr>
          <w:lang w:val="fr-FR"/>
        </w:rPr>
        <w:t xml:space="preserve"> </w:t>
      </w:r>
      <w:r w:rsidRPr="00272AFA">
        <w:rPr>
          <w:lang w:val="fr-FR"/>
        </w:rPr>
        <w:tab/>
        <w:t>Cette norme ne doit pas être utilisée pour les tubes sans liner constitués de deux pièces assemblées.</w:t>
      </w:r>
      <w:r>
        <w:rPr>
          <w:lang w:val="fr-FR"/>
        </w:rPr>
        <w:t> ».]</w:t>
      </w:r>
    </w:p>
    <w:p w:rsidR="005C37E4" w:rsidRPr="00FB2D02" w:rsidRDefault="005C37E4" w:rsidP="005C37E4">
      <w:pPr>
        <w:pStyle w:val="SingleTxtG"/>
        <w:spacing w:before="120"/>
        <w:rPr>
          <w:lang w:val="fr-FR"/>
        </w:rPr>
      </w:pPr>
      <w:r w:rsidRPr="00FB2D02">
        <w:rPr>
          <w:i/>
          <w:iCs/>
          <w:lang w:val="fr-FR"/>
        </w:rPr>
        <w:t xml:space="preserve">(Document de référence : </w:t>
      </w:r>
      <w:r>
        <w:rPr>
          <w:i/>
          <w:iCs/>
        </w:rPr>
        <w:t>document informel INF.10 tel que modifié</w:t>
      </w:r>
      <w:r w:rsidRPr="00FB2D02">
        <w:rPr>
          <w:bCs/>
          <w:i/>
          <w:iCs/>
          <w:lang w:val="fr-FR"/>
        </w:rPr>
        <w:t>)</w:t>
      </w:r>
    </w:p>
    <w:p w:rsidR="005C37E4" w:rsidRDefault="005C37E4" w:rsidP="005C37E4">
      <w:pPr>
        <w:pStyle w:val="SingleTxtG"/>
        <w:rPr>
          <w:lang w:val="fr-FR"/>
        </w:rPr>
      </w:pPr>
      <w:r>
        <w:rPr>
          <w:lang w:val="fr-FR"/>
        </w:rPr>
        <w:t>6.2.2.1.3</w:t>
      </w:r>
      <w:r>
        <w:rPr>
          <w:lang w:val="fr-FR"/>
        </w:rPr>
        <w:tab/>
        <w:t xml:space="preserve">Dans le tableau sous « Pour </w:t>
      </w:r>
      <w:r w:rsidRPr="00AD7411">
        <w:rPr>
          <w:lang w:val="fr-FR"/>
        </w:rPr>
        <w:t>l'enveloppe des bouteilles</w:t>
      </w:r>
      <w:r w:rsidR="00DC20AE">
        <w:rPr>
          <w:lang w:val="fr-FR"/>
        </w:rPr>
        <w:t xml:space="preserve"> </w:t>
      </w:r>
      <w:r w:rsidRPr="00AD7411">
        <w:rPr>
          <w:lang w:val="fr-FR"/>
        </w:rPr>
        <w:t>:</w:t>
      </w:r>
      <w:r>
        <w:rPr>
          <w:lang w:val="fr-FR"/>
        </w:rPr>
        <w:t> », ajouter les deux nouvelles lignes suivantes à la fin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4498"/>
        <w:gridCol w:w="1275"/>
      </w:tblGrid>
      <w:tr w:rsidR="005C37E4" w:rsidRPr="00AA6F5C" w:rsidTr="008A5DC1">
        <w:tc>
          <w:tcPr>
            <w:tcW w:w="1706" w:type="dxa"/>
            <w:shd w:val="clear" w:color="auto" w:fill="auto"/>
            <w:tcMar>
              <w:left w:w="0" w:type="dxa"/>
              <w:right w:w="0" w:type="dxa"/>
            </w:tcMar>
          </w:tcPr>
          <w:p w:rsidR="005C37E4" w:rsidRPr="00AA6F5C" w:rsidRDefault="005C37E4" w:rsidP="008A5DC1">
            <w:pPr>
              <w:spacing w:before="60" w:after="60"/>
              <w:ind w:left="57" w:right="57"/>
            </w:pPr>
            <w:r>
              <w:t xml:space="preserve">ISO </w:t>
            </w:r>
            <w:proofErr w:type="gramStart"/>
            <w:r>
              <w:t>4706:</w:t>
            </w:r>
            <w:proofErr w:type="gramEnd"/>
            <w:r>
              <w:t>2008</w:t>
            </w:r>
          </w:p>
        </w:tc>
        <w:tc>
          <w:tcPr>
            <w:tcW w:w="4498" w:type="dxa"/>
            <w:shd w:val="clear" w:color="auto" w:fill="auto"/>
            <w:tcMar>
              <w:left w:w="0" w:type="dxa"/>
              <w:right w:w="0" w:type="dxa"/>
            </w:tcMar>
          </w:tcPr>
          <w:p w:rsidR="005C37E4" w:rsidRPr="00671137" w:rsidRDefault="005C37E4" w:rsidP="008A5DC1">
            <w:pPr>
              <w:spacing w:before="60" w:after="60"/>
              <w:ind w:left="57" w:right="57"/>
            </w:pPr>
            <w:r w:rsidRPr="00AD7411">
              <w:t xml:space="preserve">Bouteilles à gaz </w:t>
            </w:r>
            <w:r>
              <w:rPr>
                <w:lang w:val="fr-FR"/>
              </w:rPr>
              <w:t>−</w:t>
            </w:r>
            <w:r w:rsidRPr="00AD7411">
              <w:t xml:space="preserve"> Bouteilles en acier soudées rechargeables </w:t>
            </w:r>
            <w:r>
              <w:rPr>
                <w:lang w:val="fr-FR"/>
              </w:rPr>
              <w:t>–</w:t>
            </w:r>
            <w:r w:rsidRPr="00AD7411">
              <w:t xml:space="preserve"> Pression d</w:t>
            </w:r>
            <w:r>
              <w:t>’</w:t>
            </w:r>
            <w:r w:rsidRPr="00AD7411">
              <w:t>essai de 60 bar et moins</w:t>
            </w:r>
          </w:p>
        </w:tc>
        <w:tc>
          <w:tcPr>
            <w:tcW w:w="1275" w:type="dxa"/>
            <w:shd w:val="clear" w:color="auto" w:fill="auto"/>
            <w:tcMar>
              <w:left w:w="0" w:type="dxa"/>
              <w:right w:w="0" w:type="dxa"/>
            </w:tcMar>
          </w:tcPr>
          <w:p w:rsidR="005C37E4" w:rsidRPr="00AA6F5C" w:rsidRDefault="005C37E4" w:rsidP="008A5DC1">
            <w:pPr>
              <w:spacing w:before="60" w:after="60"/>
              <w:ind w:left="57" w:right="57"/>
            </w:pPr>
            <w:r>
              <w:rPr>
                <w:lang w:val="fr-FR"/>
              </w:rPr>
              <w:t>Jusqu’à nouvel ordre</w:t>
            </w:r>
          </w:p>
        </w:tc>
      </w:tr>
      <w:tr w:rsidR="005C37E4" w:rsidRPr="00AA6F5C" w:rsidTr="008A5DC1">
        <w:tc>
          <w:tcPr>
            <w:tcW w:w="1706" w:type="dxa"/>
            <w:shd w:val="clear" w:color="auto" w:fill="auto"/>
            <w:tcMar>
              <w:left w:w="0" w:type="dxa"/>
              <w:right w:w="0" w:type="dxa"/>
            </w:tcMar>
          </w:tcPr>
          <w:p w:rsidR="005C37E4" w:rsidRDefault="005C37E4" w:rsidP="008A5DC1">
            <w:pPr>
              <w:spacing w:before="60" w:after="60"/>
              <w:ind w:left="57" w:right="57"/>
            </w:pPr>
            <w:r w:rsidRPr="00583E4B">
              <w:t xml:space="preserve">ISO </w:t>
            </w:r>
            <w:proofErr w:type="gramStart"/>
            <w:r w:rsidRPr="00583E4B">
              <w:t>7866:</w:t>
            </w:r>
            <w:proofErr w:type="gramEnd"/>
            <w:r w:rsidRPr="00583E4B">
              <w:t>2012 + Cor 1:2014</w:t>
            </w:r>
          </w:p>
        </w:tc>
        <w:tc>
          <w:tcPr>
            <w:tcW w:w="4498" w:type="dxa"/>
            <w:shd w:val="clear" w:color="auto" w:fill="auto"/>
            <w:tcMar>
              <w:left w:w="0" w:type="dxa"/>
              <w:right w:w="0" w:type="dxa"/>
            </w:tcMar>
          </w:tcPr>
          <w:p w:rsidR="005C37E4" w:rsidRDefault="005C37E4" w:rsidP="008A5DC1">
            <w:pPr>
              <w:spacing w:before="60" w:after="60"/>
              <w:ind w:left="57" w:right="57"/>
            </w:pPr>
            <w:r w:rsidRPr="00AD7411">
              <w:t xml:space="preserve">Bouteilles à gaz </w:t>
            </w:r>
            <w:r>
              <w:rPr>
                <w:lang w:val="fr-FR"/>
              </w:rPr>
              <w:t>−</w:t>
            </w:r>
            <w:r w:rsidRPr="00AD7411">
              <w:t xml:space="preserve"> Bouteilles à gaz sans soudure en alliage d'aluminium destinées à être rechargées </w:t>
            </w:r>
            <w:r>
              <w:rPr>
                <w:lang w:val="fr-FR"/>
              </w:rPr>
              <w:t>−</w:t>
            </w:r>
            <w:r w:rsidRPr="00AD7411">
              <w:t xml:space="preserve"> Conception, construction et essais</w:t>
            </w:r>
          </w:p>
          <w:p w:rsidR="008553C2" w:rsidRPr="00455B81" w:rsidRDefault="00455B81" w:rsidP="008A5DC1">
            <w:pPr>
              <w:spacing w:before="60" w:after="60"/>
              <w:ind w:left="57" w:right="57"/>
              <w:rPr>
                <w:i/>
                <w:iCs/>
              </w:rPr>
            </w:pPr>
            <w:r w:rsidRPr="00455B81">
              <w:rPr>
                <w:b/>
                <w:bCs/>
                <w:i/>
                <w:iCs/>
              </w:rPr>
              <w:t>NOTA :</w:t>
            </w:r>
            <w:r w:rsidRPr="00455B81">
              <w:rPr>
                <w:i/>
                <w:iCs/>
              </w:rPr>
              <w:t xml:space="preserve"> L’alliage d’aluminium 6351A</w:t>
            </w:r>
            <w:r w:rsidR="00583E4B">
              <w:rPr>
                <w:i/>
                <w:iCs/>
              </w:rPr>
              <w:t xml:space="preserve"> </w:t>
            </w:r>
            <w:r w:rsidRPr="00455B81">
              <w:rPr>
                <w:i/>
                <w:iCs/>
              </w:rPr>
              <w:t>ou son équivalent ne doit pas être utilisé.</w:t>
            </w:r>
          </w:p>
        </w:tc>
        <w:tc>
          <w:tcPr>
            <w:tcW w:w="1275" w:type="dxa"/>
            <w:shd w:val="clear" w:color="auto" w:fill="auto"/>
            <w:tcMar>
              <w:left w:w="0" w:type="dxa"/>
              <w:right w:w="0" w:type="dxa"/>
            </w:tcMar>
          </w:tcPr>
          <w:p w:rsidR="005C37E4" w:rsidRDefault="005C37E4" w:rsidP="008A5DC1">
            <w:pPr>
              <w:spacing w:before="60" w:after="60"/>
              <w:ind w:left="57" w:right="57"/>
              <w:rPr>
                <w:lang w:val="fr-FR"/>
              </w:rPr>
            </w:pPr>
            <w:r>
              <w:rPr>
                <w:lang w:val="fr-FR"/>
              </w:rPr>
              <w:t>Jusqu’à nouvel ordre</w:t>
            </w:r>
          </w:p>
        </w:tc>
      </w:tr>
    </w:tbl>
    <w:p w:rsidR="005C37E4" w:rsidRPr="00FB2D02" w:rsidRDefault="005C37E4" w:rsidP="005C37E4">
      <w:pPr>
        <w:pStyle w:val="SingleTxtG"/>
        <w:spacing w:before="120"/>
        <w:rPr>
          <w:lang w:val="fr-FR"/>
        </w:rPr>
      </w:pPr>
      <w:r w:rsidRPr="00FB2D02">
        <w:rPr>
          <w:i/>
          <w:iCs/>
          <w:lang w:val="fr-FR"/>
        </w:rPr>
        <w:t xml:space="preserve">(Document de référence : </w:t>
      </w:r>
      <w:r>
        <w:rPr>
          <w:i/>
          <w:iCs/>
        </w:rPr>
        <w:t>document informel INF.18</w:t>
      </w:r>
      <w:r w:rsidRPr="00FB2D02">
        <w:rPr>
          <w:bCs/>
          <w:i/>
          <w:iCs/>
          <w:lang w:val="fr-FR"/>
        </w:rPr>
        <w:t>)</w:t>
      </w:r>
    </w:p>
    <w:p w:rsidR="005C37E4" w:rsidRDefault="005C37E4" w:rsidP="005C37E4">
      <w:pPr>
        <w:pStyle w:val="SingleTxtG"/>
        <w:spacing w:before="120"/>
        <w:rPr>
          <w:lang w:val="fr-FR"/>
        </w:rPr>
      </w:pPr>
      <w:r>
        <w:rPr>
          <w:lang w:val="fr-FR"/>
        </w:rPr>
        <w:lastRenderedPageBreak/>
        <w:t>6.2.2.1.3</w:t>
      </w:r>
      <w:r>
        <w:rPr>
          <w:lang w:val="fr-FR"/>
        </w:rPr>
        <w:tab/>
        <w:t>Modifier le texte avant le deuxième tableau pour lire « Pour les bouteilles d’acétylène, y compris la matière poreuse</w:t>
      </w:r>
      <w:r w:rsidR="00DC20AE">
        <w:rPr>
          <w:lang w:val="fr-FR"/>
        </w:rPr>
        <w:t xml:space="preserve"> </w:t>
      </w:r>
      <w:r>
        <w:rPr>
          <w:lang w:val="fr-FR"/>
        </w:rPr>
        <w:t>: ».</w:t>
      </w:r>
    </w:p>
    <w:p w:rsidR="005C37E4" w:rsidRPr="00FB2D02" w:rsidRDefault="005C37E4" w:rsidP="005C37E4">
      <w:pPr>
        <w:pStyle w:val="SingleTxtG"/>
        <w:spacing w:before="120"/>
        <w:rPr>
          <w:lang w:val="fr-FR"/>
        </w:rPr>
      </w:pPr>
      <w:r w:rsidRPr="00FB2D02">
        <w:rPr>
          <w:i/>
          <w:iCs/>
          <w:lang w:val="fr-FR"/>
        </w:rPr>
        <w:t xml:space="preserve">(Document de référence : </w:t>
      </w:r>
      <w:r w:rsidR="00655B33" w:rsidRPr="00BB39ED">
        <w:rPr>
          <w:i/>
          <w:iCs/>
        </w:rPr>
        <w:t>ST/SG/AC.10/C.3/2018/</w:t>
      </w:r>
      <w:r w:rsidR="00655B33">
        <w:rPr>
          <w:i/>
          <w:iCs/>
        </w:rPr>
        <w:t xml:space="preserve">8 et </w:t>
      </w:r>
      <w:r>
        <w:rPr>
          <w:i/>
          <w:iCs/>
        </w:rPr>
        <w:t>document informel INF.36</w:t>
      </w:r>
      <w:r w:rsidRPr="00FB2D02">
        <w:rPr>
          <w:bCs/>
          <w:i/>
          <w:iCs/>
          <w:lang w:val="fr-FR"/>
        </w:rPr>
        <w:t>)</w:t>
      </w:r>
    </w:p>
    <w:p w:rsidR="005C37E4" w:rsidRDefault="005C37E4" w:rsidP="005C37E4">
      <w:pPr>
        <w:pStyle w:val="SingleTxtG"/>
        <w:rPr>
          <w:lang w:val="fr-FR"/>
        </w:rPr>
      </w:pPr>
      <w:r>
        <w:rPr>
          <w:lang w:val="fr-FR"/>
        </w:rPr>
        <w:t>6.2.2.3</w:t>
      </w:r>
      <w:r>
        <w:rPr>
          <w:lang w:val="fr-FR"/>
        </w:rPr>
        <w:tab/>
      </w:r>
      <w:r>
        <w:rPr>
          <w:lang w:val="fr-FR"/>
        </w:rPr>
        <w:tab/>
        <w:t xml:space="preserve">Pour ISO </w:t>
      </w:r>
      <w:proofErr w:type="gramStart"/>
      <w:r>
        <w:rPr>
          <w:lang w:val="fr-FR"/>
        </w:rPr>
        <w:t>14246:</w:t>
      </w:r>
      <w:proofErr w:type="gramEnd"/>
      <w:r>
        <w:rPr>
          <w:lang w:val="fr-FR"/>
        </w:rPr>
        <w:t xml:space="preserve">2014, remplacer « Jusqu’à nouvel ordre » par « Jusqu’au 31 décembre 2024 ». Après la ligne pour ISO </w:t>
      </w:r>
      <w:proofErr w:type="gramStart"/>
      <w:r>
        <w:rPr>
          <w:lang w:val="fr-FR"/>
        </w:rPr>
        <w:t>14246:</w:t>
      </w:r>
      <w:proofErr w:type="gramEnd"/>
      <w:r>
        <w:rPr>
          <w:lang w:val="fr-FR"/>
        </w:rPr>
        <w:t>2014, ajouter la nouvelle ligne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4498"/>
        <w:gridCol w:w="1275"/>
      </w:tblGrid>
      <w:tr w:rsidR="005C37E4" w:rsidRPr="00AA6F5C" w:rsidTr="008A5DC1">
        <w:tc>
          <w:tcPr>
            <w:tcW w:w="1706" w:type="dxa"/>
            <w:shd w:val="clear" w:color="auto" w:fill="auto"/>
            <w:tcMar>
              <w:left w:w="0" w:type="dxa"/>
              <w:right w:w="0" w:type="dxa"/>
            </w:tcMar>
          </w:tcPr>
          <w:p w:rsidR="005C37E4" w:rsidRPr="00AA6F5C" w:rsidRDefault="005C37E4" w:rsidP="008A5DC1">
            <w:pPr>
              <w:spacing w:before="60" w:after="60"/>
              <w:ind w:left="57" w:right="57"/>
            </w:pPr>
            <w:r>
              <w:rPr>
                <w:lang w:val="fr-FR"/>
              </w:rPr>
              <w:t xml:space="preserve">ISO </w:t>
            </w:r>
            <w:proofErr w:type="gramStart"/>
            <w:r>
              <w:rPr>
                <w:lang w:val="fr-FR"/>
              </w:rPr>
              <w:t>14246:</w:t>
            </w:r>
            <w:proofErr w:type="gramEnd"/>
            <w:r>
              <w:rPr>
                <w:lang w:val="fr-FR"/>
              </w:rPr>
              <w:t xml:space="preserve">2014 + </w:t>
            </w:r>
            <w:proofErr w:type="spellStart"/>
            <w:r>
              <w:rPr>
                <w:lang w:val="fr-FR"/>
              </w:rPr>
              <w:t>Amd</w:t>
            </w:r>
            <w:proofErr w:type="spellEnd"/>
            <w:r>
              <w:rPr>
                <w:lang w:val="fr-FR"/>
              </w:rPr>
              <w:t xml:space="preserve"> 1:2017 </w:t>
            </w:r>
          </w:p>
        </w:tc>
        <w:tc>
          <w:tcPr>
            <w:tcW w:w="4498" w:type="dxa"/>
            <w:shd w:val="clear" w:color="auto" w:fill="auto"/>
            <w:tcMar>
              <w:left w:w="0" w:type="dxa"/>
              <w:right w:w="0" w:type="dxa"/>
            </w:tcMar>
          </w:tcPr>
          <w:p w:rsidR="005C37E4" w:rsidRPr="00671137" w:rsidRDefault="005C37E4" w:rsidP="008A5DC1">
            <w:pPr>
              <w:spacing w:before="60" w:after="60"/>
              <w:ind w:left="57" w:right="57"/>
            </w:pPr>
            <w:r>
              <w:rPr>
                <w:lang w:val="fr-FR"/>
              </w:rPr>
              <w:t>Bouteilles à gaz − Robinets de bouteilles à gaz − Essais de fabrication et contrôles</w:t>
            </w:r>
          </w:p>
        </w:tc>
        <w:tc>
          <w:tcPr>
            <w:tcW w:w="1275" w:type="dxa"/>
            <w:shd w:val="clear" w:color="auto" w:fill="auto"/>
            <w:tcMar>
              <w:left w:w="0" w:type="dxa"/>
              <w:right w:w="0" w:type="dxa"/>
            </w:tcMar>
          </w:tcPr>
          <w:p w:rsidR="005C37E4" w:rsidRPr="00AA6F5C" w:rsidRDefault="005C37E4" w:rsidP="008A5DC1">
            <w:pPr>
              <w:spacing w:before="60" w:after="60"/>
              <w:ind w:left="57" w:right="57"/>
            </w:pPr>
            <w:r>
              <w:rPr>
                <w:lang w:val="fr-FR"/>
              </w:rPr>
              <w:t>Jusqu’à nouvel ordre</w:t>
            </w:r>
          </w:p>
        </w:tc>
      </w:tr>
    </w:tbl>
    <w:p w:rsidR="005C37E4" w:rsidRPr="00FB2D02" w:rsidRDefault="005C37E4" w:rsidP="005C37E4">
      <w:pPr>
        <w:pStyle w:val="SingleTxtG"/>
        <w:spacing w:before="120"/>
        <w:rPr>
          <w:lang w:val="fr-FR"/>
        </w:rPr>
      </w:pPr>
      <w:r w:rsidRPr="00FB2D02">
        <w:rPr>
          <w:i/>
          <w:iCs/>
          <w:lang w:val="fr-FR"/>
        </w:rPr>
        <w:t xml:space="preserve">(Document de référence : </w:t>
      </w:r>
      <w:r w:rsidRPr="001539C6">
        <w:rPr>
          <w:i/>
          <w:iCs/>
        </w:rPr>
        <w:t>ST/SG/AC.10/C.3/201</w:t>
      </w:r>
      <w:r>
        <w:rPr>
          <w:i/>
          <w:iCs/>
        </w:rPr>
        <w:t>8</w:t>
      </w:r>
      <w:r w:rsidRPr="001539C6">
        <w:rPr>
          <w:i/>
          <w:iCs/>
        </w:rPr>
        <w:t>/</w:t>
      </w:r>
      <w:r>
        <w:rPr>
          <w:i/>
          <w:iCs/>
        </w:rPr>
        <w:t>23, proposition 3</w:t>
      </w:r>
      <w:r w:rsidRPr="00FB2D02">
        <w:rPr>
          <w:bCs/>
          <w:i/>
          <w:iCs/>
          <w:lang w:val="fr-FR"/>
        </w:rPr>
        <w:t>)</w:t>
      </w:r>
    </w:p>
    <w:p w:rsidR="005C37E4" w:rsidRDefault="005C37E4" w:rsidP="005C37E4">
      <w:pPr>
        <w:pStyle w:val="SingleTxtG"/>
        <w:rPr>
          <w:lang w:val="fr-FR"/>
        </w:rPr>
      </w:pPr>
      <w:r>
        <w:rPr>
          <w:lang w:val="fr-FR"/>
        </w:rPr>
        <w:t>6.2.2.4</w:t>
      </w:r>
      <w:r>
        <w:rPr>
          <w:lang w:val="fr-FR"/>
        </w:rPr>
        <w:tab/>
      </w:r>
      <w:r>
        <w:rPr>
          <w:lang w:val="fr-FR"/>
        </w:rPr>
        <w:tab/>
        <w:t xml:space="preserve">Ajouter la nouvelle ligne suivante dans le tableau après la ligne pour ISO </w:t>
      </w:r>
      <w:proofErr w:type="gramStart"/>
      <w:r>
        <w:rPr>
          <w:lang w:val="fr-FR"/>
        </w:rPr>
        <w:t>22434:</w:t>
      </w:r>
      <w:proofErr w:type="gramEnd"/>
      <w:r>
        <w:rPr>
          <w:lang w:val="fr-FR"/>
        </w:rPr>
        <w:t>2006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4"/>
        <w:gridCol w:w="4290"/>
        <w:gridCol w:w="1275"/>
      </w:tblGrid>
      <w:tr w:rsidR="005C37E4" w:rsidRPr="00AA6F5C" w:rsidTr="008A5DC1">
        <w:tc>
          <w:tcPr>
            <w:tcW w:w="1914" w:type="dxa"/>
            <w:shd w:val="clear" w:color="auto" w:fill="auto"/>
            <w:tcMar>
              <w:left w:w="0" w:type="dxa"/>
              <w:right w:w="0" w:type="dxa"/>
            </w:tcMar>
          </w:tcPr>
          <w:p w:rsidR="005C37E4" w:rsidRPr="00AA6F5C" w:rsidRDefault="005C37E4" w:rsidP="008A5DC1">
            <w:pPr>
              <w:spacing w:before="60" w:after="60"/>
              <w:ind w:left="57" w:right="57"/>
            </w:pPr>
            <w:r>
              <w:rPr>
                <w:lang w:val="fr-FR"/>
              </w:rPr>
              <w:t xml:space="preserve">ISO </w:t>
            </w:r>
            <w:proofErr w:type="gramStart"/>
            <w:r>
              <w:rPr>
                <w:lang w:val="fr-FR"/>
              </w:rPr>
              <w:t>20475:</w:t>
            </w:r>
            <w:proofErr w:type="gramEnd"/>
            <w:r>
              <w:rPr>
                <w:lang w:val="fr-FR"/>
              </w:rPr>
              <w:t>2018</w:t>
            </w:r>
          </w:p>
        </w:tc>
        <w:tc>
          <w:tcPr>
            <w:tcW w:w="4290" w:type="dxa"/>
            <w:shd w:val="clear" w:color="auto" w:fill="auto"/>
            <w:tcMar>
              <w:left w:w="0" w:type="dxa"/>
              <w:right w:w="0" w:type="dxa"/>
            </w:tcMar>
          </w:tcPr>
          <w:p w:rsidR="005C37E4" w:rsidRPr="00671137" w:rsidRDefault="005C37E4" w:rsidP="008A5DC1">
            <w:pPr>
              <w:spacing w:before="60" w:after="60"/>
              <w:ind w:left="57" w:right="57"/>
            </w:pPr>
            <w:r>
              <w:rPr>
                <w:lang w:val="fr-FR"/>
              </w:rPr>
              <w:t>Bouteilles à gaz − Cadres de bouteilles − Contrôles et essais périodiques</w:t>
            </w:r>
          </w:p>
        </w:tc>
        <w:tc>
          <w:tcPr>
            <w:tcW w:w="1275" w:type="dxa"/>
            <w:shd w:val="clear" w:color="auto" w:fill="auto"/>
            <w:tcMar>
              <w:left w:w="0" w:type="dxa"/>
              <w:right w:w="0" w:type="dxa"/>
            </w:tcMar>
          </w:tcPr>
          <w:p w:rsidR="005C37E4" w:rsidRPr="00AA6F5C" w:rsidRDefault="005C37E4" w:rsidP="008A5DC1">
            <w:pPr>
              <w:spacing w:before="60" w:after="60"/>
              <w:ind w:left="57" w:right="57"/>
            </w:pPr>
            <w:r>
              <w:rPr>
                <w:lang w:val="fr-FR"/>
              </w:rPr>
              <w:t>Jusqu’à nouvel ordre</w:t>
            </w:r>
          </w:p>
        </w:tc>
      </w:tr>
    </w:tbl>
    <w:p w:rsidR="005C37E4" w:rsidRPr="00FB2D02" w:rsidRDefault="005C37E4" w:rsidP="005C37E4">
      <w:pPr>
        <w:pStyle w:val="SingleTxtG"/>
        <w:spacing w:before="120"/>
        <w:rPr>
          <w:lang w:val="fr-FR"/>
        </w:rPr>
      </w:pPr>
      <w:r w:rsidRPr="00FB2D02">
        <w:rPr>
          <w:i/>
          <w:iCs/>
          <w:lang w:val="fr-FR"/>
        </w:rPr>
        <w:t xml:space="preserve">(Document de référence : </w:t>
      </w:r>
      <w:r w:rsidRPr="001539C6">
        <w:rPr>
          <w:i/>
          <w:iCs/>
        </w:rPr>
        <w:t>ST/SG/AC.10/C.3/201</w:t>
      </w:r>
      <w:r>
        <w:rPr>
          <w:i/>
          <w:iCs/>
        </w:rPr>
        <w:t>8</w:t>
      </w:r>
      <w:r w:rsidRPr="001539C6">
        <w:rPr>
          <w:i/>
          <w:iCs/>
        </w:rPr>
        <w:t>/</w:t>
      </w:r>
      <w:r>
        <w:rPr>
          <w:i/>
          <w:iCs/>
        </w:rPr>
        <w:t>23, proposition 5</w:t>
      </w:r>
      <w:r w:rsidRPr="00FB2D02">
        <w:rPr>
          <w:bCs/>
          <w:i/>
          <w:iCs/>
          <w:lang w:val="fr-FR"/>
        </w:rPr>
        <w:t>)</w:t>
      </w:r>
    </w:p>
    <w:p w:rsidR="005C37E4" w:rsidRDefault="005C37E4" w:rsidP="005C37E4">
      <w:pPr>
        <w:pStyle w:val="SingleTxtG"/>
        <w:rPr>
          <w:lang w:val="fr-FR"/>
        </w:rPr>
      </w:pPr>
      <w:r>
        <w:rPr>
          <w:lang w:val="fr-FR"/>
        </w:rPr>
        <w:t>6.2.2.4</w:t>
      </w:r>
      <w:r>
        <w:rPr>
          <w:lang w:val="fr-FR"/>
        </w:rPr>
        <w:tab/>
      </w:r>
      <w:r>
        <w:rPr>
          <w:lang w:val="fr-FR"/>
        </w:rPr>
        <w:tab/>
        <w:t xml:space="preserve">Supprimer la ligne pour ISO </w:t>
      </w:r>
      <w:proofErr w:type="gramStart"/>
      <w:r>
        <w:rPr>
          <w:lang w:val="fr-FR"/>
        </w:rPr>
        <w:t>10462:</w:t>
      </w:r>
      <w:proofErr w:type="gramEnd"/>
      <w:r>
        <w:rPr>
          <w:lang w:val="fr-FR"/>
        </w:rPr>
        <w:t>2005.</w:t>
      </w:r>
    </w:p>
    <w:p w:rsidR="005C37E4" w:rsidRPr="00FB2D02" w:rsidRDefault="005C37E4" w:rsidP="005C37E4">
      <w:pPr>
        <w:pStyle w:val="SingleTxtG"/>
        <w:spacing w:before="120"/>
        <w:rPr>
          <w:lang w:val="fr-FR"/>
        </w:rPr>
      </w:pPr>
      <w:r w:rsidRPr="00FB2D02">
        <w:rPr>
          <w:i/>
          <w:iCs/>
          <w:lang w:val="fr-FR"/>
        </w:rPr>
        <w:t xml:space="preserve">(Document de référence : </w:t>
      </w:r>
      <w:r w:rsidRPr="001539C6">
        <w:rPr>
          <w:i/>
          <w:iCs/>
        </w:rPr>
        <w:t>ST/SG/AC.10/C.3/201</w:t>
      </w:r>
      <w:r>
        <w:rPr>
          <w:i/>
          <w:iCs/>
        </w:rPr>
        <w:t>8</w:t>
      </w:r>
      <w:r w:rsidRPr="001539C6">
        <w:rPr>
          <w:i/>
          <w:iCs/>
        </w:rPr>
        <w:t>/</w:t>
      </w:r>
      <w:r>
        <w:rPr>
          <w:i/>
          <w:iCs/>
        </w:rPr>
        <w:t>23, proposition 6</w:t>
      </w:r>
      <w:r w:rsidRPr="00FB2D02">
        <w:rPr>
          <w:bCs/>
          <w:i/>
          <w:iCs/>
          <w:lang w:val="fr-FR"/>
        </w:rPr>
        <w:t>)</w:t>
      </w:r>
    </w:p>
    <w:p w:rsidR="005C37E4" w:rsidRDefault="005C37E4" w:rsidP="005C37E4">
      <w:pPr>
        <w:pStyle w:val="SingleTxtG"/>
        <w:rPr>
          <w:lang w:val="fr-FR"/>
        </w:rPr>
      </w:pPr>
      <w:r>
        <w:rPr>
          <w:lang w:val="fr-FR"/>
        </w:rPr>
        <w:t>6.2.2.7.2</w:t>
      </w:r>
      <w:r w:rsidR="00BC3690">
        <w:rPr>
          <w:lang w:val="fr-FR"/>
        </w:rPr>
        <w:t xml:space="preserve"> c)</w:t>
      </w:r>
      <w:r>
        <w:rPr>
          <w:lang w:val="fr-FR"/>
        </w:rPr>
        <w:tab/>
        <w:t>Ajouter le nouveau Nota suivant</w:t>
      </w:r>
      <w:r w:rsidR="00DC20AE">
        <w:rPr>
          <w:lang w:val="fr-FR"/>
        </w:rPr>
        <w:t xml:space="preserve"> </w:t>
      </w:r>
      <w:r>
        <w:rPr>
          <w:lang w:val="fr-FR"/>
        </w:rPr>
        <w:t>:</w:t>
      </w:r>
    </w:p>
    <w:p w:rsidR="005C37E4" w:rsidRPr="00272AFA" w:rsidRDefault="005C37E4" w:rsidP="005C37E4">
      <w:pPr>
        <w:pStyle w:val="SingleTxtG"/>
        <w:rPr>
          <w:lang w:val="fr-FR"/>
        </w:rPr>
      </w:pPr>
      <w:r w:rsidRPr="00272AFA">
        <w:rPr>
          <w:lang w:val="fr-FR"/>
        </w:rPr>
        <w:t>« </w:t>
      </w:r>
      <w:proofErr w:type="gramStart"/>
      <w:r w:rsidRPr="00583E4B">
        <w:rPr>
          <w:b/>
          <w:bCs/>
          <w:i/>
          <w:iCs/>
          <w:lang w:val="fr-FR"/>
        </w:rPr>
        <w:t>NOTA:</w:t>
      </w:r>
      <w:proofErr w:type="gramEnd"/>
      <w:r w:rsidRPr="00272AFA">
        <w:rPr>
          <w:lang w:val="fr-FR"/>
        </w:rPr>
        <w:t xml:space="preserve"> </w:t>
      </w:r>
      <w:r w:rsidRPr="00272AFA">
        <w:rPr>
          <w:lang w:val="fr-FR"/>
        </w:rPr>
        <w:tab/>
        <w:t>Aux fins de cette marque, on entend par « pays d’agrément » le pays de l’autorité compétente qui a autorisé le contrôle et l’épreuve initiaux du récipient individuel au moment de la fabrication. ».</w:t>
      </w:r>
    </w:p>
    <w:p w:rsidR="005C37E4" w:rsidRPr="00FB2D02" w:rsidRDefault="005C37E4" w:rsidP="005C37E4">
      <w:pPr>
        <w:pStyle w:val="SingleTxtG"/>
        <w:spacing w:before="120"/>
        <w:rPr>
          <w:lang w:val="fr-FR"/>
        </w:rPr>
      </w:pPr>
      <w:r w:rsidRPr="00FB2D02">
        <w:rPr>
          <w:i/>
          <w:iCs/>
          <w:lang w:val="fr-FR"/>
        </w:rPr>
        <w:t xml:space="preserve">(Document de référence : </w:t>
      </w:r>
      <w:r w:rsidR="00583E4B" w:rsidRPr="001539C6">
        <w:rPr>
          <w:i/>
          <w:iCs/>
        </w:rPr>
        <w:t>ST/SG/AC.10/C.3/201</w:t>
      </w:r>
      <w:r w:rsidR="00583E4B">
        <w:rPr>
          <w:i/>
          <w:iCs/>
        </w:rPr>
        <w:t>8</w:t>
      </w:r>
      <w:r w:rsidR="00583E4B" w:rsidRPr="001539C6">
        <w:rPr>
          <w:i/>
          <w:iCs/>
        </w:rPr>
        <w:t>/</w:t>
      </w:r>
      <w:r w:rsidR="00583E4B">
        <w:rPr>
          <w:i/>
          <w:iCs/>
        </w:rPr>
        <w:t xml:space="preserve">22 et </w:t>
      </w:r>
      <w:r>
        <w:rPr>
          <w:i/>
          <w:iCs/>
        </w:rPr>
        <w:t>document informel INF.57</w:t>
      </w:r>
      <w:r w:rsidRPr="00FB2D02">
        <w:rPr>
          <w:bCs/>
          <w:i/>
          <w:iCs/>
          <w:lang w:val="fr-FR"/>
        </w:rPr>
        <w:t>)</w:t>
      </w:r>
    </w:p>
    <w:p w:rsidR="005C37E4" w:rsidRDefault="005C37E4" w:rsidP="005C37E4">
      <w:pPr>
        <w:pStyle w:val="SingleTxtG"/>
        <w:rPr>
          <w:lang w:val="fr-FR"/>
        </w:rPr>
      </w:pPr>
      <w:r>
        <w:rPr>
          <w:lang w:val="fr-FR"/>
        </w:rPr>
        <w:t>6.2.2.9.2</w:t>
      </w:r>
      <w:r w:rsidR="00D024FA">
        <w:rPr>
          <w:lang w:val="fr-FR"/>
        </w:rPr>
        <w:t xml:space="preserve"> c)</w:t>
      </w:r>
      <w:r>
        <w:rPr>
          <w:lang w:val="fr-FR"/>
        </w:rPr>
        <w:tab/>
        <w:t>Ajouter le nouveau Nota suivant</w:t>
      </w:r>
      <w:r w:rsidR="00DC20AE">
        <w:rPr>
          <w:lang w:val="fr-FR"/>
        </w:rPr>
        <w:t xml:space="preserve"> </w:t>
      </w:r>
      <w:r>
        <w:rPr>
          <w:lang w:val="fr-FR"/>
        </w:rPr>
        <w:t>:</w:t>
      </w:r>
    </w:p>
    <w:p w:rsidR="005C37E4" w:rsidRPr="00D024FA" w:rsidRDefault="005C37E4" w:rsidP="00D024FA">
      <w:pPr>
        <w:pStyle w:val="SingleTxtG"/>
      </w:pPr>
      <w:r w:rsidRPr="00D024FA">
        <w:t>« </w:t>
      </w:r>
      <w:r w:rsidRPr="00583E4B">
        <w:rPr>
          <w:b/>
          <w:bCs/>
          <w:i/>
          <w:iCs/>
        </w:rPr>
        <w:t>NOTA</w:t>
      </w:r>
      <w:r w:rsidR="00DC20AE">
        <w:rPr>
          <w:b/>
          <w:bCs/>
          <w:i/>
          <w:iCs/>
        </w:rPr>
        <w:t xml:space="preserve"> </w:t>
      </w:r>
      <w:r w:rsidRPr="00583E4B">
        <w:rPr>
          <w:b/>
          <w:bCs/>
          <w:i/>
          <w:iCs/>
        </w:rPr>
        <w:t>:</w:t>
      </w:r>
      <w:r w:rsidRPr="00D024FA">
        <w:t xml:space="preserve"> </w:t>
      </w:r>
      <w:r w:rsidRPr="00D024FA">
        <w:tab/>
        <w:t>Aux fins de cette marque, on entend par « pays d’agrément » le pays de l’autorité compétente qui a autorisé le contrôle et l’épreuve initiaux du dispositif individuel au moment de la fabrication. ».</w:t>
      </w:r>
    </w:p>
    <w:p w:rsidR="005C37E4" w:rsidRPr="00FB2D02" w:rsidRDefault="005C37E4" w:rsidP="005C37E4">
      <w:pPr>
        <w:pStyle w:val="SingleTxtG"/>
        <w:spacing w:before="120"/>
        <w:rPr>
          <w:lang w:val="fr-FR"/>
        </w:rPr>
      </w:pPr>
      <w:r w:rsidRPr="00FB2D02">
        <w:rPr>
          <w:i/>
          <w:iCs/>
          <w:lang w:val="fr-FR"/>
        </w:rPr>
        <w:t xml:space="preserve">(Document de référence : </w:t>
      </w:r>
      <w:r w:rsidR="00583E4B" w:rsidRPr="001539C6">
        <w:rPr>
          <w:i/>
          <w:iCs/>
        </w:rPr>
        <w:t>ST/SG/AC.10/C.3/201</w:t>
      </w:r>
      <w:r w:rsidR="00583E4B">
        <w:rPr>
          <w:i/>
          <w:iCs/>
        </w:rPr>
        <w:t>8</w:t>
      </w:r>
      <w:r w:rsidR="00583E4B" w:rsidRPr="001539C6">
        <w:rPr>
          <w:i/>
          <w:iCs/>
        </w:rPr>
        <w:t>/</w:t>
      </w:r>
      <w:r w:rsidR="00583E4B">
        <w:rPr>
          <w:i/>
          <w:iCs/>
        </w:rPr>
        <w:t xml:space="preserve">22 et </w:t>
      </w:r>
      <w:r>
        <w:rPr>
          <w:i/>
          <w:iCs/>
        </w:rPr>
        <w:t>document informel INF.57, amendement de conséquence</w:t>
      </w:r>
      <w:r w:rsidRPr="00FB2D02">
        <w:rPr>
          <w:bCs/>
          <w:i/>
          <w:iCs/>
          <w:lang w:val="fr-FR"/>
        </w:rPr>
        <w:t>)</w:t>
      </w:r>
    </w:p>
    <w:p w:rsidR="005C37E4" w:rsidRDefault="005C37E4" w:rsidP="000659B4">
      <w:pPr>
        <w:pStyle w:val="H1G"/>
      </w:pPr>
      <w:r>
        <w:tab/>
      </w:r>
      <w:r>
        <w:tab/>
        <w:t>Chapitre 6.3</w:t>
      </w:r>
    </w:p>
    <w:p w:rsidR="005C37E4" w:rsidRDefault="005C37E4" w:rsidP="005C37E4">
      <w:pPr>
        <w:pStyle w:val="SingleTxtG"/>
        <w:rPr>
          <w:iCs/>
          <w:w w:val="105"/>
        </w:rPr>
      </w:pPr>
      <w:r>
        <w:t>6.3.5.2.2</w:t>
      </w:r>
      <w:r>
        <w:tab/>
        <w:t>Dans les « </w:t>
      </w:r>
      <w:r>
        <w:rPr>
          <w:i/>
          <w:w w:val="105"/>
        </w:rPr>
        <w:t>Explications concernant l’utilisation du tableau</w:t>
      </w:r>
      <w:r>
        <w:rPr>
          <w:iCs/>
          <w:w w:val="105"/>
        </w:rPr>
        <w:t> », à la fin du premier paragraphe, remplacer « </w:t>
      </w:r>
      <w:r w:rsidRPr="00A5095B">
        <w:rPr>
          <w:iCs/>
          <w:w w:val="105"/>
        </w:rPr>
        <w:t>cinq essais de chute après conditionnement</w:t>
      </w:r>
      <w:r>
        <w:rPr>
          <w:iCs/>
          <w:w w:val="105"/>
        </w:rPr>
        <w:t> » par « un essai de chute ».</w:t>
      </w:r>
    </w:p>
    <w:p w:rsidR="005C37E4" w:rsidRDefault="005C37E4" w:rsidP="005C37E4">
      <w:pPr>
        <w:spacing w:before="120" w:after="120" w:line="240" w:lineRule="auto"/>
        <w:ind w:left="1134" w:right="1134"/>
        <w:jc w:val="both"/>
        <w:rPr>
          <w:i/>
          <w:iCs/>
        </w:rPr>
      </w:pPr>
      <w:r w:rsidRPr="001539C6">
        <w:rPr>
          <w:i/>
          <w:iCs/>
        </w:rPr>
        <w:t>(</w:t>
      </w:r>
      <w:r w:rsidRPr="001539C6">
        <w:rPr>
          <w:i/>
          <w:iCs/>
          <w:lang w:val="fr-FR"/>
        </w:rPr>
        <w:t>Document de référence</w:t>
      </w:r>
      <w:r>
        <w:rPr>
          <w:i/>
          <w:iCs/>
          <w:lang w:val="fr-FR"/>
        </w:rPr>
        <w:t> </w:t>
      </w:r>
      <w:r w:rsidRPr="001539C6">
        <w:rPr>
          <w:i/>
          <w:iCs/>
        </w:rPr>
        <w:t>:</w:t>
      </w:r>
      <w:r w:rsidR="00FC356C">
        <w:rPr>
          <w:i/>
          <w:iCs/>
        </w:rPr>
        <w:t xml:space="preserve"> </w:t>
      </w:r>
      <w:r w:rsidR="00FC356C" w:rsidRPr="00BB39ED">
        <w:rPr>
          <w:i/>
          <w:iCs/>
        </w:rPr>
        <w:t>ST/SG/AC.10/C.3/2018/</w:t>
      </w:r>
      <w:r w:rsidR="00FC356C">
        <w:rPr>
          <w:i/>
          <w:iCs/>
        </w:rPr>
        <w:t>25 et</w:t>
      </w:r>
      <w:r w:rsidRPr="001539C6">
        <w:rPr>
          <w:i/>
          <w:iCs/>
        </w:rPr>
        <w:t xml:space="preserve"> </w:t>
      </w:r>
      <w:r>
        <w:rPr>
          <w:i/>
          <w:iCs/>
        </w:rPr>
        <w:t>document informel INF.59</w:t>
      </w:r>
      <w:r w:rsidRPr="001539C6">
        <w:rPr>
          <w:i/>
          <w:iCs/>
        </w:rPr>
        <w:t>)</w:t>
      </w:r>
    </w:p>
    <w:p w:rsidR="005C37E4" w:rsidRDefault="005C37E4" w:rsidP="00DC20AE">
      <w:pPr>
        <w:pStyle w:val="SingleTxtG"/>
        <w:tabs>
          <w:tab w:val="left" w:pos="2268"/>
        </w:tabs>
        <w:jc w:val="left"/>
        <w:rPr>
          <w:iCs/>
          <w:w w:val="105"/>
        </w:rPr>
      </w:pPr>
      <w:r>
        <w:t>6.3.5.3.1</w:t>
      </w:r>
      <w:r>
        <w:tab/>
      </w:r>
      <w:r>
        <w:tab/>
        <w:t>Ajouter le titre suivant à ce paragraphe « Hauteur de chute et cible ».</w:t>
      </w:r>
    </w:p>
    <w:p w:rsidR="005C37E4" w:rsidRDefault="005C37E4" w:rsidP="005C37E4">
      <w:pPr>
        <w:spacing w:before="120" w:after="120" w:line="240" w:lineRule="auto"/>
        <w:ind w:left="1134" w:right="1134"/>
        <w:jc w:val="both"/>
        <w:rPr>
          <w:i/>
          <w:iCs/>
        </w:rPr>
      </w:pPr>
      <w:r w:rsidRPr="001539C6">
        <w:rPr>
          <w:i/>
          <w:iCs/>
        </w:rPr>
        <w:t>(</w:t>
      </w:r>
      <w:r w:rsidRPr="001539C6">
        <w:rPr>
          <w:i/>
          <w:iCs/>
          <w:lang w:val="fr-FR"/>
        </w:rPr>
        <w:t>Document de référence</w:t>
      </w:r>
      <w:r>
        <w:rPr>
          <w:i/>
          <w:iCs/>
          <w:lang w:val="fr-FR"/>
        </w:rPr>
        <w:t> </w:t>
      </w:r>
      <w:r w:rsidRPr="001539C6">
        <w:rPr>
          <w:i/>
          <w:iCs/>
        </w:rPr>
        <w:t xml:space="preserve">: </w:t>
      </w:r>
      <w:r w:rsidR="00342276" w:rsidRPr="00BB39ED">
        <w:rPr>
          <w:i/>
          <w:iCs/>
        </w:rPr>
        <w:t>ST/SG/AC.10/C.3/2018/</w:t>
      </w:r>
      <w:r w:rsidR="00342276">
        <w:rPr>
          <w:i/>
          <w:iCs/>
        </w:rPr>
        <w:t xml:space="preserve">25 et </w:t>
      </w:r>
      <w:r>
        <w:rPr>
          <w:i/>
          <w:iCs/>
        </w:rPr>
        <w:t>document informel INF.59</w:t>
      </w:r>
      <w:r w:rsidRPr="001539C6">
        <w:rPr>
          <w:i/>
          <w:iCs/>
        </w:rPr>
        <w:t>)</w:t>
      </w:r>
    </w:p>
    <w:p w:rsidR="005C37E4" w:rsidRDefault="005C37E4" w:rsidP="005C37E4">
      <w:pPr>
        <w:pStyle w:val="SingleTxtG"/>
        <w:tabs>
          <w:tab w:val="left" w:pos="2268"/>
        </w:tabs>
      </w:pPr>
      <w:r>
        <w:t>6.3.5.3.2</w:t>
      </w:r>
      <w:r>
        <w:tab/>
      </w:r>
      <w:r>
        <w:tab/>
        <w:t xml:space="preserve">Ajouter le titre suivant à ce paragraphe « Nombre d’échantillons et orientations de chute ». Numéroter le texte sous ce titre en tant que 6.3.5.3.2.1. </w:t>
      </w:r>
    </w:p>
    <w:p w:rsidR="005C37E4" w:rsidRDefault="005C37E4" w:rsidP="005C37E4">
      <w:pPr>
        <w:spacing w:before="120" w:after="120" w:line="240" w:lineRule="auto"/>
        <w:ind w:left="1134" w:right="1134"/>
        <w:jc w:val="both"/>
        <w:rPr>
          <w:i/>
          <w:iCs/>
        </w:rPr>
      </w:pPr>
      <w:r w:rsidRPr="001539C6">
        <w:rPr>
          <w:i/>
          <w:iCs/>
        </w:rPr>
        <w:t>(</w:t>
      </w:r>
      <w:r w:rsidRPr="001539C6">
        <w:rPr>
          <w:i/>
          <w:iCs/>
          <w:lang w:val="fr-FR"/>
        </w:rPr>
        <w:t>Document de référence</w:t>
      </w:r>
      <w:r>
        <w:rPr>
          <w:i/>
          <w:iCs/>
          <w:lang w:val="fr-FR"/>
        </w:rPr>
        <w:t> </w:t>
      </w:r>
      <w:r w:rsidRPr="001539C6">
        <w:rPr>
          <w:i/>
          <w:iCs/>
        </w:rPr>
        <w:t xml:space="preserve">: </w:t>
      </w:r>
      <w:r w:rsidR="00306B25" w:rsidRPr="00BB39ED">
        <w:rPr>
          <w:i/>
          <w:iCs/>
        </w:rPr>
        <w:t>ST/SG/AC.10/C.3/2018/</w:t>
      </w:r>
      <w:r w:rsidR="00306B25">
        <w:rPr>
          <w:i/>
          <w:iCs/>
        </w:rPr>
        <w:t xml:space="preserve">25 et </w:t>
      </w:r>
      <w:r>
        <w:rPr>
          <w:i/>
          <w:iCs/>
        </w:rPr>
        <w:t>document informel INF.59 tel que modifié</w:t>
      </w:r>
      <w:r w:rsidRPr="001539C6">
        <w:rPr>
          <w:i/>
          <w:iCs/>
        </w:rPr>
        <w:t>)</w:t>
      </w:r>
    </w:p>
    <w:p w:rsidR="005C37E4" w:rsidRPr="00915837" w:rsidRDefault="005C37E4" w:rsidP="005C37E4">
      <w:pPr>
        <w:pStyle w:val="SingleTxtG"/>
        <w:tabs>
          <w:tab w:val="left" w:pos="2268"/>
        </w:tabs>
      </w:pPr>
      <w:r>
        <w:t>6.3.5.3.3</w:t>
      </w:r>
      <w:r>
        <w:tab/>
        <w:t>Renuméroter en tant que 6.3.5.3.2.2.</w:t>
      </w:r>
    </w:p>
    <w:p w:rsidR="005C37E4" w:rsidRDefault="005C37E4" w:rsidP="005C37E4">
      <w:pPr>
        <w:spacing w:before="120" w:after="120" w:line="240" w:lineRule="auto"/>
        <w:ind w:left="1134" w:right="1134"/>
        <w:jc w:val="both"/>
        <w:rPr>
          <w:i/>
          <w:iCs/>
        </w:rPr>
      </w:pPr>
      <w:r w:rsidRPr="001539C6">
        <w:rPr>
          <w:i/>
          <w:iCs/>
        </w:rPr>
        <w:lastRenderedPageBreak/>
        <w:t>(</w:t>
      </w:r>
      <w:r w:rsidRPr="001539C6">
        <w:rPr>
          <w:i/>
          <w:iCs/>
          <w:lang w:val="fr-FR"/>
        </w:rPr>
        <w:t>Document de référence</w:t>
      </w:r>
      <w:r>
        <w:rPr>
          <w:i/>
          <w:iCs/>
          <w:lang w:val="fr-FR"/>
        </w:rPr>
        <w:t> </w:t>
      </w:r>
      <w:r w:rsidRPr="001539C6">
        <w:rPr>
          <w:i/>
          <w:iCs/>
        </w:rPr>
        <w:t>:</w:t>
      </w:r>
      <w:r w:rsidR="00306B25">
        <w:rPr>
          <w:i/>
          <w:iCs/>
        </w:rPr>
        <w:t xml:space="preserve"> </w:t>
      </w:r>
      <w:r w:rsidR="00306B25" w:rsidRPr="00BB39ED">
        <w:rPr>
          <w:i/>
          <w:iCs/>
        </w:rPr>
        <w:t>ST/SG/AC.10/C.3/2018/</w:t>
      </w:r>
      <w:r w:rsidR="00306B25">
        <w:rPr>
          <w:i/>
          <w:iCs/>
        </w:rPr>
        <w:t>25 et</w:t>
      </w:r>
      <w:r w:rsidRPr="001539C6">
        <w:rPr>
          <w:i/>
          <w:iCs/>
        </w:rPr>
        <w:t xml:space="preserve"> </w:t>
      </w:r>
      <w:r>
        <w:rPr>
          <w:i/>
          <w:iCs/>
        </w:rPr>
        <w:t>document informel INF.59 tel que modifié</w:t>
      </w:r>
      <w:r w:rsidRPr="001539C6">
        <w:rPr>
          <w:i/>
          <w:iCs/>
        </w:rPr>
        <w:t>)</w:t>
      </w:r>
    </w:p>
    <w:p w:rsidR="005C37E4" w:rsidRDefault="005C37E4" w:rsidP="005C37E4">
      <w:pPr>
        <w:spacing w:before="120" w:after="120" w:line="240" w:lineRule="auto"/>
        <w:ind w:left="1134" w:right="1134"/>
        <w:jc w:val="both"/>
      </w:pPr>
      <w:r>
        <w:t>R</w:t>
      </w:r>
      <w:r w:rsidRPr="00544F76">
        <w:t>enuméroter les paragraphes 6.3.5.3.4, 6.3.5.3.5, 6.3.5.3.6, 6.3.5.3.6.1, 6.3.5.3.6.2 et 6.3.5.3.6.3 en tant que 6.3.5.3.3, 6.3.5.3.4, 6.3.5.3.5, 6.3.5.3.5.1, 6.3.5.3.5.2 et 6.3.5.3.5.3</w:t>
      </w:r>
      <w:r>
        <w:t>, respectivement</w:t>
      </w:r>
      <w:r w:rsidRPr="00544F76">
        <w:t xml:space="preserve">. </w:t>
      </w:r>
      <w:r>
        <w:t>Adapter les références croisées en conséquence comme suit :</w:t>
      </w:r>
    </w:p>
    <w:p w:rsidR="005C37E4" w:rsidRDefault="005C37E4" w:rsidP="005C37E4">
      <w:pPr>
        <w:spacing w:before="120" w:after="120" w:line="240" w:lineRule="auto"/>
        <w:ind w:left="1134" w:right="1134"/>
        <w:jc w:val="both"/>
      </w:pPr>
      <w:r>
        <w:t>Au 6.3.5.2.2, dans le tableau et dans les « </w:t>
      </w:r>
      <w:r>
        <w:rPr>
          <w:i/>
          <w:w w:val="105"/>
        </w:rPr>
        <w:t>Explications concernant l’utilisation du tableau</w:t>
      </w:r>
      <w:r>
        <w:rPr>
          <w:iCs/>
          <w:w w:val="105"/>
        </w:rPr>
        <w:t> », remplacer « </w:t>
      </w:r>
      <w:r w:rsidRPr="00544F76">
        <w:t>6.3.5.3.6.1</w:t>
      </w:r>
      <w:r>
        <w:t> »</w:t>
      </w:r>
      <w:r w:rsidRPr="00544F76">
        <w:t xml:space="preserve">, </w:t>
      </w:r>
      <w:r>
        <w:t>« </w:t>
      </w:r>
      <w:r w:rsidRPr="00544F76">
        <w:t>6.3.5.3.6.2</w:t>
      </w:r>
      <w:r>
        <w:t> »</w:t>
      </w:r>
      <w:r w:rsidRPr="00544F76">
        <w:t xml:space="preserve"> et </w:t>
      </w:r>
      <w:r>
        <w:t>« </w:t>
      </w:r>
      <w:r w:rsidRPr="00544F76">
        <w:t>6.3.5.3.6.3</w:t>
      </w:r>
      <w:r>
        <w:t xml:space="preserve"> » par </w:t>
      </w:r>
      <w:r>
        <w:rPr>
          <w:iCs/>
          <w:w w:val="105"/>
        </w:rPr>
        <w:t>« </w:t>
      </w:r>
      <w:r w:rsidRPr="00544F76">
        <w:t>6.3.5.3.</w:t>
      </w:r>
      <w:r>
        <w:t>5</w:t>
      </w:r>
      <w:r w:rsidRPr="00544F76">
        <w:t>.1</w:t>
      </w:r>
      <w:r>
        <w:t> »</w:t>
      </w:r>
      <w:r w:rsidRPr="00544F76">
        <w:t xml:space="preserve">, </w:t>
      </w:r>
      <w:r>
        <w:t>« </w:t>
      </w:r>
      <w:r w:rsidRPr="00544F76">
        <w:t>6.3.5.3.</w:t>
      </w:r>
      <w:r>
        <w:t>5</w:t>
      </w:r>
      <w:r w:rsidRPr="00544F76">
        <w:t>.2</w:t>
      </w:r>
      <w:r>
        <w:t> »</w:t>
      </w:r>
      <w:r w:rsidRPr="00544F76">
        <w:t xml:space="preserve"> et </w:t>
      </w:r>
      <w:r>
        <w:t>« </w:t>
      </w:r>
      <w:r w:rsidRPr="00544F76">
        <w:t>6.3.5.3.</w:t>
      </w:r>
      <w:r>
        <w:t>5</w:t>
      </w:r>
      <w:r w:rsidRPr="00544F76">
        <w:t>.3</w:t>
      </w:r>
      <w:r>
        <w:t> », respectivement.</w:t>
      </w:r>
    </w:p>
    <w:p w:rsidR="005C37E4" w:rsidRDefault="005C37E4" w:rsidP="005C37E4">
      <w:pPr>
        <w:spacing w:before="120" w:after="120" w:line="240" w:lineRule="auto"/>
        <w:ind w:left="1134" w:right="1134"/>
        <w:jc w:val="both"/>
      </w:pPr>
      <w:r>
        <w:t xml:space="preserve">Au 6.3.5.3.6.3, renuméroté 6.3.5.3.5.3, remplacer </w:t>
      </w:r>
      <w:r>
        <w:rPr>
          <w:iCs/>
          <w:w w:val="105"/>
        </w:rPr>
        <w:t>« </w:t>
      </w:r>
      <w:r w:rsidRPr="00544F76">
        <w:t>6.3.5.3.6.1</w:t>
      </w:r>
      <w:r>
        <w:t> » et</w:t>
      </w:r>
      <w:r w:rsidRPr="00544F76">
        <w:t xml:space="preserve"> </w:t>
      </w:r>
      <w:r>
        <w:t>« </w:t>
      </w:r>
      <w:r w:rsidRPr="00544F76">
        <w:t>6.3.5.3.6.2</w:t>
      </w:r>
      <w:r>
        <w:t xml:space="preserve"> » par </w:t>
      </w:r>
      <w:r>
        <w:rPr>
          <w:iCs/>
          <w:w w:val="105"/>
        </w:rPr>
        <w:t>« </w:t>
      </w:r>
      <w:r w:rsidRPr="00544F76">
        <w:t>6.3.5.3.</w:t>
      </w:r>
      <w:r>
        <w:t>5</w:t>
      </w:r>
      <w:r w:rsidRPr="00544F76">
        <w:t>.1</w:t>
      </w:r>
      <w:r>
        <w:t> » et</w:t>
      </w:r>
      <w:r w:rsidRPr="00544F76">
        <w:t xml:space="preserve"> </w:t>
      </w:r>
      <w:r>
        <w:t>« </w:t>
      </w:r>
      <w:r w:rsidRPr="00544F76">
        <w:t>6.3.5.3.</w:t>
      </w:r>
      <w:r>
        <w:t>5</w:t>
      </w:r>
      <w:r w:rsidRPr="00544F76">
        <w:t>.2</w:t>
      </w:r>
      <w:r>
        <w:t> », respectivement. À la fin, remplacer « au 6.3.5.3.2 » par « au 6.3.5.3.2.1 ou au 6.3.5.3.2.2, selon le cas, ».</w:t>
      </w:r>
    </w:p>
    <w:p w:rsidR="005C37E4" w:rsidRDefault="005C37E4" w:rsidP="005C37E4">
      <w:pPr>
        <w:spacing w:before="120" w:after="120" w:line="240" w:lineRule="auto"/>
        <w:ind w:left="1134" w:right="1134"/>
        <w:jc w:val="both"/>
        <w:rPr>
          <w:i/>
          <w:iCs/>
        </w:rPr>
      </w:pPr>
      <w:r w:rsidRPr="001539C6">
        <w:rPr>
          <w:i/>
          <w:iCs/>
        </w:rPr>
        <w:t>(</w:t>
      </w:r>
      <w:r w:rsidRPr="001539C6">
        <w:rPr>
          <w:i/>
          <w:iCs/>
          <w:lang w:val="fr-FR"/>
        </w:rPr>
        <w:t>Document de référence</w:t>
      </w:r>
      <w:r>
        <w:rPr>
          <w:i/>
          <w:iCs/>
          <w:lang w:val="fr-FR"/>
        </w:rPr>
        <w:t> </w:t>
      </w:r>
      <w:r w:rsidRPr="001539C6">
        <w:rPr>
          <w:i/>
          <w:iCs/>
        </w:rPr>
        <w:t xml:space="preserve">: </w:t>
      </w:r>
      <w:r w:rsidR="00306B25" w:rsidRPr="00BB39ED">
        <w:rPr>
          <w:i/>
          <w:iCs/>
        </w:rPr>
        <w:t>ST/SG/AC.10/C.3/2018/</w:t>
      </w:r>
      <w:r w:rsidR="00306B25">
        <w:rPr>
          <w:i/>
          <w:iCs/>
        </w:rPr>
        <w:t xml:space="preserve">25 et </w:t>
      </w:r>
      <w:r>
        <w:rPr>
          <w:i/>
          <w:iCs/>
        </w:rPr>
        <w:t>document informel INF.59</w:t>
      </w:r>
      <w:r w:rsidRPr="0054176F">
        <w:rPr>
          <w:i/>
          <w:iCs/>
        </w:rPr>
        <w:t xml:space="preserve"> </w:t>
      </w:r>
      <w:r>
        <w:rPr>
          <w:i/>
          <w:iCs/>
        </w:rPr>
        <w:t>tel que modifié et amendements de conséquence</w:t>
      </w:r>
      <w:r w:rsidRPr="001539C6">
        <w:rPr>
          <w:i/>
          <w:iCs/>
        </w:rPr>
        <w:t>)</w:t>
      </w:r>
    </w:p>
    <w:p w:rsidR="00B60A84" w:rsidRPr="0078529F" w:rsidRDefault="006459CF" w:rsidP="00784725">
      <w:pPr>
        <w:pStyle w:val="H1G"/>
      </w:pPr>
      <w:r>
        <w:rPr>
          <w:lang w:val="fr-FR"/>
        </w:rPr>
        <w:tab/>
      </w:r>
      <w:r>
        <w:rPr>
          <w:lang w:val="fr-FR"/>
        </w:rPr>
        <w:tab/>
      </w:r>
      <w:r w:rsidR="00B60A84">
        <w:t>Chapitre 6.5</w:t>
      </w:r>
    </w:p>
    <w:p w:rsidR="00B60A84" w:rsidRPr="00EE72C3" w:rsidRDefault="00B60A84" w:rsidP="00B60A84">
      <w:pPr>
        <w:pStyle w:val="SingleTxtG"/>
        <w:rPr>
          <w:lang w:val="fr-FR"/>
        </w:rPr>
      </w:pPr>
      <w:r w:rsidRPr="00EE72C3">
        <w:rPr>
          <w:lang w:val="fr-FR"/>
        </w:rPr>
        <w:t>Ajouter le nouveau 6.5.2.1.3 suivant :</w:t>
      </w:r>
    </w:p>
    <w:p w:rsidR="00B60A84" w:rsidRPr="00EE72C3" w:rsidRDefault="00B60A84" w:rsidP="00B60A84">
      <w:pPr>
        <w:pStyle w:val="SingleTxtG"/>
        <w:rPr>
          <w:lang w:val="fr-FR"/>
        </w:rPr>
      </w:pPr>
      <w:r w:rsidRPr="00EE72C3">
        <w:rPr>
          <w:lang w:val="fr-FR"/>
        </w:rPr>
        <w:t>« 6.5.2.1.3</w:t>
      </w:r>
      <w:r w:rsidRPr="00EE72C3">
        <w:rPr>
          <w:lang w:val="fr-FR"/>
        </w:rPr>
        <w:tab/>
        <w:t xml:space="preserve">Lorsqu'un GRV est conforme </w:t>
      </w:r>
      <w:r>
        <w:t xml:space="preserve">à un ou plusieurs modèles types de </w:t>
      </w:r>
      <w:r w:rsidRPr="00EE72C3">
        <w:rPr>
          <w:lang w:val="fr-FR"/>
        </w:rPr>
        <w:t xml:space="preserve">GRV </w:t>
      </w:r>
      <w:r>
        <w:t>ayant satisfait aux épreuves</w:t>
      </w:r>
      <w:r w:rsidRPr="00EE72C3">
        <w:rPr>
          <w:lang w:val="fr-FR"/>
        </w:rPr>
        <w:t xml:space="preserve">, </w:t>
      </w:r>
      <w:r>
        <w:rPr>
          <w:lang w:val="fr-FR"/>
        </w:rPr>
        <w:t xml:space="preserve">y compris </w:t>
      </w:r>
      <w:r>
        <w:t xml:space="preserve">un ou plusieurs modèles types d’emballages ou de grands </w:t>
      </w:r>
      <w:r w:rsidRPr="00EE72C3">
        <w:rPr>
          <w:lang w:val="fr-FR"/>
        </w:rPr>
        <w:t>emballage</w:t>
      </w:r>
      <w:r>
        <w:rPr>
          <w:lang w:val="fr-FR"/>
        </w:rPr>
        <w:t>s,</w:t>
      </w:r>
      <w:r w:rsidRPr="00EE72C3">
        <w:rPr>
          <w:lang w:val="fr-FR"/>
        </w:rPr>
        <w:t xml:space="preserve"> le GRV peut porter plus d’une marque</w:t>
      </w:r>
      <w:r>
        <w:rPr>
          <w:lang w:val="fr-FR"/>
        </w:rPr>
        <w:t xml:space="preserve"> pour indiquer les exigences d’épreuves de performance applicables qui ont été atteintes</w:t>
      </w:r>
      <w:r w:rsidRPr="00EE72C3">
        <w:rPr>
          <w:lang w:val="fr-FR"/>
        </w:rPr>
        <w:t>. Lorsque plus d'une marque apparaît sur un GRV, les marques doivent apparaître à proximité les unes des autres et chaque marque doit apparaître dans son intégralité. ».</w:t>
      </w:r>
    </w:p>
    <w:p w:rsidR="00B60A84" w:rsidRPr="00D9491E" w:rsidRDefault="00B60A84" w:rsidP="00B60A84">
      <w:pPr>
        <w:pStyle w:val="SingleTxtG"/>
        <w:rPr>
          <w:i/>
          <w:lang w:val="fr-FR"/>
        </w:rPr>
      </w:pPr>
      <w:r w:rsidRPr="00D9491E">
        <w:rPr>
          <w:i/>
          <w:lang w:val="fr-FR"/>
        </w:rPr>
        <w:t xml:space="preserve">(Document de référence : </w:t>
      </w:r>
      <w:r w:rsidR="00784725" w:rsidRPr="001539C6">
        <w:rPr>
          <w:i/>
          <w:iCs/>
        </w:rPr>
        <w:t>ST/SG/AC.10/C.3/201</w:t>
      </w:r>
      <w:r w:rsidR="00784725">
        <w:rPr>
          <w:i/>
          <w:iCs/>
        </w:rPr>
        <w:t>8</w:t>
      </w:r>
      <w:r w:rsidR="00784725" w:rsidRPr="001539C6">
        <w:rPr>
          <w:i/>
          <w:iCs/>
        </w:rPr>
        <w:t>/</w:t>
      </w:r>
      <w:r w:rsidR="00784725">
        <w:rPr>
          <w:i/>
          <w:iCs/>
        </w:rPr>
        <w:t xml:space="preserve">49 et </w:t>
      </w:r>
      <w:r w:rsidRPr="00D9491E">
        <w:rPr>
          <w:i/>
          <w:lang w:val="fr-FR"/>
        </w:rPr>
        <w:t>document informel INF.53, remplace l’amendement figurant en annexe II du document ST/SG/AC.10/C.3/104/Add.1)</w:t>
      </w:r>
    </w:p>
    <w:p w:rsidR="00B60A84" w:rsidRDefault="00B60A84" w:rsidP="00B60A84">
      <w:pPr>
        <w:pStyle w:val="SingleTxtG"/>
      </w:pPr>
      <w:r>
        <w:t>6.5.2.2.2</w:t>
      </w:r>
      <w:r w:rsidRPr="004C39EC">
        <w:tab/>
      </w:r>
      <w:r>
        <w:t>Dans la première phrase, supprimer « lorsque le GRV est en cours d’utilisation ».</w:t>
      </w:r>
    </w:p>
    <w:p w:rsidR="00B60A84" w:rsidRDefault="00B60A84" w:rsidP="00B60A84">
      <w:pPr>
        <w:spacing w:before="120" w:after="120" w:line="240" w:lineRule="auto"/>
        <w:ind w:left="1134" w:right="1134"/>
        <w:rPr>
          <w:i/>
          <w:iCs/>
        </w:rPr>
      </w:pPr>
      <w:r w:rsidRPr="001539C6">
        <w:rPr>
          <w:i/>
          <w:iCs/>
        </w:rPr>
        <w:t>(</w:t>
      </w:r>
      <w:r w:rsidRPr="001539C6">
        <w:rPr>
          <w:i/>
          <w:iCs/>
          <w:lang w:val="fr-FR"/>
        </w:rPr>
        <w:t>Document de référence</w:t>
      </w:r>
      <w:r>
        <w:rPr>
          <w:i/>
          <w:iCs/>
          <w:lang w:val="fr-FR"/>
        </w:rPr>
        <w:t> </w:t>
      </w:r>
      <w:r w:rsidRPr="001539C6">
        <w:rPr>
          <w:i/>
          <w:iCs/>
        </w:rPr>
        <w:t>: ST/SG/AC.10/C.3/201</w:t>
      </w:r>
      <w:r>
        <w:rPr>
          <w:i/>
          <w:iCs/>
        </w:rPr>
        <w:t>8</w:t>
      </w:r>
      <w:r w:rsidRPr="001539C6">
        <w:rPr>
          <w:i/>
          <w:iCs/>
        </w:rPr>
        <w:t>/</w:t>
      </w:r>
      <w:r>
        <w:rPr>
          <w:i/>
          <w:iCs/>
        </w:rPr>
        <w:t>27</w:t>
      </w:r>
      <w:r w:rsidRPr="001539C6">
        <w:rPr>
          <w:i/>
          <w:iCs/>
        </w:rPr>
        <w:t>)</w:t>
      </w:r>
    </w:p>
    <w:p w:rsidR="00ED381E" w:rsidRPr="00784725" w:rsidRDefault="00ED381E" w:rsidP="00ED381E">
      <w:pPr>
        <w:pStyle w:val="SingleTxtG"/>
      </w:pPr>
      <w:r w:rsidRPr="00784725">
        <w:t>6.5.2.2.4</w:t>
      </w:r>
      <w:r w:rsidR="00C660CE" w:rsidRPr="00784725">
        <w:tab/>
        <w:t>Modifier la deuxième phrase pour lire comme suit : « </w:t>
      </w:r>
      <w:r w:rsidR="00784725" w:rsidRPr="00784725">
        <w:t>Dans ce cas, il n’est pas obligatoire d’indiquer l’année dans les autres marques. </w:t>
      </w:r>
      <w:r w:rsidR="00FD7262" w:rsidRPr="00784725">
        <w:t>»</w:t>
      </w:r>
      <w:r w:rsidR="00441963" w:rsidRPr="00784725">
        <w:t>.</w:t>
      </w:r>
    </w:p>
    <w:p w:rsidR="00ED381E" w:rsidRPr="00ED381E" w:rsidRDefault="00ED381E" w:rsidP="00ED381E">
      <w:pPr>
        <w:pStyle w:val="SingleTxtG"/>
        <w:rPr>
          <w:i/>
          <w:iCs/>
        </w:rPr>
      </w:pPr>
      <w:r w:rsidRPr="00784725">
        <w:rPr>
          <w:i/>
          <w:iCs/>
        </w:rPr>
        <w:t>(Document de référence :</w:t>
      </w:r>
      <w:r w:rsidR="00784725">
        <w:rPr>
          <w:i/>
          <w:iCs/>
        </w:rPr>
        <w:t xml:space="preserve"> </w:t>
      </w:r>
      <w:r w:rsidR="00784725" w:rsidRPr="001539C6">
        <w:rPr>
          <w:i/>
          <w:iCs/>
        </w:rPr>
        <w:t>ST/SG/AC.10/C.3/201</w:t>
      </w:r>
      <w:r w:rsidR="00784725">
        <w:rPr>
          <w:i/>
          <w:iCs/>
        </w:rPr>
        <w:t>8</w:t>
      </w:r>
      <w:r w:rsidR="00784725" w:rsidRPr="001539C6">
        <w:rPr>
          <w:i/>
          <w:iCs/>
        </w:rPr>
        <w:t>/</w:t>
      </w:r>
      <w:r w:rsidR="00784725">
        <w:rPr>
          <w:i/>
          <w:iCs/>
        </w:rPr>
        <w:t>46 et</w:t>
      </w:r>
      <w:r w:rsidRPr="00784725">
        <w:rPr>
          <w:i/>
          <w:iCs/>
        </w:rPr>
        <w:t xml:space="preserve"> document informel INF.63)</w:t>
      </w:r>
    </w:p>
    <w:p w:rsidR="00B60A84" w:rsidRPr="0078529F" w:rsidRDefault="00B60A84" w:rsidP="000659B4">
      <w:pPr>
        <w:pStyle w:val="H1G"/>
      </w:pPr>
      <w:r>
        <w:tab/>
      </w:r>
      <w:r>
        <w:tab/>
        <w:t>Chapitre 6.6</w:t>
      </w:r>
    </w:p>
    <w:p w:rsidR="00B60A84" w:rsidRDefault="00B60A84" w:rsidP="00B60A84">
      <w:pPr>
        <w:pStyle w:val="SingleTxtG"/>
        <w:tabs>
          <w:tab w:val="left" w:pos="2552"/>
        </w:tabs>
      </w:pPr>
      <w:r>
        <w:t>6.6.3.3</w:t>
      </w:r>
      <w:r w:rsidRPr="004C39EC">
        <w:tab/>
      </w:r>
      <w:r>
        <w:t>Dans la première phrase, supprimer « lorsque le grand emballage est en cours d’utilisation ».</w:t>
      </w:r>
    </w:p>
    <w:p w:rsidR="001A389B" w:rsidRDefault="00B60A84" w:rsidP="00B60A84">
      <w:pPr>
        <w:spacing w:before="120" w:after="120" w:line="240" w:lineRule="auto"/>
        <w:ind w:left="1134" w:right="1134"/>
        <w:rPr>
          <w:i/>
          <w:iCs/>
        </w:rPr>
      </w:pPr>
      <w:r w:rsidRPr="001539C6">
        <w:rPr>
          <w:i/>
          <w:iCs/>
        </w:rPr>
        <w:t>(</w:t>
      </w:r>
      <w:r w:rsidRPr="001539C6">
        <w:rPr>
          <w:i/>
          <w:iCs/>
          <w:lang w:val="fr-FR"/>
        </w:rPr>
        <w:t>Document de référence</w:t>
      </w:r>
      <w:r>
        <w:rPr>
          <w:i/>
          <w:iCs/>
          <w:lang w:val="fr-FR"/>
        </w:rPr>
        <w:t> </w:t>
      </w:r>
      <w:r w:rsidRPr="001539C6">
        <w:rPr>
          <w:i/>
          <w:iCs/>
        </w:rPr>
        <w:t>: ST/SG/AC.10/C.3/201</w:t>
      </w:r>
      <w:r>
        <w:rPr>
          <w:i/>
          <w:iCs/>
        </w:rPr>
        <w:t>8</w:t>
      </w:r>
      <w:r w:rsidRPr="001539C6">
        <w:rPr>
          <w:i/>
          <w:iCs/>
        </w:rPr>
        <w:t>/</w:t>
      </w:r>
      <w:r>
        <w:rPr>
          <w:i/>
          <w:iCs/>
        </w:rPr>
        <w:t>27, amendement de conséquence</w:t>
      </w:r>
      <w:r w:rsidRPr="001539C6">
        <w:rPr>
          <w:i/>
          <w:iCs/>
        </w:rPr>
        <w:t>)</w:t>
      </w:r>
      <w:r>
        <w:rPr>
          <w:i/>
          <w:iCs/>
        </w:rPr>
        <w:t xml:space="preserve"> </w:t>
      </w:r>
    </w:p>
    <w:p w:rsidR="00B60A84" w:rsidRDefault="00B60A84" w:rsidP="00B60A84">
      <w:pPr>
        <w:spacing w:before="120" w:after="120" w:line="240" w:lineRule="auto"/>
        <w:ind w:left="1134" w:right="1134"/>
        <w:rPr>
          <w:i/>
          <w:iCs/>
        </w:rPr>
      </w:pPr>
      <w:r>
        <w:rPr>
          <w:i/>
          <w:iCs/>
        </w:rPr>
        <w:t>(</w:t>
      </w:r>
      <w:r w:rsidRPr="001A389B">
        <w:rPr>
          <w:b/>
          <w:bCs/>
          <w:i/>
          <w:iCs/>
          <w:u w:val="single"/>
        </w:rPr>
        <w:t>Note du secrétariat :</w:t>
      </w:r>
      <w:r>
        <w:rPr>
          <w:i/>
          <w:iCs/>
        </w:rPr>
        <w:t xml:space="preserve"> dans la version française, ce paragraphe est incorrectement numéroté 6.6.3.3.3.)</w:t>
      </w:r>
    </w:p>
    <w:p w:rsidR="00B60A84" w:rsidRPr="00EE72C3" w:rsidRDefault="00B60A84" w:rsidP="00B60A84">
      <w:pPr>
        <w:pStyle w:val="SingleTxtG"/>
        <w:rPr>
          <w:lang w:val="fr-FR"/>
        </w:rPr>
      </w:pPr>
      <w:r w:rsidRPr="00EE72C3">
        <w:rPr>
          <w:lang w:val="fr-FR"/>
        </w:rPr>
        <w:t>Ajouter le nouveau 6.6.3.4 suivant :</w:t>
      </w:r>
    </w:p>
    <w:p w:rsidR="00B60A84" w:rsidRPr="00EE72C3" w:rsidRDefault="00B60A84" w:rsidP="00B60A84">
      <w:pPr>
        <w:pStyle w:val="SingleTxtG"/>
        <w:rPr>
          <w:lang w:val="fr-FR"/>
        </w:rPr>
      </w:pPr>
      <w:r w:rsidRPr="00EE72C3">
        <w:rPr>
          <w:lang w:val="fr-FR"/>
        </w:rPr>
        <w:t>« 6.6.3.4</w:t>
      </w:r>
      <w:r w:rsidRPr="00EE72C3">
        <w:rPr>
          <w:lang w:val="fr-FR"/>
        </w:rPr>
        <w:tab/>
        <w:t xml:space="preserve">Lorsqu'un grand emballage est conforme </w:t>
      </w:r>
      <w:r>
        <w:t xml:space="preserve">à un ou plusieurs modèles types </w:t>
      </w:r>
      <w:r w:rsidRPr="00EE72C3">
        <w:rPr>
          <w:lang w:val="fr-FR"/>
        </w:rPr>
        <w:t>de grand</w:t>
      </w:r>
      <w:r>
        <w:rPr>
          <w:lang w:val="fr-FR"/>
        </w:rPr>
        <w:t>s</w:t>
      </w:r>
      <w:r w:rsidRPr="00EE72C3">
        <w:rPr>
          <w:lang w:val="fr-FR"/>
        </w:rPr>
        <w:t xml:space="preserve"> emballage</w:t>
      </w:r>
      <w:r>
        <w:rPr>
          <w:lang w:val="fr-FR"/>
        </w:rPr>
        <w:t>s</w:t>
      </w:r>
      <w:r w:rsidRPr="00EE72C3">
        <w:rPr>
          <w:lang w:val="fr-FR"/>
        </w:rPr>
        <w:t xml:space="preserve"> </w:t>
      </w:r>
      <w:r>
        <w:t>ayant satisfait aux épreuves</w:t>
      </w:r>
      <w:r w:rsidRPr="00EE72C3">
        <w:rPr>
          <w:lang w:val="fr-FR"/>
        </w:rPr>
        <w:t xml:space="preserve">, </w:t>
      </w:r>
      <w:r>
        <w:rPr>
          <w:lang w:val="fr-FR"/>
        </w:rPr>
        <w:t xml:space="preserve">y compris </w:t>
      </w:r>
      <w:r>
        <w:t>un ou plusieurs modèles types d’emballages ou de GRV</w:t>
      </w:r>
      <w:r>
        <w:rPr>
          <w:lang w:val="fr-FR"/>
        </w:rPr>
        <w:t>,</w:t>
      </w:r>
      <w:r w:rsidRPr="00EE72C3">
        <w:rPr>
          <w:lang w:val="fr-FR"/>
        </w:rPr>
        <w:t xml:space="preserve"> le grand emballage peut porter plus d’une marque</w:t>
      </w:r>
      <w:r>
        <w:rPr>
          <w:lang w:val="fr-FR"/>
        </w:rPr>
        <w:t xml:space="preserve"> pour indiquer les exigences d’épreuves de performance applicables qui ont été atteintes</w:t>
      </w:r>
      <w:r w:rsidRPr="00EE72C3">
        <w:rPr>
          <w:lang w:val="fr-FR"/>
        </w:rPr>
        <w:t>. Lorsque plus d'une marque apparaît sur un grand emballage, les marques doivent apparaître à proximité les unes des autres et chaque marque doit apparaître dans son intégralité. ».</w:t>
      </w:r>
    </w:p>
    <w:p w:rsidR="00B60A84" w:rsidRPr="00C85C21" w:rsidRDefault="00B60A84" w:rsidP="00B60A84">
      <w:pPr>
        <w:pStyle w:val="SingleTxtG"/>
        <w:rPr>
          <w:i/>
          <w:lang w:val="fr-FR"/>
        </w:rPr>
      </w:pPr>
      <w:r w:rsidRPr="00EE72C3">
        <w:rPr>
          <w:i/>
          <w:lang w:val="fr-FR"/>
        </w:rPr>
        <w:lastRenderedPageBreak/>
        <w:t xml:space="preserve">(Document de référence : </w:t>
      </w:r>
      <w:r w:rsidR="00AC4AD7" w:rsidRPr="00AC4AD7">
        <w:rPr>
          <w:i/>
          <w:iCs/>
        </w:rPr>
        <w:t>ST/SG/AC.10/C.3/2018/49 et</w:t>
      </w:r>
      <w:r w:rsidR="00AC4AD7">
        <w:rPr>
          <w:i/>
          <w:iCs/>
        </w:rPr>
        <w:t xml:space="preserve"> </w:t>
      </w:r>
      <w:r w:rsidRPr="00EE72C3">
        <w:rPr>
          <w:i/>
          <w:lang w:val="fr-FR"/>
        </w:rPr>
        <w:t xml:space="preserve">document informel INF.53, </w:t>
      </w:r>
      <w:r w:rsidRPr="00C85C21">
        <w:rPr>
          <w:i/>
          <w:lang w:val="fr-FR"/>
        </w:rPr>
        <w:t>remplace l’amendement figurant en annexe II du document ST/SG/AC.10/C.3/104/Add.1)</w:t>
      </w:r>
    </w:p>
    <w:p w:rsidR="00B60A84" w:rsidRPr="0078529F" w:rsidRDefault="00B60A84" w:rsidP="000659B4">
      <w:pPr>
        <w:pStyle w:val="H1G"/>
      </w:pPr>
      <w:r>
        <w:tab/>
      </w:r>
      <w:r>
        <w:tab/>
        <w:t>Chapitre 6.7</w:t>
      </w:r>
    </w:p>
    <w:p w:rsidR="00B60A84" w:rsidRDefault="00B60A84" w:rsidP="00B60A84">
      <w:pPr>
        <w:pStyle w:val="SingleTxtG"/>
        <w:tabs>
          <w:tab w:val="left" w:pos="2552"/>
        </w:tabs>
      </w:pPr>
      <w:r>
        <w:t>6.7.2.12.2.1 et 6.7.3.8.1.1</w:t>
      </w:r>
      <w:r>
        <w:tab/>
        <w:t>Modifier la définition du facteur « U » pour lire comme suit :</w:t>
      </w:r>
    </w:p>
    <w:p w:rsidR="00B60A84" w:rsidRDefault="00B60A84" w:rsidP="00B60A84">
      <w:pPr>
        <w:spacing w:before="120" w:after="120" w:line="240" w:lineRule="auto"/>
        <w:ind w:left="1134" w:right="1134"/>
      </w:pPr>
      <w:r w:rsidRPr="00A52711">
        <w:t>«</w:t>
      </w:r>
      <w:r>
        <w:t> </w:t>
      </w:r>
      <w:r w:rsidRPr="00A52711">
        <w:t>U = conductivité thermique de l’isolation à 38</w:t>
      </w:r>
      <w:r>
        <w:t> </w:t>
      </w:r>
      <w:r w:rsidRPr="00A52711">
        <w:t>°C exprimée en kW.m</w:t>
      </w:r>
      <w:r w:rsidRPr="00A52711">
        <w:rPr>
          <w:vertAlign w:val="superscript"/>
        </w:rPr>
        <w:t>-</w:t>
      </w:r>
      <w:proofErr w:type="gramStart"/>
      <w:r w:rsidRPr="00A52711">
        <w:rPr>
          <w:vertAlign w:val="superscript"/>
        </w:rPr>
        <w:t>2</w:t>
      </w:r>
      <w:r w:rsidRPr="00A52711">
        <w:t>.K</w:t>
      </w:r>
      <w:proofErr w:type="gramEnd"/>
      <w:r w:rsidRPr="00A52711">
        <w:rPr>
          <w:vertAlign w:val="superscript"/>
        </w:rPr>
        <w:t>-1</w:t>
      </w:r>
      <w:r>
        <w:rPr>
          <w:vertAlign w:val="superscript"/>
        </w:rPr>
        <w:t> </w:t>
      </w:r>
      <w:r>
        <w:t>; </w:t>
      </w:r>
      <w:r w:rsidRPr="00A52711">
        <w:t>»</w:t>
      </w:r>
      <w:r>
        <w:t>.</w:t>
      </w:r>
    </w:p>
    <w:p w:rsidR="00B60A84" w:rsidRDefault="00B60A84" w:rsidP="00B60A84">
      <w:pPr>
        <w:spacing w:before="120" w:after="120" w:line="240" w:lineRule="auto"/>
        <w:ind w:left="1134" w:right="1134"/>
        <w:rPr>
          <w:i/>
          <w:iCs/>
        </w:rPr>
      </w:pPr>
      <w:r w:rsidRPr="001539C6">
        <w:rPr>
          <w:i/>
          <w:iCs/>
        </w:rPr>
        <w:t>(</w:t>
      </w:r>
      <w:r w:rsidRPr="001539C6">
        <w:rPr>
          <w:i/>
          <w:iCs/>
          <w:lang w:val="fr-FR"/>
        </w:rPr>
        <w:t>Document de référence</w:t>
      </w:r>
      <w:r>
        <w:rPr>
          <w:i/>
          <w:iCs/>
          <w:lang w:val="fr-FR"/>
        </w:rPr>
        <w:t> </w:t>
      </w:r>
      <w:r w:rsidRPr="001539C6">
        <w:rPr>
          <w:i/>
          <w:iCs/>
        </w:rPr>
        <w:t>: ST/SG/AC.10/C.3/201</w:t>
      </w:r>
      <w:r>
        <w:rPr>
          <w:i/>
          <w:iCs/>
        </w:rPr>
        <w:t>8</w:t>
      </w:r>
      <w:r w:rsidRPr="001539C6">
        <w:rPr>
          <w:i/>
          <w:iCs/>
        </w:rPr>
        <w:t>/</w:t>
      </w:r>
      <w:r>
        <w:rPr>
          <w:i/>
          <w:iCs/>
        </w:rPr>
        <w:t>56)</w:t>
      </w:r>
    </w:p>
    <w:p w:rsidR="00D12C1C" w:rsidRDefault="00B10D02" w:rsidP="000659B4">
      <w:pPr>
        <w:pStyle w:val="H1G"/>
      </w:pPr>
      <w:r>
        <w:tab/>
      </w:r>
      <w:r>
        <w:tab/>
      </w:r>
      <w:r w:rsidR="00D12C1C">
        <w:t>Chapitre 7.1</w:t>
      </w:r>
    </w:p>
    <w:p w:rsidR="00D12C1C" w:rsidRPr="00DD20E7" w:rsidRDefault="00784725" w:rsidP="00D12C1C">
      <w:pPr>
        <w:pStyle w:val="SingleTxtG"/>
        <w:rPr>
          <w:lang w:val="fr-FR"/>
        </w:rPr>
      </w:pPr>
      <w:r>
        <w:rPr>
          <w:lang w:val="fr-FR"/>
        </w:rPr>
        <w:t>[</w:t>
      </w:r>
      <w:r w:rsidR="00D12C1C">
        <w:rPr>
          <w:lang w:val="fr-FR"/>
        </w:rPr>
        <w:t>7.1.5.4.5 b)</w:t>
      </w:r>
      <w:r w:rsidR="00D12C1C">
        <w:rPr>
          <w:lang w:val="fr-FR"/>
        </w:rPr>
        <w:tab/>
        <w:t>À la fin, ajouter « à moins qu’un moyen de ravitaillement soit assuré ».</w:t>
      </w:r>
      <w:r>
        <w:rPr>
          <w:lang w:val="fr-FR"/>
        </w:rPr>
        <w:t>]</w:t>
      </w:r>
    </w:p>
    <w:p w:rsidR="00D12C1C" w:rsidRPr="00FB2D02" w:rsidRDefault="00D12C1C" w:rsidP="00D12C1C">
      <w:pPr>
        <w:pStyle w:val="SingleTxtG"/>
        <w:rPr>
          <w:lang w:val="fr-FR"/>
        </w:rPr>
      </w:pPr>
      <w:r w:rsidRPr="00FB2D02">
        <w:rPr>
          <w:i/>
          <w:iCs/>
          <w:lang w:val="fr-FR"/>
        </w:rPr>
        <w:t xml:space="preserve">(Document de référence : </w:t>
      </w:r>
      <w:r>
        <w:rPr>
          <w:i/>
          <w:iCs/>
          <w:lang w:val="fr-FR"/>
        </w:rPr>
        <w:t>ST/SG/AC.10/C.3/2018/39</w:t>
      </w:r>
      <w:r w:rsidRPr="00FB2D02">
        <w:rPr>
          <w:bCs/>
          <w:i/>
          <w:iCs/>
          <w:lang w:val="fr-FR"/>
        </w:rPr>
        <w:t>)</w:t>
      </w:r>
    </w:p>
    <w:p w:rsidR="00D12C1C" w:rsidRPr="00DD20E7" w:rsidRDefault="00784725" w:rsidP="00D12C1C">
      <w:pPr>
        <w:pStyle w:val="SingleTxtG"/>
        <w:rPr>
          <w:lang w:val="fr-FR"/>
        </w:rPr>
      </w:pPr>
      <w:r>
        <w:rPr>
          <w:lang w:val="fr-FR"/>
        </w:rPr>
        <w:t>[</w:t>
      </w:r>
      <w:r w:rsidR="00D12C1C">
        <w:rPr>
          <w:lang w:val="fr-FR"/>
        </w:rPr>
        <w:t>7.1.5.4.5 c)</w:t>
      </w:r>
      <w:r w:rsidR="00D12C1C">
        <w:rPr>
          <w:lang w:val="fr-FR"/>
        </w:rPr>
        <w:tab/>
        <w:t>Au début, ajouter « Isolation thermique et ». À la fin, ajouter « dégagées par les matières ».</w:t>
      </w:r>
      <w:r>
        <w:rPr>
          <w:lang w:val="fr-FR"/>
        </w:rPr>
        <w:t>]</w:t>
      </w:r>
    </w:p>
    <w:p w:rsidR="00D12C1C" w:rsidRPr="00FB2D02" w:rsidRDefault="00D12C1C" w:rsidP="00D12C1C">
      <w:pPr>
        <w:pStyle w:val="SingleTxtG"/>
        <w:rPr>
          <w:lang w:val="fr-FR"/>
        </w:rPr>
      </w:pPr>
      <w:r w:rsidRPr="00FB2D02">
        <w:rPr>
          <w:i/>
          <w:iCs/>
          <w:lang w:val="fr-FR"/>
        </w:rPr>
        <w:t xml:space="preserve">(Document de référence : </w:t>
      </w:r>
      <w:r>
        <w:rPr>
          <w:i/>
          <w:iCs/>
          <w:lang w:val="fr-FR"/>
        </w:rPr>
        <w:t>ST/SG/AC.10/C.3/2018/39</w:t>
      </w:r>
      <w:r w:rsidRPr="00FB2D02">
        <w:rPr>
          <w:bCs/>
          <w:i/>
          <w:iCs/>
          <w:lang w:val="fr-FR"/>
        </w:rPr>
        <w:t>)</w:t>
      </w:r>
    </w:p>
    <w:p w:rsidR="00D12C1C" w:rsidRPr="00DD20E7" w:rsidRDefault="00784725" w:rsidP="00D12C1C">
      <w:pPr>
        <w:pStyle w:val="SingleTxtG"/>
        <w:rPr>
          <w:lang w:val="fr-FR"/>
        </w:rPr>
      </w:pPr>
      <w:r>
        <w:rPr>
          <w:lang w:val="fr-FR"/>
        </w:rPr>
        <w:t>[</w:t>
      </w:r>
      <w:r w:rsidR="00D12C1C">
        <w:rPr>
          <w:lang w:val="fr-FR"/>
        </w:rPr>
        <w:t>7.1.5.4.5 d)</w:t>
      </w:r>
      <w:r w:rsidR="00D12C1C">
        <w:rPr>
          <w:lang w:val="fr-FR"/>
        </w:rPr>
        <w:tab/>
        <w:t>Au début, ajouter « Isolation thermique et ».</w:t>
      </w:r>
      <w:r>
        <w:rPr>
          <w:lang w:val="fr-FR"/>
        </w:rPr>
        <w:t>]</w:t>
      </w:r>
    </w:p>
    <w:p w:rsidR="00D12C1C" w:rsidRDefault="00D12C1C" w:rsidP="00D12C1C">
      <w:pPr>
        <w:pStyle w:val="SingleTxtG"/>
        <w:rPr>
          <w:bCs/>
          <w:i/>
          <w:iCs/>
          <w:lang w:val="fr-FR"/>
        </w:rPr>
      </w:pPr>
      <w:r w:rsidRPr="00FB2D02">
        <w:rPr>
          <w:i/>
          <w:iCs/>
          <w:lang w:val="fr-FR"/>
        </w:rPr>
        <w:t xml:space="preserve">(Document de référence : </w:t>
      </w:r>
      <w:r>
        <w:rPr>
          <w:i/>
          <w:iCs/>
          <w:lang w:val="fr-FR"/>
        </w:rPr>
        <w:t>ST/SG/AC.10/C.3/2018/39</w:t>
      </w:r>
      <w:r w:rsidRPr="00FB2D02">
        <w:rPr>
          <w:bCs/>
          <w:i/>
          <w:iCs/>
          <w:lang w:val="fr-FR"/>
        </w:rPr>
        <w:t>)</w:t>
      </w:r>
    </w:p>
    <w:p w:rsidR="00D12C1C" w:rsidRPr="00DD20E7" w:rsidRDefault="00784725" w:rsidP="00D12C1C">
      <w:pPr>
        <w:pStyle w:val="SingleTxtG"/>
        <w:rPr>
          <w:lang w:val="fr-FR"/>
        </w:rPr>
      </w:pPr>
      <w:r>
        <w:rPr>
          <w:lang w:val="fr-FR"/>
        </w:rPr>
        <w:t>[</w:t>
      </w:r>
      <w:r w:rsidR="00D12C1C">
        <w:rPr>
          <w:lang w:val="fr-FR"/>
        </w:rPr>
        <w:t>7.1.5.4.5 e)</w:t>
      </w:r>
      <w:r w:rsidR="00D12C1C">
        <w:rPr>
          <w:lang w:val="fr-FR"/>
        </w:rPr>
        <w:tab/>
        <w:t>Au début, ajouter « Isolation thermique et ». À la fin du sous-paragraphe iii), ajouter « dégagées par les matières ».</w:t>
      </w:r>
      <w:r>
        <w:rPr>
          <w:lang w:val="fr-FR"/>
        </w:rPr>
        <w:t>]</w:t>
      </w:r>
    </w:p>
    <w:p w:rsidR="00D12C1C" w:rsidRDefault="00D12C1C" w:rsidP="00D12C1C">
      <w:pPr>
        <w:pStyle w:val="SingleTxtG"/>
        <w:rPr>
          <w:bCs/>
          <w:i/>
          <w:iCs/>
          <w:lang w:val="fr-FR"/>
        </w:rPr>
      </w:pPr>
      <w:r w:rsidRPr="00FB2D02">
        <w:rPr>
          <w:i/>
          <w:iCs/>
          <w:lang w:val="fr-FR"/>
        </w:rPr>
        <w:t xml:space="preserve">(Document de référence : </w:t>
      </w:r>
      <w:r>
        <w:rPr>
          <w:i/>
          <w:iCs/>
          <w:lang w:val="fr-FR"/>
        </w:rPr>
        <w:t>ST/SG/AC.10/C.3/2018/39</w:t>
      </w:r>
      <w:r w:rsidRPr="00FB2D02">
        <w:rPr>
          <w:bCs/>
          <w:i/>
          <w:iCs/>
          <w:lang w:val="fr-FR"/>
        </w:rPr>
        <w:t>)</w:t>
      </w:r>
    </w:p>
    <w:p w:rsidR="00784725" w:rsidRDefault="00AB7BD8" w:rsidP="00784725">
      <w:pPr>
        <w:pStyle w:val="H23G"/>
      </w:pPr>
      <w:r>
        <w:rPr>
          <w:bCs/>
          <w:szCs w:val="24"/>
          <w:lang w:val="fr-FR"/>
        </w:rPr>
        <w:tab/>
      </w:r>
      <w:r>
        <w:rPr>
          <w:bCs/>
          <w:szCs w:val="24"/>
          <w:lang w:val="fr-FR"/>
        </w:rPr>
        <w:tab/>
      </w:r>
      <w:r w:rsidR="00784725">
        <w:t xml:space="preserve">Document </w:t>
      </w:r>
      <w:r w:rsidR="00784725" w:rsidRPr="006B5E31">
        <w:t>ST/SG/AC.10/C.3/</w:t>
      </w:r>
      <w:r w:rsidR="00784725">
        <w:t>2018/54 adopté avec les modifications suivantes :</w:t>
      </w:r>
    </w:p>
    <w:p w:rsidR="00784725" w:rsidRPr="006B5E31" w:rsidRDefault="00784725" w:rsidP="00784725">
      <w:pPr>
        <w:pStyle w:val="SingleTxtG"/>
      </w:pPr>
      <w:r>
        <w:t xml:space="preserve">Les amendements relatifs aux définitions de « GRV » et de « conteneurs » dans le 1.2.1 et les amendements au 1.5.2.5 et au 1.5.2.6 sont supprimés. La correction dans l’amendement du 2.7.2.3.3.8 ne s’applique pas au texte français. </w:t>
      </w:r>
    </w:p>
    <w:p w:rsidR="003F6D6D" w:rsidRDefault="00784725" w:rsidP="00513990">
      <w:pPr>
        <w:pStyle w:val="H23G"/>
        <w:rPr>
          <w:b w:val="0"/>
          <w:sz w:val="28"/>
          <w:lang w:val="fr-FR"/>
        </w:rPr>
      </w:pPr>
      <w:r>
        <w:tab/>
      </w:r>
      <w:r>
        <w:tab/>
      </w:r>
      <w:r w:rsidR="003F6D6D">
        <w:rPr>
          <w:lang w:val="fr-FR"/>
        </w:rPr>
        <w:br w:type="page"/>
      </w:r>
    </w:p>
    <w:p w:rsidR="00162F92" w:rsidRPr="006B0E45" w:rsidRDefault="00162F92" w:rsidP="00655A3D">
      <w:pPr>
        <w:pStyle w:val="HChG"/>
        <w:rPr>
          <w:lang w:val="fr-FR"/>
        </w:rPr>
      </w:pPr>
      <w:r w:rsidRPr="006B0E45">
        <w:rPr>
          <w:lang w:val="fr-FR"/>
        </w:rPr>
        <w:lastRenderedPageBreak/>
        <w:t>Annex</w:t>
      </w:r>
      <w:r w:rsidR="002C1B97" w:rsidRPr="006B0E45">
        <w:rPr>
          <w:lang w:val="fr-FR"/>
        </w:rPr>
        <w:t>e</w:t>
      </w:r>
      <w:r w:rsidRPr="006B0E45">
        <w:rPr>
          <w:lang w:val="fr-FR"/>
        </w:rPr>
        <w:t xml:space="preserve"> II</w:t>
      </w:r>
    </w:p>
    <w:p w:rsidR="00DD4498" w:rsidRPr="006B0E45" w:rsidRDefault="00655A3D" w:rsidP="003F6D6D">
      <w:pPr>
        <w:pStyle w:val="HChG"/>
        <w:rPr>
          <w:lang w:val="fr-FR"/>
        </w:rPr>
      </w:pPr>
      <w:r w:rsidRPr="006B0E45">
        <w:rPr>
          <w:lang w:val="fr-FR"/>
        </w:rPr>
        <w:tab/>
      </w:r>
      <w:r w:rsidRPr="006B0E45">
        <w:rPr>
          <w:lang w:val="fr-FR"/>
        </w:rPr>
        <w:tab/>
      </w:r>
      <w:r w:rsidR="00162F92" w:rsidRPr="006B0E45">
        <w:rPr>
          <w:lang w:val="fr-FR"/>
        </w:rPr>
        <w:t xml:space="preserve">Projet d’amendements à la </w:t>
      </w:r>
      <w:r w:rsidR="00B10D02">
        <w:rPr>
          <w:lang w:val="fr-FR"/>
        </w:rPr>
        <w:t>sixième</w:t>
      </w:r>
      <w:r w:rsidR="00162F92" w:rsidRPr="006B0E45">
        <w:rPr>
          <w:lang w:val="fr-FR"/>
        </w:rPr>
        <w:t xml:space="preserve"> édition révisée des Recommandations relatives au transport des marchandises dangereuses, Manuel d’épreuves et de critères (ST/SG/AC.10/11/Rev.</w:t>
      </w:r>
      <w:r w:rsidR="00B10D02">
        <w:rPr>
          <w:lang w:val="fr-FR"/>
        </w:rPr>
        <w:t>6</w:t>
      </w:r>
      <w:r w:rsidR="00162F92" w:rsidRPr="006B0E45">
        <w:rPr>
          <w:lang w:val="fr-FR"/>
        </w:rPr>
        <w:t>)</w:t>
      </w:r>
      <w:r w:rsidR="003F6D6D">
        <w:rPr>
          <w:lang w:val="fr-FR"/>
        </w:rPr>
        <w:t xml:space="preserve"> </w:t>
      </w:r>
      <w:r w:rsidR="000659B4">
        <w:rPr>
          <w:lang w:val="fr-FR"/>
        </w:rPr>
        <w:t xml:space="preserve">(Tel que modifié </w:t>
      </w:r>
      <w:r w:rsidR="00AC4AD7">
        <w:rPr>
          <w:lang w:val="fr-FR"/>
        </w:rPr>
        <w:t>par</w:t>
      </w:r>
      <w:r w:rsidR="000659B4">
        <w:rPr>
          <w:lang w:val="fr-FR"/>
        </w:rPr>
        <w:t xml:space="preserve"> ST/SG/AC.10/11/Rev.6/A</w:t>
      </w:r>
      <w:r w:rsidR="00AC4AD7">
        <w:rPr>
          <w:lang w:val="fr-FR"/>
        </w:rPr>
        <w:t>mend</w:t>
      </w:r>
      <w:r w:rsidR="000659B4">
        <w:rPr>
          <w:lang w:val="fr-FR"/>
        </w:rPr>
        <w:t>.1)</w:t>
      </w:r>
    </w:p>
    <w:p w:rsidR="00B60A84" w:rsidRDefault="00DD4498" w:rsidP="00F948AD">
      <w:pPr>
        <w:pStyle w:val="H1G"/>
        <w:rPr>
          <w:lang w:val="fr-FR"/>
        </w:rPr>
      </w:pPr>
      <w:r w:rsidRPr="006B0E45">
        <w:rPr>
          <w:lang w:val="fr-FR"/>
        </w:rPr>
        <w:tab/>
      </w:r>
      <w:r w:rsidRPr="006B0E45">
        <w:rPr>
          <w:lang w:val="fr-FR"/>
        </w:rPr>
        <w:tab/>
      </w:r>
      <w:r w:rsidR="00B60A84">
        <w:rPr>
          <w:lang w:val="fr-FR"/>
        </w:rPr>
        <w:t>Section 32</w:t>
      </w:r>
    </w:p>
    <w:p w:rsidR="00B60A84" w:rsidRPr="0036534E" w:rsidRDefault="00B60A84" w:rsidP="00B60A84">
      <w:pPr>
        <w:pStyle w:val="SingleTxtG"/>
        <w:rPr>
          <w:lang w:val="fr-FR"/>
        </w:rPr>
      </w:pPr>
      <w:r>
        <w:rPr>
          <w:lang w:val="fr-FR"/>
        </w:rPr>
        <w:t>32.5.1.1</w:t>
      </w:r>
      <w:r>
        <w:rPr>
          <w:lang w:val="fr-FR"/>
        </w:rPr>
        <w:tab/>
        <w:t>À la fin, supprimer « </w:t>
      </w:r>
      <w:r w:rsidRPr="00E50AB3">
        <w:rPr>
          <w:lang w:val="fr-FR"/>
        </w:rPr>
        <w:t>ayant un point d'éclair</w:t>
      </w:r>
      <w:r>
        <w:rPr>
          <w:lang w:val="fr-FR"/>
        </w:rPr>
        <w:t xml:space="preserve"> inférieur à 23 °C ».</w:t>
      </w:r>
    </w:p>
    <w:p w:rsidR="00B60A84" w:rsidRDefault="00B60A84" w:rsidP="00B60A84">
      <w:pPr>
        <w:spacing w:before="120" w:after="120" w:line="240" w:lineRule="auto"/>
        <w:ind w:left="1134" w:right="1134"/>
        <w:jc w:val="both"/>
        <w:rPr>
          <w:i/>
          <w:iCs/>
        </w:rPr>
      </w:pPr>
      <w:r w:rsidRPr="001539C6">
        <w:rPr>
          <w:i/>
          <w:iCs/>
        </w:rPr>
        <w:t>(</w:t>
      </w:r>
      <w:r w:rsidRPr="001539C6">
        <w:rPr>
          <w:i/>
          <w:iCs/>
          <w:lang w:val="fr-FR"/>
        </w:rPr>
        <w:t>Document de référence</w:t>
      </w:r>
      <w:r>
        <w:rPr>
          <w:i/>
          <w:iCs/>
          <w:lang w:val="fr-FR"/>
        </w:rPr>
        <w:t> </w:t>
      </w:r>
      <w:r w:rsidRPr="001539C6">
        <w:rPr>
          <w:i/>
          <w:iCs/>
        </w:rPr>
        <w:t>: ST/SG/AC.10/C.3/201</w:t>
      </w:r>
      <w:r>
        <w:rPr>
          <w:i/>
          <w:iCs/>
        </w:rPr>
        <w:t>8</w:t>
      </w:r>
      <w:r w:rsidRPr="001539C6">
        <w:rPr>
          <w:i/>
          <w:iCs/>
        </w:rPr>
        <w:t>/</w:t>
      </w:r>
      <w:r>
        <w:rPr>
          <w:i/>
          <w:iCs/>
        </w:rPr>
        <w:t>4</w:t>
      </w:r>
      <w:r w:rsidRPr="001539C6">
        <w:rPr>
          <w:i/>
          <w:iCs/>
        </w:rPr>
        <w:t>)</w:t>
      </w:r>
    </w:p>
    <w:p w:rsidR="009674FC" w:rsidRDefault="009674FC" w:rsidP="00F948AD">
      <w:pPr>
        <w:pStyle w:val="H23G"/>
      </w:pPr>
      <w:r>
        <w:tab/>
      </w:r>
      <w:r>
        <w:tab/>
        <w:t>Appendice 10</w:t>
      </w:r>
    </w:p>
    <w:p w:rsidR="009674FC" w:rsidRDefault="009674FC" w:rsidP="009674FC">
      <w:pPr>
        <w:pStyle w:val="SingleTxtG"/>
      </w:pPr>
      <w:r>
        <w:t>Insérer le nouve</w:t>
      </w:r>
      <w:r w:rsidR="00DC20AE">
        <w:t>l</w:t>
      </w:r>
      <w:r>
        <w:t xml:space="preserve"> appendice 10 pour lire comme suit :</w:t>
      </w:r>
    </w:p>
    <w:p w:rsidR="009674FC" w:rsidRPr="00951A82" w:rsidRDefault="009674FC" w:rsidP="009674FC">
      <w:pPr>
        <w:pStyle w:val="SingleTxtG"/>
      </w:pPr>
      <w:r w:rsidRPr="00951A82">
        <w:t>Ajouter un nouvel appendice 10 ainsi conçu</w:t>
      </w:r>
      <w:r>
        <w:t> :</w:t>
      </w:r>
    </w:p>
    <w:p w:rsidR="009674FC" w:rsidRPr="00951A82" w:rsidRDefault="009674FC" w:rsidP="003C1382">
      <w:pPr>
        <w:pStyle w:val="H23G"/>
        <w:jc w:val="center"/>
      </w:pPr>
      <w:r w:rsidRPr="008952F1">
        <w:t>« </w:t>
      </w:r>
      <w:r w:rsidR="003C1382">
        <w:t>APPENDICE</w:t>
      </w:r>
      <w:r w:rsidRPr="00951A82">
        <w:t xml:space="preserve"> 10</w:t>
      </w:r>
    </w:p>
    <w:p w:rsidR="009674FC" w:rsidRPr="00951A82" w:rsidRDefault="008A3492" w:rsidP="003C1382">
      <w:pPr>
        <w:pStyle w:val="H23G"/>
        <w:jc w:val="center"/>
      </w:pPr>
      <w:r>
        <w:t>É</w:t>
      </w:r>
      <w:r w:rsidR="003C1382">
        <w:t>PREUVES DE STABILIT</w:t>
      </w:r>
      <w:r>
        <w:t>É</w:t>
      </w:r>
      <w:r w:rsidR="003C1382">
        <w:t xml:space="preserve"> POUR LES M</w:t>
      </w:r>
      <w:r>
        <w:t>É</w:t>
      </w:r>
      <w:r w:rsidR="003C1382">
        <w:t>LANGES DE NITROCELLULOSE</w:t>
      </w:r>
    </w:p>
    <w:p w:rsidR="009674FC" w:rsidRPr="003C1382" w:rsidRDefault="003C1382" w:rsidP="003C1382">
      <w:pPr>
        <w:pStyle w:val="H1G"/>
        <w:rPr>
          <w:sz w:val="20"/>
        </w:rPr>
      </w:pPr>
      <w:r w:rsidRPr="003C1382">
        <w:rPr>
          <w:sz w:val="20"/>
        </w:rPr>
        <w:tab/>
        <w:t>1.</w:t>
      </w:r>
      <w:r w:rsidRPr="003C1382">
        <w:rPr>
          <w:sz w:val="20"/>
        </w:rPr>
        <w:tab/>
      </w:r>
      <w:r w:rsidR="009674FC" w:rsidRPr="003C1382">
        <w:rPr>
          <w:sz w:val="20"/>
        </w:rPr>
        <w:t>Introduction</w:t>
      </w:r>
    </w:p>
    <w:p w:rsidR="009674FC" w:rsidRPr="00523B8F" w:rsidRDefault="009674FC" w:rsidP="003C1382">
      <w:pPr>
        <w:pStyle w:val="SingleTxtG"/>
        <w:ind w:left="709"/>
      </w:pPr>
      <w:r w:rsidRPr="00951A82">
        <w:t>1.1</w:t>
      </w:r>
      <w:r w:rsidRPr="00951A82">
        <w:tab/>
        <w:t>L</w:t>
      </w:r>
      <w:r>
        <w:t>’</w:t>
      </w:r>
      <w:r w:rsidRPr="00951A82">
        <w:t>épreuve de Bergmann-Junk et l</w:t>
      </w:r>
      <w:r>
        <w:t>’</w:t>
      </w:r>
      <w:r w:rsidRPr="00951A82">
        <w:t>épreuve au violet de méthyle sont utilisé</w:t>
      </w:r>
      <w:r>
        <w:t>e</w:t>
      </w:r>
      <w:r w:rsidRPr="00951A82">
        <w:t>s pour déterminer</w:t>
      </w:r>
      <w:r>
        <w:t xml:space="preserve"> si les mélanges de nitrocellulose peuvent être considérées comme </w:t>
      </w:r>
      <w:r w:rsidRPr="00523B8F">
        <w:t xml:space="preserve">stables pour le transport. </w:t>
      </w:r>
    </w:p>
    <w:p w:rsidR="009674FC" w:rsidRPr="00523B8F" w:rsidRDefault="009674FC" w:rsidP="003C1382">
      <w:pPr>
        <w:pStyle w:val="SingleTxtG"/>
        <w:ind w:left="709"/>
      </w:pPr>
      <w:r w:rsidRPr="00523B8F">
        <w:t>1.2</w:t>
      </w:r>
      <w:r w:rsidRPr="00523B8F">
        <w:tab/>
        <w:t>L</w:t>
      </w:r>
      <w:r>
        <w:t>’</w:t>
      </w:r>
      <w:r w:rsidRPr="00523B8F">
        <w:t xml:space="preserve">épreuve au violet de méthyle </w:t>
      </w:r>
      <w:r>
        <w:t xml:space="preserve">est une épreuve qualitative qui permet de déterminer la stabilité d’un </w:t>
      </w:r>
      <w:r w:rsidRPr="00523B8F">
        <w:t>mélange de nitrocellulose</w:t>
      </w:r>
      <w:r>
        <w:t xml:space="preserve"> en examinant le changement de couleur du papier réactif</w:t>
      </w:r>
      <w:r w:rsidRPr="00523B8F">
        <w:t xml:space="preserve"> sur une </w:t>
      </w:r>
      <w:r>
        <w:t>période de temps.</w:t>
      </w:r>
    </w:p>
    <w:p w:rsidR="009674FC" w:rsidRPr="00B2070F" w:rsidRDefault="009674FC" w:rsidP="003C1382">
      <w:pPr>
        <w:pStyle w:val="SingleTxtG"/>
        <w:ind w:left="709"/>
      </w:pPr>
      <w:r w:rsidRPr="00523B8F">
        <w:t>1.3</w:t>
      </w:r>
      <w:r w:rsidRPr="00523B8F">
        <w:tab/>
        <w:t>L</w:t>
      </w:r>
      <w:r>
        <w:t>’</w:t>
      </w:r>
      <w:r w:rsidRPr="00523B8F">
        <w:t>épreuve de Bergmann-Junk est une épreuve qua</w:t>
      </w:r>
      <w:r>
        <w:t>nti</w:t>
      </w:r>
      <w:r w:rsidRPr="00523B8F">
        <w:t>tative</w:t>
      </w:r>
      <w:r>
        <w:t xml:space="preserve"> applicable à tous les types de mélanges de nitrocellulose (NC).</w:t>
      </w:r>
      <w:r w:rsidRPr="00C45FDC">
        <w:t xml:space="preserve"> Elle consiste à mesurer la quantité de </w:t>
      </w:r>
      <w:r>
        <w:t xml:space="preserve">gaz NO </w:t>
      </w:r>
      <w:r w:rsidRPr="00C45FDC">
        <w:t xml:space="preserve">dégagée par gramme de nitrocellulose chauffée pendant </w:t>
      </w:r>
      <w:r>
        <w:t>2 </w:t>
      </w:r>
      <w:r w:rsidRPr="00C45FDC">
        <w:t>heures à 132 °C, qui est déterminée par titrage en milieu alcalin.</w:t>
      </w:r>
      <w:r>
        <w:t xml:space="preserve"> </w:t>
      </w:r>
      <w:r w:rsidRPr="00B2070F">
        <w:t>L</w:t>
      </w:r>
      <w:r>
        <w:t>’</w:t>
      </w:r>
      <w:r w:rsidRPr="00B2070F">
        <w:t xml:space="preserve">expression “gaz NO” désigne tous les types de gaz NO formés pendant </w:t>
      </w:r>
      <w:r>
        <w:t>les 2 </w:t>
      </w:r>
      <w:r w:rsidRPr="00B2070F">
        <w:t xml:space="preserve">heures </w:t>
      </w:r>
      <w:r>
        <w:t>de chauffage à 132 </w:t>
      </w:r>
      <w:r w:rsidRPr="00B2070F">
        <w:t>°C</w:t>
      </w:r>
      <w:r>
        <w:t xml:space="preserve">. La méthode d’épreuve </w:t>
      </w:r>
      <w:r w:rsidRPr="00B2070F">
        <w:t>de Bergmann</w:t>
      </w:r>
      <w:r>
        <w:noBreakHyphen/>
      </w:r>
      <w:r w:rsidRPr="00B2070F">
        <w:t>Junk</w:t>
      </w:r>
      <w:r>
        <w:t xml:space="preserve"> permet une évaluation quantitative fiable et reproductible de la stabilité chimique.</w:t>
      </w:r>
      <w:r w:rsidRPr="00B2070F">
        <w:t xml:space="preserve"> </w:t>
      </w:r>
      <w:r>
        <w:t>Cette épreuve est donc la méthode privilégiée.</w:t>
      </w:r>
    </w:p>
    <w:p w:rsidR="009674FC" w:rsidRPr="003C1382" w:rsidRDefault="009674FC" w:rsidP="00DC20AE">
      <w:pPr>
        <w:pStyle w:val="H1G"/>
        <w:tabs>
          <w:tab w:val="clear" w:pos="851"/>
        </w:tabs>
        <w:ind w:hanging="462"/>
        <w:rPr>
          <w:sz w:val="20"/>
        </w:rPr>
      </w:pPr>
      <w:r w:rsidRPr="003C1382">
        <w:rPr>
          <w:sz w:val="20"/>
        </w:rPr>
        <w:t>2.</w:t>
      </w:r>
      <w:r w:rsidRPr="003C1382">
        <w:rPr>
          <w:sz w:val="20"/>
        </w:rPr>
        <w:tab/>
        <w:t>Épreuve de Bergmann-Junk</w:t>
      </w:r>
    </w:p>
    <w:p w:rsidR="009674FC" w:rsidRPr="003C1382" w:rsidRDefault="003C1382" w:rsidP="001146B4">
      <w:pPr>
        <w:pStyle w:val="H1G"/>
        <w:rPr>
          <w:sz w:val="20"/>
        </w:rPr>
      </w:pPr>
      <w:r w:rsidRPr="003C1382">
        <w:rPr>
          <w:sz w:val="20"/>
        </w:rPr>
        <w:tab/>
      </w:r>
      <w:r w:rsidR="009674FC" w:rsidRPr="003C1382">
        <w:rPr>
          <w:sz w:val="20"/>
        </w:rPr>
        <w:t>2.1</w:t>
      </w:r>
      <w:r w:rsidR="009674FC" w:rsidRPr="003C1382">
        <w:rPr>
          <w:sz w:val="20"/>
        </w:rPr>
        <w:tab/>
        <w:t>Introduction</w:t>
      </w:r>
    </w:p>
    <w:p w:rsidR="009674FC" w:rsidRDefault="003C1382" w:rsidP="003C1382">
      <w:pPr>
        <w:pStyle w:val="SingleTxtG"/>
        <w:ind w:left="567"/>
      </w:pPr>
      <w:r>
        <w:tab/>
      </w:r>
      <w:r w:rsidR="009674FC" w:rsidRPr="00B2070F">
        <w:t>L</w:t>
      </w:r>
      <w:r w:rsidR="009674FC">
        <w:t>’</w:t>
      </w:r>
      <w:r w:rsidR="009674FC" w:rsidRPr="00B2070F">
        <w:t>épreuve de Bergmann-Junk est une épreuve quantitative applicable à tous les types de nitrocellulose</w:t>
      </w:r>
      <w:r w:rsidR="009674FC">
        <w:t xml:space="preserve"> (NC)</w:t>
      </w:r>
      <w:r w:rsidR="009674FC" w:rsidRPr="00B2070F">
        <w:t xml:space="preserve">. Elle consiste à mesurer la quantité de gaz NO dégagée par 1 (un) ou 2 (deux) gramme(s) de nitrocellulose chauffée pendant </w:t>
      </w:r>
      <w:r w:rsidR="009674FC">
        <w:t>2 h</w:t>
      </w:r>
      <w:r w:rsidR="009674FC" w:rsidRPr="00B2070F">
        <w:t xml:space="preserve">eures à 132 °C </w:t>
      </w:r>
      <w:r w:rsidR="009674FC">
        <w:sym w:font="Symbol" w:char="F0B1"/>
      </w:r>
      <w:r w:rsidR="009674FC" w:rsidRPr="00B2070F">
        <w:t xml:space="preserve"> 1 °C (</w:t>
      </w:r>
      <w:r w:rsidR="009674FC" w:rsidRPr="00B2070F">
        <w:rPr>
          <w:i/>
        </w:rPr>
        <w:t>Nitroc</w:t>
      </w:r>
      <w:r w:rsidR="009674FC">
        <w:rPr>
          <w:i/>
        </w:rPr>
        <w:t xml:space="preserve">ellulose plastifiée : 3 (trois) </w:t>
      </w:r>
      <w:r w:rsidR="009674FC" w:rsidRPr="00B2070F">
        <w:rPr>
          <w:i/>
        </w:rPr>
        <w:t>g</w:t>
      </w:r>
      <w:r w:rsidR="009674FC">
        <w:rPr>
          <w:i/>
        </w:rPr>
        <w:t>rammes</w:t>
      </w:r>
      <w:r w:rsidR="009674FC" w:rsidRPr="00B2070F">
        <w:rPr>
          <w:i/>
        </w:rPr>
        <w:t xml:space="preserve"> chauffés pendant 1 h</w:t>
      </w:r>
      <w:r w:rsidR="009674FC" w:rsidRPr="00B2070F">
        <w:t>), qui est déterminée par titrage en milieu alcalin</w:t>
      </w:r>
      <w:r w:rsidR="009674FC">
        <w:t>.</w:t>
      </w:r>
    </w:p>
    <w:p w:rsidR="009674FC" w:rsidRPr="003C1382" w:rsidRDefault="003C1382" w:rsidP="003C1382">
      <w:pPr>
        <w:pStyle w:val="H1G"/>
        <w:rPr>
          <w:sz w:val="20"/>
        </w:rPr>
      </w:pPr>
      <w:r w:rsidRPr="003C1382">
        <w:rPr>
          <w:sz w:val="20"/>
        </w:rPr>
        <w:lastRenderedPageBreak/>
        <w:tab/>
      </w:r>
      <w:r w:rsidR="009674FC" w:rsidRPr="003C1382">
        <w:rPr>
          <w:sz w:val="20"/>
        </w:rPr>
        <w:t>2.2</w:t>
      </w:r>
      <w:r w:rsidR="009674FC" w:rsidRPr="003C1382">
        <w:rPr>
          <w:sz w:val="20"/>
        </w:rPr>
        <w:tab/>
        <w:t xml:space="preserve">Appareils et matériel </w:t>
      </w:r>
    </w:p>
    <w:p w:rsidR="009674FC" w:rsidRPr="00695065" w:rsidRDefault="009674FC" w:rsidP="003C1382">
      <w:pPr>
        <w:pStyle w:val="SingleTxtG"/>
        <w:ind w:left="567"/>
      </w:pPr>
      <w:r w:rsidRPr="00523B8F">
        <w:t>2.2.1</w:t>
      </w:r>
      <w:r w:rsidRPr="00523B8F">
        <w:tab/>
        <w:t>Balance analytique, de précision égale ou supérieure à 10</w:t>
      </w:r>
      <w:r>
        <w:t> </w:t>
      </w:r>
      <w:r w:rsidRPr="00523B8F">
        <w:t xml:space="preserve">mg. </w:t>
      </w:r>
    </w:p>
    <w:p w:rsidR="009674FC" w:rsidRPr="00F85306" w:rsidRDefault="009674FC" w:rsidP="003C1382">
      <w:pPr>
        <w:pStyle w:val="SingleTxtG"/>
        <w:ind w:left="567"/>
      </w:pPr>
      <w:r w:rsidRPr="00523B8F">
        <w:t>2.2.2</w:t>
      </w:r>
      <w:r w:rsidRPr="00523B8F">
        <w:tab/>
        <w:t>Éprouvette de Bergmann-Junk en verre transparent de 17,5</w:t>
      </w:r>
      <w:r>
        <w:t> </w:t>
      </w:r>
      <w:r w:rsidRPr="00523B8F">
        <w:t>mm de diamètre intérieur, de 19,5</w:t>
      </w:r>
      <w:r>
        <w:t> </w:t>
      </w:r>
      <w:r w:rsidRPr="00523B8F">
        <w:t>mm de diamètre ext</w:t>
      </w:r>
      <w:r>
        <w:t>érieur</w:t>
      </w:r>
      <w:r w:rsidRPr="00523B8F">
        <w:t xml:space="preserve"> et d</w:t>
      </w:r>
      <w:r>
        <w:t>’</w:t>
      </w:r>
      <w:r w:rsidRPr="00523B8F">
        <w:t>une longueur comprise entre 270</w:t>
      </w:r>
      <w:r>
        <w:t> </w:t>
      </w:r>
      <w:r w:rsidRPr="00523B8F">
        <w:t>mm et 350 mm munie d</w:t>
      </w:r>
      <w:r>
        <w:t>’</w:t>
      </w:r>
      <w:r w:rsidRPr="00523B8F">
        <w:t>une chambre de condensation</w:t>
      </w:r>
      <w:r>
        <w:t>.</w:t>
      </w:r>
      <w:r w:rsidRPr="00523B8F">
        <w:t xml:space="preserve"> </w:t>
      </w:r>
      <w:r w:rsidRPr="00B2070F">
        <w:t xml:space="preserve">Plusieurs types de chambres de condensation </w:t>
      </w:r>
      <w:r>
        <w:t xml:space="preserve">appropriées </w:t>
      </w:r>
      <w:r w:rsidRPr="00B2070F">
        <w:t>sont disponibles</w:t>
      </w:r>
      <w:r>
        <w:t xml:space="preserve"> sur le marché</w:t>
      </w:r>
      <w:r w:rsidRPr="00F85306">
        <w:t xml:space="preserve"> (voir par exemple les figures A10.1 et A10.2).</w:t>
      </w:r>
    </w:p>
    <w:p w:rsidR="009674FC" w:rsidRPr="00F85306" w:rsidRDefault="009674FC" w:rsidP="003C1382">
      <w:pPr>
        <w:pStyle w:val="SingleTxtG"/>
        <w:ind w:left="567"/>
      </w:pPr>
      <w:r w:rsidRPr="00F85306">
        <w:t>2.2.3</w:t>
      </w:r>
      <w:r w:rsidRPr="00F85306">
        <w:tab/>
        <w:t>Bain de stabilité : bain d</w:t>
      </w:r>
      <w:r>
        <w:t>’</w:t>
      </w:r>
      <w:r w:rsidRPr="00F85306">
        <w:t>huile ou d</w:t>
      </w:r>
      <w:r>
        <w:t>’</w:t>
      </w:r>
      <w:r w:rsidRPr="00F85306">
        <w:t>un liquide approprié ou bloc de métal capable de maintenir la tempé</w:t>
      </w:r>
      <w:r>
        <w:t>rature des éprouvettes à 132 °C </w:t>
      </w:r>
      <w:r>
        <w:sym w:font="Symbol" w:char="F0B1"/>
      </w:r>
      <w:r>
        <w:t> 1 </w:t>
      </w:r>
      <w:r w:rsidRPr="00F85306">
        <w:t>°C</w:t>
      </w:r>
      <w:r>
        <w:t xml:space="preserve"> ou mieux</w:t>
      </w:r>
      <w:r w:rsidRPr="00F85306">
        <w:t>. La température du bain doit être contrôlée en permanence à l</w:t>
      </w:r>
      <w:r>
        <w:t>’</w:t>
      </w:r>
      <w:r w:rsidRPr="00F85306">
        <w:t>aide d</w:t>
      </w:r>
      <w:r>
        <w:t>’</w:t>
      </w:r>
      <w:r w:rsidRPr="00F85306">
        <w:t>un thermomètre ou d</w:t>
      </w:r>
      <w:r>
        <w:t>’</w:t>
      </w:r>
      <w:r w:rsidRPr="00F85306">
        <w:t>un therm</w:t>
      </w:r>
      <w:r>
        <w:t>ocouple étalonné (précision 0,1 </w:t>
      </w:r>
      <w:r w:rsidRPr="00F85306">
        <w:t>°C) placé dans l</w:t>
      </w:r>
      <w:r>
        <w:t>’</w:t>
      </w:r>
      <w:r w:rsidRPr="00F85306">
        <w:t>un des puits d</w:t>
      </w:r>
      <w:r>
        <w:t>’</w:t>
      </w:r>
      <w:r w:rsidRPr="00F85306">
        <w:t>essai.</w:t>
      </w:r>
    </w:p>
    <w:p w:rsidR="009674FC" w:rsidRPr="00F85306" w:rsidRDefault="009674FC" w:rsidP="003C1382">
      <w:pPr>
        <w:pStyle w:val="SingleTxtG"/>
        <w:ind w:left="567"/>
      </w:pPr>
      <w:r w:rsidRPr="00F85306">
        <w:t>2.2.4</w:t>
      </w:r>
      <w:r w:rsidRPr="00F85306">
        <w:tab/>
        <w:t>Le matériel suivant est nécessaire</w:t>
      </w:r>
      <w:r>
        <w:t> :</w:t>
      </w:r>
    </w:p>
    <w:p w:rsidR="009674FC" w:rsidRPr="00F85306" w:rsidRDefault="009674FC" w:rsidP="003C1382">
      <w:pPr>
        <w:pStyle w:val="SingleTxtG"/>
        <w:numPr>
          <w:ilvl w:val="0"/>
          <w:numId w:val="2"/>
        </w:numPr>
        <w:tabs>
          <w:tab w:val="clear" w:pos="2268"/>
          <w:tab w:val="left" w:pos="1418"/>
        </w:tabs>
        <w:ind w:left="1418" w:hanging="284"/>
      </w:pPr>
      <w:r w:rsidRPr="00F85306">
        <w:t>Pipette semi-automatique de 10 cm</w:t>
      </w:r>
      <w:r w:rsidRPr="00F85306">
        <w:rPr>
          <w:vertAlign w:val="superscript"/>
        </w:rPr>
        <w:t>3</w:t>
      </w:r>
      <w:r w:rsidRPr="00F85306">
        <w:t xml:space="preserve"> ou équivalente</w:t>
      </w:r>
      <w:r>
        <w:t> ;</w:t>
      </w:r>
    </w:p>
    <w:p w:rsidR="009674FC" w:rsidRPr="00695065" w:rsidRDefault="009674FC" w:rsidP="003C1382">
      <w:pPr>
        <w:pStyle w:val="SingleTxtG"/>
        <w:numPr>
          <w:ilvl w:val="0"/>
          <w:numId w:val="2"/>
        </w:numPr>
        <w:tabs>
          <w:tab w:val="clear" w:pos="2268"/>
          <w:tab w:val="left" w:pos="1418"/>
        </w:tabs>
        <w:ind w:left="1418" w:hanging="284"/>
      </w:pPr>
      <w:r w:rsidRPr="00695065">
        <w:t>Erlenmeyer de 250 cm</w:t>
      </w:r>
      <w:r w:rsidRPr="00695065">
        <w:rPr>
          <w:vertAlign w:val="superscript"/>
        </w:rPr>
        <w:t>3</w:t>
      </w:r>
      <w:r>
        <w:t xml:space="preserve"> à large col ;</w:t>
      </w:r>
    </w:p>
    <w:p w:rsidR="009674FC" w:rsidRPr="00553DCD" w:rsidRDefault="009674FC" w:rsidP="003C1382">
      <w:pPr>
        <w:pStyle w:val="SingleTxtG"/>
        <w:numPr>
          <w:ilvl w:val="0"/>
          <w:numId w:val="2"/>
        </w:numPr>
        <w:tabs>
          <w:tab w:val="clear" w:pos="2268"/>
          <w:tab w:val="left" w:pos="1418"/>
        </w:tabs>
        <w:ind w:left="1418" w:hanging="284"/>
      </w:pPr>
      <w:r w:rsidRPr="00553DCD">
        <w:t>Éprouvette de 50 cm</w:t>
      </w:r>
      <w:r w:rsidRPr="00553DCD">
        <w:rPr>
          <w:vertAlign w:val="superscript"/>
        </w:rPr>
        <w:t>3</w:t>
      </w:r>
      <w:r>
        <w:rPr>
          <w:vertAlign w:val="superscript"/>
        </w:rPr>
        <w:t> </w:t>
      </w:r>
      <w:r>
        <w:t>;</w:t>
      </w:r>
    </w:p>
    <w:p w:rsidR="009674FC" w:rsidRPr="00CC50F9" w:rsidRDefault="009674FC" w:rsidP="003C1382">
      <w:pPr>
        <w:pStyle w:val="SingleTxtG"/>
        <w:numPr>
          <w:ilvl w:val="0"/>
          <w:numId w:val="2"/>
        </w:numPr>
        <w:tabs>
          <w:tab w:val="clear" w:pos="2268"/>
          <w:tab w:val="left" w:pos="1418"/>
        </w:tabs>
        <w:ind w:left="1418" w:hanging="284"/>
      </w:pPr>
      <w:r w:rsidRPr="00553DCD">
        <w:t>Burette de titration de 10 ml à 25 ml</w:t>
      </w:r>
      <w:r>
        <w:t> </w:t>
      </w:r>
      <w:r w:rsidRPr="00553DCD">
        <w:t xml:space="preserve">; ou appareil de titrage potentiométrique </w:t>
      </w:r>
      <w:r>
        <w:t>automatisé avec électrode indicatrice de pH et burette calibrée de classe A.</w:t>
      </w:r>
    </w:p>
    <w:p w:rsidR="009674FC" w:rsidRPr="00CC50F9" w:rsidRDefault="009674FC" w:rsidP="003C1382">
      <w:pPr>
        <w:pStyle w:val="SingleTxtG"/>
        <w:ind w:left="567"/>
      </w:pPr>
      <w:r w:rsidRPr="00CC50F9">
        <w:t>2.2.5</w:t>
      </w:r>
      <w:r w:rsidRPr="00CC50F9">
        <w:tab/>
        <w:t>Solution d</w:t>
      </w:r>
      <w:r>
        <w:t>’</w:t>
      </w:r>
      <w:proofErr w:type="spellStart"/>
      <w:r w:rsidRPr="00CC50F9">
        <w:t>hydroxide</w:t>
      </w:r>
      <w:proofErr w:type="spellEnd"/>
      <w:r w:rsidRPr="00CC50F9">
        <w:t xml:space="preserve"> de sodium (</w:t>
      </w:r>
      <w:proofErr w:type="spellStart"/>
      <w:r w:rsidRPr="00CC50F9">
        <w:t>NaOH</w:t>
      </w:r>
      <w:proofErr w:type="spellEnd"/>
      <w:r w:rsidRPr="00CC50F9">
        <w:t>) à 0,01</w:t>
      </w:r>
      <w:r>
        <w:t> </w:t>
      </w:r>
      <w:r w:rsidRPr="00CC50F9">
        <w:t>mol/l, de spécification 0,009998 à 0,01002 mol/l pour titra</w:t>
      </w:r>
      <w:r>
        <w:t>ge</w:t>
      </w:r>
      <w:r w:rsidRPr="00CC50F9">
        <w:t xml:space="preserve"> manuel</w:t>
      </w:r>
      <w:r>
        <w:t xml:space="preserve"> avec une burette standard</w:t>
      </w:r>
      <w:r w:rsidRPr="00CC50F9">
        <w:t xml:space="preserve">, ou 0,1 mol/l </w:t>
      </w:r>
      <w:r>
        <w:t xml:space="preserve">pour titrage à l’aide d’un </w:t>
      </w:r>
      <w:r w:rsidRPr="00C9566C">
        <w:t>appareil de titrage potentiométrique automatisé</w:t>
      </w:r>
      <w:r>
        <w:t xml:space="preserve"> avec </w:t>
      </w:r>
      <w:r w:rsidRPr="00C9566C">
        <w:t>électrode indicatrice de pH et burette calibrée de classe A</w:t>
      </w:r>
      <w:r>
        <w:t>, avec un facteur déterminé pour obtenir la molarité exacte de la s</w:t>
      </w:r>
      <w:r w:rsidRPr="004B7F13">
        <w:t>olution d</w:t>
      </w:r>
      <w:r>
        <w:t>’</w:t>
      </w:r>
      <w:proofErr w:type="spellStart"/>
      <w:r w:rsidRPr="004B7F13">
        <w:t>hydroxide</w:t>
      </w:r>
      <w:proofErr w:type="spellEnd"/>
      <w:r w:rsidRPr="004B7F13">
        <w:t xml:space="preserve"> de sodium</w:t>
      </w:r>
      <w:r>
        <w:t>.</w:t>
      </w:r>
    </w:p>
    <w:p w:rsidR="009674FC" w:rsidRDefault="003C1382" w:rsidP="003C1382">
      <w:pPr>
        <w:pStyle w:val="SingleTxtG"/>
        <w:ind w:left="567"/>
      </w:pPr>
      <w:r>
        <w:t>2.2.6</w:t>
      </w:r>
      <w:r>
        <w:tab/>
      </w:r>
      <w:r w:rsidR="009674FC" w:rsidRPr="004B7F13">
        <w:t xml:space="preserve">Indicateur de pH approprié (méthylorange, rouge de méthyle, rouge de méthyle/bleu de méthylène ou liquide indicateur coloré R8 B3 (réactif de </w:t>
      </w:r>
      <w:proofErr w:type="spellStart"/>
      <w:r w:rsidR="009674FC" w:rsidRPr="004B7F13">
        <w:t>Tacchiro</w:t>
      </w:r>
      <w:proofErr w:type="spellEnd"/>
      <w:r w:rsidR="009674FC">
        <w:t> </w:t>
      </w:r>
      <w:r w:rsidR="009674FC" w:rsidRPr="004B7F13">
        <w:t>: solution alcoolique à 0,1</w:t>
      </w:r>
      <w:r w:rsidR="009674FC">
        <w:t> </w:t>
      </w:r>
      <w:r w:rsidR="009674FC" w:rsidRPr="004B7F13">
        <w:t>% d</w:t>
      </w:r>
      <w:r w:rsidR="009674FC">
        <w:t>’</w:t>
      </w:r>
      <w:r w:rsidR="009674FC" w:rsidRPr="004B7F13">
        <w:t>un mélange de 8</w:t>
      </w:r>
      <w:r w:rsidR="009674FC">
        <w:t> </w:t>
      </w:r>
      <w:r w:rsidR="009674FC" w:rsidRPr="004B7F13">
        <w:t>g de rouge de méthyle et de 3</w:t>
      </w:r>
      <w:r w:rsidR="009674FC">
        <w:t> </w:t>
      </w:r>
      <w:r w:rsidR="009674FC" w:rsidRPr="004B7F13">
        <w:t xml:space="preserve">g de bleu de méthylène </w:t>
      </w:r>
      <w:r w:rsidR="009674FC">
        <w:t>(en cas de titration manuelle).</w:t>
      </w:r>
    </w:p>
    <w:p w:rsidR="009674FC" w:rsidRPr="00301F93" w:rsidRDefault="009674FC" w:rsidP="003C1382">
      <w:pPr>
        <w:pStyle w:val="SingleTxtG"/>
        <w:ind w:left="567"/>
      </w:pPr>
      <w:r w:rsidRPr="00301F93">
        <w:t>2.2.7</w:t>
      </w:r>
      <w:r w:rsidRPr="00301F93">
        <w:tab/>
        <w:t>Eau compl</w:t>
      </w:r>
      <w:r>
        <w:t>é</w:t>
      </w:r>
      <w:r w:rsidRPr="00301F93">
        <w:t>tement déminéralisée ou distillée de conductivité inférieure à 1 µS/cm (micro Siemens /cm).</w:t>
      </w:r>
    </w:p>
    <w:p w:rsidR="009674FC" w:rsidRPr="003C1382" w:rsidRDefault="003C1382" w:rsidP="003C1382">
      <w:pPr>
        <w:pStyle w:val="H1G"/>
        <w:rPr>
          <w:sz w:val="20"/>
        </w:rPr>
      </w:pPr>
      <w:r>
        <w:rPr>
          <w:sz w:val="20"/>
        </w:rPr>
        <w:tab/>
      </w:r>
      <w:r w:rsidR="009674FC" w:rsidRPr="003C1382">
        <w:rPr>
          <w:sz w:val="20"/>
        </w:rPr>
        <w:t>2.3</w:t>
      </w:r>
      <w:r w:rsidR="009674FC" w:rsidRPr="003C1382">
        <w:rPr>
          <w:sz w:val="20"/>
        </w:rPr>
        <w:tab/>
        <w:t xml:space="preserve">Mode opératoire </w:t>
      </w:r>
    </w:p>
    <w:p w:rsidR="009674FC" w:rsidRDefault="009674FC" w:rsidP="00750B2E">
      <w:pPr>
        <w:pStyle w:val="SingleTxtG"/>
        <w:ind w:left="567"/>
      </w:pPr>
      <w:r>
        <w:t>2.3.1</w:t>
      </w:r>
      <w:r>
        <w:tab/>
      </w:r>
      <w:r w:rsidRPr="00301F93">
        <w:t xml:space="preserve">Peser 1 (un) ou 2 (deux) gramme(s) de nitrocellulose sèche avec une précision de 0,001 g. </w:t>
      </w:r>
      <w:r w:rsidRPr="00301F93">
        <w:rPr>
          <w:i/>
        </w:rPr>
        <w:t>(Peser 3 (trois) grammes de nitrocellulose plastifiée avec une précision de 0,001 g</w:t>
      </w:r>
      <w:r w:rsidRPr="00301F93">
        <w:t>)</w:t>
      </w:r>
      <w:r>
        <w:t xml:space="preserve">. </w:t>
      </w:r>
      <w:r w:rsidRPr="00301F93">
        <w:t>Le taux d</w:t>
      </w:r>
      <w:r>
        <w:t>’</w:t>
      </w:r>
      <w:r w:rsidRPr="00301F93">
        <w:t>humidité de l</w:t>
      </w:r>
      <w:r>
        <w:t>’</w:t>
      </w:r>
      <w:r w:rsidRPr="00301F93">
        <w:t>écha</w:t>
      </w:r>
      <w:r>
        <w:t>ntillon doit être inférieur à 1 </w:t>
      </w:r>
      <w:r w:rsidRPr="00301F93">
        <w:t>% après le processus de séchage et au moment où il est introduit dans l</w:t>
      </w:r>
      <w:r>
        <w:t>’</w:t>
      </w:r>
      <w:r w:rsidRPr="00301F93">
        <w:t>éprouvette</w:t>
      </w:r>
      <w:r>
        <w:t xml:space="preserve">. </w:t>
      </w:r>
      <w:r w:rsidRPr="00301F93">
        <w:t xml:space="preserve">(Les conditions de séchage doivent être choisies de manière à éviter la décomposition de </w:t>
      </w:r>
      <w:r>
        <w:t xml:space="preserve">la </w:t>
      </w:r>
      <w:r w:rsidRPr="00301F93">
        <w:t>nitrocellulose</w:t>
      </w:r>
      <w:r>
        <w:t>, par exemple à 50 </w:t>
      </w:r>
      <w:r w:rsidRPr="00F15871">
        <w:t xml:space="preserve">°C </w:t>
      </w:r>
      <w:r>
        <w:t>dans une étuve sous vide.</w:t>
      </w:r>
      <w:r w:rsidRPr="00F15871">
        <w:t>)</w:t>
      </w:r>
      <w:r>
        <w:t xml:space="preserve"> À l’aide d’un entonnoir, introduire l’échantillon dans l’éprouvette qui doit être </w:t>
      </w:r>
      <w:r w:rsidRPr="00F15871">
        <w:t>sèche et propre</w:t>
      </w:r>
      <w:r>
        <w:t xml:space="preserve">. </w:t>
      </w:r>
      <w:r w:rsidRPr="00F15871">
        <w:t>Essuyer soigneusement le support et ajuster la chambre de condensation en veillant à ce qu</w:t>
      </w:r>
      <w:r>
        <w:t>’</w:t>
      </w:r>
      <w:r w:rsidRPr="00F15871">
        <w:t xml:space="preserve">elle soit bien </w:t>
      </w:r>
      <w:r>
        <w:t xml:space="preserve">graissée </w:t>
      </w:r>
      <w:r w:rsidRPr="00F15871">
        <w:t>à l</w:t>
      </w:r>
      <w:r>
        <w:t>’</w:t>
      </w:r>
      <w:r w:rsidRPr="00F15871">
        <w:t>aide d</w:t>
      </w:r>
      <w:r>
        <w:t>’</w:t>
      </w:r>
      <w:r w:rsidRPr="00F15871">
        <w:t>une graisse à base de silicone</w:t>
      </w:r>
      <w:r>
        <w:t> ;</w:t>
      </w:r>
      <w:r w:rsidRPr="00F15871">
        <w:t xml:space="preserve"> on peut aussi ne pas la graisser</w:t>
      </w:r>
      <w:r>
        <w:t>.</w:t>
      </w:r>
    </w:p>
    <w:p w:rsidR="009674FC" w:rsidRDefault="009674FC" w:rsidP="00750B2E">
      <w:pPr>
        <w:pStyle w:val="SingleTxtG"/>
        <w:ind w:left="567"/>
      </w:pPr>
      <w:r w:rsidRPr="00F15871">
        <w:t>2.3.2</w:t>
      </w:r>
      <w:r w:rsidRPr="00F15871">
        <w:tab/>
        <w:t>Selon le type de condenseur, verser entre 15</w:t>
      </w:r>
      <w:r>
        <w:t> </w:t>
      </w:r>
      <w:r w:rsidRPr="00F15871">
        <w:t>ml et 50</w:t>
      </w:r>
      <w:r>
        <w:t> </w:t>
      </w:r>
      <w:r w:rsidRPr="00F15871">
        <w:t>ml d</w:t>
      </w:r>
      <w:r>
        <w:t>’</w:t>
      </w:r>
      <w:r w:rsidRPr="00F15871">
        <w:t>eau distillée dans une éprouvette et l</w:t>
      </w:r>
      <w:r>
        <w:t>’</w:t>
      </w:r>
      <w:r w:rsidRPr="00F15871">
        <w:t>introduire dans les boules du condenseur</w:t>
      </w:r>
      <w:r>
        <w:t xml:space="preserve">. </w:t>
      </w:r>
      <w:r w:rsidRPr="00F15871">
        <w:t>Veiller à ce qu</w:t>
      </w:r>
      <w:r>
        <w:t>’il n’y ait pas d’eau</w:t>
      </w:r>
      <w:r w:rsidRPr="00F15871">
        <w:t xml:space="preserve"> </w:t>
      </w:r>
      <w:r>
        <w:t>qui</w:t>
      </w:r>
      <w:r w:rsidRPr="00F15871">
        <w:t xml:space="preserve"> pénètre dans le tube de stabilité</w:t>
      </w:r>
      <w:r>
        <w:t>.</w:t>
      </w:r>
    </w:p>
    <w:p w:rsidR="009674FC" w:rsidRPr="00695065" w:rsidRDefault="009674FC" w:rsidP="00750B2E">
      <w:pPr>
        <w:pStyle w:val="SingleTxtG"/>
        <w:ind w:left="567"/>
      </w:pPr>
      <w:r w:rsidRPr="00F15871">
        <w:t>2.3.3</w:t>
      </w:r>
      <w:r w:rsidRPr="00F15871">
        <w:tab/>
        <w:t>S</w:t>
      </w:r>
      <w:r>
        <w:t>’</w:t>
      </w:r>
      <w:r w:rsidRPr="00F15871">
        <w:t>assurer que le bain de stabilité a atteint une température de 132 °C</w:t>
      </w:r>
      <w:r>
        <w:t> </w:t>
      </w:r>
      <w:r>
        <w:sym w:font="Symbol" w:char="F0B1"/>
      </w:r>
      <w:r>
        <w:t> </w:t>
      </w:r>
      <w:r w:rsidRPr="00F15871">
        <w:t>1 °C puis introduire chacune des éprouvettes dans une des ouvertures du bain</w:t>
      </w:r>
      <w:r>
        <w:t>.</w:t>
      </w:r>
      <w:r w:rsidRPr="00F15871">
        <w:t xml:space="preserve"> La</w:t>
      </w:r>
      <w:r>
        <w:t> </w:t>
      </w:r>
      <w:r w:rsidRPr="00F15871">
        <w:t>profondeur d</w:t>
      </w:r>
      <w:r>
        <w:t>’</w:t>
      </w:r>
      <w:r w:rsidRPr="00F15871">
        <w:t>immersion de l</w:t>
      </w:r>
      <w:r>
        <w:t>’</w:t>
      </w:r>
      <w:r w:rsidRPr="00F15871">
        <w:t xml:space="preserve">éprouvette dépendra du type de bain de stabilité utilisé mais </w:t>
      </w:r>
      <w:r>
        <w:t>doit être comprise entre 110 mm et 220 </w:t>
      </w:r>
      <w:proofErr w:type="spellStart"/>
      <w:r w:rsidRPr="00F15871">
        <w:t>mm.</w:t>
      </w:r>
      <w:proofErr w:type="spellEnd"/>
      <w:r w:rsidRPr="00F15871">
        <w:t xml:space="preserve"> </w:t>
      </w:r>
      <w:r w:rsidRPr="00695065">
        <w:t>Consigner l</w:t>
      </w:r>
      <w:r>
        <w:t>’</w:t>
      </w:r>
      <w:r w:rsidRPr="00695065">
        <w:t>heure de début de l</w:t>
      </w:r>
      <w:r>
        <w:t>’</w:t>
      </w:r>
      <w:r w:rsidRPr="00695065">
        <w:t>expérience</w:t>
      </w:r>
      <w:r>
        <w:t>.</w:t>
      </w:r>
    </w:p>
    <w:p w:rsidR="009674FC" w:rsidRPr="00F15871" w:rsidRDefault="009674FC" w:rsidP="00750B2E">
      <w:pPr>
        <w:pStyle w:val="SingleTxtG"/>
        <w:ind w:left="567"/>
      </w:pPr>
      <w:r w:rsidRPr="00F15871">
        <w:lastRenderedPageBreak/>
        <w:t>2.3.4</w:t>
      </w:r>
      <w:r w:rsidRPr="00F15871">
        <w:tab/>
        <w:t>Maintenir les éprouvettes à une température de 132 °C</w:t>
      </w:r>
      <w:r>
        <w:t> </w:t>
      </w:r>
      <w:r>
        <w:sym w:font="Symbol" w:char="F0B1"/>
      </w:r>
      <w:r>
        <w:t> </w:t>
      </w:r>
      <w:r w:rsidRPr="00F15871">
        <w:t xml:space="preserve">1 °C pendant </w:t>
      </w:r>
      <w:r>
        <w:t>2 </w:t>
      </w:r>
      <w:r w:rsidRPr="00F15871">
        <w:t>heures jusqu</w:t>
      </w:r>
      <w:r>
        <w:t>’</w:t>
      </w:r>
      <w:r w:rsidRPr="00F15871">
        <w:t>à ce que le dégagement de vapeur soit nettement visible. Si tel est le cas, il convient d</w:t>
      </w:r>
      <w:r>
        <w:t>’</w:t>
      </w:r>
      <w:r w:rsidRPr="00F15871">
        <w:t>arrêter immédiatement l</w:t>
      </w:r>
      <w:r>
        <w:t>’</w:t>
      </w:r>
      <w:r w:rsidRPr="00F15871">
        <w:t>épreuve et de consigner la durée de la période de chauffage</w:t>
      </w:r>
      <w:r>
        <w:t>.</w:t>
      </w:r>
    </w:p>
    <w:p w:rsidR="009674FC" w:rsidRPr="001E7661" w:rsidRDefault="009674FC" w:rsidP="00750B2E">
      <w:pPr>
        <w:pStyle w:val="SingleTxtG"/>
        <w:ind w:left="567"/>
      </w:pPr>
      <w:r>
        <w:t>2.3.5</w:t>
      </w:r>
      <w:r>
        <w:tab/>
        <w:t>Après 2 heures à 132 </w:t>
      </w:r>
      <w:r w:rsidRPr="00C9566C">
        <w:t xml:space="preserve">°C </w:t>
      </w:r>
      <w:r w:rsidRPr="00C9566C">
        <w:rPr>
          <w:i/>
        </w:rPr>
        <w:t>(1</w:t>
      </w:r>
      <w:r>
        <w:rPr>
          <w:i/>
        </w:rPr>
        <w:t> </w:t>
      </w:r>
      <w:r w:rsidRPr="00C9566C">
        <w:rPr>
          <w:i/>
        </w:rPr>
        <w:t>h</w:t>
      </w:r>
      <w:r>
        <w:rPr>
          <w:i/>
        </w:rPr>
        <w:t>eure</w:t>
      </w:r>
      <w:r w:rsidRPr="00C9566C">
        <w:rPr>
          <w:i/>
        </w:rPr>
        <w:t xml:space="preserve"> pour </w:t>
      </w:r>
      <w:r w:rsidRPr="001E7661">
        <w:rPr>
          <w:i/>
        </w:rPr>
        <w:t xml:space="preserve">la nitrocellulose plastifiée) </w:t>
      </w:r>
      <w:r w:rsidRPr="001E7661">
        <w:t>retirer l</w:t>
      </w:r>
      <w:r>
        <w:t>’</w:t>
      </w:r>
      <w:r w:rsidRPr="001E7661">
        <w:t>éprouvette du bain, la placer sur son support et la laisser refroidir derrière un écran de sécurité</w:t>
      </w:r>
      <w:r>
        <w:rPr>
          <w:i/>
        </w:rPr>
        <w:t xml:space="preserve">. </w:t>
      </w:r>
      <w:r w:rsidRPr="001E7661">
        <w:t>Pendant ce laps de temps, un peu d</w:t>
      </w:r>
      <w:r>
        <w:t>’</w:t>
      </w:r>
      <w:r w:rsidRPr="001E7661">
        <w:t xml:space="preserve">eau peut passer dans le tube inférieur. Au bout de </w:t>
      </w:r>
      <w:r>
        <w:t>30 </w:t>
      </w:r>
      <w:r w:rsidRPr="001E7661">
        <w:t>minutes de refroidissement, transférer le contenu de la chambre de condensation dans le tube inférieur et la rincer avec de l</w:t>
      </w:r>
      <w:r>
        <w:t>’</w:t>
      </w:r>
      <w:r w:rsidRPr="001E7661">
        <w:t>eau distillée.</w:t>
      </w:r>
    </w:p>
    <w:p w:rsidR="009674FC" w:rsidRPr="001E7661" w:rsidRDefault="009674FC" w:rsidP="00750B2E">
      <w:pPr>
        <w:pStyle w:val="SingleTxtG"/>
        <w:ind w:left="567"/>
      </w:pPr>
      <w:r w:rsidRPr="001E7661">
        <w:t>2.3.6</w:t>
      </w:r>
      <w:r w:rsidRPr="001E7661">
        <w:tab/>
        <w:t>Verser le contenu du tube inférieur dans l</w:t>
      </w:r>
      <w:r>
        <w:t>’</w:t>
      </w:r>
      <w:r w:rsidRPr="001E7661">
        <w:t>erlenmeyer et rincer avec de l</w:t>
      </w:r>
      <w:r>
        <w:t>’</w:t>
      </w:r>
      <w:r w:rsidRPr="001E7661">
        <w:t>eau distillée</w:t>
      </w:r>
      <w:r>
        <w:t xml:space="preserve">. </w:t>
      </w:r>
      <w:r w:rsidRPr="001E7661">
        <w:t>La quantité totale de liquide ne doit pas dépasser 175</w:t>
      </w:r>
      <w:r>
        <w:t> </w:t>
      </w:r>
      <w:r w:rsidRPr="001E7661">
        <w:t xml:space="preserve">ml. </w:t>
      </w:r>
    </w:p>
    <w:p w:rsidR="009674FC" w:rsidRPr="00C9566C" w:rsidRDefault="009674FC" w:rsidP="00750B2E">
      <w:pPr>
        <w:pStyle w:val="SingleTxtG"/>
        <w:ind w:left="567"/>
        <w:rPr>
          <w:strike/>
        </w:rPr>
      </w:pPr>
      <w:r w:rsidRPr="00C9566C">
        <w:t>2.3.7</w:t>
      </w:r>
      <w:r w:rsidRPr="00C9566C">
        <w:tab/>
        <w:t>Titrer avec une solution d</w:t>
      </w:r>
      <w:r>
        <w:t>’</w:t>
      </w:r>
      <w:r w:rsidRPr="00C9566C">
        <w:t xml:space="preserve">hydroxyde de sodium </w:t>
      </w:r>
      <w:proofErr w:type="spellStart"/>
      <w:r w:rsidRPr="00C9566C">
        <w:t>c</w:t>
      </w:r>
      <w:r w:rsidRPr="00C9566C">
        <w:rPr>
          <w:vertAlign w:val="subscript"/>
        </w:rPr>
        <w:t>NaOH</w:t>
      </w:r>
      <w:proofErr w:type="spellEnd"/>
      <w:r w:rsidRPr="00C9566C">
        <w:t xml:space="preserve"> = 0,01 mol/l jusqu</w:t>
      </w:r>
      <w:r>
        <w:t>’</w:t>
      </w:r>
      <w:r w:rsidRPr="00C9566C">
        <w:t xml:space="preserve">au </w:t>
      </w:r>
      <w:r>
        <w:t xml:space="preserve">changement de couleur </w:t>
      </w:r>
      <w:r w:rsidRPr="00C9566C">
        <w:t>de l</w:t>
      </w:r>
      <w:r>
        <w:t>’</w:t>
      </w:r>
      <w:r w:rsidRPr="00C9566C">
        <w:t>indicateur.</w:t>
      </w:r>
    </w:p>
    <w:p w:rsidR="009674FC" w:rsidRDefault="009674FC" w:rsidP="00750B2E">
      <w:pPr>
        <w:pStyle w:val="SingleTxtG"/>
        <w:ind w:left="567"/>
        <w:rPr>
          <w:lang w:val="es-ES"/>
        </w:rPr>
      </w:pPr>
      <w:r w:rsidRPr="00CC50F9">
        <w:rPr>
          <w:lang w:val="es-ES"/>
        </w:rPr>
        <w:t>2.3.8</w:t>
      </w:r>
      <w:r w:rsidRPr="00CC50F9">
        <w:rPr>
          <w:lang w:val="es-ES"/>
        </w:rPr>
        <w:tab/>
      </w:r>
      <w:proofErr w:type="spellStart"/>
      <w:r w:rsidRPr="003137C5">
        <w:rPr>
          <w:i/>
          <w:lang w:val="es-ES"/>
        </w:rPr>
        <w:t>Calculs</w:t>
      </w:r>
      <w:proofErr w:type="spellEnd"/>
    </w:p>
    <w:p w:rsidR="009674FC" w:rsidRDefault="009674FC" w:rsidP="009674FC">
      <w:pPr>
        <w:spacing w:after="240"/>
        <w:ind w:left="2268" w:right="1134"/>
        <w:rPr>
          <w:b/>
          <w:lang w:val="es-ES"/>
        </w:rPr>
      </w:pPr>
      <w:r w:rsidRPr="00CC50F9">
        <w:rPr>
          <w:b/>
          <w:lang w:val="es-ES"/>
        </w:rPr>
        <w:t>2 NaOH + 2 NO + ½ O</w:t>
      </w:r>
      <w:r w:rsidRPr="00CC50F9">
        <w:rPr>
          <w:b/>
          <w:vertAlign w:val="subscript"/>
          <w:lang w:val="es-ES"/>
        </w:rPr>
        <w:t>2</w:t>
      </w:r>
      <w:r w:rsidRPr="00CC50F9">
        <w:rPr>
          <w:b/>
          <w:lang w:val="es-ES"/>
        </w:rPr>
        <w:t xml:space="preserve"> </w:t>
      </w:r>
      <w:r w:rsidRPr="00CA348A">
        <w:rPr>
          <w:b/>
          <w:lang w:val="en-GB"/>
        </w:rPr>
        <w:sym w:font="Wingdings" w:char="F0E0"/>
      </w:r>
      <w:r w:rsidRPr="00CC50F9">
        <w:rPr>
          <w:b/>
          <w:lang w:val="es-ES"/>
        </w:rPr>
        <w:t xml:space="preserve"> 2 NaNO</w:t>
      </w:r>
      <w:r w:rsidRPr="00CC50F9">
        <w:rPr>
          <w:b/>
          <w:vertAlign w:val="subscript"/>
          <w:lang w:val="es-ES"/>
        </w:rPr>
        <w:t>2</w:t>
      </w:r>
      <w:r w:rsidRPr="00CC50F9">
        <w:rPr>
          <w:b/>
          <w:lang w:val="es-ES"/>
        </w:rPr>
        <w:t xml:space="preserve"> + H</w:t>
      </w:r>
      <w:r w:rsidRPr="00CC50F9">
        <w:rPr>
          <w:b/>
          <w:vertAlign w:val="subscript"/>
          <w:lang w:val="es-ES"/>
        </w:rPr>
        <w:t>2</w:t>
      </w:r>
      <w:r w:rsidRPr="00CC50F9">
        <w:rPr>
          <w:b/>
          <w:lang w:val="es-ES"/>
        </w:rPr>
        <w:t>0</w:t>
      </w:r>
    </w:p>
    <w:p w:rsidR="009674FC" w:rsidRPr="00D325FB" w:rsidRDefault="002969E8" w:rsidP="009674FC">
      <w:pPr>
        <w:spacing w:before="120" w:after="120"/>
        <w:ind w:left="2268" w:right="1134"/>
        <w:jc w:val="center"/>
        <w:rPr>
          <w:lang w:val="en-GB"/>
        </w:rPr>
      </w:pPr>
      <m:oMathPara>
        <m:oMathParaPr>
          <m:jc m:val="left"/>
        </m:oMathParaPr>
        <m:oMath>
          <m:sSub>
            <m:sSubPr>
              <m:ctrlPr>
                <w:rPr>
                  <w:rFonts w:ascii="Cambria Math" w:hAnsi="Cambria Math"/>
                  <w:lang w:val="en-GB"/>
                </w:rPr>
              </m:ctrlPr>
            </m:sSubPr>
            <m:e>
              <m:r>
                <m:rPr>
                  <m:sty m:val="p"/>
                </m:rPr>
                <w:rPr>
                  <w:rFonts w:ascii="Cambria Math" w:hAnsi="Cambria Math"/>
                  <w:lang w:val="en-GB"/>
                </w:rPr>
                <m:t>V</m:t>
              </m:r>
            </m:e>
            <m:sub>
              <m:r>
                <m:rPr>
                  <m:sty m:val="p"/>
                </m:rPr>
                <w:rPr>
                  <w:rFonts w:ascii="Cambria Math" w:hAnsi="Cambria Math"/>
                  <w:lang w:val="en-GB"/>
                </w:rPr>
                <m:t>NO</m:t>
              </m:r>
            </m:sub>
          </m:sSub>
          <m:r>
            <w:rPr>
              <w:rFonts w:ascii="Cambria Math" w:hAnsi="Cambria Math"/>
              <w:lang w:val="en-GB"/>
            </w:rPr>
            <m:t>=</m:t>
          </m:r>
          <m:f>
            <m:fPr>
              <m:ctrlPr>
                <w:rPr>
                  <w:rFonts w:ascii="Cambria Math" w:hAnsi="Cambria Math"/>
                  <w:i/>
                  <w:lang w:val="en-GB"/>
                </w:rPr>
              </m:ctrlPr>
            </m:fPr>
            <m:num>
              <m:sSub>
                <m:sSubPr>
                  <m:ctrlPr>
                    <w:rPr>
                      <w:rFonts w:ascii="Cambria Math" w:hAnsi="Cambria Math"/>
                      <w:lang w:val="en-GB"/>
                    </w:rPr>
                  </m:ctrlPr>
                </m:sSubPr>
                <m:e>
                  <m:r>
                    <m:rPr>
                      <m:sty m:val="p"/>
                    </m:rPr>
                    <w:rPr>
                      <w:rFonts w:ascii="Cambria Math" w:hAnsi="Cambria Math"/>
                      <w:lang w:val="en-GB"/>
                    </w:rPr>
                    <m:t>c</m:t>
                  </m:r>
                </m:e>
                <m:sub>
                  <m:r>
                    <m:rPr>
                      <m:sty m:val="p"/>
                    </m:rPr>
                    <w:rPr>
                      <w:rFonts w:ascii="Cambria Math" w:hAnsi="Cambria Math"/>
                      <w:lang w:val="en-GB"/>
                    </w:rPr>
                    <m:t xml:space="preserve">NaOH </m:t>
                  </m:r>
                </m:sub>
              </m:sSub>
              <m:r>
                <w:rPr>
                  <w:rFonts w:ascii="Cambria Math" w:hAnsi="Cambria Math"/>
                  <w:lang w:val="en-GB"/>
                </w:rPr>
                <m:t>×</m:t>
              </m:r>
              <m:sSub>
                <m:sSubPr>
                  <m:ctrlPr>
                    <w:rPr>
                      <w:rFonts w:ascii="Cambria Math" w:hAnsi="Cambria Math"/>
                      <w:lang w:val="en-GB"/>
                    </w:rPr>
                  </m:ctrlPr>
                </m:sSubPr>
                <m:e>
                  <m:r>
                    <m:rPr>
                      <m:sty m:val="p"/>
                    </m:rPr>
                    <w:rPr>
                      <w:rFonts w:ascii="Cambria Math" w:hAnsi="Cambria Math"/>
                      <w:lang w:val="en-GB"/>
                    </w:rPr>
                    <m:t>C</m:t>
                  </m:r>
                </m:e>
                <m:sub>
                  <m:r>
                    <m:rPr>
                      <m:sty m:val="p"/>
                    </m:rPr>
                    <w:rPr>
                      <w:rFonts w:ascii="Cambria Math" w:hAnsi="Cambria Math"/>
                      <w:lang w:val="en-GB"/>
                    </w:rPr>
                    <m:t xml:space="preserve">NaOH </m:t>
                  </m:r>
                </m:sub>
              </m:sSub>
              <m:r>
                <w:rPr>
                  <w:rFonts w:ascii="Cambria Math" w:hAnsi="Cambria Math"/>
                  <w:lang w:val="en-GB"/>
                </w:rPr>
                <m:t>×</m:t>
              </m:r>
              <m:sSub>
                <m:sSubPr>
                  <m:ctrlPr>
                    <w:rPr>
                      <w:rFonts w:ascii="Cambria Math" w:hAnsi="Cambria Math"/>
                      <w:lang w:val="en-GB"/>
                    </w:rPr>
                  </m:ctrlPr>
                </m:sSubPr>
                <m:e>
                  <m:r>
                    <m:rPr>
                      <m:sty m:val="p"/>
                    </m:rPr>
                    <w:rPr>
                      <w:rFonts w:ascii="Cambria Math" w:hAnsi="Cambria Math"/>
                      <w:lang w:val="en-GB"/>
                    </w:rPr>
                    <m:t>V</m:t>
                  </m:r>
                </m:e>
                <m:sub>
                  <m:r>
                    <m:rPr>
                      <m:sty m:val="p"/>
                    </m:rPr>
                    <w:rPr>
                      <w:rFonts w:ascii="Cambria Math" w:hAnsi="Cambria Math"/>
                      <w:lang w:val="en-GB"/>
                    </w:rPr>
                    <m:t xml:space="preserve">NO,m </m:t>
                  </m:r>
                </m:sub>
              </m:sSub>
            </m:num>
            <m:den>
              <m:sSub>
                <m:sSubPr>
                  <m:ctrlPr>
                    <w:rPr>
                      <w:rFonts w:ascii="Cambria Math" w:hAnsi="Cambria Math"/>
                      <w:lang w:val="en-GB"/>
                    </w:rPr>
                  </m:ctrlPr>
                </m:sSubPr>
                <m:e>
                  <m:r>
                    <m:rPr>
                      <m:sty m:val="p"/>
                    </m:rPr>
                    <w:rPr>
                      <w:rFonts w:ascii="Cambria Math" w:hAnsi="Cambria Math"/>
                      <w:lang w:val="en-GB"/>
                    </w:rPr>
                    <m:t>m</m:t>
                  </m:r>
                </m:e>
                <m:sub>
                  <m:r>
                    <m:rPr>
                      <m:sty m:val="p"/>
                    </m:rPr>
                    <w:rPr>
                      <w:rFonts w:ascii="Cambria Math" w:hAnsi="Cambria Math"/>
                      <w:lang w:val="en-GB"/>
                    </w:rPr>
                    <m:t>NC</m:t>
                  </m:r>
                </m:sub>
              </m:sSub>
            </m:den>
          </m:f>
          <m:r>
            <w:rPr>
              <w:rFonts w:ascii="Cambria Math" w:hAnsi="Cambria Math"/>
              <w:lang w:val="en-GB"/>
            </w:rPr>
            <m:t xml:space="preserve">= </m:t>
          </m:r>
          <m:f>
            <m:fPr>
              <m:ctrlPr>
                <w:rPr>
                  <w:rFonts w:ascii="Cambria Math" w:hAnsi="Cambria Math"/>
                  <w:i/>
                  <w:lang w:val="en-GB"/>
                </w:rPr>
              </m:ctrlPr>
            </m:fPr>
            <m:num>
              <m:sSub>
                <m:sSubPr>
                  <m:ctrlPr>
                    <w:rPr>
                      <w:rFonts w:ascii="Cambria Math" w:hAnsi="Cambria Math"/>
                      <w:lang w:val="en-GB"/>
                    </w:rPr>
                  </m:ctrlPr>
                </m:sSubPr>
                <m:e>
                  <m:r>
                    <m:rPr>
                      <m:sty m:val="p"/>
                    </m:rPr>
                    <w:rPr>
                      <w:rFonts w:ascii="Cambria Math" w:hAnsi="Cambria Math"/>
                      <w:lang w:val="en-GB"/>
                    </w:rPr>
                    <m:t>C</m:t>
                  </m:r>
                </m:e>
                <m:sub>
                  <m:r>
                    <m:rPr>
                      <m:sty m:val="p"/>
                    </m:rPr>
                    <w:rPr>
                      <w:rFonts w:ascii="Cambria Math" w:hAnsi="Cambria Math"/>
                      <w:lang w:val="en-GB"/>
                    </w:rPr>
                    <m:t xml:space="preserve">NaOH </m:t>
                  </m:r>
                </m:sub>
              </m:sSub>
              <m:r>
                <w:rPr>
                  <w:rFonts w:ascii="Cambria Math" w:hAnsi="Cambria Math"/>
                  <w:lang w:val="en-GB"/>
                </w:rPr>
                <m:t>×0,224</m:t>
              </m:r>
            </m:num>
            <m:den>
              <m:sSub>
                <m:sSubPr>
                  <m:ctrlPr>
                    <w:rPr>
                      <w:rFonts w:ascii="Cambria Math" w:hAnsi="Cambria Math"/>
                      <w:lang w:val="en-GB"/>
                    </w:rPr>
                  </m:ctrlPr>
                </m:sSubPr>
                <m:e>
                  <m:r>
                    <m:rPr>
                      <m:sty m:val="p"/>
                    </m:rPr>
                    <w:rPr>
                      <w:rFonts w:ascii="Cambria Math" w:hAnsi="Cambria Math"/>
                      <w:lang w:val="en-GB"/>
                    </w:rPr>
                    <m:t>m</m:t>
                  </m:r>
                </m:e>
                <m:sub>
                  <m:r>
                    <m:rPr>
                      <m:sty m:val="p"/>
                    </m:rPr>
                    <w:rPr>
                      <w:rFonts w:ascii="Cambria Math" w:hAnsi="Cambria Math"/>
                      <w:lang w:val="en-GB"/>
                    </w:rPr>
                    <m:t>NC</m:t>
                  </m:r>
                </m:sub>
              </m:sSub>
            </m:den>
          </m:f>
          <m:r>
            <w:rPr>
              <w:rFonts w:ascii="Cambria Math" w:hAnsi="Cambria Math"/>
              <w:lang w:val="en-GB"/>
            </w:rPr>
            <m:t>=</m:t>
          </m:r>
          <m:sSub>
            <m:sSubPr>
              <m:ctrlPr>
                <w:rPr>
                  <w:rFonts w:ascii="Cambria Math" w:hAnsi="Cambria Math"/>
                  <w:lang w:val="en-GB"/>
                </w:rPr>
              </m:ctrlPr>
            </m:sSubPr>
            <m:e>
              <m:r>
                <m:rPr>
                  <m:sty m:val="p"/>
                </m:rPr>
                <w:rPr>
                  <w:rFonts w:ascii="Cambria Math" w:hAnsi="Cambria Math"/>
                  <w:lang w:val="en-GB"/>
                </w:rPr>
                <m:t>C</m:t>
              </m:r>
            </m:e>
            <m:sub>
              <m:r>
                <m:rPr>
                  <m:sty m:val="p"/>
                </m:rPr>
                <w:rPr>
                  <w:rFonts w:ascii="Cambria Math" w:hAnsi="Cambria Math"/>
                  <w:lang w:val="en-GB"/>
                </w:rPr>
                <m:t xml:space="preserve">NaOH </m:t>
              </m:r>
            </m:sub>
          </m:sSub>
          <m:r>
            <w:rPr>
              <w:rFonts w:ascii="Cambria Math" w:hAnsi="Cambria Math"/>
              <w:lang w:val="en-GB"/>
            </w:rPr>
            <m:t>×0,224</m:t>
          </m:r>
        </m:oMath>
      </m:oMathPara>
    </w:p>
    <w:p w:rsidR="009674FC" w:rsidRPr="00695065" w:rsidRDefault="001146B4" w:rsidP="001146B4">
      <w:pPr>
        <w:pStyle w:val="SingleTxtG"/>
        <w:spacing w:after="0"/>
        <w:ind w:left="567"/>
      </w:pPr>
      <w:r w:rsidRPr="00695065">
        <w:t>O</w:t>
      </w:r>
      <w:r w:rsidR="009674FC" w:rsidRPr="00695065">
        <w:t>ù</w:t>
      </w:r>
      <w:r>
        <w:t xml:space="preserve"> </w:t>
      </w:r>
      <w:r w:rsidR="009674FC" w:rsidRPr="00695065">
        <w:t>:</w:t>
      </w:r>
    </w:p>
    <w:p w:rsidR="009674FC" w:rsidRPr="00CC50F9" w:rsidRDefault="009674FC" w:rsidP="00750B2E">
      <w:pPr>
        <w:pStyle w:val="SingleTxtG"/>
        <w:ind w:left="567"/>
      </w:pPr>
      <w:r w:rsidRPr="00CC50F9">
        <w:t>V</w:t>
      </w:r>
      <w:r w:rsidRPr="00CC50F9">
        <w:rPr>
          <w:vertAlign w:val="subscript"/>
        </w:rPr>
        <w:t>NO</w:t>
      </w:r>
      <w:r w:rsidRPr="00CC50F9">
        <w:t xml:space="preserve"> </w:t>
      </w:r>
      <w:r>
        <w:tab/>
      </w:r>
      <w:r w:rsidRPr="00CC50F9">
        <w:t>=</w:t>
      </w:r>
      <w:r>
        <w:tab/>
      </w:r>
      <w:r w:rsidRPr="00CC50F9">
        <w:t>volume d</w:t>
      </w:r>
      <w:r>
        <w:t>’</w:t>
      </w:r>
      <w:r w:rsidRPr="00CC50F9">
        <w:t>oxyde d</w:t>
      </w:r>
      <w:r>
        <w:t>’</w:t>
      </w:r>
      <w:r w:rsidRPr="00CC50F9">
        <w:t>azote dégagé en cm</w:t>
      </w:r>
      <w:r w:rsidRPr="00CC50F9">
        <w:rPr>
          <w:vertAlign w:val="superscript"/>
        </w:rPr>
        <w:t>3</w:t>
      </w:r>
      <w:r w:rsidRPr="00CC50F9">
        <w:t>/g de nitrocellulose</w:t>
      </w:r>
      <w:r>
        <w:t>.</w:t>
      </w:r>
    </w:p>
    <w:p w:rsidR="009674FC" w:rsidRPr="00CC50F9" w:rsidRDefault="009674FC" w:rsidP="00750B2E">
      <w:pPr>
        <w:pStyle w:val="SingleTxtG"/>
        <w:ind w:left="567"/>
      </w:pPr>
      <w:proofErr w:type="spellStart"/>
      <w:proofErr w:type="gramStart"/>
      <w:r w:rsidRPr="00CC50F9">
        <w:t>c</w:t>
      </w:r>
      <w:r w:rsidRPr="00CC50F9">
        <w:rPr>
          <w:vertAlign w:val="subscript"/>
        </w:rPr>
        <w:t>NaOH</w:t>
      </w:r>
      <w:proofErr w:type="spellEnd"/>
      <w:proofErr w:type="gramEnd"/>
      <w:r>
        <w:t xml:space="preserve"> </w:t>
      </w:r>
      <w:r>
        <w:tab/>
        <w:t>=</w:t>
      </w:r>
      <w:r>
        <w:tab/>
      </w:r>
      <w:r w:rsidRPr="00CC50F9">
        <w:t>concentration de la solution d</w:t>
      </w:r>
      <w:r>
        <w:t>’</w:t>
      </w:r>
      <w:r w:rsidRPr="00CC50F9">
        <w:t>hydroxyde de sodium = 0</w:t>
      </w:r>
      <w:r>
        <w:t>,</w:t>
      </w:r>
      <w:r w:rsidRPr="00CC50F9">
        <w:t>01 mol/l</w:t>
      </w:r>
      <w:r>
        <w:t>.</w:t>
      </w:r>
    </w:p>
    <w:p w:rsidR="009674FC" w:rsidRPr="00C9566C" w:rsidRDefault="009674FC" w:rsidP="00750B2E">
      <w:pPr>
        <w:pStyle w:val="SingleTxtG"/>
        <w:ind w:left="567"/>
      </w:pPr>
      <w:proofErr w:type="spellStart"/>
      <w:r w:rsidRPr="00C9566C">
        <w:t>C</w:t>
      </w:r>
      <w:r w:rsidRPr="00C9566C">
        <w:rPr>
          <w:vertAlign w:val="subscript"/>
        </w:rPr>
        <w:t>NaOH</w:t>
      </w:r>
      <w:proofErr w:type="spellEnd"/>
      <w:r>
        <w:t xml:space="preserve"> </w:t>
      </w:r>
      <w:r>
        <w:tab/>
        <w:t>=</w:t>
      </w:r>
      <w:r>
        <w:tab/>
      </w:r>
      <w:r w:rsidRPr="00C9566C">
        <w:t>consommation de solution d</w:t>
      </w:r>
      <w:r>
        <w:t>’</w:t>
      </w:r>
      <w:r w:rsidRPr="00C9566C">
        <w:t>hydroxyde de sodium en ml.</w:t>
      </w:r>
    </w:p>
    <w:p w:rsidR="009674FC" w:rsidRPr="00C9566C" w:rsidRDefault="009674FC" w:rsidP="00750B2E">
      <w:pPr>
        <w:pStyle w:val="SingleTxtG"/>
        <w:ind w:left="567"/>
        <w:rPr>
          <w:lang w:val="es-ES"/>
        </w:rPr>
      </w:pPr>
      <w:proofErr w:type="spellStart"/>
      <w:proofErr w:type="gramStart"/>
      <w:r w:rsidRPr="00C9566C">
        <w:rPr>
          <w:lang w:val="es-ES"/>
        </w:rPr>
        <w:t>V</w:t>
      </w:r>
      <w:r w:rsidRPr="00C9566C">
        <w:rPr>
          <w:vertAlign w:val="subscript"/>
          <w:lang w:val="es-ES"/>
        </w:rPr>
        <w:t>NO,m</w:t>
      </w:r>
      <w:proofErr w:type="spellEnd"/>
      <w:proofErr w:type="gramEnd"/>
      <w:r w:rsidRPr="00C9566C">
        <w:rPr>
          <w:vertAlign w:val="subscript"/>
          <w:lang w:val="es-ES"/>
        </w:rPr>
        <w:t xml:space="preserve"> </w:t>
      </w:r>
      <w:r>
        <w:rPr>
          <w:lang w:val="es-ES"/>
        </w:rPr>
        <w:tab/>
        <w:t>=</w:t>
      </w:r>
      <w:r>
        <w:rPr>
          <w:lang w:val="es-ES"/>
        </w:rPr>
        <w:tab/>
      </w:r>
      <w:proofErr w:type="spellStart"/>
      <w:r w:rsidRPr="00C9566C">
        <w:rPr>
          <w:lang w:val="es-ES"/>
        </w:rPr>
        <w:t>volume</w:t>
      </w:r>
      <w:proofErr w:type="spellEnd"/>
      <w:r w:rsidRPr="00C9566C">
        <w:rPr>
          <w:lang w:val="es-ES"/>
        </w:rPr>
        <w:t xml:space="preserve"> </w:t>
      </w:r>
      <w:proofErr w:type="spellStart"/>
      <w:r w:rsidRPr="00C9566C">
        <w:rPr>
          <w:lang w:val="es-ES"/>
        </w:rPr>
        <w:t>molaire</w:t>
      </w:r>
      <w:proofErr w:type="spellEnd"/>
      <w:r w:rsidRPr="00C9566C">
        <w:rPr>
          <w:lang w:val="es-ES"/>
        </w:rPr>
        <w:t xml:space="preserve"> de </w:t>
      </w:r>
      <w:proofErr w:type="spellStart"/>
      <w:r w:rsidRPr="00C9566C">
        <w:rPr>
          <w:lang w:val="es-ES"/>
        </w:rPr>
        <w:t>gaz</w:t>
      </w:r>
      <w:proofErr w:type="spellEnd"/>
      <w:r w:rsidRPr="00C9566C">
        <w:rPr>
          <w:lang w:val="es-ES"/>
        </w:rPr>
        <w:t xml:space="preserve"> NO = 22,4 l/mol</w:t>
      </w:r>
      <w:r>
        <w:rPr>
          <w:lang w:val="es-ES"/>
        </w:rPr>
        <w:t>.</w:t>
      </w:r>
    </w:p>
    <w:p w:rsidR="009674FC" w:rsidRPr="00C9566C" w:rsidRDefault="009674FC" w:rsidP="00750B2E">
      <w:pPr>
        <w:pStyle w:val="SingleTxtG"/>
        <w:ind w:left="567"/>
      </w:pPr>
      <w:proofErr w:type="spellStart"/>
      <w:proofErr w:type="gramStart"/>
      <w:r w:rsidRPr="00C9566C">
        <w:t>m</w:t>
      </w:r>
      <w:r w:rsidRPr="00C9566C">
        <w:rPr>
          <w:vertAlign w:val="subscript"/>
        </w:rPr>
        <w:t>NC</w:t>
      </w:r>
      <w:proofErr w:type="spellEnd"/>
      <w:proofErr w:type="gramEnd"/>
      <w:r>
        <w:tab/>
        <w:t>=</w:t>
      </w:r>
      <w:r>
        <w:tab/>
      </w:r>
      <w:r w:rsidRPr="00C9566C">
        <w:t>masse de nitrocellulose en g</w:t>
      </w:r>
      <w:r>
        <w:t>.</w:t>
      </w:r>
    </w:p>
    <w:p w:rsidR="009674FC" w:rsidRPr="001E7661" w:rsidRDefault="009674FC" w:rsidP="00750B2E">
      <w:pPr>
        <w:pStyle w:val="SingleTxtG"/>
        <w:keepNext/>
        <w:ind w:left="567"/>
      </w:pPr>
      <w:r>
        <w:t xml:space="preserve">Si l’on utilise une </w:t>
      </w:r>
      <w:r w:rsidRPr="001E7661">
        <w:t>concentration de la solution d</w:t>
      </w:r>
      <w:r>
        <w:t>’</w:t>
      </w:r>
      <w:r w:rsidRPr="001E7661">
        <w:t>hydroxyde de sodium</w:t>
      </w:r>
      <w:r>
        <w:t xml:space="preserve"> dont la concentration </w:t>
      </w:r>
      <w:proofErr w:type="spellStart"/>
      <w:r w:rsidRPr="001E7661">
        <w:t>c</w:t>
      </w:r>
      <w:r w:rsidRPr="001E7661">
        <w:rPr>
          <w:vertAlign w:val="subscript"/>
        </w:rPr>
        <w:t>NaOH</w:t>
      </w:r>
      <w:proofErr w:type="spellEnd"/>
      <w:r w:rsidRPr="001E7661">
        <w:t xml:space="preserve"> </w:t>
      </w:r>
      <w:r>
        <w:t xml:space="preserve">est égale à </w:t>
      </w:r>
      <w:r w:rsidRPr="001E7661">
        <w:t>0</w:t>
      </w:r>
      <w:r>
        <w:t>,</w:t>
      </w:r>
      <w:r w:rsidRPr="001E7661">
        <w:t xml:space="preserve">1 mol/l, </w:t>
      </w:r>
      <w:r>
        <w:t xml:space="preserve">la </w:t>
      </w:r>
      <w:r w:rsidRPr="001E7661">
        <w:t>formul</w:t>
      </w:r>
      <w:r>
        <w:t>e</w:t>
      </w:r>
      <w:r w:rsidRPr="001E7661">
        <w:t xml:space="preserve"> </w:t>
      </w:r>
      <w:r>
        <w:t>est :</w:t>
      </w:r>
    </w:p>
    <w:p w:rsidR="009674FC" w:rsidRPr="00750B2E" w:rsidRDefault="002969E8" w:rsidP="00750B2E">
      <w:pPr>
        <w:spacing w:after="120"/>
        <w:ind w:left="567" w:right="1134"/>
        <w:jc w:val="both"/>
        <w:rPr>
          <w:lang w:val="en-US"/>
        </w:rPr>
      </w:pPr>
      <m:oMathPara>
        <m:oMathParaPr>
          <m:jc m:val="center"/>
        </m:oMathParaPr>
        <m:oMath>
          <m:sSub>
            <m:sSubPr>
              <m:ctrlPr>
                <w:rPr>
                  <w:rFonts w:ascii="Cambria Math" w:hAnsi="Cambria Math"/>
                  <w:lang w:val="en-GB"/>
                </w:rPr>
              </m:ctrlPr>
            </m:sSubPr>
            <m:e>
              <m:r>
                <m:rPr>
                  <m:sty m:val="p"/>
                </m:rPr>
                <w:rPr>
                  <w:rFonts w:ascii="Cambria Math" w:hAnsi="Cambria Math"/>
                  <w:lang w:val="en-GB"/>
                </w:rPr>
                <m:t>V</m:t>
              </m:r>
            </m:e>
            <m:sub>
              <m:r>
                <m:rPr>
                  <m:sty m:val="p"/>
                </m:rPr>
                <w:rPr>
                  <w:rFonts w:ascii="Cambria Math" w:hAnsi="Cambria Math"/>
                  <w:lang w:val="en-GB"/>
                </w:rPr>
                <m:t>NO</m:t>
              </m:r>
            </m:sub>
          </m:sSub>
          <m:r>
            <w:rPr>
              <w:rFonts w:ascii="Cambria Math" w:hAnsi="Cambria Math"/>
              <w:lang w:val="en-GB"/>
            </w:rPr>
            <m:t>=</m:t>
          </m:r>
          <m:sSub>
            <m:sSubPr>
              <m:ctrlPr>
                <w:rPr>
                  <w:rFonts w:ascii="Cambria Math" w:hAnsi="Cambria Math"/>
                  <w:lang w:val="en-GB"/>
                </w:rPr>
              </m:ctrlPr>
            </m:sSubPr>
            <m:e>
              <m:r>
                <m:rPr>
                  <m:sty m:val="p"/>
                </m:rPr>
                <w:rPr>
                  <w:rFonts w:ascii="Cambria Math" w:hAnsi="Cambria Math"/>
                  <w:lang w:val="en-GB"/>
                </w:rPr>
                <m:t>C</m:t>
              </m:r>
            </m:e>
            <m:sub>
              <m:r>
                <m:rPr>
                  <m:sty m:val="p"/>
                </m:rPr>
                <w:rPr>
                  <w:rFonts w:ascii="Cambria Math" w:hAnsi="Cambria Math"/>
                  <w:lang w:val="en-GB"/>
                </w:rPr>
                <m:t xml:space="preserve">NaOH </m:t>
              </m:r>
            </m:sub>
          </m:sSub>
          <m:r>
            <w:rPr>
              <w:rFonts w:ascii="Cambria Math" w:hAnsi="Cambria Math"/>
              <w:lang w:val="en-GB"/>
            </w:rPr>
            <m:t>×2,24</m:t>
          </m:r>
        </m:oMath>
      </m:oMathPara>
    </w:p>
    <w:p w:rsidR="009674FC" w:rsidRPr="001837CE" w:rsidRDefault="009674FC" w:rsidP="00750B2E">
      <w:pPr>
        <w:pStyle w:val="SingleTxtG"/>
        <w:ind w:left="567"/>
      </w:pPr>
      <w:r w:rsidRPr="00387EA4">
        <w:t>Cette formule repose sur l</w:t>
      </w:r>
      <w:r>
        <w:t>’</w:t>
      </w:r>
      <w:r w:rsidRPr="00387EA4">
        <w:t>hypothèse que</w:t>
      </w:r>
      <w:r>
        <w:t xml:space="preserve"> l’oxyde d’azote est libéré sous forme de NO et que ce NO est un gaz parfait ; en vertu </w:t>
      </w:r>
      <w:r w:rsidRPr="001837CE">
        <w:t>de la loi des gaz parfait</w:t>
      </w:r>
      <w:r>
        <w:t xml:space="preserve">s, une mole de gaz occupe un volume de </w:t>
      </w:r>
      <w:r w:rsidRPr="001837CE">
        <w:t>22,4 l.</w:t>
      </w:r>
    </w:p>
    <w:p w:rsidR="009674FC" w:rsidRDefault="009674FC" w:rsidP="00750B2E">
      <w:pPr>
        <w:pStyle w:val="SingleTxtG"/>
        <w:ind w:left="567"/>
      </w:pPr>
      <w:r>
        <w:t xml:space="preserve">L’absence totale d’acidité dans l’eau </w:t>
      </w:r>
      <w:r w:rsidRPr="001837CE">
        <w:t>est vérifiée par une épreuve simulée</w:t>
      </w:r>
      <w:r>
        <w:t xml:space="preserve"> ; </w:t>
      </w:r>
      <w:r w:rsidRPr="001837CE">
        <w:t>sinon la valeur déterminée par cette épreuve simulée est soustraite</w:t>
      </w:r>
      <w:r>
        <w:t>.</w:t>
      </w:r>
    </w:p>
    <w:p w:rsidR="009674FC" w:rsidRPr="001837CE" w:rsidRDefault="009674FC" w:rsidP="00750B2E">
      <w:pPr>
        <w:pStyle w:val="SingleTxtG"/>
        <w:ind w:left="567"/>
      </w:pPr>
      <w:r w:rsidRPr="001837CE">
        <w:t>On peut aussi utiliser des parties aliquotes de l</w:t>
      </w:r>
      <w:r>
        <w:t>’</w:t>
      </w:r>
      <w:r w:rsidRPr="001837CE">
        <w:t xml:space="preserve">eau contenant le </w:t>
      </w:r>
      <w:r>
        <w:t xml:space="preserve">gaz </w:t>
      </w:r>
      <w:r w:rsidRPr="001837CE">
        <w:t>NO, ce qui modifie les facteurs dans la formule.</w:t>
      </w:r>
    </w:p>
    <w:p w:rsidR="009674FC" w:rsidRPr="00EA2DE2" w:rsidRDefault="00750B2E" w:rsidP="001146B4">
      <w:pPr>
        <w:pStyle w:val="H23G"/>
        <w:tabs>
          <w:tab w:val="left" w:pos="1985"/>
        </w:tabs>
        <w:spacing w:before="120"/>
        <w:rPr>
          <w:szCs w:val="24"/>
        </w:rPr>
      </w:pPr>
      <w:r>
        <w:rPr>
          <w:szCs w:val="24"/>
        </w:rPr>
        <w:tab/>
      </w:r>
      <w:r w:rsidR="009674FC" w:rsidRPr="00EA2DE2">
        <w:rPr>
          <w:szCs w:val="24"/>
        </w:rPr>
        <w:t>2.4</w:t>
      </w:r>
      <w:r w:rsidR="009674FC" w:rsidRPr="00EA2DE2">
        <w:rPr>
          <w:szCs w:val="24"/>
        </w:rPr>
        <w:tab/>
        <w:t xml:space="preserve">Critères d’épreuve et méthode d’évaluation des résultats </w:t>
      </w:r>
    </w:p>
    <w:p w:rsidR="00222EC6" w:rsidRPr="00E77255" w:rsidRDefault="009674FC" w:rsidP="00222EC6">
      <w:pPr>
        <w:pStyle w:val="SingleTxtG"/>
        <w:widowControl w:val="0"/>
        <w:suppressAutoHyphens w:val="0"/>
        <w:spacing w:after="240" w:line="240" w:lineRule="auto"/>
        <w:ind w:left="567" w:right="729"/>
        <w:rPr>
          <w:lang w:val="fr-FR"/>
        </w:rPr>
      </w:pPr>
      <w:r w:rsidRPr="001837CE">
        <w:t>2.4.1</w:t>
      </w:r>
      <w:r w:rsidRPr="001837CE">
        <w:tab/>
      </w:r>
      <w:r w:rsidR="00222EC6" w:rsidRPr="00E77255">
        <w:rPr>
          <w:lang w:val="fr-FR"/>
        </w:rPr>
        <w:t xml:space="preserve">Le résultat de l’épreuve est considéré positif "+" </w:t>
      </w:r>
      <w:r w:rsidR="00222EC6">
        <w:rPr>
          <w:lang w:val="fr-FR"/>
        </w:rPr>
        <w:t xml:space="preserve">et la matière est considérée comme instable si la </w:t>
      </w:r>
      <w:r w:rsidR="00222EC6" w:rsidRPr="00E77255">
        <w:rPr>
          <w:lang w:val="fr-FR"/>
        </w:rPr>
        <w:t>quantité de gaz NO dégagée</w:t>
      </w:r>
      <w:r w:rsidR="00222EC6">
        <w:rPr>
          <w:lang w:val="fr-FR"/>
        </w:rPr>
        <w:t xml:space="preserve"> est supérieure à </w:t>
      </w:r>
      <w:r w:rsidR="00222EC6" w:rsidRPr="00E77255">
        <w:rPr>
          <w:lang w:val="fr-FR"/>
        </w:rPr>
        <w:t>2,5 ml de NO par g de nitrocellulose</w:t>
      </w:r>
      <w:r w:rsidR="00222EC6">
        <w:rPr>
          <w:lang w:val="fr-FR"/>
        </w:rPr>
        <w:t>. S</w:t>
      </w:r>
      <w:r w:rsidR="00222EC6" w:rsidRPr="00E77255">
        <w:rPr>
          <w:lang w:val="fr-FR"/>
        </w:rPr>
        <w:t xml:space="preserve">i la quantité de gaz NO dégagée </w:t>
      </w:r>
      <w:r w:rsidR="00222EC6">
        <w:rPr>
          <w:lang w:val="fr-FR"/>
        </w:rPr>
        <w:t>est inférieure ou égale</w:t>
      </w:r>
      <w:r w:rsidR="00222EC6" w:rsidRPr="00E77255">
        <w:rPr>
          <w:lang w:val="fr-FR"/>
        </w:rPr>
        <w:t xml:space="preserve"> à 2,5 ml de NO par g de nitrocellulose</w:t>
      </w:r>
      <w:r w:rsidR="00222EC6">
        <w:rPr>
          <w:lang w:val="fr-FR"/>
        </w:rPr>
        <w:t>, l</w:t>
      </w:r>
      <w:r w:rsidR="00222EC6" w:rsidRPr="00E77255">
        <w:rPr>
          <w:lang w:val="fr-FR"/>
        </w:rPr>
        <w:t xml:space="preserve">e résultat de l’épreuve est considéré </w:t>
      </w:r>
      <w:r w:rsidR="00222EC6">
        <w:rPr>
          <w:lang w:val="fr-FR"/>
        </w:rPr>
        <w:t>négatif</w:t>
      </w:r>
      <w:r w:rsidR="00222EC6" w:rsidRPr="00E77255">
        <w:rPr>
          <w:lang w:val="fr-FR"/>
        </w:rPr>
        <w:t xml:space="preserve"> </w:t>
      </w:r>
      <w:r w:rsidR="00222EC6">
        <w:rPr>
          <w:lang w:val="fr-FR"/>
        </w:rPr>
        <w:t>"-</w:t>
      </w:r>
      <w:r w:rsidR="00222EC6" w:rsidRPr="00E77255">
        <w:rPr>
          <w:lang w:val="fr-FR"/>
        </w:rPr>
        <w:t>"</w:t>
      </w:r>
      <w:r w:rsidR="00222EC6">
        <w:rPr>
          <w:lang w:val="fr-FR"/>
        </w:rPr>
        <w:t xml:space="preserve"> et l</w:t>
      </w:r>
      <w:r w:rsidR="00222EC6" w:rsidRPr="00E77255">
        <w:rPr>
          <w:lang w:val="fr-FR"/>
        </w:rPr>
        <w:t>a matière soumise à l’</w:t>
      </w:r>
      <w:r w:rsidR="00222EC6">
        <w:rPr>
          <w:lang w:val="fr-FR"/>
        </w:rPr>
        <w:t>épreuve est réputée stable</w:t>
      </w:r>
      <w:r w:rsidR="00222EC6" w:rsidRPr="00E77255">
        <w:rPr>
          <w:lang w:val="fr-FR"/>
        </w:rPr>
        <w:t>.</w:t>
      </w:r>
    </w:p>
    <w:p w:rsidR="00222EC6" w:rsidRPr="00222EC6" w:rsidRDefault="00222EC6" w:rsidP="001146B4">
      <w:pPr>
        <w:pStyle w:val="H23G"/>
        <w:tabs>
          <w:tab w:val="left" w:pos="1985"/>
        </w:tabs>
        <w:spacing w:before="0"/>
        <w:rPr>
          <w:szCs w:val="24"/>
        </w:rPr>
      </w:pPr>
      <w:r>
        <w:rPr>
          <w:szCs w:val="24"/>
        </w:rPr>
        <w:tab/>
      </w:r>
      <w:r w:rsidRPr="00222EC6">
        <w:rPr>
          <w:szCs w:val="24"/>
        </w:rPr>
        <w:t>2.5</w:t>
      </w:r>
      <w:r w:rsidRPr="00222EC6">
        <w:rPr>
          <w:szCs w:val="24"/>
        </w:rPr>
        <w:tab/>
        <w:t>Exemples de résultats</w:t>
      </w:r>
    </w:p>
    <w:tbl>
      <w:tblPr>
        <w:tblW w:w="0" w:type="auto"/>
        <w:jc w:val="center"/>
        <w:tblCellMar>
          <w:left w:w="0" w:type="dxa"/>
          <w:right w:w="0" w:type="dxa"/>
        </w:tblCellMar>
        <w:tblLook w:val="04A0" w:firstRow="1" w:lastRow="0" w:firstColumn="1" w:lastColumn="0" w:noHBand="0" w:noVBand="1"/>
      </w:tblPr>
      <w:tblGrid>
        <w:gridCol w:w="3587"/>
        <w:gridCol w:w="2792"/>
      </w:tblGrid>
      <w:tr w:rsidR="00222EC6" w:rsidRPr="00F73492" w:rsidTr="00DA48DB">
        <w:trPr>
          <w:jc w:val="center"/>
        </w:trPr>
        <w:tc>
          <w:tcPr>
            <w:tcW w:w="3587" w:type="dxa"/>
            <w:tcBorders>
              <w:top w:val="single" w:sz="8" w:space="0" w:color="auto"/>
              <w:left w:val="nil"/>
              <w:bottom w:val="single" w:sz="8" w:space="0" w:color="auto"/>
              <w:right w:val="nil"/>
            </w:tcBorders>
            <w:hideMark/>
          </w:tcPr>
          <w:p w:rsidR="00222EC6" w:rsidRPr="0038785A" w:rsidRDefault="00222EC6" w:rsidP="00DA48DB">
            <w:pPr>
              <w:pStyle w:val="p1"/>
              <w:spacing w:before="30" w:after="30" w:line="240" w:lineRule="atLeast"/>
              <w:jc w:val="center"/>
              <w:rPr>
                <w:bCs/>
                <w:sz w:val="20"/>
                <w:szCs w:val="20"/>
                <w:lang w:val="fr-FR" w:eastAsia="en-GB"/>
              </w:rPr>
            </w:pPr>
            <w:r>
              <w:rPr>
                <w:bCs/>
                <w:sz w:val="20"/>
                <w:szCs w:val="20"/>
                <w:lang w:val="fr-FR" w:eastAsia="en-GB"/>
              </w:rPr>
              <w:t>Q</w:t>
            </w:r>
            <w:r w:rsidRPr="0038785A">
              <w:rPr>
                <w:bCs/>
                <w:sz w:val="20"/>
                <w:szCs w:val="20"/>
                <w:lang w:val="fr-FR" w:eastAsia="en-GB"/>
              </w:rPr>
              <w:t>uantité de gaz NO dégagée</w:t>
            </w:r>
            <w:r w:rsidRPr="0038785A">
              <w:rPr>
                <w:lang w:val="fr-FR"/>
              </w:rPr>
              <w:t xml:space="preserve"> </w:t>
            </w:r>
            <w:r w:rsidRPr="0038785A">
              <w:rPr>
                <w:bCs/>
                <w:sz w:val="20"/>
                <w:szCs w:val="20"/>
                <w:lang w:val="fr-FR" w:eastAsia="en-GB"/>
              </w:rPr>
              <w:t>par g de nitrocellulose</w:t>
            </w:r>
          </w:p>
        </w:tc>
        <w:tc>
          <w:tcPr>
            <w:tcW w:w="2792" w:type="dxa"/>
            <w:tcBorders>
              <w:top w:val="single" w:sz="8" w:space="0" w:color="auto"/>
              <w:left w:val="nil"/>
              <w:bottom w:val="single" w:sz="8" w:space="0" w:color="auto"/>
              <w:right w:val="nil"/>
            </w:tcBorders>
            <w:hideMark/>
          </w:tcPr>
          <w:p w:rsidR="00222EC6" w:rsidRPr="0038785A" w:rsidRDefault="00222EC6" w:rsidP="00DA48DB">
            <w:pPr>
              <w:pStyle w:val="p1"/>
              <w:spacing w:before="30" w:after="30" w:line="240" w:lineRule="atLeast"/>
              <w:jc w:val="center"/>
              <w:rPr>
                <w:bCs/>
                <w:sz w:val="20"/>
                <w:szCs w:val="20"/>
                <w:lang w:val="fr-FR" w:eastAsia="en-GB"/>
              </w:rPr>
            </w:pPr>
            <w:r w:rsidRPr="0038785A">
              <w:rPr>
                <w:bCs/>
                <w:sz w:val="20"/>
                <w:szCs w:val="20"/>
                <w:lang w:val="fr-FR" w:eastAsia="en-GB"/>
              </w:rPr>
              <w:t>R</w:t>
            </w:r>
            <w:r>
              <w:rPr>
                <w:bCs/>
                <w:sz w:val="20"/>
                <w:szCs w:val="20"/>
                <w:lang w:val="fr-FR" w:eastAsia="en-GB"/>
              </w:rPr>
              <w:t>é</w:t>
            </w:r>
            <w:r w:rsidRPr="0038785A">
              <w:rPr>
                <w:bCs/>
                <w:sz w:val="20"/>
                <w:szCs w:val="20"/>
                <w:lang w:val="fr-FR" w:eastAsia="en-GB"/>
              </w:rPr>
              <w:t>sult</w:t>
            </w:r>
            <w:r>
              <w:rPr>
                <w:bCs/>
                <w:sz w:val="20"/>
                <w:szCs w:val="20"/>
                <w:lang w:val="fr-FR" w:eastAsia="en-GB"/>
              </w:rPr>
              <w:t>at</w:t>
            </w:r>
          </w:p>
        </w:tc>
      </w:tr>
      <w:tr w:rsidR="00222EC6" w:rsidRPr="00285368" w:rsidTr="00DA48DB">
        <w:trPr>
          <w:jc w:val="center"/>
        </w:trPr>
        <w:tc>
          <w:tcPr>
            <w:tcW w:w="3587" w:type="dxa"/>
            <w:hideMark/>
          </w:tcPr>
          <w:p w:rsidR="00222EC6" w:rsidRPr="00285368" w:rsidRDefault="00222EC6" w:rsidP="00DA48DB">
            <w:pPr>
              <w:pStyle w:val="p1"/>
              <w:spacing w:line="240" w:lineRule="atLeast"/>
              <w:jc w:val="center"/>
              <w:rPr>
                <w:sz w:val="20"/>
                <w:szCs w:val="20"/>
                <w:lang w:eastAsia="en-GB"/>
              </w:rPr>
            </w:pPr>
            <w:r w:rsidRPr="00285368">
              <w:rPr>
                <w:sz w:val="20"/>
                <w:szCs w:val="20"/>
                <w:lang w:eastAsia="en-GB"/>
              </w:rPr>
              <w:t>2</w:t>
            </w:r>
            <w:r>
              <w:rPr>
                <w:sz w:val="20"/>
                <w:szCs w:val="20"/>
                <w:lang w:eastAsia="en-GB"/>
              </w:rPr>
              <w:t>,</w:t>
            </w:r>
            <w:r w:rsidRPr="00285368">
              <w:rPr>
                <w:sz w:val="20"/>
                <w:szCs w:val="20"/>
                <w:lang w:eastAsia="en-GB"/>
              </w:rPr>
              <w:t>6 ml</w:t>
            </w:r>
          </w:p>
        </w:tc>
        <w:tc>
          <w:tcPr>
            <w:tcW w:w="2792" w:type="dxa"/>
            <w:hideMark/>
          </w:tcPr>
          <w:p w:rsidR="00222EC6" w:rsidRPr="00285368" w:rsidRDefault="00222EC6" w:rsidP="00DA48DB">
            <w:pPr>
              <w:pStyle w:val="p1"/>
              <w:spacing w:line="240" w:lineRule="atLeast"/>
              <w:jc w:val="center"/>
              <w:rPr>
                <w:sz w:val="20"/>
                <w:szCs w:val="20"/>
                <w:lang w:eastAsia="en-GB"/>
              </w:rPr>
            </w:pPr>
            <w:r w:rsidRPr="00285368">
              <w:rPr>
                <w:sz w:val="20"/>
                <w:szCs w:val="20"/>
                <w:lang w:eastAsia="en-GB"/>
              </w:rPr>
              <w:t>+</w:t>
            </w:r>
          </w:p>
        </w:tc>
      </w:tr>
      <w:tr w:rsidR="00222EC6" w:rsidRPr="00285368" w:rsidTr="00DA48DB">
        <w:trPr>
          <w:jc w:val="center"/>
        </w:trPr>
        <w:tc>
          <w:tcPr>
            <w:tcW w:w="3587" w:type="dxa"/>
            <w:tcBorders>
              <w:top w:val="nil"/>
              <w:left w:val="nil"/>
              <w:bottom w:val="single" w:sz="8" w:space="0" w:color="auto"/>
              <w:right w:val="nil"/>
            </w:tcBorders>
            <w:hideMark/>
          </w:tcPr>
          <w:p w:rsidR="00222EC6" w:rsidRPr="00285368" w:rsidRDefault="00222EC6" w:rsidP="00DA48DB">
            <w:pPr>
              <w:pStyle w:val="p1"/>
              <w:spacing w:line="240" w:lineRule="atLeast"/>
              <w:jc w:val="center"/>
              <w:rPr>
                <w:sz w:val="20"/>
                <w:szCs w:val="20"/>
                <w:lang w:eastAsia="en-GB"/>
              </w:rPr>
            </w:pPr>
            <w:r w:rsidRPr="00285368">
              <w:rPr>
                <w:sz w:val="20"/>
                <w:szCs w:val="20"/>
                <w:lang w:eastAsia="en-GB"/>
              </w:rPr>
              <w:t>2</w:t>
            </w:r>
            <w:r>
              <w:rPr>
                <w:sz w:val="20"/>
                <w:szCs w:val="20"/>
                <w:lang w:eastAsia="en-GB"/>
              </w:rPr>
              <w:t>,</w:t>
            </w:r>
            <w:r w:rsidRPr="00285368">
              <w:rPr>
                <w:sz w:val="20"/>
                <w:szCs w:val="20"/>
                <w:lang w:eastAsia="en-GB"/>
              </w:rPr>
              <w:t xml:space="preserve">5 ml </w:t>
            </w:r>
          </w:p>
        </w:tc>
        <w:tc>
          <w:tcPr>
            <w:tcW w:w="2792" w:type="dxa"/>
            <w:tcBorders>
              <w:top w:val="nil"/>
              <w:left w:val="nil"/>
              <w:bottom w:val="single" w:sz="8" w:space="0" w:color="auto"/>
              <w:right w:val="nil"/>
            </w:tcBorders>
            <w:hideMark/>
          </w:tcPr>
          <w:p w:rsidR="00222EC6" w:rsidRPr="00285368" w:rsidRDefault="00222EC6" w:rsidP="00DA48DB">
            <w:pPr>
              <w:pStyle w:val="p1"/>
              <w:spacing w:line="240" w:lineRule="atLeast"/>
              <w:jc w:val="center"/>
              <w:rPr>
                <w:sz w:val="20"/>
                <w:szCs w:val="20"/>
                <w:lang w:eastAsia="en-GB"/>
              </w:rPr>
            </w:pPr>
            <w:r w:rsidRPr="00285368">
              <w:rPr>
                <w:sz w:val="20"/>
                <w:szCs w:val="20"/>
                <w:lang w:eastAsia="en-GB"/>
              </w:rPr>
              <w:t>–</w:t>
            </w:r>
          </w:p>
        </w:tc>
      </w:tr>
    </w:tbl>
    <w:p w:rsidR="009674FC" w:rsidRPr="00E54CF3" w:rsidRDefault="009674FC" w:rsidP="009674FC">
      <w:pPr>
        <w:pStyle w:val="Heading1"/>
        <w:spacing w:after="120"/>
        <w:rPr>
          <w:b/>
        </w:rPr>
      </w:pPr>
      <w:r>
        <w:br w:type="page"/>
      </w:r>
      <w:r w:rsidRPr="005739BE">
        <w:rPr>
          <w:b/>
          <w:bCs/>
        </w:rPr>
        <w:lastRenderedPageBreak/>
        <w:t>Figure A10.1</w:t>
      </w:r>
      <w:r w:rsidR="00055028">
        <w:rPr>
          <w:b/>
          <w:bCs/>
        </w:rPr>
        <w:t> :</w:t>
      </w:r>
      <w:r w:rsidR="005739BE">
        <w:t xml:space="preserve"> </w:t>
      </w:r>
      <w:r w:rsidRPr="00E54CF3">
        <w:rPr>
          <w:b/>
        </w:rPr>
        <w:t xml:space="preserve">Chambre de condensation pour l’épreuve de Bergmann-Junk (exemple 1) </w:t>
      </w:r>
    </w:p>
    <w:p w:rsidR="009674FC" w:rsidRDefault="000659B4" w:rsidP="009674FC">
      <w:pPr>
        <w:pStyle w:val="SingleTxtG"/>
        <w:ind w:left="2268" w:hanging="1134"/>
      </w:pPr>
      <w:r>
        <w:rPr>
          <w:noProof/>
        </w:rPr>
        <w:drawing>
          <wp:inline distT="0" distB="0" distL="0" distR="0">
            <wp:extent cx="4610100" cy="5935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gman Junk Tube (003)_figure best resolution.jpg"/>
                    <pic:cNvPicPr/>
                  </pic:nvPicPr>
                  <pic:blipFill>
                    <a:blip r:embed="rId8">
                      <a:extLst>
                        <a:ext uri="{28A0092B-C50C-407E-A947-70E740481C1C}">
                          <a14:useLocalDpi xmlns:a14="http://schemas.microsoft.com/office/drawing/2010/main" val="0"/>
                        </a:ext>
                      </a:extLst>
                    </a:blip>
                    <a:stretch>
                      <a:fillRect/>
                    </a:stretch>
                  </pic:blipFill>
                  <pic:spPr>
                    <a:xfrm>
                      <a:off x="0" y="0"/>
                      <a:ext cx="4610100" cy="5935980"/>
                    </a:xfrm>
                    <a:prstGeom prst="rect">
                      <a:avLst/>
                    </a:prstGeom>
                  </pic:spPr>
                </pic:pic>
              </a:graphicData>
            </a:graphic>
          </wp:inline>
        </w:drawing>
      </w:r>
    </w:p>
    <w:p w:rsidR="009674FC" w:rsidRPr="00761C2A" w:rsidRDefault="009674FC" w:rsidP="00761C2A">
      <w:pPr>
        <w:pStyle w:val="Heading1"/>
      </w:pPr>
      <w:r>
        <w:br w:type="page"/>
      </w:r>
      <w:r w:rsidRPr="005574D2">
        <w:rPr>
          <w:b/>
          <w:bCs/>
        </w:rPr>
        <w:lastRenderedPageBreak/>
        <w:t>Figure A10.2</w:t>
      </w:r>
      <w:r w:rsidR="00055028">
        <w:rPr>
          <w:b/>
          <w:bCs/>
        </w:rPr>
        <w:t> :</w:t>
      </w:r>
      <w:r w:rsidR="005574D2">
        <w:t xml:space="preserve"> </w:t>
      </w:r>
      <w:r w:rsidRPr="00073A13">
        <w:rPr>
          <w:b/>
        </w:rPr>
        <w:t>Chambre de condensation pour l’épreuve de Bergmann-Junk (exemple 2)</w:t>
      </w:r>
      <w:r w:rsidRPr="001837CE">
        <w:t xml:space="preserve"> </w:t>
      </w:r>
      <w:r w:rsidRPr="00CA348A">
        <w:rPr>
          <w:noProof/>
          <w:lang w:eastAsia="fr-CH"/>
        </w:rPr>
        <w:drawing>
          <wp:inline distT="0" distB="0" distL="0" distR="0" wp14:anchorId="28353091" wp14:editId="1B94FF59">
            <wp:extent cx="5029200" cy="739390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7393901"/>
                    </a:xfrm>
                    <a:prstGeom prst="rect">
                      <a:avLst/>
                    </a:prstGeom>
                    <a:noFill/>
                    <a:ln>
                      <a:noFill/>
                    </a:ln>
                  </pic:spPr>
                </pic:pic>
              </a:graphicData>
            </a:graphic>
          </wp:inline>
        </w:drawing>
      </w:r>
    </w:p>
    <w:p w:rsidR="001D59DF" w:rsidRDefault="00750B2E" w:rsidP="00750B2E">
      <w:pPr>
        <w:pStyle w:val="H1G"/>
        <w:tabs>
          <w:tab w:val="clear" w:pos="851"/>
        </w:tabs>
        <w:rPr>
          <w:sz w:val="20"/>
        </w:rPr>
      </w:pPr>
      <w:r>
        <w:rPr>
          <w:sz w:val="20"/>
        </w:rPr>
        <w:tab/>
      </w:r>
    </w:p>
    <w:p w:rsidR="009674FC" w:rsidRPr="00750B2E" w:rsidRDefault="009674FC" w:rsidP="001146B4">
      <w:pPr>
        <w:pStyle w:val="H1G"/>
        <w:tabs>
          <w:tab w:val="clear" w:pos="851"/>
        </w:tabs>
        <w:ind w:firstLine="0"/>
        <w:rPr>
          <w:sz w:val="20"/>
        </w:rPr>
      </w:pPr>
      <w:r w:rsidRPr="00750B2E">
        <w:rPr>
          <w:sz w:val="20"/>
        </w:rPr>
        <w:lastRenderedPageBreak/>
        <w:t>3.</w:t>
      </w:r>
      <w:r w:rsidRPr="00750B2E">
        <w:rPr>
          <w:sz w:val="20"/>
        </w:rPr>
        <w:tab/>
        <w:t>Épreuve au violet de méthyle (épreuve d’échauffement spontané à 134,5 °C)</w:t>
      </w:r>
    </w:p>
    <w:p w:rsidR="009674FC" w:rsidRPr="00761C2A" w:rsidRDefault="00750B2E" w:rsidP="00750B2E">
      <w:pPr>
        <w:pStyle w:val="H23G"/>
        <w:ind w:left="851" w:hanging="851"/>
      </w:pPr>
      <w:r w:rsidRPr="00761C2A">
        <w:tab/>
      </w:r>
      <w:r w:rsidRPr="00761C2A">
        <w:tab/>
      </w:r>
      <w:r w:rsidR="009674FC" w:rsidRPr="00761C2A">
        <w:t>3.1</w:t>
      </w:r>
      <w:r w:rsidR="009674FC" w:rsidRPr="00761C2A">
        <w:tab/>
        <w:t>Introduction</w:t>
      </w:r>
    </w:p>
    <w:p w:rsidR="009674FC" w:rsidRPr="00AD3040" w:rsidRDefault="00750B2E" w:rsidP="00750B2E">
      <w:pPr>
        <w:pStyle w:val="SingleTxtG"/>
      </w:pPr>
      <w:r>
        <w:tab/>
      </w:r>
      <w:r w:rsidR="009674FC" w:rsidRPr="00421656">
        <w:t xml:space="preserve">On éprouve la stabilité de la nitrocellulose </w:t>
      </w:r>
      <w:r w:rsidR="009674FC">
        <w:t>en examinant le changement de couleur du papier réactif sur une durée donnée</w:t>
      </w:r>
      <w:r w:rsidR="009674FC" w:rsidRPr="00AD3040">
        <w:t>.</w:t>
      </w:r>
    </w:p>
    <w:p w:rsidR="009674FC" w:rsidRPr="00750B2E" w:rsidRDefault="00750B2E" w:rsidP="00750B2E">
      <w:pPr>
        <w:pStyle w:val="H23G"/>
        <w:ind w:left="851" w:hanging="851"/>
        <w:rPr>
          <w:lang w:val="en-GB"/>
        </w:rPr>
      </w:pPr>
      <w:r w:rsidRPr="00761C2A">
        <w:tab/>
      </w:r>
      <w:r w:rsidRPr="00761C2A">
        <w:tab/>
      </w:r>
      <w:r>
        <w:rPr>
          <w:lang w:val="en-GB"/>
        </w:rPr>
        <w:t>3.2</w:t>
      </w:r>
      <w:r w:rsidR="009674FC" w:rsidRPr="00750B2E">
        <w:rPr>
          <w:lang w:val="en-GB"/>
        </w:rPr>
        <w:tab/>
      </w:r>
      <w:proofErr w:type="spellStart"/>
      <w:r w:rsidR="009674FC" w:rsidRPr="00750B2E">
        <w:rPr>
          <w:lang w:val="en-GB"/>
        </w:rPr>
        <w:t>Appareils</w:t>
      </w:r>
      <w:proofErr w:type="spellEnd"/>
      <w:r w:rsidR="009674FC" w:rsidRPr="00750B2E">
        <w:rPr>
          <w:lang w:val="en-GB"/>
        </w:rPr>
        <w:t xml:space="preserve"> et </w:t>
      </w:r>
      <w:proofErr w:type="spellStart"/>
      <w:r w:rsidR="009674FC" w:rsidRPr="00750B2E">
        <w:rPr>
          <w:lang w:val="en-GB"/>
        </w:rPr>
        <w:t>matériel</w:t>
      </w:r>
      <w:proofErr w:type="spellEnd"/>
      <w:r w:rsidR="009674FC" w:rsidRPr="00750B2E">
        <w:rPr>
          <w:lang w:val="en-GB"/>
        </w:rPr>
        <w:t xml:space="preserve"> </w:t>
      </w:r>
    </w:p>
    <w:p w:rsidR="009674FC" w:rsidRPr="00CE56C3" w:rsidRDefault="00CF1880" w:rsidP="00750B2E">
      <w:pPr>
        <w:pStyle w:val="H4G"/>
        <w:tabs>
          <w:tab w:val="clear" w:pos="851"/>
        </w:tabs>
        <w:rPr>
          <w:szCs w:val="24"/>
        </w:rPr>
      </w:pPr>
      <w:r>
        <w:tab/>
      </w:r>
      <w:r w:rsidR="00750B2E">
        <w:rPr>
          <w:i w:val="0"/>
          <w:iCs/>
        </w:rPr>
        <w:t>3.2.1</w:t>
      </w:r>
      <w:r w:rsidR="009674FC" w:rsidRPr="00B53960">
        <w:tab/>
      </w:r>
      <w:r w:rsidR="009674FC" w:rsidRPr="00750B2E">
        <w:rPr>
          <w:iCs/>
        </w:rPr>
        <w:t>Appareils</w:t>
      </w:r>
      <w:r w:rsidR="009674FC" w:rsidRPr="003152F8">
        <w:rPr>
          <w:b/>
          <w:i w:val="0"/>
        </w:rPr>
        <w:t xml:space="preserve"> </w:t>
      </w:r>
    </w:p>
    <w:p w:rsidR="009674FC" w:rsidRPr="00AD3040" w:rsidRDefault="009674FC" w:rsidP="00750B2E">
      <w:pPr>
        <w:pStyle w:val="SingleTxtG"/>
      </w:pPr>
      <w:r w:rsidRPr="00AD3040">
        <w:tab/>
        <w:t xml:space="preserve">Le matériel suivant </w:t>
      </w:r>
      <w:r>
        <w:t xml:space="preserve">doit être utilisé pour effectuer l’épreuve </w:t>
      </w:r>
      <w:r w:rsidRPr="00AD3040">
        <w:t>d</w:t>
      </w:r>
      <w:r>
        <w:t>’</w:t>
      </w:r>
      <w:r w:rsidRPr="00AD3040">
        <w:t>échauffement spontané à 134,5° C (épreuve au violet de méthyle</w:t>
      </w:r>
      <w:proofErr w:type="gramStart"/>
      <w:r w:rsidRPr="00AD3040">
        <w:t>):</w:t>
      </w:r>
      <w:proofErr w:type="gramEnd"/>
      <w:r w:rsidRPr="00AD3040">
        <w:t> </w:t>
      </w:r>
    </w:p>
    <w:p w:rsidR="009674FC" w:rsidRPr="00AD3040" w:rsidRDefault="009674FC" w:rsidP="00750B2E">
      <w:pPr>
        <w:pStyle w:val="SingleTxtG"/>
        <w:ind w:left="2268" w:hanging="567"/>
      </w:pPr>
      <w:r w:rsidRPr="00AD3040">
        <w:t>a)</w:t>
      </w:r>
      <w:r w:rsidRPr="00AD3040">
        <w:tab/>
        <w:t>Balance analytique, de précision égale ou supérieure à 0,01 g. </w:t>
      </w:r>
    </w:p>
    <w:p w:rsidR="009674FC" w:rsidRPr="005110A6" w:rsidRDefault="009674FC" w:rsidP="00750B2E">
      <w:pPr>
        <w:pStyle w:val="SingleTxtG"/>
        <w:ind w:left="2268" w:hanging="567"/>
      </w:pPr>
      <w:r w:rsidRPr="00AD3040">
        <w:t>b)</w:t>
      </w:r>
      <w:r w:rsidRPr="00AD3040">
        <w:tab/>
        <w:t>Bain de stabilité</w:t>
      </w:r>
      <w:r>
        <w:t> </w:t>
      </w:r>
      <w:r w:rsidRPr="00AD3040">
        <w:t>: bain d</w:t>
      </w:r>
      <w:r>
        <w:t>’</w:t>
      </w:r>
      <w:r w:rsidRPr="00AD3040">
        <w:t>eau-</w:t>
      </w:r>
      <w:proofErr w:type="spellStart"/>
      <w:r w:rsidRPr="00AD3040">
        <w:t>éthylèneglycol</w:t>
      </w:r>
      <w:proofErr w:type="spellEnd"/>
      <w:r>
        <w:t>,</w:t>
      </w:r>
      <w:r w:rsidRPr="00AD3040">
        <w:t xml:space="preserve"> bain d</w:t>
      </w:r>
      <w:r>
        <w:t>’</w:t>
      </w:r>
      <w:r w:rsidRPr="00AD3040">
        <w:t>huile ou bloc de métal capable de maintenir la température des éprouvettes à 13</w:t>
      </w:r>
      <w:r>
        <w:t>4,5 </w:t>
      </w:r>
      <w:r w:rsidRPr="00AD3040">
        <w:t>°C</w:t>
      </w:r>
      <w:r>
        <w:t> </w:t>
      </w:r>
      <w:r>
        <w:sym w:font="Symbol" w:char="F0B1"/>
      </w:r>
      <w:r>
        <w:t> 0,5 </w:t>
      </w:r>
      <w:r w:rsidRPr="00AD3040">
        <w:t xml:space="preserve">°C. </w:t>
      </w:r>
      <w:r w:rsidRPr="007826BA">
        <w:t>La température du bain doit être contrôlée en permanence à l</w:t>
      </w:r>
      <w:r>
        <w:t>’</w:t>
      </w:r>
      <w:r w:rsidRPr="007826BA">
        <w:t>aide d</w:t>
      </w:r>
      <w:r>
        <w:t>’</w:t>
      </w:r>
      <w:r w:rsidRPr="007826BA">
        <w:t>un thermomètre ou d</w:t>
      </w:r>
      <w:r>
        <w:t>’</w:t>
      </w:r>
      <w:r w:rsidRPr="007826BA">
        <w:t>un thermocouple étalonné (précision 0,1</w:t>
      </w:r>
      <w:r>
        <w:t> </w:t>
      </w:r>
      <w:r w:rsidRPr="007826BA">
        <w:t xml:space="preserve">°C) placé dans </w:t>
      </w:r>
      <w:r w:rsidRPr="008B145B">
        <w:t>une éprouvette remplie d</w:t>
      </w:r>
      <w:r>
        <w:t>’</w:t>
      </w:r>
      <w:r w:rsidRPr="008B145B">
        <w:t>un matériau inerte (par exemple du sable)</w:t>
      </w:r>
      <w:r>
        <w:t> </w:t>
      </w:r>
      <w:r w:rsidRPr="008B145B">
        <w:t>; l</w:t>
      </w:r>
      <w:r>
        <w:t>’</w:t>
      </w:r>
      <w:r w:rsidRPr="008B145B">
        <w:t>éprouvette soit être placée dans l</w:t>
      </w:r>
      <w:r>
        <w:t>’</w:t>
      </w:r>
      <w:r w:rsidRPr="008B145B">
        <w:t>une des sondes thermométriques. Le diamètre intérieur de chacune des sondes thermométriques de l</w:t>
      </w:r>
      <w:r>
        <w:t>’</w:t>
      </w:r>
      <w:r w:rsidRPr="008B145B">
        <w:t>appareil doit être de 19 </w:t>
      </w:r>
      <w:r w:rsidRPr="008B145B">
        <w:rPr>
          <w:lang w:val="en-GB"/>
        </w:rPr>
        <w:sym w:font="Symbol" w:char="F0B1"/>
      </w:r>
      <w:r w:rsidRPr="008B145B">
        <w:t> 0,5 </w:t>
      </w:r>
      <w:proofErr w:type="spellStart"/>
      <w:r w:rsidRPr="008B145B">
        <w:t>mm.</w:t>
      </w:r>
      <w:proofErr w:type="spellEnd"/>
      <w:r w:rsidRPr="008B145B">
        <w:t xml:space="preserve"> La</w:t>
      </w:r>
      <w:r>
        <w:t> </w:t>
      </w:r>
      <w:r w:rsidRPr="008B145B">
        <w:t>profondeur d</w:t>
      </w:r>
      <w:r>
        <w:t>’</w:t>
      </w:r>
      <w:r w:rsidRPr="008B145B">
        <w:t>immersion des éprouvettes de mesure de la stabilité doit être telle qu</w:t>
      </w:r>
      <w:r>
        <w:t>’</w:t>
      </w:r>
      <w:r w:rsidRPr="008B145B">
        <w:t>elles ne dépassent pas de plu</w:t>
      </w:r>
      <w:r>
        <w:t>s de 6 à 7 mm le niveau du bain ;</w:t>
      </w:r>
    </w:p>
    <w:p w:rsidR="009674FC" w:rsidRPr="005110A6" w:rsidRDefault="009674FC" w:rsidP="00750B2E">
      <w:pPr>
        <w:pStyle w:val="SingleTxtG"/>
        <w:ind w:left="2268" w:hanging="567"/>
      </w:pPr>
      <w:r w:rsidRPr="005110A6">
        <w:t>c)</w:t>
      </w:r>
      <w:r w:rsidRPr="005110A6">
        <w:tab/>
      </w:r>
      <w:r>
        <w:t>É</w:t>
      </w:r>
      <w:r w:rsidRPr="005110A6">
        <w:t>prouvettes en verre transparent de 15 mm de diamètre intérieur, de 1</w:t>
      </w:r>
      <w:r>
        <w:t>8 </w:t>
      </w:r>
      <w:r w:rsidRPr="005110A6">
        <w:t>mm de diamètre extér</w:t>
      </w:r>
      <w:r>
        <w:t>ieur</w:t>
      </w:r>
      <w:r w:rsidRPr="005110A6">
        <w:t xml:space="preserve"> et d</w:t>
      </w:r>
      <w:r>
        <w:t>’</w:t>
      </w:r>
      <w:r w:rsidRPr="005110A6">
        <w:t>une longueur</w:t>
      </w:r>
      <w:r>
        <w:t xml:space="preserve"> de 290 mm ;</w:t>
      </w:r>
    </w:p>
    <w:p w:rsidR="009674FC" w:rsidRPr="00A41F99" w:rsidRDefault="009674FC" w:rsidP="00750B2E">
      <w:pPr>
        <w:pStyle w:val="SingleTxtG"/>
        <w:ind w:left="2268" w:hanging="567"/>
      </w:pPr>
      <w:r w:rsidRPr="005110A6">
        <w:t>d)</w:t>
      </w:r>
      <w:r w:rsidRPr="005110A6">
        <w:tab/>
        <w:t xml:space="preserve">Entonnoir à poudre en métal ou en </w:t>
      </w:r>
      <w:r>
        <w:t xml:space="preserve">plastique conducteur, à longue tige (pour éviter toute </w:t>
      </w:r>
      <w:r w:rsidRPr="005110A6">
        <w:t>charge électrostatique</w:t>
      </w:r>
      <w:r>
        <w:t>) ;</w:t>
      </w:r>
    </w:p>
    <w:p w:rsidR="009674FC" w:rsidRPr="00A41F99" w:rsidRDefault="009674FC" w:rsidP="00750B2E">
      <w:pPr>
        <w:pStyle w:val="SingleTxtG"/>
        <w:ind w:left="2268" w:hanging="567"/>
      </w:pPr>
      <w:r w:rsidRPr="00A41F99">
        <w:t>e)</w:t>
      </w:r>
      <w:r w:rsidRPr="00A41F99">
        <w:tab/>
        <w:t>Bouchons munis chacun d</w:t>
      </w:r>
      <w:r>
        <w:t xml:space="preserve">’un </w:t>
      </w:r>
      <w:r w:rsidRPr="00A41F99">
        <w:t>trou d</w:t>
      </w:r>
      <w:r>
        <w:t>’</w:t>
      </w:r>
      <w:r w:rsidRPr="00A41F99">
        <w:t>évent de 4 mm de diamètre (o</w:t>
      </w:r>
      <w:r>
        <w:t>u d’une échancrure de superficie é</w:t>
      </w:r>
      <w:r w:rsidRPr="00A41F99">
        <w:t>quivalente). </w:t>
      </w:r>
    </w:p>
    <w:p w:rsidR="009674FC" w:rsidRPr="000D5616" w:rsidRDefault="00750B2E" w:rsidP="00750B2E">
      <w:pPr>
        <w:pStyle w:val="H4G"/>
        <w:tabs>
          <w:tab w:val="left" w:pos="1985"/>
        </w:tabs>
      </w:pPr>
      <w:r>
        <w:tab/>
      </w:r>
      <w:r>
        <w:tab/>
      </w:r>
      <w:r w:rsidR="009674FC" w:rsidRPr="00750B2E">
        <w:rPr>
          <w:i w:val="0"/>
          <w:iCs/>
        </w:rPr>
        <w:t>3.2.2</w:t>
      </w:r>
      <w:r w:rsidR="009674FC" w:rsidRPr="000D5616">
        <w:tab/>
        <w:t>Matériel</w:t>
      </w:r>
    </w:p>
    <w:p w:rsidR="00AC4AD7" w:rsidRPr="00AC4AD7" w:rsidRDefault="008322A2" w:rsidP="008322A2">
      <w:pPr>
        <w:pStyle w:val="SingleTxtG"/>
        <w:tabs>
          <w:tab w:val="left" w:pos="1985"/>
        </w:tabs>
      </w:pPr>
      <w:r>
        <w:t>3.2.2.1</w:t>
      </w:r>
      <w:r>
        <w:tab/>
      </w:r>
      <w:r w:rsidR="00AC4AD7" w:rsidRPr="00AC4AD7">
        <w:t>Un échantillon de nitrocellulose sèche de 2,50 ± 0.01 g. Le taux d’humidité de l’échantillon doit être inférieur à 1 % après le processus de séchage et au moment où il est introduit dans l’éprouvette. Les conditions de séchage doivent être choisies de manière à éviter la décomposition de la nitrocellulose, par exemple à 50 °C dans une étuve sous vide.</w:t>
      </w:r>
    </w:p>
    <w:p w:rsidR="009674FC" w:rsidRPr="0058048B" w:rsidRDefault="009674FC" w:rsidP="008322A2">
      <w:pPr>
        <w:pStyle w:val="SingleTxtG"/>
        <w:tabs>
          <w:tab w:val="left" w:pos="1985"/>
        </w:tabs>
      </w:pPr>
      <w:r w:rsidRPr="0058048B">
        <w:t>3.2.2.2</w:t>
      </w:r>
      <w:r w:rsidRPr="0058048B">
        <w:tab/>
        <w:t xml:space="preserve">Des bandelettes </w:t>
      </w:r>
      <w:r>
        <w:t xml:space="preserve">de papier </w:t>
      </w:r>
      <w:r w:rsidRPr="0058048B">
        <w:t>réacti</w:t>
      </w:r>
      <w:r>
        <w:t xml:space="preserve">f au </w:t>
      </w:r>
      <w:r w:rsidRPr="0058048B">
        <w:t xml:space="preserve">violet de méthyle normalisées </w:t>
      </w:r>
      <w:r>
        <w:t>longues d’</w:t>
      </w:r>
      <w:r w:rsidRPr="0058048B">
        <w:t>environ 70</w:t>
      </w:r>
      <w:r>
        <w:t> </w:t>
      </w:r>
      <w:r>
        <w:sym w:font="Symbol" w:char="F0B1"/>
      </w:r>
      <w:r>
        <w:t> </w:t>
      </w:r>
      <w:r w:rsidRPr="0058048B">
        <w:t xml:space="preserve">1,0 mm </w:t>
      </w:r>
      <w:r>
        <w:t xml:space="preserve">et larges </w:t>
      </w:r>
      <w:r w:rsidRPr="0058048B">
        <w:t>de 20</w:t>
      </w:r>
      <w:r>
        <w:t> </w:t>
      </w:r>
      <w:r>
        <w:sym w:font="Symbol" w:char="F0B1"/>
      </w:r>
      <w:r>
        <w:t> </w:t>
      </w:r>
      <w:r w:rsidRPr="0058048B">
        <w:t>0</w:t>
      </w:r>
      <w:r>
        <w:t>,</w:t>
      </w:r>
      <w:r w:rsidRPr="0058048B">
        <w:t>6 mm (</w:t>
      </w:r>
      <w:r>
        <w:t xml:space="preserve">voir </w:t>
      </w:r>
      <w:r w:rsidRPr="0058048B">
        <w:t>6.16) o</w:t>
      </w:r>
      <w:r>
        <w:t>u préparées et testées selon la méthode suivante </w:t>
      </w:r>
      <w:r w:rsidRPr="0058048B">
        <w:t>: </w:t>
      </w:r>
    </w:p>
    <w:p w:rsidR="009674FC" w:rsidRPr="00A010CE" w:rsidRDefault="009674FC" w:rsidP="009674FC">
      <w:pPr>
        <w:pStyle w:val="SingleTxtG"/>
        <w:keepNext/>
        <w:ind w:left="2268" w:hanging="1134"/>
        <w:jc w:val="left"/>
      </w:pPr>
      <w:r>
        <w:t>3.2.2.2.1</w:t>
      </w:r>
      <w:r w:rsidRPr="00A010CE">
        <w:tab/>
        <w:t>Préparation de la solution d</w:t>
      </w:r>
      <w:r>
        <w:t>’</w:t>
      </w:r>
      <w:r w:rsidRPr="00A010CE">
        <w:t xml:space="preserve">indicateur </w:t>
      </w:r>
    </w:p>
    <w:p w:rsidR="009674FC" w:rsidRPr="00A010CE" w:rsidRDefault="009674FC" w:rsidP="004E70AF">
      <w:pPr>
        <w:pStyle w:val="SingleTxtG"/>
        <w:tabs>
          <w:tab w:val="left" w:pos="1985"/>
        </w:tabs>
        <w:ind w:firstLine="851"/>
      </w:pPr>
      <w:r>
        <w:t xml:space="preserve">Pour préparer 100 </w:t>
      </w:r>
      <w:r w:rsidRPr="00A010CE">
        <w:t>ml de solution d</w:t>
      </w:r>
      <w:r>
        <w:t>’</w:t>
      </w:r>
      <w:r w:rsidRPr="00A010CE">
        <w:t>indicateur</w:t>
      </w:r>
      <w:r>
        <w:t xml:space="preserve"> </w:t>
      </w:r>
      <w:r w:rsidRPr="00A010CE">
        <w:t>(</w:t>
      </w:r>
      <w:r w:rsidRPr="00897B0B">
        <w:rPr>
          <w:i/>
        </w:rPr>
        <w:t>note </w:t>
      </w:r>
      <w:r w:rsidRPr="00A010CE">
        <w:t>: si une quantité différente est nécessaire, il suffit de conserver les proportions indiquées)</w:t>
      </w:r>
      <w:r>
        <w:t> :</w:t>
      </w:r>
      <w:r w:rsidRPr="00A010CE">
        <w:t xml:space="preserve"> </w:t>
      </w:r>
      <w:r>
        <w:t xml:space="preserve">on pèse </w:t>
      </w:r>
      <w:r w:rsidRPr="00A010CE">
        <w:t>0,250</w:t>
      </w:r>
      <w:r>
        <w:t> </w:t>
      </w:r>
      <w:r w:rsidRPr="00A010CE">
        <w:t xml:space="preserve">g </w:t>
      </w:r>
      <w:r>
        <w:t>de rosaniline basique (</w:t>
      </w:r>
      <w:r w:rsidRPr="00662DD0">
        <w:t>équivalent au numéro CAS 632-99-5</w:t>
      </w:r>
      <w:r>
        <w:t xml:space="preserve">) dans une nacelle en porcelaine et on ajoute environ 10 ml d’acide acétique de qualité analytique. On chauffe la nacelle sur un bain d’eau jusqu’à ce que l’excès d’acide soit éliminé. </w:t>
      </w:r>
      <w:r w:rsidRPr="002B2E56">
        <w:t>Dans un cylindre gradué de 100 ml, on dissout 0,168</w:t>
      </w:r>
      <w:r>
        <w:t> </w:t>
      </w:r>
      <w:r w:rsidRPr="002B2E56">
        <w:t xml:space="preserve">g de cristal violet </w:t>
      </w:r>
      <w:r>
        <w:t xml:space="preserve">(équivalent au numéro CAS </w:t>
      </w:r>
      <w:r w:rsidRPr="00662DD0">
        <w:t>548-62-9)</w:t>
      </w:r>
      <w:r>
        <w:t xml:space="preserve"> dans 30 ml d’eau </w:t>
      </w:r>
      <w:proofErr w:type="spellStart"/>
      <w:r>
        <w:t>ultra-pure</w:t>
      </w:r>
      <w:proofErr w:type="spellEnd"/>
      <w:r>
        <w:t xml:space="preserve"> et l’on ajoute 5,0 g (4 ml) de glycérine de qualité analytique. On ajoute le contenu de la nacelle de porcelaine au cylindre en utilisant de l’éthanol </w:t>
      </w:r>
      <w:r w:rsidRPr="00662DD0">
        <w:t>(minimum 95</w:t>
      </w:r>
      <w:r>
        <w:t> </w:t>
      </w:r>
      <w:r w:rsidRPr="00662DD0">
        <w:t xml:space="preserve">% v/v) </w:t>
      </w:r>
      <w:r>
        <w:t xml:space="preserve">et on ajuste pour obtenir </w:t>
      </w:r>
      <w:r w:rsidRPr="00662DD0">
        <w:t>100</w:t>
      </w:r>
      <w:r>
        <w:t> </w:t>
      </w:r>
      <w:r w:rsidRPr="00662DD0">
        <w:t xml:space="preserve">ml </w:t>
      </w:r>
      <w:r>
        <w:t>de</w:t>
      </w:r>
      <w:r w:rsidRPr="00662DD0">
        <w:t xml:space="preserve"> solution. </w:t>
      </w:r>
      <w:r>
        <w:t>On mélange soigneusement la solution.</w:t>
      </w:r>
      <w:r w:rsidRPr="00153D88">
        <w:t> </w:t>
      </w:r>
    </w:p>
    <w:p w:rsidR="009674FC" w:rsidRPr="00153D88" w:rsidRDefault="009674FC" w:rsidP="009674FC">
      <w:pPr>
        <w:pStyle w:val="SingleTxtG"/>
        <w:keepNext/>
        <w:ind w:left="2268" w:hanging="1134"/>
        <w:jc w:val="left"/>
      </w:pPr>
      <w:r w:rsidRPr="00153D88">
        <w:lastRenderedPageBreak/>
        <w:t xml:space="preserve">3.2.2.2.2 </w:t>
      </w:r>
      <w:r w:rsidRPr="00153D88">
        <w:tab/>
        <w:t xml:space="preserve">Préparation </w:t>
      </w:r>
      <w:r>
        <w:t xml:space="preserve">du papier </w:t>
      </w:r>
      <w:r w:rsidRPr="00153D88">
        <w:t>réacti</w:t>
      </w:r>
      <w:r>
        <w:t xml:space="preserve">f au </w:t>
      </w:r>
      <w:r w:rsidRPr="00153D88">
        <w:t xml:space="preserve">violet de méthyle </w:t>
      </w:r>
    </w:p>
    <w:p w:rsidR="009674FC" w:rsidRPr="002A6FDA" w:rsidRDefault="009674FC" w:rsidP="004E70AF">
      <w:pPr>
        <w:pStyle w:val="SingleTxtG"/>
        <w:tabs>
          <w:tab w:val="left" w:pos="1985"/>
        </w:tabs>
      </w:pPr>
      <w:r w:rsidRPr="00153D88">
        <w:tab/>
      </w:r>
      <w:r>
        <w:t xml:space="preserve">On prépare des feuilles en découpant des filtres en papier (équivalent à </w:t>
      </w:r>
      <w:proofErr w:type="spellStart"/>
      <w:r w:rsidRPr="00695065">
        <w:t>Whatman</w:t>
      </w:r>
      <w:proofErr w:type="spellEnd"/>
      <w:r w:rsidRPr="00695065">
        <w:t xml:space="preserve"> 597, généralement de 580 mm </w:t>
      </w:r>
      <w:r w:rsidRPr="00695065">
        <w:rPr>
          <w:lang w:val="en-GB"/>
        </w:rPr>
        <w:sym w:font="Symbol" w:char="F0B4"/>
      </w:r>
      <w:r w:rsidRPr="00695065">
        <w:t xml:space="preserve"> 580 mm et d</w:t>
      </w:r>
      <w:r>
        <w:t>’</w:t>
      </w:r>
      <w:r w:rsidRPr="00695065">
        <w:t>environ 8,5 mg/cm</w:t>
      </w:r>
      <w:r w:rsidRPr="00695065">
        <w:rPr>
          <w:vertAlign w:val="superscript"/>
        </w:rPr>
        <w:t>2</w:t>
      </w:r>
      <w:r w:rsidRPr="00695065">
        <w:t>) en carrés</w:t>
      </w:r>
      <w:r>
        <w:t xml:space="preserve"> qui puissent s’ajuster au fond d’une cuvette à bords peu relevés suffisamment grande pour accueillir la feuille découpée (généralement quatre carrés d’environ </w:t>
      </w:r>
      <w:r w:rsidRPr="00951E0E">
        <w:t xml:space="preserve">290 mm </w:t>
      </w:r>
      <w:r w:rsidRPr="00695065">
        <w:rPr>
          <w:lang w:val="en-GB"/>
        </w:rPr>
        <w:sym w:font="Symbol" w:char="F0B4"/>
      </w:r>
      <w:r w:rsidRPr="00951E0E">
        <w:t xml:space="preserve"> 290 mm). </w:t>
      </w:r>
      <w:r>
        <w:t xml:space="preserve">Sous une hotte d’aspiration, on verse la solution de violet de méthyle dans cette cuvette. Chaque bande de papier découpée est plongée dans la solution pendant 30 secondes environ. On la retire ensuite de la solution et on lui imprime un mouvement de rotation vertical jusqu’à l’arrêt de l’égouttement (l’excès d’alcool met environ une minute à s’évaporer). On la laisse ensuite suspendue pendant une nuit dans un local exempt de vapeurs nuisibles pour qu’elle sèche. Une fois sèches les bandes sont découpées en bandelettes longues de </w:t>
      </w:r>
      <w:r w:rsidRPr="002A6FDA">
        <w:t>70</w:t>
      </w:r>
      <w:r>
        <w:t> </w:t>
      </w:r>
      <w:r>
        <w:sym w:font="Symbol" w:char="F0B1"/>
      </w:r>
      <w:r>
        <w:t> </w:t>
      </w:r>
      <w:r w:rsidRPr="002A6FDA">
        <w:t>1,0</w:t>
      </w:r>
      <w:r>
        <w:t> </w:t>
      </w:r>
      <w:r w:rsidRPr="002A6FDA">
        <w:t>mm et larges de 20</w:t>
      </w:r>
      <w:r>
        <w:t> </w:t>
      </w:r>
      <w:r>
        <w:sym w:font="Symbol" w:char="F0B1"/>
      </w:r>
      <w:r>
        <w:t> </w:t>
      </w:r>
      <w:r w:rsidRPr="002A6FDA">
        <w:t>0,6</w:t>
      </w:r>
      <w:r>
        <w:t> </w:t>
      </w:r>
      <w:proofErr w:type="spellStart"/>
      <w:r w:rsidRPr="002A6FDA">
        <w:t>mm.</w:t>
      </w:r>
      <w:proofErr w:type="spellEnd"/>
      <w:r>
        <w:t xml:space="preserve"> Après avoir été certifiées, elles sont conservées dans des </w:t>
      </w:r>
      <w:r w:rsidRPr="002A6FDA">
        <w:t>flacons en verre ambré</w:t>
      </w:r>
      <w:r>
        <w:t xml:space="preserve"> bien fermés contenant au maximum 200 bandelettes par flacon. Ces flacons doivent être conservés hermétiquement fermés dans un local à température ambiante et en tout temps à l’abri de la lumière directe, sauf lorsqu’on en retire brièvement des bandelettes de papier indicateur.  </w:t>
      </w:r>
    </w:p>
    <w:p w:rsidR="009674FC" w:rsidRPr="00695065" w:rsidRDefault="004E70AF" w:rsidP="009674FC">
      <w:pPr>
        <w:pStyle w:val="SingleTxtG"/>
        <w:keepNext/>
        <w:jc w:val="left"/>
      </w:pPr>
      <w:r>
        <w:t>3.2.2.2.3</w:t>
      </w:r>
      <w:r w:rsidR="009674FC" w:rsidRPr="00695065">
        <w:tab/>
        <w:t xml:space="preserve">Certification </w:t>
      </w:r>
      <w:r w:rsidR="009674FC">
        <w:t xml:space="preserve">du papier </w:t>
      </w:r>
      <w:r w:rsidR="009674FC" w:rsidRPr="00695065">
        <w:t>réacti</w:t>
      </w:r>
      <w:r w:rsidR="009674FC">
        <w:t>f</w:t>
      </w:r>
      <w:r w:rsidR="009674FC" w:rsidRPr="00695065">
        <w:t xml:space="preserve"> </w:t>
      </w:r>
      <w:r w:rsidR="009674FC">
        <w:t>au</w:t>
      </w:r>
      <w:r w:rsidR="009674FC" w:rsidRPr="00695065">
        <w:t xml:space="preserve"> violet de méthyle</w:t>
      </w:r>
    </w:p>
    <w:p w:rsidR="009674FC" w:rsidRPr="00937526" w:rsidRDefault="009674FC" w:rsidP="008145DA">
      <w:pPr>
        <w:pStyle w:val="SingleTxtG"/>
        <w:tabs>
          <w:tab w:val="left" w:pos="2268"/>
        </w:tabs>
      </w:pPr>
      <w:r w:rsidRPr="00695065">
        <w:tab/>
      </w:r>
      <w:r>
        <w:t xml:space="preserve">Pour au moins une bandelette de chacun des flacons qui en contiennent 200 au maximum on détermine, par passage à l’étuve, sa teneur en eau qui doit être comprise entre 7,5 et 15 %. En cas de besoin on peut réhydrater le papier en le maintenant dans une chambre dont l’humidité relative est contrôlée entre 60 et 80% jusqu’à ce que la teneur en eau correct soit rétablie. </w:t>
      </w:r>
      <w:r w:rsidRPr="00937526">
        <w:t xml:space="preserve"> </w:t>
      </w:r>
    </w:p>
    <w:p w:rsidR="009674FC" w:rsidRPr="005E63B1" w:rsidRDefault="009674FC" w:rsidP="008145DA">
      <w:pPr>
        <w:pStyle w:val="SingleTxtG"/>
        <w:tabs>
          <w:tab w:val="left" w:pos="2268"/>
        </w:tabs>
      </w:pPr>
      <w:r w:rsidRPr="00937526">
        <w:tab/>
      </w:r>
      <w:r>
        <w:t xml:space="preserve">Pour confirmer que la réactivité du papier indicateur au violet de méthyle est acceptable, on teste </w:t>
      </w:r>
      <w:r w:rsidRPr="00937526">
        <w:t>au moins une bandelette de chacun des flacons qui en contiennent 200 au maximum</w:t>
      </w:r>
      <w:r>
        <w:t xml:space="preserve"> en utilisant du dioxyde d’azote de concentration dans l’air connue et comprise entre 1 500 et 2 500 ppm</w:t>
      </w:r>
      <w:r w:rsidRPr="005E63B1">
        <w:t xml:space="preserve"> (v/v). On</w:t>
      </w:r>
      <w:r>
        <w:t> </w:t>
      </w:r>
      <w:r w:rsidRPr="005E63B1">
        <w:t>peut utiliser du gaz déjà dilué et certifié ou l</w:t>
      </w:r>
      <w:r>
        <w:t>’</w:t>
      </w:r>
      <w:r w:rsidRPr="005E63B1">
        <w:t xml:space="preserve">obtenir </w:t>
      </w:r>
      <w:r>
        <w:t xml:space="preserve">par dilution en utilisant du dioxyde d’azote pur. La concentration du gaz doit être connue avec une précision de </w:t>
      </w:r>
      <w:r>
        <w:sym w:font="Symbol" w:char="F0B1"/>
      </w:r>
      <w:r>
        <w:t>2,</w:t>
      </w:r>
      <w:r w:rsidRPr="005E63B1">
        <w:t>5</w:t>
      </w:r>
      <w:r>
        <w:t> </w:t>
      </w:r>
      <w:r w:rsidRPr="005E63B1">
        <w:t xml:space="preserve">%. </w:t>
      </w:r>
    </w:p>
    <w:p w:rsidR="009674FC" w:rsidRPr="00550FE0" w:rsidRDefault="009674FC" w:rsidP="008145DA">
      <w:pPr>
        <w:pStyle w:val="SingleTxtG"/>
        <w:tabs>
          <w:tab w:val="left" w:pos="2268"/>
        </w:tabs>
      </w:pPr>
      <w:r w:rsidRPr="005E63B1">
        <w:tab/>
      </w:r>
      <w:r w:rsidRPr="00550FE0">
        <w:t>Sur la base de la concentration du dioxyde d</w:t>
      </w:r>
      <w:r>
        <w:t>’</w:t>
      </w:r>
      <w:r w:rsidRPr="00550FE0">
        <w:t>azote</w:t>
      </w:r>
      <w:r>
        <w:t>,</w:t>
      </w:r>
      <w:r w:rsidRPr="00550FE0">
        <w:t xml:space="preserve"> le débit requis pour un point de virage</w:t>
      </w:r>
      <w:r>
        <w:t xml:space="preserve"> centré à </w:t>
      </w:r>
      <w:r w:rsidRPr="00550FE0">
        <w:t>55</w:t>
      </w:r>
      <w:r>
        <w:t> </w:t>
      </w:r>
      <w:r w:rsidRPr="00550FE0">
        <w:t>m</w:t>
      </w:r>
      <w:r>
        <w:t>inutes est le suivant :</w:t>
      </w:r>
    </w:p>
    <w:p w:rsidR="009674FC" w:rsidRPr="00695065" w:rsidRDefault="009674FC" w:rsidP="004E70AF">
      <w:pPr>
        <w:pStyle w:val="SingleTxtG"/>
        <w:tabs>
          <w:tab w:val="left" w:pos="1985"/>
        </w:tabs>
      </w:pPr>
      <w:r w:rsidRPr="00695065">
        <w:t>Débit (ml/min) = 83</w:t>
      </w:r>
      <w:r>
        <w:t> 636</w:t>
      </w:r>
      <w:r w:rsidRPr="00695065">
        <w:t>/concentration en ppm (v/v)</w:t>
      </w:r>
      <w:r>
        <w:t xml:space="preserve"> de dioxyde d’azote</w:t>
      </w:r>
      <w:r w:rsidRPr="00695065">
        <w:t>.</w:t>
      </w:r>
    </w:p>
    <w:p w:rsidR="009674FC" w:rsidRPr="00090A91" w:rsidRDefault="009674FC" w:rsidP="008145DA">
      <w:pPr>
        <w:pStyle w:val="SingleTxtG"/>
        <w:tabs>
          <w:tab w:val="left" w:pos="2268"/>
        </w:tabs>
      </w:pPr>
      <w:r w:rsidRPr="00695065">
        <w:tab/>
      </w:r>
      <w:r w:rsidRPr="00550FE0">
        <w:t xml:space="preserve">Ce débit doit être maintenu dans les limites de </w:t>
      </w:r>
      <w:r>
        <w:sym w:font="Symbol" w:char="F0B1"/>
      </w:r>
      <w:r>
        <w:t>1,</w:t>
      </w:r>
      <w:r w:rsidRPr="00550FE0">
        <w:t>5</w:t>
      </w:r>
      <w:r>
        <w:t> </w:t>
      </w:r>
      <w:r w:rsidRPr="00550FE0">
        <w:t>ml/m de la valeur calculée</w:t>
      </w:r>
      <w:r>
        <w:t xml:space="preserve"> durant la certification du papier. On teste ce papier à l’aide du gaz standard et d’une cuve à circulation cylindrique d’environ 30 ml contenant une bandelette de papier (le diamètre de la cuve à circulation correspond à la largeur de la bandelette de papier </w:t>
      </w:r>
      <w:r w:rsidRPr="00090A91">
        <w:t>réacti</w:t>
      </w:r>
      <w:r>
        <w:t>f</w:t>
      </w:r>
      <w:r w:rsidRPr="00090A91">
        <w:t xml:space="preserve"> au violet de méthyle). </w:t>
      </w:r>
      <w:r>
        <w:t xml:space="preserve">Le point de virage est obtenu lorsque le papier est devenu entièrement rose saumon au bout de </w:t>
      </w:r>
      <w:r w:rsidRPr="00090A91">
        <w:t>55</w:t>
      </w:r>
      <w:r>
        <w:t> </w:t>
      </w:r>
      <w:r>
        <w:sym w:font="Symbol" w:char="F0B1"/>
      </w:r>
      <w:r>
        <w:t> </w:t>
      </w:r>
      <w:r w:rsidRPr="00090A91">
        <w:t>7 m</w:t>
      </w:r>
      <w:r>
        <w:t>inutes</w:t>
      </w:r>
      <w:r w:rsidRPr="00090A91">
        <w:t xml:space="preserve">. </w:t>
      </w:r>
    </w:p>
    <w:p w:rsidR="009674FC" w:rsidRPr="00875524" w:rsidRDefault="009674FC" w:rsidP="008145DA">
      <w:pPr>
        <w:pStyle w:val="SingleTxtG"/>
        <w:tabs>
          <w:tab w:val="left" w:pos="2268"/>
        </w:tabs>
      </w:pPr>
      <w:r w:rsidRPr="00090A91">
        <w:tab/>
        <w:t>Seuls les lots qui re</w:t>
      </w:r>
      <w:r>
        <w:t xml:space="preserve">spectent </w:t>
      </w:r>
      <w:r w:rsidRPr="00090A91">
        <w:t>ces deux critères (teneur en eau et temps de réaction) seront considérés comme d</w:t>
      </w:r>
      <w:r>
        <w:t>u</w:t>
      </w:r>
      <w:r w:rsidRPr="00090A91">
        <w:t xml:space="preserve"> papier </w:t>
      </w:r>
      <w:r>
        <w:t xml:space="preserve">indicateur au violet de méthyle. Ces papiers doivent être stockés à température ambiante et à l’abri de la lumière. Leur durée maximale de conservation dans un flacon scellé est de 5 ans. Une fois que le flacon a été ouvert, cette durée est réduite à 1 an. Au bout de 1 an, la teneur en eau du papier doit être vérifiée et ajustée si nécessaire. Le flacon contenant les </w:t>
      </w:r>
      <w:r w:rsidRPr="00875524">
        <w:t>papier</w:t>
      </w:r>
      <w:r>
        <w:t>s</w:t>
      </w:r>
      <w:r w:rsidRPr="00875524">
        <w:t xml:space="preserve"> indicateur</w:t>
      </w:r>
      <w:r>
        <w:t>s se voit alors accorder une durée de conservation supplémentaire de 1 an. En aucun cas des papiers indicateurs ne doivent être conservés plus de 5 ans après leur fabrication.</w:t>
      </w:r>
      <w:r w:rsidRPr="00875524">
        <w:t> </w:t>
      </w:r>
    </w:p>
    <w:p w:rsidR="009674FC" w:rsidRPr="00761C2A" w:rsidRDefault="004E70AF" w:rsidP="004E70AF">
      <w:pPr>
        <w:pStyle w:val="H23G"/>
        <w:tabs>
          <w:tab w:val="left" w:pos="1985"/>
        </w:tabs>
      </w:pPr>
      <w:r w:rsidRPr="00761C2A">
        <w:lastRenderedPageBreak/>
        <w:tab/>
      </w:r>
      <w:r w:rsidRPr="00761C2A">
        <w:tab/>
      </w:r>
      <w:r w:rsidR="009674FC" w:rsidRPr="00761C2A">
        <w:t>3.3</w:t>
      </w:r>
      <w:r w:rsidR="009674FC" w:rsidRPr="00761C2A">
        <w:tab/>
        <w:t xml:space="preserve">Mode opératoire </w:t>
      </w:r>
    </w:p>
    <w:p w:rsidR="009674FC" w:rsidRPr="00875524" w:rsidRDefault="009674FC" w:rsidP="004E70AF">
      <w:pPr>
        <w:pStyle w:val="SingleTxtG"/>
        <w:tabs>
          <w:tab w:val="left" w:pos="1985"/>
        </w:tabs>
      </w:pPr>
      <w:r w:rsidRPr="00875524">
        <w:t>3.3.1</w:t>
      </w:r>
      <w:r w:rsidRPr="00875524">
        <w:tab/>
        <w:t>Il ne faut pas toucher à mains nues l</w:t>
      </w:r>
      <w:r>
        <w:t>’</w:t>
      </w:r>
      <w:r w:rsidRPr="00875524">
        <w:t>échantillon</w:t>
      </w:r>
      <w:r>
        <w:t xml:space="preserve"> ni l’intérieur des éprouvettes. L’épreuve doit être effectuée deux fois et répétée si les résultats des deux mesures diffèrent de plus de 5 </w:t>
      </w:r>
      <w:r w:rsidRPr="00875524">
        <w:t>m</w:t>
      </w:r>
      <w:r>
        <w:t>inutes</w:t>
      </w:r>
      <w:r w:rsidRPr="00875524">
        <w:t>. </w:t>
      </w:r>
    </w:p>
    <w:p w:rsidR="009674FC" w:rsidRPr="00D05A6F" w:rsidRDefault="009674FC" w:rsidP="004E70AF">
      <w:pPr>
        <w:pStyle w:val="SingleTxtG"/>
        <w:tabs>
          <w:tab w:val="left" w:pos="1985"/>
        </w:tabs>
      </w:pPr>
      <w:r w:rsidRPr="00AB4EEB">
        <w:t>3.3.2</w:t>
      </w:r>
      <w:r w:rsidRPr="00AB4EEB">
        <w:tab/>
        <w:t>D</w:t>
      </w:r>
      <w:r w:rsidRPr="00303D37">
        <w:t>eux portions de 2,5</w:t>
      </w:r>
      <w:r>
        <w:t> </w:t>
      </w:r>
      <w:r>
        <w:sym w:font="Symbol" w:char="F0B1"/>
      </w:r>
      <w:r>
        <w:t> </w:t>
      </w:r>
      <w:r w:rsidRPr="00303D37">
        <w:t>0,01</w:t>
      </w:r>
      <w:r>
        <w:t> </w:t>
      </w:r>
      <w:r w:rsidRPr="00303D37">
        <w:t>g chacune de l</w:t>
      </w:r>
      <w:r>
        <w:t>’</w:t>
      </w:r>
      <w:r w:rsidRPr="00303D37">
        <w:t>échantillon de nitrocellulose sèche sont plac</w:t>
      </w:r>
      <w:r>
        <w:t>ée</w:t>
      </w:r>
      <w:r w:rsidRPr="00303D37">
        <w:t xml:space="preserve">s dans les </w:t>
      </w:r>
      <w:r>
        <w:t>éprouvettes utilisées pour l’é</w:t>
      </w:r>
      <w:r w:rsidRPr="00303D37">
        <w:t>preuve de stabilité</w:t>
      </w:r>
      <w:r>
        <w:t xml:space="preserve">, de préférence à l’aide d’un entonnoir à poudre. On tapote légèrement chaque éprouvette pour tasser la substance qui s’y trouve et on élimine par brossage toute trace de substance adhérant aux parois des éprouvettes. Si la nitrocellulose occupe une longueur supérieure à 5 cm il convient de la tasser à l’aide d’une baguette à tête plate pour la réduire à cette longueur. Une bandelette de papier indicateur est placée verticalement dans chaque éprouvette de telle sorte que son extrémité inférieure se trouve à </w:t>
      </w:r>
      <w:r w:rsidRPr="00D05A6F">
        <w:t>25</w:t>
      </w:r>
      <w:r>
        <w:t> </w:t>
      </w:r>
      <w:r w:rsidRPr="00D05A6F">
        <w:t xml:space="preserve">mm au-dessus </w:t>
      </w:r>
      <w:r>
        <w:t xml:space="preserve">de l’échantillon. </w:t>
      </w:r>
      <w:r w:rsidRPr="00D05A6F">
        <w:t>On place ensuite un bouchon dans chaque éprouvette. Les deux éprouvettes sont plongées dans le bain et maintenue</w:t>
      </w:r>
      <w:r>
        <w:t>s</w:t>
      </w:r>
      <w:r w:rsidRPr="00D05A6F">
        <w:t xml:space="preserve"> à la température de 134,5</w:t>
      </w:r>
      <w:r>
        <w:t> </w:t>
      </w:r>
      <w:r>
        <w:sym w:font="Symbol" w:char="F0B1"/>
      </w:r>
      <w:r>
        <w:t> </w:t>
      </w:r>
      <w:r w:rsidRPr="00D05A6F">
        <w:t>0,5 °C. </w:t>
      </w:r>
    </w:p>
    <w:p w:rsidR="009674FC" w:rsidRPr="009729F7" w:rsidRDefault="004E70AF" w:rsidP="004E70AF">
      <w:pPr>
        <w:pStyle w:val="H23G"/>
        <w:tabs>
          <w:tab w:val="left" w:pos="1985"/>
        </w:tabs>
        <w:rPr>
          <w:szCs w:val="24"/>
        </w:rPr>
      </w:pPr>
      <w:r w:rsidRPr="00761C2A">
        <w:tab/>
      </w:r>
      <w:r w:rsidRPr="00761C2A">
        <w:tab/>
      </w:r>
      <w:r w:rsidR="009674FC" w:rsidRPr="00761C2A">
        <w:t>3.4</w:t>
      </w:r>
      <w:r w:rsidR="009674FC" w:rsidRPr="00761C2A">
        <w:tab/>
        <w:t>Critères d’épreuve et méthode d’évaluation des résultats</w:t>
      </w:r>
    </w:p>
    <w:p w:rsidR="009674FC" w:rsidRDefault="009674FC" w:rsidP="004E70AF">
      <w:pPr>
        <w:pStyle w:val="SingleTxtG"/>
        <w:tabs>
          <w:tab w:val="left" w:pos="1985"/>
        </w:tabs>
      </w:pPr>
      <w:r w:rsidRPr="00D05A6F">
        <w:t>3.4.1</w:t>
      </w:r>
      <w:r w:rsidRPr="00D05A6F">
        <w:tab/>
        <w:t>Afin de déterminer la durée de l</w:t>
      </w:r>
      <w:r>
        <w:t>’</w:t>
      </w:r>
      <w:r w:rsidRPr="00D05A6F">
        <w:t>épreuve, les papier</w:t>
      </w:r>
      <w:r>
        <w:t>s</w:t>
      </w:r>
      <w:r w:rsidRPr="00D05A6F">
        <w:t xml:space="preserve"> indicateur</w:t>
      </w:r>
      <w:r>
        <w:t xml:space="preserve">s sont examinés au bout des </w:t>
      </w:r>
      <w:proofErr w:type="gramStart"/>
      <w:r>
        <w:t>20  premières</w:t>
      </w:r>
      <w:proofErr w:type="gramEnd"/>
      <w:r>
        <w:t xml:space="preserve"> minutes passées dans le bain, puis toutes les 5 minutes. Lors de chaque examen des papiers indicateurs on soulève à moitié les éprouvettes hors du bain pour observer le changement de couleur </w:t>
      </w:r>
      <w:r w:rsidRPr="008857FA">
        <w:t>d</w:t>
      </w:r>
      <w:r>
        <w:t>u</w:t>
      </w:r>
      <w:r w:rsidRPr="008857FA">
        <w:t xml:space="preserve"> papier indicateur </w:t>
      </w:r>
      <w:r>
        <w:t>avant de les y replonger rapidement.</w:t>
      </w:r>
    </w:p>
    <w:p w:rsidR="009674FC" w:rsidRPr="008857FA" w:rsidRDefault="009674FC" w:rsidP="004E70AF">
      <w:pPr>
        <w:pStyle w:val="SingleTxtG"/>
        <w:tabs>
          <w:tab w:val="left" w:pos="1985"/>
        </w:tabs>
      </w:pPr>
      <w:r w:rsidRPr="008857FA">
        <w:t>3.4.2</w:t>
      </w:r>
      <w:r w:rsidRPr="008857FA">
        <w:tab/>
        <w:t>Lorsque la couleur du papier indicateur de l</w:t>
      </w:r>
      <w:r>
        <w:t>’</w:t>
      </w:r>
      <w:r w:rsidRPr="008857FA">
        <w:t>une des éprouvettes est devenue complétement rose saumon l</w:t>
      </w:r>
      <w:r>
        <w:t>’</w:t>
      </w:r>
      <w:r w:rsidRPr="008857FA">
        <w:t>épreuve est considérée comme terminée.</w:t>
      </w:r>
      <w:r>
        <w:t xml:space="preserve"> </w:t>
      </w:r>
      <w:r w:rsidRPr="008857FA">
        <w:t xml:space="preserve"> </w:t>
      </w:r>
    </w:p>
    <w:p w:rsidR="009674FC" w:rsidRPr="00AB4EEB" w:rsidRDefault="009674FC" w:rsidP="004E70AF">
      <w:pPr>
        <w:pStyle w:val="SingleTxtG"/>
        <w:tabs>
          <w:tab w:val="left" w:pos="1985"/>
        </w:tabs>
      </w:pPr>
      <w:r w:rsidRPr="008857FA">
        <w:t>3.4.3</w:t>
      </w:r>
      <w:r w:rsidRPr="008857FA">
        <w:tab/>
        <w:t>La durée de l</w:t>
      </w:r>
      <w:r>
        <w:t>’</w:t>
      </w:r>
      <w:r w:rsidRPr="008857FA">
        <w:t>épreuve est alors consignée (si</w:t>
      </w:r>
      <w:r>
        <w:t>,</w:t>
      </w:r>
      <w:r w:rsidRPr="008857FA">
        <w:t xml:space="preserve"> par exemple</w:t>
      </w:r>
      <w:r>
        <w:t>,</w:t>
      </w:r>
      <w:r w:rsidRPr="008857FA">
        <w:t xml:space="preserve"> le papier violet n</w:t>
      </w:r>
      <w:r>
        <w:t>’</w:t>
      </w:r>
      <w:r w:rsidRPr="008857FA">
        <w:t>a pas complétement changé de couleur au bout de 25</w:t>
      </w:r>
      <w:r>
        <w:t> </w:t>
      </w:r>
      <w:r w:rsidRPr="008857FA">
        <w:t>m</w:t>
      </w:r>
      <w:r>
        <w:t>inutes</w:t>
      </w:r>
      <w:r w:rsidRPr="008857FA">
        <w:t xml:space="preserve"> mais l</w:t>
      </w:r>
      <w:r>
        <w:t>’</w:t>
      </w:r>
      <w:r w:rsidRPr="008857FA">
        <w:t>a fait au bout de 30</w:t>
      </w:r>
      <w:r>
        <w:t> </w:t>
      </w:r>
      <w:r w:rsidRPr="008857FA">
        <w:t>m</w:t>
      </w:r>
      <w:r>
        <w:t>inutes</w:t>
      </w:r>
      <w:r w:rsidRPr="008857FA">
        <w:t>, la durée consignée est de 30</w:t>
      </w:r>
      <w:r>
        <w:t> </w:t>
      </w:r>
      <w:r w:rsidRPr="008857FA">
        <w:t>m</w:t>
      </w:r>
      <w:r>
        <w:t>inutes</w:t>
      </w:r>
      <w:r w:rsidRPr="008857FA">
        <w:t>)</w:t>
      </w:r>
      <w:r>
        <w:t>. L’épreuve est terminée lorsque le point de virage au rose saumon est atteint pour n’importe lequel des papiers indicateurs.</w:t>
      </w:r>
    </w:p>
    <w:p w:rsidR="009674FC" w:rsidRPr="00AB4EEB" w:rsidRDefault="009674FC" w:rsidP="004E70AF">
      <w:pPr>
        <w:pStyle w:val="SingleTxtG"/>
        <w:tabs>
          <w:tab w:val="left" w:pos="1985"/>
        </w:tabs>
      </w:pPr>
      <w:r w:rsidRPr="00AB4EEB">
        <w:t xml:space="preserve">3.4.4 </w:t>
      </w:r>
      <w:r w:rsidRPr="00AB4EEB">
        <w:tab/>
        <w:t>Le résultat de l</w:t>
      </w:r>
      <w:r>
        <w:t>’</w:t>
      </w:r>
      <w:r w:rsidRPr="00AB4EEB">
        <w:t>épreuve est considéré comme positif (</w:t>
      </w:r>
      <w:r>
        <w:t>“</w:t>
      </w:r>
      <w:r w:rsidRPr="00AB4EEB">
        <w:t>+</w:t>
      </w:r>
      <w:r>
        <w:t>”</w:t>
      </w:r>
      <w:r w:rsidRPr="00AB4EEB">
        <w:t>) et la matière est classés comme instable</w:t>
      </w:r>
      <w:r>
        <w:t xml:space="preserve"> si le papier indicateur change de couleur en moins de 30 minutes. Si la couleur change après plus de 30 minutes, le résultat est négatif (“</w:t>
      </w:r>
      <w:r w:rsidRPr="00AB4EEB">
        <w:t>-</w:t>
      </w:r>
      <w:r>
        <w:t>”)</w:t>
      </w:r>
      <w:r w:rsidRPr="00AB4EEB">
        <w:t xml:space="preserve"> </w:t>
      </w:r>
      <w:r>
        <w:t>et la matière est classée comme stable</w:t>
      </w:r>
      <w:r w:rsidRPr="00AB4EEB">
        <w:t>.</w:t>
      </w:r>
    </w:p>
    <w:p w:rsidR="009674FC" w:rsidRDefault="004E70AF" w:rsidP="004E70AF">
      <w:pPr>
        <w:pStyle w:val="H23G"/>
        <w:rPr>
          <w:szCs w:val="24"/>
        </w:rPr>
      </w:pPr>
      <w:r w:rsidRPr="00761C2A">
        <w:tab/>
      </w:r>
      <w:r w:rsidRPr="00761C2A">
        <w:tab/>
      </w:r>
      <w:r>
        <w:rPr>
          <w:lang w:val="en-GB"/>
        </w:rPr>
        <w:t>3.5</w:t>
      </w:r>
      <w:r w:rsidR="009674FC" w:rsidRPr="004E70AF">
        <w:rPr>
          <w:lang w:val="en-GB"/>
        </w:rPr>
        <w:tab/>
      </w:r>
      <w:proofErr w:type="spellStart"/>
      <w:r w:rsidR="009674FC" w:rsidRPr="004E70AF">
        <w:rPr>
          <w:lang w:val="en-GB"/>
        </w:rPr>
        <w:t>Exemples</w:t>
      </w:r>
      <w:proofErr w:type="spellEnd"/>
      <w:r w:rsidR="009674FC" w:rsidRPr="004E70AF">
        <w:rPr>
          <w:lang w:val="en-GB"/>
        </w:rPr>
        <w:t xml:space="preserve"> de </w:t>
      </w:r>
      <w:proofErr w:type="spellStart"/>
      <w:r w:rsidR="009674FC" w:rsidRPr="004E70AF">
        <w:rPr>
          <w:lang w:val="en-GB"/>
        </w:rPr>
        <w:t>résultats</w:t>
      </w:r>
      <w:proofErr w:type="spellEnd"/>
    </w:p>
    <w:tbl>
      <w:tblPr>
        <w:tblStyle w:val="TableGrid"/>
        <w:tblW w:w="6237" w:type="dxa"/>
        <w:tblInd w:w="2268" w:type="dxa"/>
        <w:tblLayout w:type="fixed"/>
        <w:tblLook w:val="04A0" w:firstRow="1" w:lastRow="0" w:firstColumn="1" w:lastColumn="0" w:noHBand="0" w:noVBand="1"/>
      </w:tblPr>
      <w:tblGrid>
        <w:gridCol w:w="3119"/>
        <w:gridCol w:w="3118"/>
      </w:tblGrid>
      <w:tr w:rsidR="009674FC" w:rsidRPr="00EE7A99" w:rsidTr="009126EF">
        <w:tc>
          <w:tcPr>
            <w:tcW w:w="3685" w:type="dxa"/>
            <w:shd w:val="clear" w:color="auto" w:fill="auto"/>
            <w:vAlign w:val="bottom"/>
          </w:tcPr>
          <w:p w:rsidR="009674FC" w:rsidRPr="00ED25DF" w:rsidRDefault="009674FC" w:rsidP="009126EF">
            <w:pPr>
              <w:spacing w:before="60" w:after="60" w:line="240" w:lineRule="auto"/>
              <w:ind w:right="113"/>
              <w:jc w:val="center"/>
              <w:rPr>
                <w:b/>
              </w:rPr>
            </w:pPr>
            <w:r w:rsidRPr="00ED25DF">
              <w:rPr>
                <w:b/>
              </w:rPr>
              <w:t>Durée</w:t>
            </w:r>
          </w:p>
        </w:tc>
        <w:tc>
          <w:tcPr>
            <w:tcW w:w="3685" w:type="dxa"/>
            <w:shd w:val="clear" w:color="auto" w:fill="auto"/>
            <w:vAlign w:val="bottom"/>
          </w:tcPr>
          <w:p w:rsidR="009674FC" w:rsidRPr="00ED25DF" w:rsidRDefault="009674FC" w:rsidP="009126EF">
            <w:pPr>
              <w:spacing w:before="60" w:after="60" w:line="240" w:lineRule="auto"/>
              <w:ind w:right="113"/>
              <w:jc w:val="center"/>
              <w:rPr>
                <w:b/>
              </w:rPr>
            </w:pPr>
            <w:r w:rsidRPr="00ED25DF">
              <w:rPr>
                <w:b/>
              </w:rPr>
              <w:t>Résultat</w:t>
            </w:r>
          </w:p>
        </w:tc>
      </w:tr>
      <w:tr w:rsidR="009674FC" w:rsidRPr="00EE7A99" w:rsidTr="009126EF">
        <w:tc>
          <w:tcPr>
            <w:tcW w:w="3685" w:type="dxa"/>
            <w:shd w:val="clear" w:color="auto" w:fill="auto"/>
          </w:tcPr>
          <w:p w:rsidR="009674FC" w:rsidRPr="00EE7A99" w:rsidRDefault="009674FC" w:rsidP="009126EF">
            <w:pPr>
              <w:spacing w:before="60" w:after="60" w:line="240" w:lineRule="auto"/>
              <w:ind w:right="113"/>
              <w:jc w:val="center"/>
            </w:pPr>
            <w:r>
              <w:t>25 min</w:t>
            </w:r>
          </w:p>
        </w:tc>
        <w:tc>
          <w:tcPr>
            <w:tcW w:w="3685" w:type="dxa"/>
            <w:shd w:val="clear" w:color="auto" w:fill="auto"/>
          </w:tcPr>
          <w:p w:rsidR="009674FC" w:rsidRPr="00EE7A99" w:rsidRDefault="009674FC" w:rsidP="009126EF">
            <w:pPr>
              <w:spacing w:before="60" w:after="60" w:line="240" w:lineRule="auto"/>
              <w:ind w:right="113"/>
              <w:jc w:val="center"/>
            </w:pPr>
            <w:r>
              <w:t>+</w:t>
            </w:r>
          </w:p>
        </w:tc>
      </w:tr>
      <w:tr w:rsidR="009674FC" w:rsidRPr="00EE7A99" w:rsidTr="009126EF">
        <w:tc>
          <w:tcPr>
            <w:tcW w:w="3685" w:type="dxa"/>
            <w:shd w:val="clear" w:color="auto" w:fill="auto"/>
          </w:tcPr>
          <w:p w:rsidR="009674FC" w:rsidRPr="00EE7A99" w:rsidRDefault="009674FC" w:rsidP="009126EF">
            <w:pPr>
              <w:spacing w:before="60" w:after="60" w:line="240" w:lineRule="auto"/>
              <w:ind w:right="113"/>
              <w:jc w:val="center"/>
            </w:pPr>
            <w:r>
              <w:t>35 min</w:t>
            </w:r>
          </w:p>
        </w:tc>
        <w:tc>
          <w:tcPr>
            <w:tcW w:w="3685" w:type="dxa"/>
            <w:shd w:val="clear" w:color="auto" w:fill="auto"/>
          </w:tcPr>
          <w:p w:rsidR="009674FC" w:rsidRPr="00EE7A99" w:rsidRDefault="009674FC" w:rsidP="009126EF">
            <w:pPr>
              <w:spacing w:before="60" w:after="60" w:line="240" w:lineRule="auto"/>
              <w:ind w:right="113"/>
              <w:jc w:val="center"/>
            </w:pPr>
            <w:r>
              <w:t>-</w:t>
            </w:r>
          </w:p>
        </w:tc>
      </w:tr>
    </w:tbl>
    <w:p w:rsidR="009674FC" w:rsidRDefault="009674FC" w:rsidP="009674FC">
      <w:pPr>
        <w:pStyle w:val="SingleTxtG"/>
        <w:spacing w:before="120"/>
        <w:jc w:val="right"/>
      </w:pPr>
      <w:r>
        <w:t>».</w:t>
      </w:r>
    </w:p>
    <w:p w:rsidR="009674FC" w:rsidRPr="009126EF" w:rsidRDefault="009674FC" w:rsidP="00C14D8F">
      <w:pPr>
        <w:pStyle w:val="SingleTxtG"/>
        <w:spacing w:before="120"/>
        <w:jc w:val="left"/>
        <w:rPr>
          <w:i/>
          <w:iCs/>
        </w:rPr>
      </w:pPr>
      <w:r w:rsidRPr="009674FC">
        <w:rPr>
          <w:i/>
          <w:iCs/>
        </w:rPr>
        <w:t xml:space="preserve">(Document de référence : </w:t>
      </w:r>
      <w:r w:rsidR="008740AB" w:rsidRPr="004D62BF">
        <w:rPr>
          <w:i/>
          <w:iCs/>
        </w:rPr>
        <w:t>ST/SG/AC.10/C.3/2018/9</w:t>
      </w:r>
      <w:r w:rsidR="00C14D8F">
        <w:rPr>
          <w:i/>
          <w:iCs/>
        </w:rPr>
        <w:t xml:space="preserve"> et </w:t>
      </w:r>
      <w:r w:rsidRPr="009674FC">
        <w:rPr>
          <w:i/>
          <w:iCs/>
        </w:rPr>
        <w:t xml:space="preserve">document informel INF.67, annexe 3, </w:t>
      </w:r>
      <w:r w:rsidR="00C14D8F">
        <w:rPr>
          <w:i/>
          <w:iCs/>
        </w:rPr>
        <w:t xml:space="preserve">amendement </w:t>
      </w:r>
      <w:r w:rsidR="008740AB">
        <w:rPr>
          <w:i/>
          <w:iCs/>
        </w:rPr>
        <w:t>1, 2, 3 et 4</w:t>
      </w:r>
      <w:r w:rsidRPr="009674FC">
        <w:rPr>
          <w:i/>
          <w:iCs/>
        </w:rPr>
        <w:t xml:space="preserve">) </w:t>
      </w:r>
    </w:p>
    <w:p w:rsidR="002815BF" w:rsidRDefault="009674FC" w:rsidP="002815BF">
      <w:pPr>
        <w:pStyle w:val="H23G"/>
        <w:rPr>
          <w:i/>
          <w:iCs/>
        </w:rPr>
      </w:pPr>
      <w:r w:rsidRPr="009674FC">
        <w:tab/>
      </w:r>
      <w:r w:rsidRPr="009674FC">
        <w:tab/>
      </w:r>
      <w:r w:rsidR="00B10D02" w:rsidRPr="002815BF">
        <w:t xml:space="preserve">Document </w:t>
      </w:r>
      <w:r w:rsidR="002815BF" w:rsidRPr="002815BF">
        <w:t>ST/SG/AC.10/C.3/2018/1 adopté avec les modifications suivantes :</w:t>
      </w:r>
      <w:r w:rsidR="002815BF">
        <w:rPr>
          <w:i/>
          <w:iCs/>
        </w:rPr>
        <w:t xml:space="preserve"> </w:t>
      </w:r>
    </w:p>
    <w:p w:rsidR="002815BF" w:rsidRPr="002815BF" w:rsidRDefault="002815BF" w:rsidP="002815BF">
      <w:pPr>
        <w:pStyle w:val="H23G"/>
        <w:rPr>
          <w:lang w:val="fr-FR"/>
        </w:rPr>
      </w:pPr>
      <w:r w:rsidRPr="002815BF">
        <w:rPr>
          <w:lang w:val="fr-FR"/>
        </w:rPr>
        <w:tab/>
      </w:r>
      <w:r w:rsidRPr="002815BF">
        <w:rPr>
          <w:lang w:val="fr-FR"/>
        </w:rPr>
        <w:tab/>
        <w:t>Section 1</w:t>
      </w:r>
    </w:p>
    <w:p w:rsidR="003E2F7F" w:rsidRDefault="004E70AF" w:rsidP="003E2F7F">
      <w:pPr>
        <w:pStyle w:val="SingleTxtG"/>
        <w:rPr>
          <w:lang w:eastAsia="zh-CN"/>
        </w:rPr>
      </w:pPr>
      <w:r>
        <w:t>1.1.1</w:t>
      </w:r>
      <w:r>
        <w:tab/>
      </w:r>
      <w:r w:rsidR="003E2F7F">
        <w:t>Remplacer « aux autorités compétentes, aux fabricants et aux fournisseurs » par « aux responsables de la classification ».</w:t>
      </w:r>
    </w:p>
    <w:p w:rsidR="003E2F7F" w:rsidRDefault="003E2F7F" w:rsidP="003E2F7F">
      <w:pPr>
        <w:pStyle w:val="SingleTxtG"/>
      </w:pPr>
      <w:r>
        <w:lastRenderedPageBreak/>
        <w:t>Ajouter la nouvelle phrase suivante à la fin : « Bien que le terme " responsable(s) de la classification " soit utilisé de manière générique dans tout le Manuel pour indiquer l'entité fournissant la classification, dans certains secteurs, il peut être spécifiquement limité à une autorité compétente ou à une autorité d’épreuve désignée et dans d’autres secteurs il peut couvrir l’auto-classification par les fabricants ou les fournisseurs. Le secteur de classification devrait être pris en compte pour chaque occurrence de ce terme afin d'identifier correctement l'entité responsable de la classification. ».</w:t>
      </w:r>
    </w:p>
    <w:p w:rsidR="002815BF" w:rsidRPr="002815BF" w:rsidRDefault="002815BF" w:rsidP="003E2F7F">
      <w:pPr>
        <w:pStyle w:val="SingleTxtG"/>
        <w:rPr>
          <w:i/>
          <w:iCs/>
          <w:lang w:val="fr-FR"/>
        </w:rPr>
      </w:pPr>
      <w:r w:rsidRPr="002815BF">
        <w:rPr>
          <w:i/>
          <w:iCs/>
          <w:lang w:val="fr-FR"/>
        </w:rPr>
        <w:t>(Document de référence : document informel INF.6</w:t>
      </w:r>
      <w:r w:rsidR="003E2F7F">
        <w:rPr>
          <w:i/>
          <w:iCs/>
          <w:lang w:val="fr-FR"/>
        </w:rPr>
        <w:t>7</w:t>
      </w:r>
      <w:r w:rsidRPr="002815BF">
        <w:rPr>
          <w:i/>
          <w:iCs/>
          <w:lang w:val="fr-FR"/>
        </w:rPr>
        <w:t xml:space="preserve">, annexe 3, </w:t>
      </w:r>
      <w:r>
        <w:rPr>
          <w:i/>
          <w:iCs/>
          <w:lang w:val="fr-FR"/>
        </w:rPr>
        <w:t>amendement</w:t>
      </w:r>
      <w:r w:rsidRPr="002815BF">
        <w:rPr>
          <w:i/>
          <w:iCs/>
          <w:lang w:val="fr-FR"/>
        </w:rPr>
        <w:t xml:space="preserve"> 8)</w:t>
      </w:r>
    </w:p>
    <w:p w:rsidR="002815BF" w:rsidRPr="002815BF" w:rsidRDefault="002815BF" w:rsidP="002815BF">
      <w:pPr>
        <w:pStyle w:val="SingleTxtG"/>
        <w:rPr>
          <w:lang w:val="fr-FR"/>
        </w:rPr>
      </w:pPr>
      <w:r w:rsidRPr="002815BF">
        <w:rPr>
          <w:lang w:val="fr-FR"/>
        </w:rPr>
        <w:t>1.1.9</w:t>
      </w:r>
      <w:r w:rsidR="003E2F7F">
        <w:rPr>
          <w:lang w:val="fr-FR"/>
        </w:rPr>
        <w:tab/>
      </w:r>
      <w:r w:rsidR="003E2F7F">
        <w:t>Modification éditoriale sans objet dans le texte Français.</w:t>
      </w:r>
    </w:p>
    <w:p w:rsidR="002815BF" w:rsidRPr="002815BF" w:rsidRDefault="002815BF" w:rsidP="002815BF">
      <w:pPr>
        <w:pStyle w:val="SingleTxtG"/>
        <w:rPr>
          <w:i/>
          <w:iCs/>
          <w:lang w:val="fr-FR"/>
        </w:rPr>
      </w:pPr>
      <w:r w:rsidRPr="002815BF">
        <w:rPr>
          <w:i/>
          <w:iCs/>
          <w:lang w:val="fr-FR"/>
        </w:rPr>
        <w:t>(Document de référence : document informel INF.6</w:t>
      </w:r>
      <w:r w:rsidR="003E2F7F">
        <w:rPr>
          <w:i/>
          <w:iCs/>
          <w:lang w:val="fr-FR"/>
        </w:rPr>
        <w:t>7</w:t>
      </w:r>
      <w:r w:rsidRPr="002815BF">
        <w:rPr>
          <w:i/>
          <w:iCs/>
          <w:lang w:val="fr-FR"/>
        </w:rPr>
        <w:t xml:space="preserve">, annexe 3, </w:t>
      </w:r>
      <w:r>
        <w:rPr>
          <w:i/>
          <w:iCs/>
          <w:lang w:val="fr-FR"/>
        </w:rPr>
        <w:t>amendement</w:t>
      </w:r>
      <w:r w:rsidRPr="002815BF">
        <w:rPr>
          <w:i/>
          <w:iCs/>
          <w:lang w:val="fr-FR"/>
        </w:rPr>
        <w:t xml:space="preserve"> 9)</w:t>
      </w:r>
    </w:p>
    <w:p w:rsidR="002815BF" w:rsidRDefault="002815BF" w:rsidP="002815BF">
      <w:pPr>
        <w:pStyle w:val="SingleTxtG"/>
        <w:rPr>
          <w:lang w:val="fr-FR"/>
        </w:rPr>
      </w:pPr>
      <w:r w:rsidRPr="002815BF">
        <w:rPr>
          <w:lang w:val="fr-FR"/>
        </w:rPr>
        <w:t>1.2.1.4.3</w:t>
      </w:r>
      <w:r w:rsidR="003E2F7F">
        <w:rPr>
          <w:lang w:val="fr-FR"/>
        </w:rPr>
        <w:tab/>
        <w:t>Modifier pour lire comme suit :</w:t>
      </w:r>
    </w:p>
    <w:p w:rsidR="003E2F7F" w:rsidRPr="002815BF" w:rsidRDefault="003E2F7F" w:rsidP="00E9156F">
      <w:pPr>
        <w:pStyle w:val="SingleTxtG"/>
        <w:rPr>
          <w:lang w:val="fr-FR"/>
        </w:rPr>
      </w:pPr>
      <w:r>
        <w:rPr>
          <w:lang w:val="fr-FR"/>
        </w:rPr>
        <w:t>« </w:t>
      </w:r>
      <w:r w:rsidR="008145DA">
        <w:rPr>
          <w:lang w:val="fr-FR"/>
        </w:rPr>
        <w:t>1.2.1.4.3</w:t>
      </w:r>
      <w:r w:rsidR="008145DA">
        <w:rPr>
          <w:lang w:val="fr-FR"/>
        </w:rPr>
        <w:tab/>
      </w:r>
      <w:r w:rsidR="00E9156F">
        <w:rPr>
          <w:lang w:val="fr-FR"/>
        </w:rPr>
        <w:t xml:space="preserve">Les matières </w:t>
      </w:r>
      <w:proofErr w:type="spellStart"/>
      <w:r w:rsidR="00E9156F">
        <w:rPr>
          <w:lang w:val="fr-FR"/>
        </w:rPr>
        <w:t>autoréactives</w:t>
      </w:r>
      <w:proofErr w:type="spellEnd"/>
      <w:r w:rsidR="00E9156F">
        <w:rPr>
          <w:lang w:val="fr-FR"/>
        </w:rPr>
        <w:t xml:space="preserve">, du type A au type G, ne doivent pas être éprouvées suivant l’épreuve d’échauffement spontané N.4 car le résultat du test donnerait un faux résultat positif (c’est-à-dire une augmentation de la température due à la décomposition thermique plutôt qu'à l'auto-échauffement oxydatif). Les matières </w:t>
      </w:r>
      <w:proofErr w:type="spellStart"/>
      <w:r w:rsidR="00E9156F">
        <w:rPr>
          <w:lang w:val="fr-FR"/>
        </w:rPr>
        <w:t>autoréactives</w:t>
      </w:r>
      <w:proofErr w:type="spellEnd"/>
      <w:r w:rsidR="00E9156F">
        <w:rPr>
          <w:lang w:val="fr-FR"/>
        </w:rPr>
        <w:t xml:space="preserve"> du type G et les peroxydes organiques du type G ayant des propriétés d’une autre classe de danger (No ONU 3149 par exemple) doivent être classées conformément aux dispositions relatives à cette classe. ».</w:t>
      </w:r>
    </w:p>
    <w:p w:rsidR="002815BF" w:rsidRPr="002815BF" w:rsidRDefault="002815BF" w:rsidP="002815BF">
      <w:pPr>
        <w:pStyle w:val="SingleTxtG"/>
        <w:rPr>
          <w:i/>
          <w:iCs/>
          <w:lang w:val="fr-FR"/>
        </w:rPr>
      </w:pPr>
      <w:r w:rsidRPr="002815BF">
        <w:rPr>
          <w:i/>
          <w:iCs/>
          <w:lang w:val="fr-FR"/>
        </w:rPr>
        <w:t>(Document de référence : document informel INF.6</w:t>
      </w:r>
      <w:r w:rsidR="003E2F7F">
        <w:rPr>
          <w:i/>
          <w:iCs/>
          <w:lang w:val="fr-FR"/>
        </w:rPr>
        <w:t>7</w:t>
      </w:r>
      <w:r w:rsidRPr="002815BF">
        <w:rPr>
          <w:i/>
          <w:iCs/>
          <w:lang w:val="fr-FR"/>
        </w:rPr>
        <w:t xml:space="preserve">, annexe 3, </w:t>
      </w:r>
      <w:r>
        <w:rPr>
          <w:i/>
          <w:iCs/>
          <w:lang w:val="fr-FR"/>
        </w:rPr>
        <w:t>amendement</w:t>
      </w:r>
      <w:r w:rsidRPr="002815BF">
        <w:rPr>
          <w:i/>
          <w:iCs/>
          <w:lang w:val="fr-FR"/>
        </w:rPr>
        <w:t xml:space="preserve"> 10)</w:t>
      </w:r>
    </w:p>
    <w:p w:rsidR="002815BF" w:rsidRPr="002815BF" w:rsidRDefault="002815BF" w:rsidP="002815BF">
      <w:pPr>
        <w:pStyle w:val="H23G"/>
        <w:rPr>
          <w:lang w:val="fr-FR"/>
        </w:rPr>
      </w:pPr>
      <w:r w:rsidRPr="002815BF">
        <w:rPr>
          <w:lang w:val="fr-FR"/>
        </w:rPr>
        <w:tab/>
      </w:r>
      <w:r w:rsidRPr="002815BF">
        <w:rPr>
          <w:lang w:val="fr-FR"/>
        </w:rPr>
        <w:tab/>
        <w:t>Section 10</w:t>
      </w:r>
    </w:p>
    <w:p w:rsidR="002815BF" w:rsidRPr="002815BF" w:rsidRDefault="002815BF" w:rsidP="002815BF">
      <w:pPr>
        <w:pStyle w:val="SingleTxtG"/>
        <w:rPr>
          <w:lang w:val="fr-FR"/>
        </w:rPr>
      </w:pPr>
      <w:r w:rsidRPr="002815BF">
        <w:rPr>
          <w:lang w:val="fr-FR"/>
        </w:rPr>
        <w:t>10.1.2</w:t>
      </w:r>
      <w:r w:rsidR="003E2F7F">
        <w:rPr>
          <w:lang w:val="fr-FR"/>
        </w:rPr>
        <w:tab/>
      </w:r>
      <w:r w:rsidR="003E2F7F">
        <w:rPr>
          <w:lang w:val="fr-FR"/>
        </w:rPr>
        <w:tab/>
      </w:r>
      <w:r w:rsidR="003E2F7F">
        <w:t>Dans la huitième phrase, remplacer « les autorités compétentes » par « les responsables de la classification ».</w:t>
      </w:r>
    </w:p>
    <w:p w:rsidR="002815BF" w:rsidRDefault="002815BF" w:rsidP="002815BF">
      <w:pPr>
        <w:pStyle w:val="SingleTxtG"/>
        <w:rPr>
          <w:i/>
          <w:iCs/>
          <w:lang w:val="fr-FR"/>
        </w:rPr>
      </w:pPr>
      <w:r w:rsidRPr="002815BF">
        <w:rPr>
          <w:i/>
          <w:iCs/>
          <w:lang w:val="fr-FR"/>
        </w:rPr>
        <w:t xml:space="preserve">(Document de référence : document informel INF.6, annexe 3, </w:t>
      </w:r>
      <w:r w:rsidR="009F7B3B">
        <w:rPr>
          <w:i/>
          <w:iCs/>
          <w:lang w:val="fr-FR"/>
        </w:rPr>
        <w:t>amendement</w:t>
      </w:r>
      <w:r w:rsidRPr="002815BF">
        <w:rPr>
          <w:i/>
          <w:iCs/>
          <w:lang w:val="fr-FR"/>
        </w:rPr>
        <w:t xml:space="preserve"> 12 telle que modifiée) </w:t>
      </w:r>
    </w:p>
    <w:p w:rsidR="003E2F7F" w:rsidRDefault="003E2F7F" w:rsidP="003E2F7F">
      <w:pPr>
        <w:pStyle w:val="SingleTxtG"/>
        <w:rPr>
          <w:lang w:eastAsia="zh-CN"/>
        </w:rPr>
      </w:pPr>
      <w:r>
        <w:t>10.2.2    Modifier pour lire comme suit :</w:t>
      </w:r>
    </w:p>
    <w:p w:rsidR="003E2F7F" w:rsidRDefault="004E70AF" w:rsidP="003E2F7F">
      <w:pPr>
        <w:pStyle w:val="SingleTxtG"/>
      </w:pPr>
      <w:r>
        <w:t>« 10.2.2</w:t>
      </w:r>
      <w:r>
        <w:tab/>
      </w:r>
      <w:r w:rsidR="003E2F7F">
        <w:t>Le responsable de la classification d'un nouveau produit devrait documenter les informations adéquates concernant les noms et les caractéristiques de toutes les matières explosibles contenues dans le produit et toutes les épreuves pertinentes qui ont été effectuées. Cette information devrait être fournie aux autorités compétentes, si nécessaire. ».</w:t>
      </w:r>
    </w:p>
    <w:p w:rsidR="003E2F7F" w:rsidRDefault="003E2F7F" w:rsidP="003E2F7F">
      <w:pPr>
        <w:pStyle w:val="SingleTxtG"/>
        <w:rPr>
          <w:i/>
          <w:iCs/>
          <w:lang w:val="fr-FR"/>
        </w:rPr>
      </w:pPr>
      <w:r w:rsidRPr="002815BF">
        <w:rPr>
          <w:i/>
          <w:iCs/>
          <w:lang w:val="fr-FR"/>
        </w:rPr>
        <w:t xml:space="preserve">(Document de référence : </w:t>
      </w:r>
      <w:r w:rsidR="00C456F6">
        <w:rPr>
          <w:i/>
          <w:iCs/>
        </w:rPr>
        <w:t xml:space="preserve">document informel INF.7 </w:t>
      </w:r>
      <w:r>
        <w:rPr>
          <w:i/>
          <w:iCs/>
        </w:rPr>
        <w:t xml:space="preserve">et </w:t>
      </w:r>
      <w:r w:rsidRPr="002815BF">
        <w:rPr>
          <w:i/>
          <w:iCs/>
          <w:lang w:val="fr-FR"/>
        </w:rPr>
        <w:t>document informel INF.6</w:t>
      </w:r>
      <w:r w:rsidR="00C456F6">
        <w:rPr>
          <w:i/>
          <w:iCs/>
          <w:lang w:val="fr-FR"/>
        </w:rPr>
        <w:t>7</w:t>
      </w:r>
      <w:r w:rsidRPr="002815BF">
        <w:rPr>
          <w:i/>
          <w:iCs/>
          <w:lang w:val="fr-FR"/>
        </w:rPr>
        <w:t xml:space="preserve">, annexe 3, </w:t>
      </w:r>
      <w:r>
        <w:rPr>
          <w:i/>
          <w:iCs/>
          <w:lang w:val="fr-FR"/>
        </w:rPr>
        <w:t>amendement</w:t>
      </w:r>
      <w:r w:rsidRPr="002815BF">
        <w:rPr>
          <w:i/>
          <w:iCs/>
          <w:lang w:val="fr-FR"/>
        </w:rPr>
        <w:t xml:space="preserve"> 12 tel que modifié) </w:t>
      </w:r>
    </w:p>
    <w:p w:rsidR="002815BF" w:rsidRDefault="002815BF" w:rsidP="003E2F7F">
      <w:pPr>
        <w:pStyle w:val="H23G"/>
      </w:pPr>
      <w:r>
        <w:rPr>
          <w:lang w:val="fr-FR"/>
        </w:rPr>
        <w:tab/>
      </w:r>
      <w:r>
        <w:rPr>
          <w:lang w:val="fr-FR"/>
        </w:rPr>
        <w:tab/>
      </w:r>
      <w:r>
        <w:t xml:space="preserve">Document informel INF.67 : Amendements 5 et 6 de l’annexe 3 adoptés </w:t>
      </w:r>
      <w:r w:rsidR="00463AF3">
        <w:t xml:space="preserve">entre crochets </w:t>
      </w:r>
      <w:r>
        <w:t>tels que modifiés.</w:t>
      </w:r>
    </w:p>
    <w:p w:rsidR="00463AF3" w:rsidRDefault="00463AF3" w:rsidP="00463AF3"/>
    <w:p w:rsidR="00463AF3" w:rsidRPr="00463AF3" w:rsidRDefault="00463AF3" w:rsidP="00463AF3">
      <w:pPr>
        <w:pStyle w:val="SingleTxtG"/>
        <w:rPr>
          <w:i/>
          <w:iCs/>
        </w:rPr>
      </w:pPr>
      <w:r w:rsidRPr="00463AF3">
        <w:rPr>
          <w:b/>
          <w:bCs/>
          <w:i/>
          <w:iCs/>
          <w:u w:val="single"/>
        </w:rPr>
        <w:t>Note du secrétariat :</w:t>
      </w:r>
      <w:r w:rsidRPr="00463AF3">
        <w:rPr>
          <w:i/>
          <w:iCs/>
        </w:rPr>
        <w:t xml:space="preserve"> Étant donné que ces textes ont été adoptés sur la base de documents informels disponibles en anglais seulement, ils n’ont pas été inclus ici. Ils seront reproduits dans un document officiel pour confirmation par le sous-comité à sa cinquante-quatrième session.</w:t>
      </w:r>
    </w:p>
    <w:p w:rsidR="002815BF" w:rsidRPr="00B10D02" w:rsidRDefault="002815BF" w:rsidP="002815BF">
      <w:pPr>
        <w:pStyle w:val="H1G"/>
        <w:spacing w:before="340" w:after="220"/>
        <w:rPr>
          <w:highlight w:val="yellow"/>
        </w:rPr>
      </w:pPr>
    </w:p>
    <w:p w:rsidR="00B10D02" w:rsidRPr="00F96E92" w:rsidRDefault="00B10D02" w:rsidP="00B60A84">
      <w:pPr>
        <w:spacing w:before="120" w:after="120" w:line="240" w:lineRule="auto"/>
        <w:ind w:left="1134" w:right="1134"/>
        <w:jc w:val="both"/>
        <w:rPr>
          <w:i/>
          <w:iCs/>
        </w:rPr>
      </w:pPr>
    </w:p>
    <w:p w:rsidR="004E71B2" w:rsidRPr="00F96E92" w:rsidRDefault="004E71B2">
      <w:pPr>
        <w:suppressAutoHyphens w:val="0"/>
        <w:spacing w:line="240" w:lineRule="auto"/>
        <w:rPr>
          <w:b/>
          <w:i/>
          <w:sz w:val="24"/>
        </w:rPr>
      </w:pPr>
      <w:r w:rsidRPr="00F96E92">
        <w:rPr>
          <w:i/>
        </w:rPr>
        <w:br w:type="page"/>
      </w:r>
    </w:p>
    <w:p w:rsidR="004E71B2" w:rsidRPr="006B0E45" w:rsidRDefault="004E71B2" w:rsidP="004E71B2">
      <w:pPr>
        <w:pStyle w:val="HChG"/>
        <w:rPr>
          <w:lang w:val="fr-FR"/>
        </w:rPr>
      </w:pPr>
      <w:r w:rsidRPr="006B0E45">
        <w:rPr>
          <w:lang w:val="fr-FR"/>
        </w:rPr>
        <w:lastRenderedPageBreak/>
        <w:t>Annexe I</w:t>
      </w:r>
      <w:r>
        <w:rPr>
          <w:lang w:val="fr-FR"/>
        </w:rPr>
        <w:t>II</w:t>
      </w:r>
    </w:p>
    <w:p w:rsidR="004E71B2" w:rsidRPr="006B0E45" w:rsidRDefault="004E71B2" w:rsidP="004E71B2">
      <w:pPr>
        <w:pStyle w:val="HChG"/>
        <w:rPr>
          <w:lang w:val="fr-FR"/>
        </w:rPr>
      </w:pPr>
      <w:r w:rsidRPr="006B0E45">
        <w:rPr>
          <w:lang w:val="fr-FR"/>
        </w:rPr>
        <w:tab/>
      </w:r>
      <w:r w:rsidRPr="006B0E45">
        <w:rPr>
          <w:lang w:val="fr-FR"/>
        </w:rPr>
        <w:tab/>
        <w:t>Corrections à la vingtième édition révisée des Recommandations relatives au transport des marchandises dangereuses, Règlement type (ST/SG/AC.10/1/Rev.20)</w:t>
      </w:r>
    </w:p>
    <w:p w:rsidR="004E71B2" w:rsidRDefault="004E71B2" w:rsidP="004E70AF">
      <w:pPr>
        <w:pStyle w:val="H1G"/>
        <w:rPr>
          <w:lang w:val="fr-FR"/>
        </w:rPr>
      </w:pPr>
      <w:r w:rsidRPr="006B0E45">
        <w:rPr>
          <w:lang w:val="fr-FR"/>
        </w:rPr>
        <w:tab/>
      </w:r>
      <w:r w:rsidRPr="006B0E45">
        <w:rPr>
          <w:lang w:val="fr-FR"/>
        </w:rPr>
        <w:tab/>
      </w:r>
      <w:r>
        <w:rPr>
          <w:lang w:val="fr-FR"/>
        </w:rPr>
        <w:t>Chapitre 1.2, 1.2.1 définitions</w:t>
      </w:r>
    </w:p>
    <w:p w:rsidR="004E71B2" w:rsidRDefault="004E71B2" w:rsidP="004E71B2">
      <w:pPr>
        <w:pStyle w:val="SingleTxtG"/>
        <w:rPr>
          <w:color w:val="000000"/>
        </w:rPr>
      </w:pPr>
      <w:r w:rsidRPr="0020220E">
        <w:rPr>
          <w:i/>
          <w:iCs/>
          <w:lang w:val="fr-FR"/>
        </w:rPr>
        <w:t>Au lieu de</w:t>
      </w:r>
      <w:r>
        <w:rPr>
          <w:lang w:val="fr-FR"/>
        </w:rPr>
        <w:t xml:space="preserve"> </w:t>
      </w:r>
      <w:r w:rsidRPr="0020220E">
        <w:rPr>
          <w:color w:val="000000"/>
        </w:rPr>
        <w:t>Matériel animal</w:t>
      </w:r>
      <w:r>
        <w:rPr>
          <w:i/>
          <w:iCs/>
          <w:color w:val="000000"/>
        </w:rPr>
        <w:t> </w:t>
      </w:r>
      <w:r w:rsidR="000659B4">
        <w:rPr>
          <w:i/>
          <w:iCs/>
          <w:color w:val="000000"/>
        </w:rPr>
        <w:t>lire</w:t>
      </w:r>
      <w:r>
        <w:rPr>
          <w:color w:val="000000"/>
        </w:rPr>
        <w:t xml:space="preserve"> </w:t>
      </w:r>
      <w:r w:rsidRPr="0020220E">
        <w:rPr>
          <w:color w:val="000000"/>
        </w:rPr>
        <w:t>Matière animale</w:t>
      </w:r>
    </w:p>
    <w:p w:rsidR="004E71B2" w:rsidRDefault="004E71B2" w:rsidP="004E71B2">
      <w:pPr>
        <w:pStyle w:val="SingleTxtG"/>
        <w:rPr>
          <w:i/>
          <w:iCs/>
          <w:lang w:val="fr-FR"/>
        </w:rPr>
      </w:pPr>
      <w:r>
        <w:rPr>
          <w:i/>
          <w:iCs/>
          <w:lang w:val="fr-FR"/>
        </w:rPr>
        <w:t>(Document de référence : ST/SG/AC.10/C.3/2018/55)</w:t>
      </w:r>
    </w:p>
    <w:p w:rsidR="004E71B2" w:rsidRDefault="004E71B2" w:rsidP="004E70AF">
      <w:pPr>
        <w:pStyle w:val="H1G"/>
        <w:rPr>
          <w:lang w:val="fr-FR"/>
        </w:rPr>
      </w:pPr>
      <w:r>
        <w:rPr>
          <w:lang w:val="fr-FR"/>
        </w:rPr>
        <w:tab/>
      </w:r>
      <w:r>
        <w:rPr>
          <w:lang w:val="fr-FR"/>
        </w:rPr>
        <w:tab/>
        <w:t>Chapitre 2.0, 2.0.0.1</w:t>
      </w:r>
    </w:p>
    <w:p w:rsidR="004E71B2" w:rsidRPr="005F64DA" w:rsidRDefault="004E71B2" w:rsidP="004E71B2">
      <w:pPr>
        <w:pStyle w:val="SingleTxtG"/>
        <w:rPr>
          <w:i/>
          <w:iCs/>
          <w:lang w:val="fr-FR"/>
        </w:rPr>
      </w:pPr>
      <w:r w:rsidRPr="005F64DA">
        <w:rPr>
          <w:i/>
          <w:iCs/>
          <w:lang w:val="fr-FR"/>
        </w:rPr>
        <w:t>Au lieu</w:t>
      </w:r>
      <w:r>
        <w:rPr>
          <w:i/>
          <w:iCs/>
          <w:lang w:val="fr-FR"/>
        </w:rPr>
        <w:t xml:space="preserve"> de </w:t>
      </w:r>
      <w:r>
        <w:rPr>
          <w:rFonts w:eastAsia="Wingdings"/>
        </w:rPr>
        <w:t>Le classement sera déterminé par l’autorité compétente </w:t>
      </w:r>
      <w:r w:rsidRPr="005F64DA">
        <w:rPr>
          <w:i/>
          <w:iCs/>
          <w:lang w:val="fr-FR"/>
        </w:rPr>
        <w:t>lire</w:t>
      </w:r>
      <w:r>
        <w:rPr>
          <w:i/>
          <w:iCs/>
          <w:lang w:val="fr-FR"/>
        </w:rPr>
        <w:t xml:space="preserve"> </w:t>
      </w:r>
      <w:r>
        <w:rPr>
          <w:rFonts w:eastAsia="Wingdings"/>
        </w:rPr>
        <w:t>Le classement doit être déterminé par l’autorité compétente </w:t>
      </w:r>
    </w:p>
    <w:p w:rsidR="004E71B2" w:rsidRDefault="004E71B2" w:rsidP="004E71B2">
      <w:pPr>
        <w:pStyle w:val="SingleTxtG"/>
        <w:rPr>
          <w:i/>
          <w:iCs/>
          <w:lang w:val="fr-FR"/>
        </w:rPr>
      </w:pPr>
      <w:r>
        <w:rPr>
          <w:i/>
          <w:iCs/>
          <w:lang w:val="fr-FR"/>
        </w:rPr>
        <w:t>(Document de référence : ST/SG/AC.10/C.3/2018/55)</w:t>
      </w:r>
    </w:p>
    <w:p w:rsidR="004E71B2" w:rsidRDefault="004E71B2" w:rsidP="004E70AF">
      <w:pPr>
        <w:pStyle w:val="H1G"/>
      </w:pPr>
      <w:r>
        <w:rPr>
          <w:lang w:val="fr-FR"/>
        </w:rPr>
        <w:tab/>
      </w:r>
      <w:r>
        <w:rPr>
          <w:lang w:val="fr-FR"/>
        </w:rPr>
        <w:tab/>
      </w:r>
      <w:r>
        <w:t>Chapitre 2.3, 2.3.1.3</w:t>
      </w:r>
    </w:p>
    <w:p w:rsidR="004E71B2" w:rsidRDefault="004E71B2" w:rsidP="004E71B2">
      <w:pPr>
        <w:pStyle w:val="SingleTxtG"/>
      </w:pPr>
      <w:r>
        <w:rPr>
          <w:i/>
          <w:iCs/>
        </w:rPr>
        <w:t xml:space="preserve">Au lieu de </w:t>
      </w:r>
      <w:r>
        <w:t xml:space="preserve">2.3.1.1 </w:t>
      </w:r>
      <w:r>
        <w:rPr>
          <w:i/>
          <w:iCs/>
        </w:rPr>
        <w:t xml:space="preserve">lire </w:t>
      </w:r>
      <w:r>
        <w:t>2.3.1.2</w:t>
      </w:r>
    </w:p>
    <w:p w:rsidR="004E71B2" w:rsidRPr="001539C6" w:rsidRDefault="004E71B2" w:rsidP="004E71B2">
      <w:pPr>
        <w:spacing w:before="120" w:after="120" w:line="240" w:lineRule="auto"/>
        <w:ind w:left="1134" w:right="1134"/>
        <w:jc w:val="both"/>
        <w:rPr>
          <w:i/>
          <w:iCs/>
        </w:rPr>
      </w:pPr>
      <w:r w:rsidRPr="001539C6">
        <w:rPr>
          <w:i/>
          <w:iCs/>
        </w:rPr>
        <w:t>(</w:t>
      </w:r>
      <w:r w:rsidRPr="001539C6">
        <w:rPr>
          <w:i/>
          <w:iCs/>
          <w:lang w:val="fr-FR"/>
        </w:rPr>
        <w:t>Document de référence</w:t>
      </w:r>
      <w:r>
        <w:rPr>
          <w:i/>
          <w:iCs/>
          <w:lang w:val="fr-FR"/>
        </w:rPr>
        <w:t> </w:t>
      </w:r>
      <w:r w:rsidRPr="001539C6">
        <w:rPr>
          <w:i/>
          <w:iCs/>
        </w:rPr>
        <w:t>: ST/SG/AC.10/C.3/201</w:t>
      </w:r>
      <w:r>
        <w:rPr>
          <w:i/>
          <w:iCs/>
        </w:rPr>
        <w:t>8</w:t>
      </w:r>
      <w:r w:rsidRPr="001539C6">
        <w:rPr>
          <w:i/>
          <w:iCs/>
        </w:rPr>
        <w:t>/</w:t>
      </w:r>
      <w:r>
        <w:rPr>
          <w:i/>
          <w:iCs/>
        </w:rPr>
        <w:t xml:space="preserve">38, </w:t>
      </w:r>
      <w:r w:rsidR="000659B4">
        <w:rPr>
          <w:i/>
          <w:iCs/>
        </w:rPr>
        <w:t>paragraphe</w:t>
      </w:r>
      <w:r>
        <w:rPr>
          <w:i/>
          <w:iCs/>
        </w:rPr>
        <w:t xml:space="preserve"> 3</w:t>
      </w:r>
      <w:r w:rsidRPr="001539C6">
        <w:rPr>
          <w:i/>
          <w:iCs/>
        </w:rPr>
        <w:t>)</w:t>
      </w:r>
    </w:p>
    <w:p w:rsidR="004E71B2" w:rsidRDefault="004E71B2" w:rsidP="004E70AF">
      <w:pPr>
        <w:pStyle w:val="H1G"/>
      </w:pPr>
      <w:r>
        <w:tab/>
      </w:r>
      <w:r>
        <w:tab/>
        <w:t>Chapitre 2.6, Nota sous 2.6.2.2.4.1</w:t>
      </w:r>
    </w:p>
    <w:p w:rsidR="004E71B2" w:rsidRDefault="004E71B2" w:rsidP="004E71B2">
      <w:pPr>
        <w:pStyle w:val="SingleTxtG"/>
      </w:pPr>
      <w:r>
        <w:rPr>
          <w:i/>
          <w:iCs/>
        </w:rPr>
        <w:t xml:space="preserve">Au lieu de </w:t>
      </w:r>
      <w:r>
        <w:t xml:space="preserve">2.8.2.3 </w:t>
      </w:r>
      <w:r>
        <w:rPr>
          <w:i/>
          <w:iCs/>
        </w:rPr>
        <w:t xml:space="preserve">lire </w:t>
      </w:r>
      <w:r>
        <w:t>2.8.2.4</w:t>
      </w:r>
    </w:p>
    <w:p w:rsidR="004E71B2" w:rsidRDefault="004E71B2" w:rsidP="004E71B2">
      <w:pPr>
        <w:spacing w:before="120" w:after="120" w:line="240" w:lineRule="auto"/>
        <w:ind w:left="1134" w:right="1134"/>
        <w:jc w:val="both"/>
        <w:rPr>
          <w:i/>
          <w:iCs/>
        </w:rPr>
      </w:pPr>
      <w:r w:rsidRPr="001539C6">
        <w:rPr>
          <w:i/>
          <w:iCs/>
        </w:rPr>
        <w:t>(</w:t>
      </w:r>
      <w:r w:rsidRPr="001539C6">
        <w:rPr>
          <w:i/>
          <w:iCs/>
          <w:lang w:val="fr-FR"/>
        </w:rPr>
        <w:t>Document de référence</w:t>
      </w:r>
      <w:r>
        <w:rPr>
          <w:i/>
          <w:iCs/>
          <w:lang w:val="fr-FR"/>
        </w:rPr>
        <w:t> </w:t>
      </w:r>
      <w:r w:rsidRPr="001539C6">
        <w:rPr>
          <w:i/>
          <w:iCs/>
        </w:rPr>
        <w:t>: ST/SG/AC.10/C.3/201</w:t>
      </w:r>
      <w:r>
        <w:rPr>
          <w:i/>
          <w:iCs/>
        </w:rPr>
        <w:t>8</w:t>
      </w:r>
      <w:r w:rsidRPr="001539C6">
        <w:rPr>
          <w:i/>
          <w:iCs/>
        </w:rPr>
        <w:t>/</w:t>
      </w:r>
      <w:r>
        <w:rPr>
          <w:i/>
          <w:iCs/>
        </w:rPr>
        <w:t xml:space="preserve">38, </w:t>
      </w:r>
      <w:r w:rsidR="000659B4">
        <w:rPr>
          <w:i/>
          <w:iCs/>
        </w:rPr>
        <w:t>paragraphe</w:t>
      </w:r>
      <w:r>
        <w:rPr>
          <w:i/>
          <w:iCs/>
        </w:rPr>
        <w:t xml:space="preserve"> 5</w:t>
      </w:r>
      <w:r w:rsidRPr="001539C6">
        <w:rPr>
          <w:i/>
          <w:iCs/>
        </w:rPr>
        <w:t>)</w:t>
      </w:r>
    </w:p>
    <w:p w:rsidR="004E71B2" w:rsidRDefault="004E71B2" w:rsidP="004E70AF">
      <w:pPr>
        <w:pStyle w:val="H1G"/>
      </w:pPr>
      <w:r>
        <w:tab/>
      </w:r>
      <w:r>
        <w:tab/>
        <w:t>Chapitre 3.3, disposition spéciale 251, deuxième paragraphe</w:t>
      </w:r>
    </w:p>
    <w:p w:rsidR="004E71B2" w:rsidRPr="000659B4" w:rsidRDefault="000659B4" w:rsidP="004E71B2">
      <w:pPr>
        <w:pStyle w:val="SingleTxtG"/>
        <w:rPr>
          <w:lang w:val="fr-FR"/>
        </w:rPr>
      </w:pPr>
      <w:r>
        <w:rPr>
          <w:i/>
          <w:iCs/>
          <w:lang w:val="fr-FR"/>
        </w:rPr>
        <w:t xml:space="preserve">Substituer </w:t>
      </w:r>
      <w:r>
        <w:rPr>
          <w:lang w:val="fr-FR"/>
        </w:rPr>
        <w:t>au texte existant :</w:t>
      </w:r>
    </w:p>
    <w:p w:rsidR="004E71B2" w:rsidRPr="00367A52" w:rsidRDefault="004E71B2" w:rsidP="004E71B2">
      <w:pPr>
        <w:pStyle w:val="SingleTxtG"/>
      </w:pPr>
      <w:r w:rsidRPr="00367A52">
        <w:rPr>
          <w:rFonts w:eastAsia="HelveticaNeueLTPro-Roman;MS Got"/>
        </w:rPr>
        <w:t xml:space="preserve">La quantité totale de marchandises dangereuses par trousse ne doit pas dépasser 1 </w:t>
      </w:r>
      <w:r w:rsidRPr="000659B4">
        <w:rPr>
          <w:rFonts w:eastAsia="UniMath;MS Mincho"/>
          <w:i/>
          <w:iCs/>
        </w:rPr>
        <w:t>l</w:t>
      </w:r>
      <w:r w:rsidRPr="00367A52">
        <w:rPr>
          <w:rFonts w:eastAsia="UniMath;MS Mincho"/>
        </w:rPr>
        <w:t xml:space="preserve"> </w:t>
      </w:r>
      <w:r w:rsidRPr="00367A52">
        <w:rPr>
          <w:rFonts w:eastAsia="HelveticaNeueLTPro-Roman;MS Got"/>
        </w:rPr>
        <w:t xml:space="preserve">ou 1 kg. </w:t>
      </w:r>
    </w:p>
    <w:p w:rsidR="004E71B2" w:rsidRDefault="004E71B2" w:rsidP="004E71B2">
      <w:pPr>
        <w:pStyle w:val="SingleTxtG"/>
        <w:rPr>
          <w:i/>
          <w:iCs/>
          <w:lang w:val="fr-FR"/>
        </w:rPr>
      </w:pPr>
      <w:r>
        <w:rPr>
          <w:i/>
          <w:iCs/>
          <w:lang w:val="fr-FR"/>
        </w:rPr>
        <w:t>(Document de référence : ST/SG/AC.10/C.3/2018/55)</w:t>
      </w:r>
    </w:p>
    <w:p w:rsidR="00DD1A15" w:rsidRDefault="004E71B2" w:rsidP="004E70AF">
      <w:pPr>
        <w:pStyle w:val="H1G"/>
      </w:pPr>
      <w:r>
        <w:tab/>
      </w:r>
      <w:r>
        <w:tab/>
      </w:r>
      <w:r w:rsidR="00DD1A15">
        <w:t>Chapitre 3.3, disposition spéciale 323</w:t>
      </w:r>
    </w:p>
    <w:p w:rsidR="00DD1A15" w:rsidRDefault="000659B4" w:rsidP="00DD1A15">
      <w:pPr>
        <w:pStyle w:val="SingleTxtG"/>
        <w:rPr>
          <w:i/>
          <w:iCs/>
        </w:rPr>
      </w:pPr>
      <w:r>
        <w:rPr>
          <w:i/>
          <w:iCs/>
        </w:rPr>
        <w:t xml:space="preserve">Substituer </w:t>
      </w:r>
      <w:r w:rsidRPr="000659B4">
        <w:t>au texte existant</w:t>
      </w:r>
    </w:p>
    <w:p w:rsidR="000659B4" w:rsidRDefault="000659B4" w:rsidP="00DD1A15">
      <w:pPr>
        <w:pStyle w:val="SingleTxtG"/>
      </w:pPr>
      <w:r>
        <w:t>323</w:t>
      </w:r>
      <w:r>
        <w:tab/>
        <w:t>Supprimé</w:t>
      </w:r>
    </w:p>
    <w:p w:rsidR="00881E13" w:rsidRDefault="00881E13" w:rsidP="00DD1A15">
      <w:pPr>
        <w:pStyle w:val="SingleTxtG"/>
        <w:rPr>
          <w:i/>
          <w:iCs/>
        </w:rPr>
      </w:pPr>
      <w:r w:rsidRPr="00881E13">
        <w:rPr>
          <w:i/>
          <w:iCs/>
        </w:rPr>
        <w:t>(</w:t>
      </w:r>
      <w:r w:rsidRPr="00881E13">
        <w:rPr>
          <w:i/>
          <w:iCs/>
          <w:lang w:val="fr-FR"/>
        </w:rPr>
        <w:t>Document de référence </w:t>
      </w:r>
      <w:r w:rsidRPr="00881E13">
        <w:rPr>
          <w:i/>
          <w:iCs/>
        </w:rPr>
        <w:t>: ST/SG/AC.10/C.3/2018/15)</w:t>
      </w:r>
    </w:p>
    <w:p w:rsidR="00E15143" w:rsidRDefault="00E15143" w:rsidP="004E70AF">
      <w:pPr>
        <w:pStyle w:val="H1G"/>
        <w:rPr>
          <w:lang w:val="fr-FR"/>
        </w:rPr>
      </w:pPr>
      <w:r>
        <w:tab/>
      </w:r>
      <w:r>
        <w:tab/>
        <w:t>Chapitre 3.2, No ONU 3101 à 3120, colonne 6</w:t>
      </w:r>
    </w:p>
    <w:p w:rsidR="00E15143" w:rsidRPr="00FB2D02" w:rsidRDefault="00E15143" w:rsidP="00E15143">
      <w:pPr>
        <w:pStyle w:val="SingleTxtG"/>
        <w:rPr>
          <w:lang w:val="fr-FR"/>
        </w:rPr>
      </w:pPr>
      <w:r>
        <w:rPr>
          <w:i/>
          <w:iCs/>
          <w:lang w:val="fr-FR"/>
        </w:rPr>
        <w:t>Su</w:t>
      </w:r>
      <w:r w:rsidRPr="00E15143">
        <w:rPr>
          <w:i/>
          <w:iCs/>
          <w:lang w:val="fr-FR"/>
        </w:rPr>
        <w:t xml:space="preserve">pprimer </w:t>
      </w:r>
      <w:r w:rsidRPr="00FB2D02">
        <w:rPr>
          <w:lang w:val="fr-FR"/>
        </w:rPr>
        <w:t>323</w:t>
      </w:r>
      <w:r>
        <w:rPr>
          <w:lang w:val="fr-FR"/>
        </w:rPr>
        <w:t xml:space="preserve"> </w:t>
      </w:r>
    </w:p>
    <w:p w:rsidR="00E15143" w:rsidRPr="00FB2D02" w:rsidRDefault="00E15143" w:rsidP="00E15143">
      <w:pPr>
        <w:pStyle w:val="SingleTxtG"/>
        <w:rPr>
          <w:lang w:val="fr-FR"/>
        </w:rPr>
      </w:pPr>
      <w:r w:rsidRPr="00FB2D02">
        <w:rPr>
          <w:i/>
          <w:iCs/>
          <w:lang w:val="fr-FR"/>
        </w:rPr>
        <w:t xml:space="preserve">(Document de référence : </w:t>
      </w:r>
      <w:r w:rsidRPr="00FB2D02">
        <w:rPr>
          <w:bCs/>
          <w:i/>
          <w:iCs/>
          <w:lang w:val="fr-FR"/>
        </w:rPr>
        <w:t>ST/SG/AC.10/C.3/2018/15, amendement de conséquence)</w:t>
      </w:r>
    </w:p>
    <w:p w:rsidR="004E71B2" w:rsidRDefault="00DD1A15" w:rsidP="004E70AF">
      <w:pPr>
        <w:pStyle w:val="H1G"/>
      </w:pPr>
      <w:r>
        <w:lastRenderedPageBreak/>
        <w:tab/>
      </w:r>
      <w:r>
        <w:tab/>
      </w:r>
      <w:r w:rsidR="004E71B2">
        <w:t>Chapitre 3.3, disposition spéciale 341</w:t>
      </w:r>
    </w:p>
    <w:p w:rsidR="004E71B2" w:rsidRDefault="004E71B2" w:rsidP="004E71B2">
      <w:pPr>
        <w:pStyle w:val="SingleTxtG"/>
        <w:rPr>
          <w:color w:val="000000"/>
        </w:rPr>
      </w:pPr>
      <w:r w:rsidRPr="0020220E">
        <w:rPr>
          <w:i/>
          <w:iCs/>
          <w:lang w:val="fr-FR"/>
        </w:rPr>
        <w:t xml:space="preserve">Au lieu </w:t>
      </w:r>
      <w:r w:rsidR="00FD26C0" w:rsidRPr="00FD26C0">
        <w:rPr>
          <w:lang w:val="fr-FR"/>
        </w:rPr>
        <w:t>du</w:t>
      </w:r>
      <w:r>
        <w:rPr>
          <w:lang w:val="fr-FR"/>
        </w:rPr>
        <w:t xml:space="preserve"> </w:t>
      </w:r>
      <w:r w:rsidR="00FD26C0">
        <w:rPr>
          <w:color w:val="000000"/>
        </w:rPr>
        <w:t>m</w:t>
      </w:r>
      <w:r w:rsidRPr="0020220E">
        <w:rPr>
          <w:color w:val="000000"/>
        </w:rPr>
        <w:t>atériel animal</w:t>
      </w:r>
      <w:r>
        <w:rPr>
          <w:i/>
          <w:iCs/>
          <w:color w:val="000000"/>
        </w:rPr>
        <w:t> </w:t>
      </w:r>
      <w:r w:rsidR="000659B4">
        <w:rPr>
          <w:i/>
          <w:iCs/>
          <w:color w:val="000000"/>
        </w:rPr>
        <w:t>lire</w:t>
      </w:r>
      <w:r>
        <w:rPr>
          <w:color w:val="000000"/>
        </w:rPr>
        <w:t xml:space="preserve"> </w:t>
      </w:r>
      <w:r w:rsidR="00FD26C0">
        <w:rPr>
          <w:color w:val="000000"/>
        </w:rPr>
        <w:t>de la m</w:t>
      </w:r>
      <w:r w:rsidRPr="0020220E">
        <w:rPr>
          <w:color w:val="000000"/>
        </w:rPr>
        <w:t>atière animale</w:t>
      </w:r>
    </w:p>
    <w:p w:rsidR="004E71B2" w:rsidRDefault="004E71B2" w:rsidP="004E71B2">
      <w:pPr>
        <w:pStyle w:val="SingleTxtG"/>
        <w:rPr>
          <w:i/>
          <w:iCs/>
          <w:lang w:val="fr-FR"/>
        </w:rPr>
      </w:pPr>
      <w:r>
        <w:rPr>
          <w:i/>
          <w:iCs/>
          <w:lang w:val="fr-FR"/>
        </w:rPr>
        <w:t>(Document de référence : ST/SG/AC.10/C.3/2018/55)</w:t>
      </w:r>
    </w:p>
    <w:p w:rsidR="004E71B2" w:rsidRDefault="004E71B2" w:rsidP="004E70AF">
      <w:pPr>
        <w:pStyle w:val="H1G"/>
      </w:pPr>
      <w:r>
        <w:tab/>
      </w:r>
      <w:r>
        <w:tab/>
        <w:t>Chapitre 3.3, disposition spéciale 388, quatrième paragraphe</w:t>
      </w:r>
    </w:p>
    <w:p w:rsidR="004E71B2" w:rsidRDefault="00D64EFB" w:rsidP="004E71B2">
      <w:pPr>
        <w:pStyle w:val="SingleTxtG"/>
        <w:rPr>
          <w:rFonts w:eastAsia="HelveticaNeueLTPro-Roman;MS Got"/>
          <w:shd w:val="clear" w:color="auto" w:fill="FFFFFF"/>
        </w:rPr>
      </w:pPr>
      <w:r w:rsidRPr="00D64EFB">
        <w:rPr>
          <w:rFonts w:eastAsia="HelveticaNeueLTPro-Roman;MS Got"/>
          <w:i/>
          <w:iCs/>
          <w:shd w:val="clear" w:color="auto" w:fill="FFFFFF"/>
        </w:rPr>
        <w:t>Substituer</w:t>
      </w:r>
      <w:r>
        <w:rPr>
          <w:rFonts w:eastAsia="HelveticaNeueLTPro-Roman;MS Got"/>
          <w:shd w:val="clear" w:color="auto" w:fill="FFFFFF"/>
        </w:rPr>
        <w:t xml:space="preserve"> au texte existant</w:t>
      </w:r>
      <w:r w:rsidR="004E71B2">
        <w:rPr>
          <w:rFonts w:eastAsia="HelveticaNeueLTPro-Roman;MS Got"/>
          <w:shd w:val="clear" w:color="auto" w:fill="FFFFFF"/>
        </w:rPr>
        <w:t> :</w:t>
      </w:r>
    </w:p>
    <w:p w:rsidR="004E71B2" w:rsidRDefault="004E71B2" w:rsidP="004E71B2">
      <w:pPr>
        <w:pStyle w:val="SingleTxtG"/>
        <w:rPr>
          <w:rFonts w:eastAsia="HelveticaNeueLTPro-Roman;MS Got"/>
          <w:shd w:val="clear" w:color="auto" w:fill="FFFFFF"/>
        </w:rPr>
      </w:pPr>
      <w:r w:rsidRPr="00367A52">
        <w:rPr>
          <w:rFonts w:eastAsia="HelveticaNeueLTPro-Roman;MS Got"/>
          <w:shd w:val="clear" w:color="auto" w:fill="FFFFFF"/>
        </w:rPr>
        <w:t>Si un véhicule est propulsé par un moteur à combustion interne fonctionnant au liquide inflammable et au gaz inflammable il doit être affecté à la rubrique ONU 3166 VÉHICULE A PROPULSION PAR GAZ INFLAMMABLE</w:t>
      </w:r>
      <w:r w:rsidR="00D64EFB">
        <w:rPr>
          <w:rFonts w:eastAsia="HelveticaNeueLTPro-Roman;MS Got"/>
          <w:shd w:val="clear" w:color="auto" w:fill="FFFFFF"/>
        </w:rPr>
        <w:t>.</w:t>
      </w:r>
      <w:r w:rsidRPr="00367A52">
        <w:rPr>
          <w:rFonts w:eastAsia="HelveticaNeueLTPro-Roman;MS Got"/>
          <w:shd w:val="clear" w:color="auto" w:fill="FFFFFF"/>
        </w:rPr>
        <w:t> </w:t>
      </w:r>
    </w:p>
    <w:p w:rsidR="004E71B2" w:rsidRDefault="004E71B2" w:rsidP="004E71B2">
      <w:pPr>
        <w:pStyle w:val="SingleTxtG"/>
        <w:rPr>
          <w:i/>
          <w:iCs/>
        </w:rPr>
      </w:pPr>
      <w:r w:rsidRPr="009B4779">
        <w:rPr>
          <w:i/>
          <w:iCs/>
        </w:rPr>
        <w:t>(Document de référence : ST/SG/AC.10/C.3/2018/55)</w:t>
      </w:r>
    </w:p>
    <w:p w:rsidR="004E71B2" w:rsidRDefault="00373220" w:rsidP="004E70AF">
      <w:pPr>
        <w:pStyle w:val="H1G"/>
        <w:rPr>
          <w:rFonts w:eastAsia="HelveticaNeueLTPro-Roman;MS Got"/>
          <w:shd w:val="clear" w:color="auto" w:fill="FFFFFF"/>
        </w:rPr>
      </w:pPr>
      <w:r>
        <w:rPr>
          <w:rFonts w:eastAsia="HelveticaNeueLTPro-Roman;MS Got"/>
          <w:shd w:val="clear" w:color="auto" w:fill="FFFFFF"/>
        </w:rPr>
        <w:tab/>
      </w:r>
      <w:r>
        <w:rPr>
          <w:rFonts w:eastAsia="HelveticaNeueLTPro-Roman;MS Got"/>
          <w:shd w:val="clear" w:color="auto" w:fill="FFFFFF"/>
        </w:rPr>
        <w:tab/>
      </w:r>
      <w:r w:rsidR="004E71B2">
        <w:rPr>
          <w:rFonts w:eastAsia="HelveticaNeueLTPro-Roman;MS Got"/>
          <w:shd w:val="clear" w:color="auto" w:fill="FFFFFF"/>
        </w:rPr>
        <w:t xml:space="preserve">Chapitre 4.1, </w:t>
      </w:r>
      <w:r w:rsidR="004E71B2" w:rsidRPr="00953187">
        <w:rPr>
          <w:rFonts w:eastAsia="HelveticaNeueLTPro-Roman;MS Got"/>
          <w:shd w:val="clear" w:color="auto" w:fill="FFFFFF"/>
        </w:rPr>
        <w:t>instruction</w:t>
      </w:r>
      <w:r w:rsidR="00D64EFB">
        <w:rPr>
          <w:rFonts w:eastAsia="HelveticaNeueLTPro-Roman;MS Got"/>
          <w:shd w:val="clear" w:color="auto" w:fill="FFFFFF"/>
        </w:rPr>
        <w:t xml:space="preserve"> d’emballage P006, 3) c)</w:t>
      </w:r>
    </w:p>
    <w:p w:rsidR="004E71B2" w:rsidRDefault="004E71B2" w:rsidP="004E71B2">
      <w:pPr>
        <w:pStyle w:val="SingleTxtG"/>
        <w:rPr>
          <w:rFonts w:eastAsia="HelveticaNeueLTPro-Roman;MS Got"/>
          <w:shd w:val="clear" w:color="auto" w:fill="FFFFFF"/>
        </w:rPr>
      </w:pPr>
      <w:r w:rsidRPr="00F82D0B">
        <w:rPr>
          <w:rFonts w:eastAsia="HelveticaNeueLTPro-Roman;MS Got"/>
          <w:i/>
          <w:iCs/>
          <w:shd w:val="clear" w:color="auto" w:fill="FFFFFF"/>
        </w:rPr>
        <w:t>Au lieu de</w:t>
      </w:r>
      <w:r>
        <w:rPr>
          <w:rFonts w:eastAsia="HelveticaNeueLTPro-Roman;MS Got"/>
          <w:shd w:val="clear" w:color="auto" w:fill="FFFFFF"/>
        </w:rPr>
        <w:t xml:space="preserve"> Toute fuite</w:t>
      </w:r>
      <w:r w:rsidR="00D64EFB">
        <w:rPr>
          <w:rFonts w:eastAsia="HelveticaNeueLTPro-Roman;MS Got"/>
          <w:shd w:val="clear" w:color="auto" w:fill="FFFFFF"/>
        </w:rPr>
        <w:t xml:space="preserve"> du contenu ne doit pas altérer</w:t>
      </w:r>
      <w:r>
        <w:rPr>
          <w:rFonts w:eastAsia="HelveticaNeueLTPro-Roman;MS Got"/>
          <w:shd w:val="clear" w:color="auto" w:fill="FFFFFF"/>
        </w:rPr>
        <w:t xml:space="preserve"> </w:t>
      </w:r>
      <w:r w:rsidRPr="00F82D0B">
        <w:rPr>
          <w:rFonts w:eastAsia="HelveticaNeueLTPro-Roman;MS Got"/>
          <w:i/>
          <w:iCs/>
          <w:shd w:val="clear" w:color="auto" w:fill="FFFFFF"/>
        </w:rPr>
        <w:t>lire</w:t>
      </w:r>
      <w:r>
        <w:rPr>
          <w:rFonts w:eastAsia="HelveticaNeueLTPro-Roman;MS Got"/>
          <w:shd w:val="clear" w:color="auto" w:fill="FFFFFF"/>
        </w:rPr>
        <w:t xml:space="preserve"> Aucune fuite</w:t>
      </w:r>
      <w:r w:rsidR="00D64EFB">
        <w:rPr>
          <w:rFonts w:eastAsia="HelveticaNeueLTPro-Roman;MS Got"/>
          <w:shd w:val="clear" w:color="auto" w:fill="FFFFFF"/>
        </w:rPr>
        <w:t xml:space="preserve"> du contenu ne doit altérer</w:t>
      </w:r>
    </w:p>
    <w:p w:rsidR="004E71B2" w:rsidRDefault="004E71B2" w:rsidP="004E71B2">
      <w:pPr>
        <w:pStyle w:val="SingleTxtG"/>
        <w:rPr>
          <w:i/>
          <w:iCs/>
        </w:rPr>
      </w:pPr>
      <w:r w:rsidRPr="009B4779">
        <w:rPr>
          <w:i/>
          <w:iCs/>
        </w:rPr>
        <w:t>(Document de référence : ST/SG/AC.10/C.3/2018/55)</w:t>
      </w:r>
    </w:p>
    <w:p w:rsidR="004E71B2" w:rsidRDefault="004E71B2" w:rsidP="004E70AF">
      <w:pPr>
        <w:pStyle w:val="H1G"/>
        <w:rPr>
          <w:rFonts w:eastAsia="HelveticaNeueLTPro-Roman;MS Got"/>
          <w:shd w:val="clear" w:color="auto" w:fill="FFFFFF"/>
        </w:rPr>
      </w:pPr>
      <w:r>
        <w:rPr>
          <w:rFonts w:eastAsia="HelveticaNeueLTPro-Roman;MS Got"/>
          <w:shd w:val="clear" w:color="auto" w:fill="FFFFFF"/>
        </w:rPr>
        <w:tab/>
      </w:r>
      <w:r>
        <w:rPr>
          <w:rFonts w:eastAsia="HelveticaNeueLTPro-Roman;MS Got"/>
          <w:shd w:val="clear" w:color="auto" w:fill="FFFFFF"/>
        </w:rPr>
        <w:tab/>
        <w:t>Chapitre 4.1, instructions d’emballage LP03</w:t>
      </w:r>
      <w:r w:rsidR="00D64EFB">
        <w:rPr>
          <w:rFonts w:eastAsia="HelveticaNeueLTPro-Roman;MS Got"/>
          <w:shd w:val="clear" w:color="auto" w:fill="FFFFFF"/>
        </w:rPr>
        <w:t>, 2) c)</w:t>
      </w:r>
    </w:p>
    <w:p w:rsidR="00D64EFB" w:rsidRDefault="00D64EFB" w:rsidP="00D64EFB">
      <w:pPr>
        <w:pStyle w:val="SingleTxtG"/>
        <w:rPr>
          <w:rFonts w:eastAsia="HelveticaNeueLTPro-Roman;MS Got"/>
          <w:shd w:val="clear" w:color="auto" w:fill="FFFFFF"/>
        </w:rPr>
      </w:pPr>
      <w:r w:rsidRPr="00F82D0B">
        <w:rPr>
          <w:rFonts w:eastAsia="HelveticaNeueLTPro-Roman;MS Got"/>
          <w:i/>
          <w:iCs/>
          <w:shd w:val="clear" w:color="auto" w:fill="FFFFFF"/>
        </w:rPr>
        <w:t>Au lieu de</w:t>
      </w:r>
      <w:r>
        <w:rPr>
          <w:rFonts w:eastAsia="HelveticaNeueLTPro-Roman;MS Got"/>
          <w:shd w:val="clear" w:color="auto" w:fill="FFFFFF"/>
        </w:rPr>
        <w:t xml:space="preserve"> Toute fuite du contenu ne doit pas altérer </w:t>
      </w:r>
      <w:r w:rsidRPr="00F82D0B">
        <w:rPr>
          <w:rFonts w:eastAsia="HelveticaNeueLTPro-Roman;MS Got"/>
          <w:i/>
          <w:iCs/>
          <w:shd w:val="clear" w:color="auto" w:fill="FFFFFF"/>
        </w:rPr>
        <w:t>lire</w:t>
      </w:r>
      <w:r>
        <w:rPr>
          <w:rFonts w:eastAsia="HelveticaNeueLTPro-Roman;MS Got"/>
          <w:shd w:val="clear" w:color="auto" w:fill="FFFFFF"/>
        </w:rPr>
        <w:t xml:space="preserve"> Aucune fuite du contenu ne doit altérer</w:t>
      </w:r>
    </w:p>
    <w:p w:rsidR="004E71B2" w:rsidRDefault="004E71B2" w:rsidP="00D64EFB">
      <w:pPr>
        <w:pStyle w:val="SingleTxtG"/>
        <w:rPr>
          <w:i/>
          <w:iCs/>
        </w:rPr>
      </w:pPr>
      <w:r w:rsidRPr="009B4779">
        <w:rPr>
          <w:i/>
          <w:iCs/>
        </w:rPr>
        <w:t>(Document de référence : ST/SG/AC.10/C.3/2018/55)</w:t>
      </w:r>
    </w:p>
    <w:p w:rsidR="00836ED1" w:rsidRPr="00836ED1" w:rsidRDefault="00836ED1" w:rsidP="00836ED1">
      <w:pPr>
        <w:pStyle w:val="H1G"/>
        <w:rPr>
          <w:rFonts w:eastAsia="HelveticaNeueLTPro-Roman;MS Got"/>
          <w:shd w:val="clear" w:color="auto" w:fill="FFFFFF"/>
        </w:rPr>
      </w:pPr>
      <w:r>
        <w:rPr>
          <w:rFonts w:eastAsia="HelveticaNeueLTPro-Roman;MS Got"/>
          <w:shd w:val="clear" w:color="auto" w:fill="FFFFFF"/>
        </w:rPr>
        <w:tab/>
      </w:r>
      <w:r>
        <w:rPr>
          <w:rFonts w:eastAsia="HelveticaNeueLTPro-Roman;MS Got"/>
          <w:shd w:val="clear" w:color="auto" w:fill="FFFFFF"/>
        </w:rPr>
        <w:tab/>
        <w:t>Chapitre 4.1, instructions d’emballage LP905, phrase d’introduction</w:t>
      </w:r>
    </w:p>
    <w:p w:rsidR="00836ED1" w:rsidRDefault="00836ED1" w:rsidP="00836ED1">
      <w:pPr>
        <w:pStyle w:val="SingleTxtG"/>
      </w:pPr>
      <w:r w:rsidRPr="00836ED1">
        <w:rPr>
          <w:i/>
          <w:iCs/>
        </w:rPr>
        <w:t>Au lieu de</w:t>
      </w:r>
      <w:r>
        <w:t> piles et batteries </w:t>
      </w:r>
      <w:r w:rsidRPr="00836ED1">
        <w:rPr>
          <w:i/>
          <w:iCs/>
        </w:rPr>
        <w:t>lire</w:t>
      </w:r>
      <w:r>
        <w:t> piles ou batteries (deux fois)</w:t>
      </w:r>
    </w:p>
    <w:p w:rsidR="00836ED1" w:rsidRDefault="00836ED1" w:rsidP="00836ED1">
      <w:pPr>
        <w:spacing w:before="120" w:after="120" w:line="240" w:lineRule="auto"/>
        <w:ind w:left="1134" w:right="1134"/>
        <w:rPr>
          <w:i/>
          <w:iCs/>
        </w:rPr>
      </w:pPr>
      <w:r w:rsidRPr="001539C6">
        <w:rPr>
          <w:i/>
          <w:iCs/>
        </w:rPr>
        <w:t>(</w:t>
      </w:r>
      <w:r w:rsidRPr="001539C6">
        <w:rPr>
          <w:i/>
          <w:iCs/>
          <w:lang w:val="fr-FR"/>
        </w:rPr>
        <w:t>Document de référence</w:t>
      </w:r>
      <w:r>
        <w:rPr>
          <w:i/>
          <w:iCs/>
          <w:lang w:val="fr-FR"/>
        </w:rPr>
        <w:t> </w:t>
      </w:r>
      <w:r w:rsidRPr="001539C6">
        <w:rPr>
          <w:i/>
          <w:iCs/>
        </w:rPr>
        <w:t>: ST/SG/AC.10/C.3/201</w:t>
      </w:r>
      <w:r>
        <w:rPr>
          <w:i/>
          <w:iCs/>
        </w:rPr>
        <w:t>8</w:t>
      </w:r>
      <w:r w:rsidRPr="001539C6">
        <w:rPr>
          <w:i/>
          <w:iCs/>
        </w:rPr>
        <w:t>/</w:t>
      </w:r>
      <w:r>
        <w:rPr>
          <w:i/>
          <w:iCs/>
        </w:rPr>
        <w:t>15</w:t>
      </w:r>
      <w:r w:rsidRPr="001539C6">
        <w:rPr>
          <w:i/>
          <w:iCs/>
        </w:rPr>
        <w:t>)</w:t>
      </w:r>
    </w:p>
    <w:p w:rsidR="004E71B2" w:rsidRDefault="004E71B2" w:rsidP="004E70AF">
      <w:pPr>
        <w:pStyle w:val="H1G"/>
      </w:pPr>
      <w:r>
        <w:tab/>
      </w:r>
      <w:r>
        <w:tab/>
        <w:t>Chapitre 5.3, 5.3.2.2, deuxième paragraphe, deuxième phrase</w:t>
      </w:r>
    </w:p>
    <w:p w:rsidR="004E71B2" w:rsidRDefault="004E71B2" w:rsidP="004E71B2">
      <w:pPr>
        <w:pStyle w:val="SingleTxtG"/>
      </w:pPr>
      <w:r>
        <w:rPr>
          <w:i/>
          <w:iCs/>
        </w:rPr>
        <w:t xml:space="preserve">Au lieu </w:t>
      </w:r>
      <w:proofErr w:type="gramStart"/>
      <w:r>
        <w:rPr>
          <w:i/>
          <w:iCs/>
        </w:rPr>
        <w:t xml:space="preserve">de </w:t>
      </w:r>
      <w:r>
        <w:t>Il</w:t>
      </w:r>
      <w:proofErr w:type="gramEnd"/>
      <w:r>
        <w:t xml:space="preserve"> doit être </w:t>
      </w:r>
      <w:r>
        <w:rPr>
          <w:i/>
          <w:iCs/>
        </w:rPr>
        <w:t xml:space="preserve">lire </w:t>
      </w:r>
      <w:r>
        <w:t>Elle doit être</w:t>
      </w:r>
    </w:p>
    <w:p w:rsidR="004E71B2" w:rsidRDefault="004E71B2" w:rsidP="004E71B2">
      <w:pPr>
        <w:spacing w:before="120" w:after="120" w:line="240" w:lineRule="auto"/>
        <w:ind w:left="1134" w:right="1134"/>
        <w:jc w:val="both"/>
        <w:rPr>
          <w:i/>
          <w:iCs/>
        </w:rPr>
      </w:pPr>
      <w:r w:rsidRPr="001539C6">
        <w:rPr>
          <w:i/>
          <w:iCs/>
        </w:rPr>
        <w:t>(</w:t>
      </w:r>
      <w:r w:rsidRPr="001539C6">
        <w:rPr>
          <w:i/>
          <w:iCs/>
          <w:lang w:val="fr-FR"/>
        </w:rPr>
        <w:t>Document de référence</w:t>
      </w:r>
      <w:r>
        <w:rPr>
          <w:i/>
          <w:iCs/>
          <w:lang w:val="fr-FR"/>
        </w:rPr>
        <w:t> </w:t>
      </w:r>
      <w:r w:rsidRPr="001539C6">
        <w:rPr>
          <w:i/>
          <w:iCs/>
        </w:rPr>
        <w:t>: ST/SG/AC.10/C.3/201</w:t>
      </w:r>
      <w:r>
        <w:rPr>
          <w:i/>
          <w:iCs/>
        </w:rPr>
        <w:t>8</w:t>
      </w:r>
      <w:r w:rsidRPr="001539C6">
        <w:rPr>
          <w:i/>
          <w:iCs/>
        </w:rPr>
        <w:t>/</w:t>
      </w:r>
      <w:r>
        <w:rPr>
          <w:i/>
          <w:iCs/>
        </w:rPr>
        <w:t>10</w:t>
      </w:r>
      <w:r w:rsidRPr="001539C6">
        <w:rPr>
          <w:i/>
          <w:iCs/>
        </w:rPr>
        <w:t>)</w:t>
      </w:r>
      <w:r w:rsidR="008145DA">
        <w:rPr>
          <w:i/>
          <w:iCs/>
        </w:rPr>
        <w:t>.</w:t>
      </w:r>
    </w:p>
    <w:p w:rsidR="004A32FA" w:rsidRPr="004E71B2" w:rsidRDefault="009E637A" w:rsidP="00DD5F48">
      <w:pPr>
        <w:spacing w:before="240"/>
        <w:ind w:left="1134" w:right="1134"/>
        <w:jc w:val="center"/>
      </w:pPr>
      <w:r w:rsidRPr="004E71B2">
        <w:rPr>
          <w:sz w:val="18"/>
          <w:szCs w:val="18"/>
          <w:u w:val="single"/>
          <w:vertAlign w:val="superscript"/>
        </w:rPr>
        <w:tab/>
      </w:r>
      <w:r w:rsidRPr="004E71B2">
        <w:rPr>
          <w:sz w:val="18"/>
          <w:szCs w:val="18"/>
          <w:u w:val="single"/>
          <w:vertAlign w:val="superscript"/>
        </w:rPr>
        <w:tab/>
      </w:r>
      <w:r w:rsidRPr="004E71B2">
        <w:rPr>
          <w:sz w:val="18"/>
          <w:szCs w:val="18"/>
          <w:u w:val="single"/>
          <w:vertAlign w:val="superscript"/>
        </w:rPr>
        <w:tab/>
      </w:r>
    </w:p>
    <w:sectPr w:rsidR="004A32FA" w:rsidRPr="004E71B2" w:rsidSect="00EE085F">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B70" w:rsidRDefault="00416B70"/>
  </w:endnote>
  <w:endnote w:type="continuationSeparator" w:id="0">
    <w:p w:rsidR="00416B70" w:rsidRDefault="00416B70"/>
  </w:endnote>
  <w:endnote w:type="continuationNotice" w:id="1">
    <w:p w:rsidR="00416B70" w:rsidRDefault="00416B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HelveticaNeueLTPro-Roman;MS Got">
    <w:panose1 w:val="00000000000000000000"/>
    <w:charset w:val="00"/>
    <w:family w:val="roman"/>
    <w:notTrueType/>
    <w:pitch w:val="default"/>
  </w:font>
  <w:font w:name="UniMath;MS Minch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B70" w:rsidRPr="00EE085F" w:rsidRDefault="00416B70" w:rsidP="00EE085F">
    <w:pPr>
      <w:pStyle w:val="Footer"/>
      <w:tabs>
        <w:tab w:val="right" w:pos="9638"/>
      </w:tabs>
      <w:rPr>
        <w:sz w:val="18"/>
      </w:rPr>
    </w:pPr>
    <w:r w:rsidRPr="00EE085F">
      <w:rPr>
        <w:b/>
        <w:sz w:val="18"/>
      </w:rPr>
      <w:fldChar w:fldCharType="begin"/>
    </w:r>
    <w:r w:rsidRPr="00EE085F">
      <w:rPr>
        <w:b/>
        <w:sz w:val="18"/>
      </w:rPr>
      <w:instrText xml:space="preserve"> PAGE  \* MERGEFORMAT </w:instrText>
    </w:r>
    <w:r w:rsidRPr="00EE085F">
      <w:rPr>
        <w:b/>
        <w:sz w:val="18"/>
      </w:rPr>
      <w:fldChar w:fldCharType="separate"/>
    </w:r>
    <w:r>
      <w:rPr>
        <w:b/>
        <w:noProof/>
        <w:sz w:val="18"/>
      </w:rPr>
      <w:t>20</w:t>
    </w:r>
    <w:r w:rsidRPr="00EE085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B70" w:rsidRPr="00EE085F" w:rsidRDefault="00416B70" w:rsidP="00EE085F">
    <w:pPr>
      <w:pStyle w:val="Footer"/>
      <w:tabs>
        <w:tab w:val="right" w:pos="9638"/>
      </w:tabs>
      <w:rPr>
        <w:b/>
        <w:sz w:val="18"/>
      </w:rPr>
    </w:pPr>
    <w:r>
      <w:tab/>
    </w:r>
    <w:r w:rsidRPr="00EE085F">
      <w:rPr>
        <w:b/>
        <w:sz w:val="18"/>
      </w:rPr>
      <w:fldChar w:fldCharType="begin"/>
    </w:r>
    <w:r w:rsidRPr="00EE085F">
      <w:rPr>
        <w:b/>
        <w:sz w:val="18"/>
      </w:rPr>
      <w:instrText xml:space="preserve"> PAGE  \* MERGEFORMAT </w:instrText>
    </w:r>
    <w:r w:rsidRPr="00EE085F">
      <w:rPr>
        <w:b/>
        <w:sz w:val="18"/>
      </w:rPr>
      <w:fldChar w:fldCharType="separate"/>
    </w:r>
    <w:r>
      <w:rPr>
        <w:b/>
        <w:noProof/>
        <w:sz w:val="18"/>
      </w:rPr>
      <w:t>19</w:t>
    </w:r>
    <w:r w:rsidRPr="00EE085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B70" w:rsidRPr="00D27D5E" w:rsidRDefault="00416B70" w:rsidP="00D27D5E">
      <w:pPr>
        <w:tabs>
          <w:tab w:val="right" w:pos="2155"/>
        </w:tabs>
        <w:spacing w:after="80"/>
        <w:ind w:left="680"/>
        <w:rPr>
          <w:u w:val="single"/>
        </w:rPr>
      </w:pPr>
      <w:r>
        <w:rPr>
          <w:u w:val="single"/>
        </w:rPr>
        <w:tab/>
      </w:r>
    </w:p>
  </w:footnote>
  <w:footnote w:type="continuationSeparator" w:id="0">
    <w:p w:rsidR="00416B70" w:rsidRPr="00A40B11" w:rsidRDefault="00416B70" w:rsidP="00A40B11">
      <w:pPr>
        <w:tabs>
          <w:tab w:val="right" w:pos="2155"/>
        </w:tabs>
        <w:spacing w:after="80"/>
        <w:ind w:left="680"/>
        <w:rPr>
          <w:u w:val="single"/>
        </w:rPr>
      </w:pPr>
      <w:r w:rsidRPr="00A40B11">
        <w:rPr>
          <w:u w:val="single"/>
        </w:rPr>
        <w:tab/>
      </w:r>
    </w:p>
  </w:footnote>
  <w:footnote w:type="continuationNotice" w:id="1">
    <w:p w:rsidR="00416B70" w:rsidRDefault="00416B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B70" w:rsidRPr="003F6D6D" w:rsidRDefault="00416B70">
    <w:pPr>
      <w:pStyle w:val="Header"/>
      <w:rPr>
        <w:lang w:val="en-US"/>
      </w:rPr>
    </w:pPr>
    <w:r w:rsidRPr="003F6D6D">
      <w:rPr>
        <w:lang w:val="en-US"/>
      </w:rPr>
      <w:t>ST/SG/AC.10/C.3/10</w:t>
    </w:r>
    <w:r>
      <w:rPr>
        <w:lang w:val="en-US"/>
      </w:rPr>
      <w:t>6</w:t>
    </w:r>
    <w:r w:rsidRPr="003F6D6D">
      <w:rPr>
        <w:lang w:val="en-US"/>
      </w:rPr>
      <w:t>/Add.1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B70" w:rsidRPr="003F6D6D" w:rsidRDefault="00416B70" w:rsidP="00EE085F">
    <w:pPr>
      <w:pStyle w:val="Header"/>
      <w:jc w:val="right"/>
      <w:rPr>
        <w:lang w:val="en-US"/>
      </w:rPr>
    </w:pPr>
    <w:r>
      <w:rPr>
        <w:lang w:val="en-US"/>
      </w:rPr>
      <w:t>ST/SG/AC.10/C.3/106</w:t>
    </w:r>
    <w:r w:rsidRPr="003F6D6D">
      <w:rPr>
        <w:lang w:val="en-US"/>
      </w:rPr>
      <w:t>/Add.1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76268"/>
    <w:multiLevelType w:val="hybridMultilevel"/>
    <w:tmpl w:val="C46289D0"/>
    <w:lvl w:ilvl="0" w:tplc="BDA4C338">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cs="Times New Roman" w:hint="default"/>
        <w:b w:val="0"/>
        <w:i w:val="0"/>
        <w:sz w:val="2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 w15:restartNumberingAfterBreak="0">
    <w:nsid w:val="0F4F0FAE"/>
    <w:multiLevelType w:val="hybridMultilevel"/>
    <w:tmpl w:val="73363798"/>
    <w:lvl w:ilvl="0" w:tplc="69D45F90">
      <w:start w:val="1"/>
      <w:numFmt w:val="upperRoman"/>
      <w:lvlText w:val="%1."/>
      <w:lvlJc w:val="left"/>
      <w:pPr>
        <w:ind w:left="1455" w:hanging="72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 w15:restartNumberingAfterBreak="0">
    <w:nsid w:val="13DF0C1F"/>
    <w:multiLevelType w:val="hybridMultilevel"/>
    <w:tmpl w:val="73363798"/>
    <w:lvl w:ilvl="0" w:tplc="69D45F90">
      <w:start w:val="1"/>
      <w:numFmt w:val="upperRoman"/>
      <w:lvlText w:val="%1."/>
      <w:lvlJc w:val="left"/>
      <w:pPr>
        <w:ind w:left="1455" w:hanging="72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 w15:restartNumberingAfterBreak="0">
    <w:nsid w:val="19977546"/>
    <w:multiLevelType w:val="hybridMultilevel"/>
    <w:tmpl w:val="9CE46A04"/>
    <w:lvl w:ilvl="0" w:tplc="6958F4F0">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1E5428FE"/>
    <w:multiLevelType w:val="hybridMultilevel"/>
    <w:tmpl w:val="73363798"/>
    <w:lvl w:ilvl="0" w:tplc="69D45F90">
      <w:start w:val="1"/>
      <w:numFmt w:val="upperRoman"/>
      <w:lvlText w:val="%1."/>
      <w:lvlJc w:val="left"/>
      <w:pPr>
        <w:ind w:left="1455" w:hanging="72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6" w15:restartNumberingAfterBreak="0">
    <w:nsid w:val="3ACF4EB2"/>
    <w:multiLevelType w:val="hybridMultilevel"/>
    <w:tmpl w:val="BAF27FA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8" w15:restartNumberingAfterBreak="0">
    <w:nsid w:val="71982A81"/>
    <w:multiLevelType w:val="hybridMultilevel"/>
    <w:tmpl w:val="73363798"/>
    <w:lvl w:ilvl="0" w:tplc="69D45F90">
      <w:start w:val="1"/>
      <w:numFmt w:val="upperRoman"/>
      <w:lvlText w:val="%1."/>
      <w:lvlJc w:val="left"/>
      <w:pPr>
        <w:ind w:left="1455" w:hanging="72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9" w15:restartNumberingAfterBreak="0">
    <w:nsid w:val="77D15944"/>
    <w:multiLevelType w:val="hybridMultilevel"/>
    <w:tmpl w:val="C3F62F14"/>
    <w:lvl w:ilvl="0" w:tplc="717864DA">
      <w:start w:val="1"/>
      <w:numFmt w:val="upperRoman"/>
      <w:lvlText w:val="%1."/>
      <w:lvlJc w:val="left"/>
      <w:pPr>
        <w:ind w:left="1854" w:hanging="720"/>
      </w:pPr>
      <w:rPr>
        <w:rFonts w:hint="default"/>
        <w:i w:val="0"/>
        <w:i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7"/>
  </w:num>
  <w:num w:numId="2">
    <w:abstractNumId w:val="6"/>
  </w:num>
  <w:num w:numId="3">
    <w:abstractNumId w:val="3"/>
  </w:num>
  <w:num w:numId="4">
    <w:abstractNumId w:val="2"/>
  </w:num>
  <w:num w:numId="5">
    <w:abstractNumId w:val="8"/>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en-GB" w:vendorID="64" w:dllVersion="6" w:nlCheck="1" w:checkStyle="1"/>
  <w:activeWritingStyle w:appName="MSWord" w:lang="es-ES" w:vendorID="64" w:dllVersion="6" w:nlCheck="1" w:checkStyle="1"/>
  <w:activeWritingStyle w:appName="MSWord" w:lang="en-CA" w:vendorID="64" w:dllVersion="6" w:nlCheck="1" w:checkStyle="1"/>
  <w:activeWritingStyle w:appName="MSWord" w:lang="fr-FR" w:vendorID="64" w:dllVersion="0" w:nlCheck="1" w:checkStyle="0"/>
  <w:activeWritingStyle w:appName="MSWord" w:lang="es-ES"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85F"/>
    <w:rsid w:val="000104F1"/>
    <w:rsid w:val="00016AC5"/>
    <w:rsid w:val="00030A17"/>
    <w:rsid w:val="00042717"/>
    <w:rsid w:val="00043666"/>
    <w:rsid w:val="00046C23"/>
    <w:rsid w:val="00050CF8"/>
    <w:rsid w:val="00053864"/>
    <w:rsid w:val="00055028"/>
    <w:rsid w:val="00057F27"/>
    <w:rsid w:val="00060467"/>
    <w:rsid w:val="00064254"/>
    <w:rsid w:val="00065018"/>
    <w:rsid w:val="000659B4"/>
    <w:rsid w:val="00070297"/>
    <w:rsid w:val="00072E7B"/>
    <w:rsid w:val="00073282"/>
    <w:rsid w:val="00074A66"/>
    <w:rsid w:val="000878F1"/>
    <w:rsid w:val="0009365A"/>
    <w:rsid w:val="000B3711"/>
    <w:rsid w:val="000C2ADA"/>
    <w:rsid w:val="000C681E"/>
    <w:rsid w:val="000E03CA"/>
    <w:rsid w:val="000E4712"/>
    <w:rsid w:val="000F229A"/>
    <w:rsid w:val="000F338A"/>
    <w:rsid w:val="000F41F2"/>
    <w:rsid w:val="001014EE"/>
    <w:rsid w:val="00101813"/>
    <w:rsid w:val="001146B4"/>
    <w:rsid w:val="00121CEE"/>
    <w:rsid w:val="00145EDF"/>
    <w:rsid w:val="0015231C"/>
    <w:rsid w:val="00152DAE"/>
    <w:rsid w:val="00154CB9"/>
    <w:rsid w:val="00160540"/>
    <w:rsid w:val="00161854"/>
    <w:rsid w:val="00162F92"/>
    <w:rsid w:val="001862A5"/>
    <w:rsid w:val="00192EEB"/>
    <w:rsid w:val="001A20FB"/>
    <w:rsid w:val="001A389B"/>
    <w:rsid w:val="001A667A"/>
    <w:rsid w:val="001B45F9"/>
    <w:rsid w:val="001C6DA5"/>
    <w:rsid w:val="001D2641"/>
    <w:rsid w:val="001D44B7"/>
    <w:rsid w:val="001D59DF"/>
    <w:rsid w:val="001D7F8A"/>
    <w:rsid w:val="001E3FEB"/>
    <w:rsid w:val="001E4A02"/>
    <w:rsid w:val="001E68C9"/>
    <w:rsid w:val="001F0E00"/>
    <w:rsid w:val="0020220E"/>
    <w:rsid w:val="00211794"/>
    <w:rsid w:val="00213326"/>
    <w:rsid w:val="002156CB"/>
    <w:rsid w:val="00220B3D"/>
    <w:rsid w:val="00222EC6"/>
    <w:rsid w:val="00225A8C"/>
    <w:rsid w:val="00243C62"/>
    <w:rsid w:val="00244581"/>
    <w:rsid w:val="002606B3"/>
    <w:rsid w:val="0026555C"/>
    <w:rsid w:val="002659F1"/>
    <w:rsid w:val="00270A83"/>
    <w:rsid w:val="00272AFA"/>
    <w:rsid w:val="002815BF"/>
    <w:rsid w:val="00287E79"/>
    <w:rsid w:val="002928F9"/>
    <w:rsid w:val="002969E8"/>
    <w:rsid w:val="002A5D07"/>
    <w:rsid w:val="002B1E8A"/>
    <w:rsid w:val="002C1B97"/>
    <w:rsid w:val="002C2A22"/>
    <w:rsid w:val="002D04DA"/>
    <w:rsid w:val="002D2EE8"/>
    <w:rsid w:val="002E622B"/>
    <w:rsid w:val="002F61DE"/>
    <w:rsid w:val="003016B7"/>
    <w:rsid w:val="00306B25"/>
    <w:rsid w:val="00313343"/>
    <w:rsid w:val="00323B4E"/>
    <w:rsid w:val="003416B3"/>
    <w:rsid w:val="00342276"/>
    <w:rsid w:val="0034591A"/>
    <w:rsid w:val="00347E53"/>
    <w:rsid w:val="003515AA"/>
    <w:rsid w:val="00352C78"/>
    <w:rsid w:val="00353080"/>
    <w:rsid w:val="003549F3"/>
    <w:rsid w:val="00363CC4"/>
    <w:rsid w:val="00367467"/>
    <w:rsid w:val="00367A52"/>
    <w:rsid w:val="00373220"/>
    <w:rsid w:val="00374106"/>
    <w:rsid w:val="003742AD"/>
    <w:rsid w:val="003779A6"/>
    <w:rsid w:val="003903E8"/>
    <w:rsid w:val="0039487E"/>
    <w:rsid w:val="00396195"/>
    <w:rsid w:val="003976D5"/>
    <w:rsid w:val="003B661E"/>
    <w:rsid w:val="003C0565"/>
    <w:rsid w:val="003C1382"/>
    <w:rsid w:val="003C74C2"/>
    <w:rsid w:val="003C7AB6"/>
    <w:rsid w:val="003D3BED"/>
    <w:rsid w:val="003D6C47"/>
    <w:rsid w:val="003D6C68"/>
    <w:rsid w:val="003E2F7F"/>
    <w:rsid w:val="003E787A"/>
    <w:rsid w:val="003F5B56"/>
    <w:rsid w:val="003F6212"/>
    <w:rsid w:val="003F6D6D"/>
    <w:rsid w:val="0040009E"/>
    <w:rsid w:val="004159D0"/>
    <w:rsid w:val="00416B70"/>
    <w:rsid w:val="00416E27"/>
    <w:rsid w:val="00421F7A"/>
    <w:rsid w:val="00425704"/>
    <w:rsid w:val="00441963"/>
    <w:rsid w:val="0044249A"/>
    <w:rsid w:val="004433F1"/>
    <w:rsid w:val="00447264"/>
    <w:rsid w:val="00455B81"/>
    <w:rsid w:val="00457D8D"/>
    <w:rsid w:val="0046126F"/>
    <w:rsid w:val="00463AF3"/>
    <w:rsid w:val="00482AF2"/>
    <w:rsid w:val="0048380A"/>
    <w:rsid w:val="004976E1"/>
    <w:rsid w:val="004A0F69"/>
    <w:rsid w:val="004A2F2C"/>
    <w:rsid w:val="004A32FA"/>
    <w:rsid w:val="004B41A4"/>
    <w:rsid w:val="004B435E"/>
    <w:rsid w:val="004B6755"/>
    <w:rsid w:val="004C4F94"/>
    <w:rsid w:val="004D1CA3"/>
    <w:rsid w:val="004E56E0"/>
    <w:rsid w:val="004E70AF"/>
    <w:rsid w:val="004E71B2"/>
    <w:rsid w:val="004F1240"/>
    <w:rsid w:val="00503852"/>
    <w:rsid w:val="00513990"/>
    <w:rsid w:val="00524945"/>
    <w:rsid w:val="00524E3C"/>
    <w:rsid w:val="00526C1E"/>
    <w:rsid w:val="00543D5E"/>
    <w:rsid w:val="005574D2"/>
    <w:rsid w:val="00571F41"/>
    <w:rsid w:val="00572ED0"/>
    <w:rsid w:val="005739BE"/>
    <w:rsid w:val="0058132F"/>
    <w:rsid w:val="00583E4B"/>
    <w:rsid w:val="005970C8"/>
    <w:rsid w:val="005A0413"/>
    <w:rsid w:val="005B2E82"/>
    <w:rsid w:val="005C0DBB"/>
    <w:rsid w:val="005C37E4"/>
    <w:rsid w:val="005D3EC3"/>
    <w:rsid w:val="005E5D1F"/>
    <w:rsid w:val="005F14BE"/>
    <w:rsid w:val="005F4E0D"/>
    <w:rsid w:val="005F64DA"/>
    <w:rsid w:val="00603122"/>
    <w:rsid w:val="00611D43"/>
    <w:rsid w:val="00612D48"/>
    <w:rsid w:val="006169EA"/>
    <w:rsid w:val="00616B45"/>
    <w:rsid w:val="006213F4"/>
    <w:rsid w:val="00630D9B"/>
    <w:rsid w:val="00631953"/>
    <w:rsid w:val="006378DF"/>
    <w:rsid w:val="006439EC"/>
    <w:rsid w:val="006459CF"/>
    <w:rsid w:val="00653193"/>
    <w:rsid w:val="006541A2"/>
    <w:rsid w:val="0065555A"/>
    <w:rsid w:val="00655A3D"/>
    <w:rsid w:val="00655B33"/>
    <w:rsid w:val="006679FB"/>
    <w:rsid w:val="006743B8"/>
    <w:rsid w:val="006766F2"/>
    <w:rsid w:val="0068757A"/>
    <w:rsid w:val="006924C3"/>
    <w:rsid w:val="006B0342"/>
    <w:rsid w:val="006B0E45"/>
    <w:rsid w:val="006B22B2"/>
    <w:rsid w:val="006B4590"/>
    <w:rsid w:val="006B5ACE"/>
    <w:rsid w:val="006B7DED"/>
    <w:rsid w:val="006C340C"/>
    <w:rsid w:val="0070347C"/>
    <w:rsid w:val="00703DCC"/>
    <w:rsid w:val="007066FB"/>
    <w:rsid w:val="0070722E"/>
    <w:rsid w:val="00707E67"/>
    <w:rsid w:val="00713F45"/>
    <w:rsid w:val="007176C1"/>
    <w:rsid w:val="00724238"/>
    <w:rsid w:val="00740EAB"/>
    <w:rsid w:val="00750B2E"/>
    <w:rsid w:val="00761C2A"/>
    <w:rsid w:val="00765EA1"/>
    <w:rsid w:val="00771895"/>
    <w:rsid w:val="00775A21"/>
    <w:rsid w:val="0077766A"/>
    <w:rsid w:val="00780966"/>
    <w:rsid w:val="00784725"/>
    <w:rsid w:val="0078524D"/>
    <w:rsid w:val="00786C3A"/>
    <w:rsid w:val="007A11CA"/>
    <w:rsid w:val="007A638C"/>
    <w:rsid w:val="007B5C68"/>
    <w:rsid w:val="007B68BD"/>
    <w:rsid w:val="007B78DB"/>
    <w:rsid w:val="007C17FE"/>
    <w:rsid w:val="007D3EA5"/>
    <w:rsid w:val="007E2C82"/>
    <w:rsid w:val="007F43C9"/>
    <w:rsid w:val="007F55CB"/>
    <w:rsid w:val="007F7710"/>
    <w:rsid w:val="00803D4A"/>
    <w:rsid w:val="008145DA"/>
    <w:rsid w:val="00814BEE"/>
    <w:rsid w:val="008157D2"/>
    <w:rsid w:val="0082185F"/>
    <w:rsid w:val="00830032"/>
    <w:rsid w:val="008322A2"/>
    <w:rsid w:val="00836ED1"/>
    <w:rsid w:val="00844750"/>
    <w:rsid w:val="00850A60"/>
    <w:rsid w:val="00851BA3"/>
    <w:rsid w:val="008553C2"/>
    <w:rsid w:val="0085695A"/>
    <w:rsid w:val="0086254F"/>
    <w:rsid w:val="00865B60"/>
    <w:rsid w:val="00866D64"/>
    <w:rsid w:val="008740AB"/>
    <w:rsid w:val="00881E13"/>
    <w:rsid w:val="0089029D"/>
    <w:rsid w:val="008A3492"/>
    <w:rsid w:val="008A56E7"/>
    <w:rsid w:val="008A5DC1"/>
    <w:rsid w:val="008B44C4"/>
    <w:rsid w:val="008B5CAA"/>
    <w:rsid w:val="008E12DE"/>
    <w:rsid w:val="008E5A7A"/>
    <w:rsid w:val="008E7FAE"/>
    <w:rsid w:val="00911BF7"/>
    <w:rsid w:val="009126EF"/>
    <w:rsid w:val="009163D3"/>
    <w:rsid w:val="00931BEB"/>
    <w:rsid w:val="0093236D"/>
    <w:rsid w:val="00932F77"/>
    <w:rsid w:val="00933F6D"/>
    <w:rsid w:val="00940AFB"/>
    <w:rsid w:val="0094723C"/>
    <w:rsid w:val="00951BBA"/>
    <w:rsid w:val="00953A02"/>
    <w:rsid w:val="009674FC"/>
    <w:rsid w:val="00977EC8"/>
    <w:rsid w:val="009B33AB"/>
    <w:rsid w:val="009B36BA"/>
    <w:rsid w:val="009B4779"/>
    <w:rsid w:val="009B57D7"/>
    <w:rsid w:val="009B614C"/>
    <w:rsid w:val="009B6596"/>
    <w:rsid w:val="009C0159"/>
    <w:rsid w:val="009C07CA"/>
    <w:rsid w:val="009C74D5"/>
    <w:rsid w:val="009D1791"/>
    <w:rsid w:val="009D3A8C"/>
    <w:rsid w:val="009D6C0B"/>
    <w:rsid w:val="009E53BD"/>
    <w:rsid w:val="009E637A"/>
    <w:rsid w:val="009E6EF2"/>
    <w:rsid w:val="009E7956"/>
    <w:rsid w:val="009E79B0"/>
    <w:rsid w:val="009F2A98"/>
    <w:rsid w:val="009F7B3B"/>
    <w:rsid w:val="00A12B3A"/>
    <w:rsid w:val="00A1534D"/>
    <w:rsid w:val="00A2492E"/>
    <w:rsid w:val="00A378C6"/>
    <w:rsid w:val="00A40B11"/>
    <w:rsid w:val="00A40F0E"/>
    <w:rsid w:val="00A45A32"/>
    <w:rsid w:val="00A45FED"/>
    <w:rsid w:val="00A474CC"/>
    <w:rsid w:val="00A50268"/>
    <w:rsid w:val="00A6063C"/>
    <w:rsid w:val="00A61B1A"/>
    <w:rsid w:val="00A82F09"/>
    <w:rsid w:val="00A8678E"/>
    <w:rsid w:val="00AA4C56"/>
    <w:rsid w:val="00AB2CD4"/>
    <w:rsid w:val="00AB7BD8"/>
    <w:rsid w:val="00AC4AD7"/>
    <w:rsid w:val="00AC640B"/>
    <w:rsid w:val="00AC67A1"/>
    <w:rsid w:val="00AC7977"/>
    <w:rsid w:val="00AE352C"/>
    <w:rsid w:val="00AF16C5"/>
    <w:rsid w:val="00B10104"/>
    <w:rsid w:val="00B10D02"/>
    <w:rsid w:val="00B15353"/>
    <w:rsid w:val="00B22558"/>
    <w:rsid w:val="00B27E88"/>
    <w:rsid w:val="00B32E2D"/>
    <w:rsid w:val="00B422EA"/>
    <w:rsid w:val="00B44ABF"/>
    <w:rsid w:val="00B565F4"/>
    <w:rsid w:val="00B60A84"/>
    <w:rsid w:val="00B61990"/>
    <w:rsid w:val="00B637EC"/>
    <w:rsid w:val="00B8635B"/>
    <w:rsid w:val="00B946BD"/>
    <w:rsid w:val="00BA70FA"/>
    <w:rsid w:val="00BB6120"/>
    <w:rsid w:val="00BC3690"/>
    <w:rsid w:val="00BC7DBD"/>
    <w:rsid w:val="00BD0BD8"/>
    <w:rsid w:val="00BD3DE2"/>
    <w:rsid w:val="00BF0556"/>
    <w:rsid w:val="00BF1492"/>
    <w:rsid w:val="00C00905"/>
    <w:rsid w:val="00C0357F"/>
    <w:rsid w:val="00C056B2"/>
    <w:rsid w:val="00C07EA7"/>
    <w:rsid w:val="00C14D8F"/>
    <w:rsid w:val="00C21D4D"/>
    <w:rsid w:val="00C261F8"/>
    <w:rsid w:val="00C33100"/>
    <w:rsid w:val="00C35185"/>
    <w:rsid w:val="00C456F6"/>
    <w:rsid w:val="00C466E2"/>
    <w:rsid w:val="00C46DDF"/>
    <w:rsid w:val="00C47B4F"/>
    <w:rsid w:val="00C56C66"/>
    <w:rsid w:val="00C63104"/>
    <w:rsid w:val="00C660CE"/>
    <w:rsid w:val="00C7344E"/>
    <w:rsid w:val="00C811BD"/>
    <w:rsid w:val="00C8355E"/>
    <w:rsid w:val="00C91200"/>
    <w:rsid w:val="00C9569E"/>
    <w:rsid w:val="00CA0680"/>
    <w:rsid w:val="00CA5A70"/>
    <w:rsid w:val="00CB0355"/>
    <w:rsid w:val="00CB3C4C"/>
    <w:rsid w:val="00CC23F8"/>
    <w:rsid w:val="00CC501C"/>
    <w:rsid w:val="00CC685D"/>
    <w:rsid w:val="00CC7DFD"/>
    <w:rsid w:val="00CD1A71"/>
    <w:rsid w:val="00CD1FBB"/>
    <w:rsid w:val="00CD2641"/>
    <w:rsid w:val="00CD5300"/>
    <w:rsid w:val="00CE2855"/>
    <w:rsid w:val="00CF1880"/>
    <w:rsid w:val="00CF188B"/>
    <w:rsid w:val="00CF6E22"/>
    <w:rsid w:val="00D012CE"/>
    <w:rsid w:val="00D016B5"/>
    <w:rsid w:val="00D024FA"/>
    <w:rsid w:val="00D02F36"/>
    <w:rsid w:val="00D034F1"/>
    <w:rsid w:val="00D12C1C"/>
    <w:rsid w:val="00D27D5E"/>
    <w:rsid w:val="00D63713"/>
    <w:rsid w:val="00D64EFB"/>
    <w:rsid w:val="00D742FA"/>
    <w:rsid w:val="00D75574"/>
    <w:rsid w:val="00D75B07"/>
    <w:rsid w:val="00D86FAB"/>
    <w:rsid w:val="00D9589F"/>
    <w:rsid w:val="00D96489"/>
    <w:rsid w:val="00DA1BB0"/>
    <w:rsid w:val="00DA29E6"/>
    <w:rsid w:val="00DA48DB"/>
    <w:rsid w:val="00DA6CF8"/>
    <w:rsid w:val="00DB4BC8"/>
    <w:rsid w:val="00DC20AE"/>
    <w:rsid w:val="00DD1A15"/>
    <w:rsid w:val="00DD4498"/>
    <w:rsid w:val="00DD5F48"/>
    <w:rsid w:val="00DE139D"/>
    <w:rsid w:val="00DE1972"/>
    <w:rsid w:val="00DE1FEC"/>
    <w:rsid w:val="00DE6D90"/>
    <w:rsid w:val="00DF002F"/>
    <w:rsid w:val="00E0244D"/>
    <w:rsid w:val="00E1258B"/>
    <w:rsid w:val="00E15143"/>
    <w:rsid w:val="00E203D5"/>
    <w:rsid w:val="00E25CD0"/>
    <w:rsid w:val="00E2693C"/>
    <w:rsid w:val="00E27E64"/>
    <w:rsid w:val="00E50117"/>
    <w:rsid w:val="00E55F5E"/>
    <w:rsid w:val="00E739E8"/>
    <w:rsid w:val="00E81E94"/>
    <w:rsid w:val="00E82607"/>
    <w:rsid w:val="00E9156F"/>
    <w:rsid w:val="00E96AA6"/>
    <w:rsid w:val="00EC04C9"/>
    <w:rsid w:val="00EC5AFA"/>
    <w:rsid w:val="00ED381E"/>
    <w:rsid w:val="00EE085F"/>
    <w:rsid w:val="00EE1DEB"/>
    <w:rsid w:val="00EF0D5E"/>
    <w:rsid w:val="00F16320"/>
    <w:rsid w:val="00F179F3"/>
    <w:rsid w:val="00F24133"/>
    <w:rsid w:val="00F32741"/>
    <w:rsid w:val="00F40D1B"/>
    <w:rsid w:val="00F43E26"/>
    <w:rsid w:val="00F443E1"/>
    <w:rsid w:val="00F50508"/>
    <w:rsid w:val="00F62270"/>
    <w:rsid w:val="00F749B2"/>
    <w:rsid w:val="00F82D0B"/>
    <w:rsid w:val="00F84F2D"/>
    <w:rsid w:val="00F948AD"/>
    <w:rsid w:val="00F96E92"/>
    <w:rsid w:val="00FA5A79"/>
    <w:rsid w:val="00FB0BFE"/>
    <w:rsid w:val="00FB4C51"/>
    <w:rsid w:val="00FC356C"/>
    <w:rsid w:val="00FC57A3"/>
    <w:rsid w:val="00FC690A"/>
    <w:rsid w:val="00FD26C0"/>
    <w:rsid w:val="00FD4586"/>
    <w:rsid w:val="00FD7262"/>
    <w:rsid w:val="00FE6110"/>
    <w:rsid w:val="00FF1D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oNotEmbedSmartTags/>
  <w:decimalSymbol w:val="."/>
  <w:listSeparator w:val=","/>
  <w14:docId w14:val="31FED7F7"/>
  <w15:docId w15:val="{DB035DE9-D375-40A6-A5DB-5489CB21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2641"/>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CD2641"/>
    <w:pPr>
      <w:keepNext/>
      <w:keepLines/>
      <w:spacing w:after="0" w:line="240" w:lineRule="auto"/>
      <w:ind w:right="0"/>
      <w:jc w:val="left"/>
      <w:outlineLvl w:val="0"/>
    </w:pPr>
  </w:style>
  <w:style w:type="paragraph" w:styleId="Heading2">
    <w:name w:val="heading 2"/>
    <w:basedOn w:val="Normal"/>
    <w:next w:val="Normal"/>
    <w:qFormat/>
    <w:rsid w:val="00CD2641"/>
    <w:pPr>
      <w:outlineLvl w:val="1"/>
    </w:pPr>
  </w:style>
  <w:style w:type="paragraph" w:styleId="Heading3">
    <w:name w:val="heading 3"/>
    <w:basedOn w:val="Normal"/>
    <w:next w:val="Normal"/>
    <w:qFormat/>
    <w:rsid w:val="00CD2641"/>
    <w:pPr>
      <w:outlineLvl w:val="2"/>
    </w:pPr>
  </w:style>
  <w:style w:type="paragraph" w:styleId="Heading4">
    <w:name w:val="heading 4"/>
    <w:basedOn w:val="Normal"/>
    <w:next w:val="Normal"/>
    <w:qFormat/>
    <w:rsid w:val="00CD2641"/>
    <w:pPr>
      <w:outlineLvl w:val="3"/>
    </w:pPr>
  </w:style>
  <w:style w:type="paragraph" w:styleId="Heading5">
    <w:name w:val="heading 5"/>
    <w:basedOn w:val="Normal"/>
    <w:next w:val="Normal"/>
    <w:qFormat/>
    <w:rsid w:val="00CD2641"/>
    <w:pPr>
      <w:outlineLvl w:val="4"/>
    </w:pPr>
  </w:style>
  <w:style w:type="paragraph" w:styleId="Heading6">
    <w:name w:val="heading 6"/>
    <w:basedOn w:val="Normal"/>
    <w:next w:val="Normal"/>
    <w:qFormat/>
    <w:rsid w:val="00CD2641"/>
    <w:pPr>
      <w:outlineLvl w:val="5"/>
    </w:pPr>
  </w:style>
  <w:style w:type="paragraph" w:styleId="Heading7">
    <w:name w:val="heading 7"/>
    <w:basedOn w:val="Normal"/>
    <w:next w:val="Normal"/>
    <w:qFormat/>
    <w:rsid w:val="00CD2641"/>
    <w:pPr>
      <w:outlineLvl w:val="6"/>
    </w:pPr>
  </w:style>
  <w:style w:type="paragraph" w:styleId="Heading8">
    <w:name w:val="heading 8"/>
    <w:basedOn w:val="Normal"/>
    <w:next w:val="Normal"/>
    <w:qFormat/>
    <w:rsid w:val="00CD2641"/>
    <w:pPr>
      <w:outlineLvl w:val="7"/>
    </w:pPr>
  </w:style>
  <w:style w:type="paragraph" w:styleId="Heading9">
    <w:name w:val="heading 9"/>
    <w:basedOn w:val="Normal"/>
    <w:next w:val="Normal"/>
    <w:qFormat/>
    <w:rsid w:val="00CD26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D264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D264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CD264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CD264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D264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D264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CD2641"/>
    <w:pPr>
      <w:spacing w:after="120"/>
      <w:ind w:left="1134" w:right="1134"/>
      <w:jc w:val="both"/>
    </w:pPr>
  </w:style>
  <w:style w:type="paragraph" w:customStyle="1" w:styleId="SLG">
    <w:name w:val="__S_L_G"/>
    <w:basedOn w:val="Normal"/>
    <w:next w:val="Normal"/>
    <w:rsid w:val="00CD2641"/>
    <w:pPr>
      <w:keepNext/>
      <w:keepLines/>
      <w:spacing w:before="240" w:after="240" w:line="580" w:lineRule="exact"/>
      <w:ind w:left="1134" w:right="1134"/>
    </w:pPr>
    <w:rPr>
      <w:b/>
      <w:sz w:val="56"/>
    </w:rPr>
  </w:style>
  <w:style w:type="paragraph" w:customStyle="1" w:styleId="SMG">
    <w:name w:val="__S_M_G"/>
    <w:basedOn w:val="Normal"/>
    <w:next w:val="Normal"/>
    <w:rsid w:val="00CD2641"/>
    <w:pPr>
      <w:keepNext/>
      <w:keepLines/>
      <w:spacing w:before="240" w:after="240" w:line="420" w:lineRule="exact"/>
      <w:ind w:left="1134" w:right="1134"/>
    </w:pPr>
    <w:rPr>
      <w:b/>
      <w:sz w:val="40"/>
    </w:rPr>
  </w:style>
  <w:style w:type="paragraph" w:customStyle="1" w:styleId="SSG">
    <w:name w:val="__S_S_G"/>
    <w:basedOn w:val="Normal"/>
    <w:next w:val="Normal"/>
    <w:rsid w:val="00CD2641"/>
    <w:pPr>
      <w:keepNext/>
      <w:keepLines/>
      <w:spacing w:before="240" w:after="240" w:line="300" w:lineRule="exact"/>
      <w:ind w:left="1134" w:right="1134"/>
    </w:pPr>
    <w:rPr>
      <w:b/>
      <w:sz w:val="28"/>
    </w:rPr>
  </w:style>
  <w:style w:type="paragraph" w:customStyle="1" w:styleId="XLargeG">
    <w:name w:val="__XLarge_G"/>
    <w:basedOn w:val="Normal"/>
    <w:next w:val="Normal"/>
    <w:rsid w:val="00CD2641"/>
    <w:pPr>
      <w:keepNext/>
      <w:keepLines/>
      <w:spacing w:before="240" w:after="240" w:line="420" w:lineRule="exact"/>
      <w:ind w:left="1134" w:right="1134"/>
    </w:pPr>
    <w:rPr>
      <w:b/>
      <w:sz w:val="40"/>
    </w:rPr>
  </w:style>
  <w:style w:type="paragraph" w:customStyle="1" w:styleId="Bullet1G">
    <w:name w:val="_Bullet 1_G"/>
    <w:basedOn w:val="Normal"/>
    <w:rsid w:val="00CD2641"/>
    <w:pPr>
      <w:numPr>
        <w:numId w:val="1"/>
      </w:numPr>
      <w:spacing w:after="120"/>
      <w:ind w:right="1134"/>
      <w:jc w:val="both"/>
    </w:pPr>
  </w:style>
  <w:style w:type="paragraph" w:customStyle="1" w:styleId="Bullet2G">
    <w:name w:val="_Bullet 2_G"/>
    <w:basedOn w:val="Normal"/>
    <w:qFormat/>
    <w:rsid w:val="00CD2641"/>
    <w:pPr>
      <w:numPr>
        <w:numId w:val="10"/>
      </w:numPr>
      <w:spacing w:after="120"/>
      <w:ind w:right="1134"/>
      <w:jc w:val="both"/>
    </w:pPr>
  </w:style>
  <w:style w:type="character" w:styleId="FootnoteReference">
    <w:name w:val="footnote reference"/>
    <w:aliases w:val="4_G"/>
    <w:basedOn w:val="DefaultParagraphFont"/>
    <w:qFormat/>
    <w:rsid w:val="00CD2641"/>
    <w:rPr>
      <w:rFonts w:ascii="Times New Roman" w:hAnsi="Times New Roman"/>
      <w:sz w:val="18"/>
      <w:vertAlign w:val="superscript"/>
      <w:lang w:val="fr-CH"/>
    </w:rPr>
  </w:style>
  <w:style w:type="character" w:styleId="EndnoteReference">
    <w:name w:val="endnote reference"/>
    <w:aliases w:val="1_G"/>
    <w:basedOn w:val="FootnoteReference"/>
    <w:rsid w:val="00CD2641"/>
    <w:rPr>
      <w:rFonts w:ascii="Times New Roman" w:hAnsi="Times New Roman"/>
      <w:sz w:val="18"/>
      <w:vertAlign w:val="superscript"/>
      <w:lang w:val="fr-CH"/>
    </w:rPr>
  </w:style>
  <w:style w:type="paragraph" w:styleId="Header">
    <w:name w:val="header"/>
    <w:aliases w:val="6_G"/>
    <w:basedOn w:val="Normal"/>
    <w:next w:val="Normal"/>
    <w:rsid w:val="00CD2641"/>
    <w:pPr>
      <w:pBdr>
        <w:bottom w:val="single" w:sz="4" w:space="4" w:color="auto"/>
      </w:pBdr>
      <w:spacing w:line="240" w:lineRule="auto"/>
    </w:pPr>
    <w:rPr>
      <w:b/>
      <w:sz w:val="18"/>
    </w:rPr>
  </w:style>
  <w:style w:type="paragraph" w:styleId="FootnoteText">
    <w:name w:val="footnote text"/>
    <w:aliases w:val="5_G"/>
    <w:basedOn w:val="Normal"/>
    <w:link w:val="FootnoteTextChar"/>
    <w:qFormat/>
    <w:rsid w:val="00CD2641"/>
    <w:pPr>
      <w:tabs>
        <w:tab w:val="right" w:pos="1021"/>
      </w:tabs>
      <w:spacing w:line="220" w:lineRule="exact"/>
      <w:ind w:left="1134" w:right="1134" w:hanging="1134"/>
    </w:pPr>
    <w:rPr>
      <w:sz w:val="18"/>
    </w:rPr>
  </w:style>
  <w:style w:type="paragraph" w:styleId="EndnoteText">
    <w:name w:val="endnote text"/>
    <w:aliases w:val="2_G"/>
    <w:basedOn w:val="FootnoteText"/>
    <w:rsid w:val="00CD2641"/>
  </w:style>
  <w:style w:type="character" w:styleId="PageNumber">
    <w:name w:val="page number"/>
    <w:aliases w:val="7_G"/>
    <w:basedOn w:val="DefaultParagraphFont"/>
    <w:rsid w:val="00CD2641"/>
    <w:rPr>
      <w:rFonts w:ascii="Times New Roman" w:hAnsi="Times New Roman"/>
      <w:b/>
      <w:sz w:val="18"/>
      <w:lang w:val="fr-CH"/>
    </w:rPr>
  </w:style>
  <w:style w:type="paragraph" w:styleId="Footer">
    <w:name w:val="footer"/>
    <w:aliases w:val="3_G"/>
    <w:basedOn w:val="Normal"/>
    <w:next w:val="Normal"/>
    <w:link w:val="FooterChar"/>
    <w:qFormat/>
    <w:rsid w:val="00CD2641"/>
    <w:pPr>
      <w:spacing w:line="240" w:lineRule="auto"/>
    </w:pPr>
    <w:rPr>
      <w:sz w:val="16"/>
    </w:rPr>
  </w:style>
  <w:style w:type="character" w:styleId="Hyperlink">
    <w:name w:val="Hyperlink"/>
    <w:basedOn w:val="DefaultParagraphFont"/>
    <w:semiHidden/>
    <w:rsid w:val="00CD2641"/>
    <w:rPr>
      <w:color w:val="auto"/>
      <w:u w:val="none"/>
    </w:rPr>
  </w:style>
  <w:style w:type="character" w:styleId="FollowedHyperlink">
    <w:name w:val="FollowedHyperlink"/>
    <w:basedOn w:val="DefaultParagraphFont"/>
    <w:semiHidden/>
    <w:rsid w:val="00CD2641"/>
    <w:rPr>
      <w:color w:val="auto"/>
      <w:u w:val="none"/>
    </w:rPr>
  </w:style>
  <w:style w:type="table" w:styleId="TableGrid1">
    <w:name w:val="Table Grid 1"/>
    <w:basedOn w:val="TableNormal"/>
    <w:semiHidden/>
    <w:rsid w:val="00CD264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CD264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EE085F"/>
    <w:rPr>
      <w:b/>
      <w:sz w:val="28"/>
      <w:lang w:val="fr-CH" w:eastAsia="en-US"/>
    </w:rPr>
  </w:style>
  <w:style w:type="character" w:customStyle="1" w:styleId="H1GChar">
    <w:name w:val="_ H_1_G Char"/>
    <w:link w:val="H1G"/>
    <w:rsid w:val="00EE085F"/>
    <w:rPr>
      <w:b/>
      <w:sz w:val="24"/>
      <w:lang w:val="fr-CH" w:eastAsia="en-US"/>
    </w:rPr>
  </w:style>
  <w:style w:type="character" w:customStyle="1" w:styleId="FootnoteTextChar">
    <w:name w:val="Footnote Text Char"/>
    <w:aliases w:val="5_G Char"/>
    <w:basedOn w:val="DefaultParagraphFont"/>
    <w:link w:val="FootnoteText"/>
    <w:rsid w:val="002D04DA"/>
    <w:rPr>
      <w:sz w:val="18"/>
      <w:lang w:val="fr-CH" w:eastAsia="en-US"/>
    </w:rPr>
  </w:style>
  <w:style w:type="paragraph" w:styleId="ListParagraph">
    <w:name w:val="List Paragraph"/>
    <w:basedOn w:val="Normal"/>
    <w:uiPriority w:val="34"/>
    <w:qFormat/>
    <w:rsid w:val="002D04DA"/>
    <w:pPr>
      <w:ind w:left="720"/>
      <w:contextualSpacing/>
    </w:pPr>
  </w:style>
  <w:style w:type="character" w:customStyle="1" w:styleId="SingleTxtGChar">
    <w:name w:val="_ Single Txt_G Char"/>
    <w:link w:val="SingleTxtG"/>
    <w:qFormat/>
    <w:rsid w:val="004A32FA"/>
    <w:rPr>
      <w:lang w:val="fr-CH" w:eastAsia="en-US"/>
    </w:rPr>
  </w:style>
  <w:style w:type="paragraph" w:customStyle="1" w:styleId="ParNoG">
    <w:name w:val="_ParNo_G"/>
    <w:basedOn w:val="Normal"/>
    <w:qFormat/>
    <w:rsid w:val="004A32FA"/>
    <w:pPr>
      <w:numPr>
        <w:numId w:val="7"/>
      </w:numPr>
      <w:kinsoku w:val="0"/>
      <w:overflowPunct w:val="0"/>
      <w:autoSpaceDE w:val="0"/>
      <w:autoSpaceDN w:val="0"/>
      <w:adjustRightInd w:val="0"/>
      <w:snapToGrid w:val="0"/>
      <w:spacing w:after="120"/>
      <w:ind w:right="1134"/>
      <w:jc w:val="both"/>
    </w:pPr>
  </w:style>
  <w:style w:type="paragraph" w:styleId="HTMLPreformatted">
    <w:name w:val="HTML Preformatted"/>
    <w:basedOn w:val="Normal"/>
    <w:link w:val="HTMLPreformattedChar"/>
    <w:uiPriority w:val="99"/>
    <w:semiHidden/>
    <w:unhideWhenUsed/>
    <w:rsid w:val="00526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semiHidden/>
    <w:rsid w:val="00526C1E"/>
    <w:rPr>
      <w:rFonts w:ascii="Courier New" w:hAnsi="Courier New" w:cs="Courier New"/>
    </w:rPr>
  </w:style>
  <w:style w:type="character" w:customStyle="1" w:styleId="H23GChar">
    <w:name w:val="_ H_2/3_G Char"/>
    <w:link w:val="H23G"/>
    <w:rsid w:val="005C0DBB"/>
    <w:rPr>
      <w:b/>
      <w:lang w:val="fr-CH" w:eastAsia="en-US"/>
    </w:rPr>
  </w:style>
  <w:style w:type="character" w:customStyle="1" w:styleId="FooterChar">
    <w:name w:val="Footer Char"/>
    <w:aliases w:val="3_G Char"/>
    <w:basedOn w:val="DefaultParagraphFont"/>
    <w:link w:val="Footer"/>
    <w:rsid w:val="00053864"/>
    <w:rPr>
      <w:sz w:val="16"/>
      <w:lang w:val="fr-CH" w:eastAsia="en-US"/>
    </w:rPr>
  </w:style>
  <w:style w:type="paragraph" w:styleId="BodyTextIndent">
    <w:name w:val="Body Text Indent"/>
    <w:basedOn w:val="Normal"/>
    <w:link w:val="BodyTextIndentChar"/>
    <w:semiHidden/>
    <w:rsid w:val="0044249A"/>
    <w:pPr>
      <w:spacing w:after="120"/>
      <w:ind w:left="283"/>
    </w:pPr>
    <w:rPr>
      <w:lang w:val="en-GB"/>
    </w:rPr>
  </w:style>
  <w:style w:type="character" w:customStyle="1" w:styleId="BodyTextIndentChar">
    <w:name w:val="Body Text Indent Char"/>
    <w:basedOn w:val="DefaultParagraphFont"/>
    <w:link w:val="BodyTextIndent"/>
    <w:semiHidden/>
    <w:rsid w:val="0044249A"/>
    <w:rPr>
      <w:lang w:eastAsia="en-US"/>
    </w:rPr>
  </w:style>
  <w:style w:type="paragraph" w:customStyle="1" w:styleId="TableParagraph">
    <w:name w:val="Table Paragraph"/>
    <w:basedOn w:val="Normal"/>
    <w:uiPriority w:val="1"/>
    <w:qFormat/>
    <w:rsid w:val="0044249A"/>
    <w:pPr>
      <w:widowControl w:val="0"/>
      <w:suppressAutoHyphens w:val="0"/>
      <w:autoSpaceDE w:val="0"/>
      <w:autoSpaceDN w:val="0"/>
      <w:spacing w:line="240" w:lineRule="auto"/>
      <w:jc w:val="center"/>
    </w:pPr>
    <w:rPr>
      <w:sz w:val="22"/>
      <w:szCs w:val="22"/>
      <w:lang w:val="en-US"/>
    </w:rPr>
  </w:style>
  <w:style w:type="paragraph" w:styleId="Date">
    <w:name w:val="Date"/>
    <w:basedOn w:val="Normal"/>
    <w:next w:val="Normal"/>
    <w:link w:val="DateChar"/>
    <w:rsid w:val="009674FC"/>
  </w:style>
  <w:style w:type="character" w:customStyle="1" w:styleId="DateChar">
    <w:name w:val="Date Char"/>
    <w:basedOn w:val="DefaultParagraphFont"/>
    <w:link w:val="Date"/>
    <w:rsid w:val="009674FC"/>
    <w:rPr>
      <w:lang w:val="fr-CH" w:eastAsia="en-US"/>
    </w:rPr>
  </w:style>
  <w:style w:type="character" w:customStyle="1" w:styleId="Heading1Char">
    <w:name w:val="Heading 1 Char"/>
    <w:aliases w:val="Table_G Char"/>
    <w:basedOn w:val="DefaultParagraphFont"/>
    <w:link w:val="Heading1"/>
    <w:rsid w:val="009674FC"/>
    <w:rPr>
      <w:lang w:val="fr-CH" w:eastAsia="en-US"/>
    </w:rPr>
  </w:style>
  <w:style w:type="character" w:customStyle="1" w:styleId="SingleTxtGZchnZchn">
    <w:name w:val="_ Single Txt_G Zchn Zchn"/>
    <w:rsid w:val="00222EC6"/>
    <w:rPr>
      <w:lang w:val="en-GB" w:eastAsia="en-US" w:bidi="ar-SA"/>
    </w:rPr>
  </w:style>
  <w:style w:type="paragraph" w:customStyle="1" w:styleId="p1">
    <w:name w:val="p1"/>
    <w:basedOn w:val="Normal"/>
    <w:rsid w:val="00222EC6"/>
    <w:pPr>
      <w:suppressAutoHyphens w:val="0"/>
      <w:spacing w:line="240" w:lineRule="auto"/>
    </w:pPr>
    <w:rPr>
      <w:rFonts w:eastAsiaTheme="minorHAnsi"/>
      <w:sz w:val="17"/>
      <w:szCs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5105">
      <w:bodyDiv w:val="1"/>
      <w:marLeft w:val="0"/>
      <w:marRight w:val="0"/>
      <w:marTop w:val="0"/>
      <w:marBottom w:val="0"/>
      <w:divBdr>
        <w:top w:val="none" w:sz="0" w:space="0" w:color="auto"/>
        <w:left w:val="none" w:sz="0" w:space="0" w:color="auto"/>
        <w:bottom w:val="none" w:sz="0" w:space="0" w:color="auto"/>
        <w:right w:val="none" w:sz="0" w:space="0" w:color="auto"/>
      </w:divBdr>
    </w:div>
    <w:div w:id="54668515">
      <w:bodyDiv w:val="1"/>
      <w:marLeft w:val="0"/>
      <w:marRight w:val="0"/>
      <w:marTop w:val="0"/>
      <w:marBottom w:val="0"/>
      <w:divBdr>
        <w:top w:val="none" w:sz="0" w:space="0" w:color="auto"/>
        <w:left w:val="none" w:sz="0" w:space="0" w:color="auto"/>
        <w:bottom w:val="none" w:sz="0" w:space="0" w:color="auto"/>
        <w:right w:val="none" w:sz="0" w:space="0" w:color="auto"/>
      </w:divBdr>
    </w:div>
    <w:div w:id="57871442">
      <w:bodyDiv w:val="1"/>
      <w:marLeft w:val="0"/>
      <w:marRight w:val="0"/>
      <w:marTop w:val="0"/>
      <w:marBottom w:val="0"/>
      <w:divBdr>
        <w:top w:val="none" w:sz="0" w:space="0" w:color="auto"/>
        <w:left w:val="none" w:sz="0" w:space="0" w:color="auto"/>
        <w:bottom w:val="none" w:sz="0" w:space="0" w:color="auto"/>
        <w:right w:val="none" w:sz="0" w:space="0" w:color="auto"/>
      </w:divBdr>
    </w:div>
    <w:div w:id="521089285">
      <w:bodyDiv w:val="1"/>
      <w:marLeft w:val="0"/>
      <w:marRight w:val="0"/>
      <w:marTop w:val="0"/>
      <w:marBottom w:val="0"/>
      <w:divBdr>
        <w:top w:val="none" w:sz="0" w:space="0" w:color="auto"/>
        <w:left w:val="none" w:sz="0" w:space="0" w:color="auto"/>
        <w:bottom w:val="none" w:sz="0" w:space="0" w:color="auto"/>
        <w:right w:val="none" w:sz="0" w:space="0" w:color="auto"/>
      </w:divBdr>
    </w:div>
    <w:div w:id="880441445">
      <w:bodyDiv w:val="1"/>
      <w:marLeft w:val="0"/>
      <w:marRight w:val="0"/>
      <w:marTop w:val="0"/>
      <w:marBottom w:val="0"/>
      <w:divBdr>
        <w:top w:val="none" w:sz="0" w:space="0" w:color="auto"/>
        <w:left w:val="none" w:sz="0" w:space="0" w:color="auto"/>
        <w:bottom w:val="none" w:sz="0" w:space="0" w:color="auto"/>
        <w:right w:val="none" w:sz="0" w:space="0" w:color="auto"/>
      </w:divBdr>
    </w:div>
    <w:div w:id="1264920291">
      <w:bodyDiv w:val="1"/>
      <w:marLeft w:val="0"/>
      <w:marRight w:val="0"/>
      <w:marTop w:val="0"/>
      <w:marBottom w:val="0"/>
      <w:divBdr>
        <w:top w:val="none" w:sz="0" w:space="0" w:color="auto"/>
        <w:left w:val="none" w:sz="0" w:space="0" w:color="auto"/>
        <w:bottom w:val="none" w:sz="0" w:space="0" w:color="auto"/>
        <w:right w:val="none" w:sz="0" w:space="0" w:color="auto"/>
      </w:divBdr>
    </w:div>
    <w:div w:id="1777556838">
      <w:bodyDiv w:val="1"/>
      <w:marLeft w:val="0"/>
      <w:marRight w:val="0"/>
      <w:marTop w:val="0"/>
      <w:marBottom w:val="0"/>
      <w:divBdr>
        <w:top w:val="none" w:sz="0" w:space="0" w:color="auto"/>
        <w:left w:val="none" w:sz="0" w:space="0" w:color="auto"/>
        <w:bottom w:val="none" w:sz="0" w:space="0" w:color="auto"/>
        <w:right w:val="none" w:sz="0" w:space="0" w:color="auto"/>
      </w:divBdr>
    </w:div>
    <w:div w:id="1786263741">
      <w:bodyDiv w:val="1"/>
      <w:marLeft w:val="0"/>
      <w:marRight w:val="0"/>
      <w:marTop w:val="0"/>
      <w:marBottom w:val="0"/>
      <w:divBdr>
        <w:top w:val="none" w:sz="0" w:space="0" w:color="auto"/>
        <w:left w:val="none" w:sz="0" w:space="0" w:color="auto"/>
        <w:bottom w:val="none" w:sz="0" w:space="0" w:color="auto"/>
        <w:right w:val="none" w:sz="0" w:space="0" w:color="auto"/>
      </w:divBdr>
    </w:div>
    <w:div w:id="186983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ri\AppData\Roaming\Microsoft\Templates\ST_SG\AC10_C3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AC10_C3_F</Template>
  <TotalTime>1252</TotalTime>
  <Pages>26</Pages>
  <Words>8582</Words>
  <Characters>48920</Characters>
  <Application>Microsoft Office Word</Application>
  <DocSecurity>0</DocSecurity>
  <Lines>407</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vt:lpstr>
      <vt:lpstr>ST/SG/AC.10/C.3/</vt:lpstr>
    </vt:vector>
  </TitlesOfParts>
  <Company>Corinne</Company>
  <LinksUpToDate>false</LinksUpToDate>
  <CharactersWithSpaces>57388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dc:title>
  <dc:creator>TDG annotated</dc:creator>
  <cp:lastModifiedBy>Laurence Berthet</cp:lastModifiedBy>
  <cp:revision>174</cp:revision>
  <cp:lastPrinted>2018-07-27T15:21:00Z</cp:lastPrinted>
  <dcterms:created xsi:type="dcterms:W3CDTF">2017-07-26T08:09:00Z</dcterms:created>
  <dcterms:modified xsi:type="dcterms:W3CDTF">2018-07-27T15:21:00Z</dcterms:modified>
</cp:coreProperties>
</file>