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F3" w:rsidRPr="0063429E" w:rsidRDefault="000B78F3" w:rsidP="0063429E">
      <w:pPr>
        <w:pStyle w:val="Subtitle"/>
        <w:rPr>
          <w:rFonts w:ascii="Times New Roman" w:hAnsi="Times New Roman"/>
          <w:b/>
          <w:bCs/>
          <w:sz w:val="28"/>
          <w:szCs w:val="28"/>
        </w:rPr>
      </w:pPr>
      <w:r w:rsidRPr="0063429E">
        <w:rPr>
          <w:rFonts w:ascii="Times New Roman" w:hAnsi="Times New Roman"/>
          <w:b/>
          <w:bCs/>
          <w:sz w:val="28"/>
          <w:szCs w:val="28"/>
        </w:rPr>
        <w:t xml:space="preserve">TRACEABILITY ISSUES in the EUROPEAN </w:t>
      </w:r>
      <w:smartTag w:uri="urn:schemas-microsoft-com:office:smarttags" w:element="place">
        <w:r w:rsidRPr="0063429E">
          <w:rPr>
            <w:rFonts w:ascii="Times New Roman" w:hAnsi="Times New Roman"/>
            <w:b/>
            <w:bCs/>
            <w:sz w:val="28"/>
            <w:szCs w:val="28"/>
          </w:rPr>
          <w:t>UNION</w:t>
        </w:r>
      </w:smartTag>
    </w:p>
    <w:p w:rsidR="000B78F3" w:rsidRPr="0063429E" w:rsidRDefault="000B78F3" w:rsidP="0063429E">
      <w:pPr>
        <w:pStyle w:val="Subtitle"/>
        <w:rPr>
          <w:rFonts w:ascii="Times New Roman" w:hAnsi="Times New Roman"/>
          <w:b/>
          <w:bCs/>
          <w:sz w:val="28"/>
          <w:szCs w:val="28"/>
        </w:rPr>
      </w:pPr>
      <w:r w:rsidRPr="0063429E">
        <w:rPr>
          <w:rFonts w:ascii="Times New Roman" w:hAnsi="Times New Roman"/>
          <w:b/>
          <w:bCs/>
          <w:sz w:val="28"/>
          <w:szCs w:val="28"/>
        </w:rPr>
        <w:t>(case study of blood transfusion sector)</w:t>
      </w:r>
    </w:p>
    <w:p w:rsidR="000B78F3" w:rsidRDefault="000B78F3" w:rsidP="0063429E">
      <w:pPr>
        <w:jc w:val="center"/>
        <w:rPr>
          <w:rFonts w:ascii="Times New Roman" w:hAnsi="Times New Roman"/>
          <w:sz w:val="19"/>
          <w:szCs w:val="19"/>
        </w:rPr>
      </w:pPr>
    </w:p>
    <w:p w:rsidR="000B78F3" w:rsidRPr="0063429E" w:rsidRDefault="000B78F3" w:rsidP="0063429E">
      <w:pPr>
        <w:jc w:val="center"/>
        <w:rPr>
          <w:rFonts w:ascii="Times New Roman" w:hAnsi="Times New Roman"/>
          <w:sz w:val="26"/>
          <w:szCs w:val="26"/>
        </w:rPr>
      </w:pPr>
      <w:r w:rsidRPr="0063429E">
        <w:rPr>
          <w:rFonts w:ascii="Times New Roman" w:hAnsi="Times New Roman"/>
          <w:sz w:val="26"/>
          <w:szCs w:val="26"/>
        </w:rPr>
        <w:t>Legal regime</w:t>
      </w:r>
    </w:p>
    <w:p w:rsidR="000B78F3" w:rsidRPr="0063429E" w:rsidRDefault="000B78F3" w:rsidP="0063429E">
      <w:pPr>
        <w:jc w:val="both"/>
        <w:rPr>
          <w:rFonts w:ascii="Times New Roman" w:hAnsi="Times New Roman" w:cs="Tahoma"/>
          <w:color w:val="2A2A2A"/>
        </w:rPr>
      </w:pPr>
      <w:r w:rsidRPr="0063429E">
        <w:rPr>
          <w:rFonts w:ascii="Times New Roman" w:hAnsi="Times New Roman" w:cs="Tahoma"/>
          <w:color w:val="2A2A2A"/>
        </w:rPr>
        <w:t xml:space="preserve">The legal and administrative regime in this area in the European Union is defined by a number of European directives, namely by a basic and overwhelming directive 2002-98 which will be analyzed in detail further down. </w:t>
      </w:r>
    </w:p>
    <w:p w:rsidR="000B78F3" w:rsidRPr="0063429E" w:rsidRDefault="000B78F3" w:rsidP="0063429E">
      <w:pPr>
        <w:jc w:val="both"/>
        <w:rPr>
          <w:rFonts w:ascii="Times New Roman" w:hAnsi="Times New Roman" w:cs="Tahoma"/>
          <w:color w:val="2A2A2A"/>
        </w:rPr>
      </w:pPr>
      <w:r w:rsidRPr="0063429E">
        <w:rPr>
          <w:rFonts w:ascii="Times New Roman" w:hAnsi="Times New Roman" w:cs="Tahoma"/>
          <w:color w:val="2A2A2A"/>
        </w:rPr>
        <w:t xml:space="preserve">A number of directives covering specific issues were also adopted to facilitate implementation of the directive 2002/83. Among them: </w:t>
      </w:r>
      <w:r w:rsidRPr="0063429E">
        <w:rPr>
          <w:rFonts w:ascii="Times New Roman" w:hAnsi="Times New Roman" w:cs="Tahoma"/>
          <w:bCs/>
          <w:color w:val="2A2A2A"/>
        </w:rPr>
        <w:t>COMMISSION DIRECTIVE 2004/33/EC of 22 March 2004 on certain technical requirements for blood and blood components; COMMISSION DIRECTIVE 2005/61/EC of 30 September 2005 on traceability requirements and notification of serious adverse reactions and events; COMMISSION DIRECTIVE 2005/62/EC of 30 September 2005 on Community standards and specifications relating to a quality system for blood establishments.</w:t>
      </w:r>
      <w:r w:rsidRPr="0063429E">
        <w:rPr>
          <w:rFonts w:ascii="Times New Roman" w:hAnsi="Times New Roman" w:cs="Tahoma"/>
          <w:color w:val="2A2A2A"/>
        </w:rPr>
        <w:t xml:space="preserve"> </w:t>
      </w:r>
    </w:p>
    <w:p w:rsidR="000B78F3" w:rsidRPr="0063429E" w:rsidRDefault="000B78F3" w:rsidP="0063429E">
      <w:pPr>
        <w:jc w:val="both"/>
        <w:rPr>
          <w:rFonts w:ascii="Times New Roman" w:hAnsi="Times New Roman" w:cs="Tahoma"/>
          <w:color w:val="2A2A2A"/>
        </w:rPr>
      </w:pPr>
      <w:r w:rsidRPr="0063429E">
        <w:rPr>
          <w:rFonts w:ascii="Times New Roman" w:hAnsi="Times New Roman" w:cs="Tahoma"/>
          <w:color w:val="2A2A2A"/>
        </w:rPr>
        <w:t xml:space="preserve">Among related directives one can mention Council Directive 93/42/EEC of 14 June 1993 concerning medical devices and Directive 2001/104/EC of the European Parliament and of the Council, as well as Directive 98/79/EC of the European Parliament and of the Council of 27 October 1998 on in vitro diagnostic medical devices. </w:t>
      </w:r>
    </w:p>
    <w:p w:rsidR="000B78F3" w:rsidRPr="0063429E" w:rsidRDefault="000B78F3" w:rsidP="0063429E">
      <w:pPr>
        <w:pStyle w:val="Subtitle"/>
        <w:jc w:val="both"/>
        <w:rPr>
          <w:rFonts w:ascii="Times New Roman" w:hAnsi="Times New Roman"/>
          <w:sz w:val="22"/>
          <w:szCs w:val="22"/>
        </w:rPr>
      </w:pPr>
      <w:r w:rsidRPr="0063429E">
        <w:rPr>
          <w:rFonts w:ascii="Times New Roman" w:hAnsi="Times New Roman"/>
          <w:sz w:val="22"/>
          <w:szCs w:val="22"/>
        </w:rPr>
        <w:t xml:space="preserve">As mentioned above the basic Directive in this area is: </w:t>
      </w:r>
      <w:r>
        <w:rPr>
          <w:rFonts w:ascii="Times New Roman" w:hAnsi="Times New Roman"/>
          <w:sz w:val="22"/>
          <w:szCs w:val="22"/>
        </w:rPr>
        <w:t>t</w:t>
      </w:r>
      <w:r w:rsidRPr="0063429E">
        <w:rPr>
          <w:rFonts w:ascii="Times New Roman" w:hAnsi="Times New Roman"/>
          <w:sz w:val="22"/>
          <w:szCs w:val="22"/>
        </w:rPr>
        <w:t>he directive 2002/98/EC of the European P</w:t>
      </w:r>
      <w:r>
        <w:rPr>
          <w:rFonts w:ascii="Times New Roman" w:hAnsi="Times New Roman"/>
          <w:sz w:val="22"/>
          <w:szCs w:val="22"/>
        </w:rPr>
        <w:t>arliament and of the council - "</w:t>
      </w:r>
      <w:r w:rsidRPr="0063429E">
        <w:rPr>
          <w:rFonts w:ascii="Times New Roman" w:hAnsi="Times New Roman"/>
          <w:sz w:val="22"/>
          <w:szCs w:val="22"/>
        </w:rPr>
        <w:t xml:space="preserve">Setting standards of quality and safety for the collection, testing, processing, storage and distribution of human blood and blood components and </w:t>
      </w:r>
      <w:r>
        <w:rPr>
          <w:rFonts w:ascii="Times New Roman" w:hAnsi="Times New Roman"/>
          <w:sz w:val="22"/>
          <w:szCs w:val="22"/>
        </w:rPr>
        <w:t>amending Directive 2001/83/EC."</w:t>
      </w:r>
    </w:p>
    <w:p w:rsidR="000B78F3" w:rsidRPr="0063429E" w:rsidRDefault="000B78F3" w:rsidP="0063429E">
      <w:pPr>
        <w:jc w:val="both"/>
        <w:rPr>
          <w:rFonts w:ascii="Times New Roman" w:hAnsi="Times New Roman"/>
        </w:rPr>
      </w:pPr>
    </w:p>
    <w:p w:rsidR="000B78F3" w:rsidRPr="0063429E" w:rsidRDefault="000B78F3" w:rsidP="0063429E">
      <w:pPr>
        <w:jc w:val="both"/>
        <w:rPr>
          <w:rFonts w:ascii="Times New Roman" w:eastAsia="MS Mincho" w:hAnsi="Times New Roman" w:cs="EUAlbertina-Regu"/>
          <w:lang w:eastAsia="ja-JP" w:bidi="th-TH"/>
        </w:rPr>
      </w:pPr>
      <w:r w:rsidRPr="0063429E">
        <w:rPr>
          <w:rFonts w:ascii="Times New Roman" w:hAnsi="Times New Roman"/>
        </w:rPr>
        <w:t xml:space="preserve">The Directive notes that the European Community </w:t>
      </w:r>
      <w:r w:rsidRPr="0063429E">
        <w:rPr>
          <w:rFonts w:ascii="Times New Roman" w:eastAsia="MS Mincho" w:hAnsi="Times New Roman" w:cs="EUAlbertina-Regu"/>
          <w:lang w:eastAsia="ja-JP" w:bidi="th-TH"/>
        </w:rPr>
        <w:t xml:space="preserve">identified the need for a blood strategy in order to reinforce confidence in the safety of the blood transfusion chain and promote Community self-sufficiency. Thus, </w:t>
      </w:r>
      <w:r w:rsidRPr="0063429E">
        <w:rPr>
          <w:rFonts w:ascii="Times New Roman" w:hAnsi="Times New Roman"/>
        </w:rPr>
        <w:t xml:space="preserve">the Directive states that when </w:t>
      </w:r>
      <w:r w:rsidRPr="0063429E">
        <w:rPr>
          <w:rFonts w:ascii="Times New Roman" w:eastAsia="MS Mincho" w:hAnsi="Times New Roman" w:cs="EUAlbertina-Regu"/>
          <w:lang w:eastAsia="ja-JP" w:bidi="th-TH"/>
        </w:rPr>
        <w:t xml:space="preserve">human blood is used therapeutically it demands that the quality and safety of whole blood and blood components be ensured in order to prevent in particular the transmission of infectious diseases and to protect health and safety of donors and of patients. </w:t>
      </w:r>
    </w:p>
    <w:p w:rsidR="000B78F3" w:rsidRPr="0063429E" w:rsidRDefault="000B78F3" w:rsidP="0063429E">
      <w:pPr>
        <w:jc w:val="both"/>
        <w:rPr>
          <w:rFonts w:ascii="Times New Roman" w:hAnsi="Times New Roman" w:cs="EUAlbertina-Regu"/>
        </w:rPr>
      </w:pPr>
      <w:r w:rsidRPr="0063429E">
        <w:rPr>
          <w:rFonts w:ascii="Times New Roman" w:hAnsi="Times New Roman" w:cs="EUAlbertina-Regu"/>
          <w:iCs/>
        </w:rPr>
        <w:t>The scope of the Directive (as specified in article 2, Chapter I) applies</w:t>
      </w:r>
      <w:r w:rsidRPr="0063429E">
        <w:rPr>
          <w:rFonts w:ascii="Times New Roman" w:hAnsi="Times New Roman" w:cs="EUAlbertina-Regu"/>
        </w:rPr>
        <w:t xml:space="preserve"> to the collection and testing of human blood and blood components, and to their processing, storage, and distribution when intended for transfusion.</w:t>
      </w:r>
    </w:p>
    <w:p w:rsidR="000B78F3" w:rsidRPr="0063429E" w:rsidRDefault="000B78F3" w:rsidP="0063429E">
      <w:pPr>
        <w:jc w:val="both"/>
        <w:rPr>
          <w:rFonts w:ascii="Times New Roman" w:hAnsi="Times New Roman" w:cs="EUAlbertina-Regu"/>
        </w:rPr>
      </w:pPr>
      <w:r w:rsidRPr="0063429E">
        <w:rPr>
          <w:rFonts w:ascii="Times New Roman" w:hAnsi="Times New Roman" w:cs="EUAlbertina-ReguItal"/>
        </w:rPr>
        <w:t>The Directive requires (article 4</w:t>
      </w:r>
      <w:r w:rsidRPr="0063429E">
        <w:rPr>
          <w:rFonts w:ascii="Times New Roman" w:hAnsi="Times New Roman" w:cs="EUAlbertina-Regu"/>
        </w:rPr>
        <w:t>, Chapter I</w:t>
      </w:r>
      <w:r w:rsidRPr="0063429E">
        <w:rPr>
          <w:rFonts w:ascii="Times New Roman" w:hAnsi="Times New Roman" w:cs="EUAlbertina-ReguItal"/>
        </w:rPr>
        <w:t>) that</w:t>
      </w:r>
      <w:r w:rsidRPr="0063429E">
        <w:rPr>
          <w:rFonts w:ascii="Times New Roman" w:hAnsi="Times New Roman" w:cs="EUAlbertina-ReguItal"/>
          <w:i/>
          <w:iCs/>
        </w:rPr>
        <w:t xml:space="preserve"> </w:t>
      </w:r>
      <w:r w:rsidRPr="0063429E">
        <w:rPr>
          <w:rFonts w:ascii="Times New Roman" w:hAnsi="Times New Roman" w:cs="EUAlbertina-Regu"/>
        </w:rPr>
        <w:t>Member States shall designate the competent authority or authorities responsible for implementing the requirements of this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B78F3" w:rsidTr="00A27685">
        <w:tc>
          <w:tcPr>
            <w:tcW w:w="9576" w:type="dxa"/>
          </w:tcPr>
          <w:p w:rsidR="000B78F3" w:rsidRPr="00A27685" w:rsidRDefault="000B78F3" w:rsidP="00A27685">
            <w:pPr>
              <w:autoSpaceDE w:val="0"/>
              <w:autoSpaceDN w:val="0"/>
              <w:adjustRightInd w:val="0"/>
              <w:spacing w:after="0" w:line="240" w:lineRule="auto"/>
              <w:ind w:right="1260"/>
              <w:jc w:val="center"/>
              <w:rPr>
                <w:rFonts w:ascii="Times New Roman" w:eastAsia="MS Mincho" w:hAnsi="Times New Roman" w:cs="Helv"/>
                <w:i/>
                <w:iCs/>
                <w:color w:val="000000"/>
                <w:sz w:val="20"/>
                <w:szCs w:val="20"/>
                <w:lang w:eastAsia="ja-JP" w:bidi="th-TH"/>
              </w:rPr>
            </w:pPr>
          </w:p>
          <w:p w:rsidR="000B78F3" w:rsidRPr="00A27685" w:rsidRDefault="000B78F3" w:rsidP="00A27685">
            <w:pPr>
              <w:autoSpaceDE w:val="0"/>
              <w:autoSpaceDN w:val="0"/>
              <w:adjustRightInd w:val="0"/>
              <w:spacing w:after="0" w:line="240" w:lineRule="auto"/>
              <w:ind w:right="1260"/>
              <w:rPr>
                <w:rFonts w:ascii="Times New Roman" w:eastAsia="MS Mincho" w:hAnsi="Times New Roman" w:cs="Helv"/>
                <w:color w:val="000000"/>
                <w:sz w:val="20"/>
                <w:szCs w:val="20"/>
                <w:lang w:eastAsia="ja-JP" w:bidi="th-TH"/>
              </w:rPr>
            </w:pPr>
            <w:r w:rsidRPr="00A27685">
              <w:rPr>
                <w:rFonts w:ascii="Times New Roman" w:eastAsia="MS Mincho" w:hAnsi="Times New Roman" w:cs="Helv"/>
                <w:color w:val="000000"/>
                <w:sz w:val="20"/>
                <w:szCs w:val="20"/>
                <w:lang w:eastAsia="ja-JP" w:bidi="th-TH"/>
              </w:rPr>
              <w:t xml:space="preserve">This document contains information (compiled from open sources) on approaches used by regulators in </w:t>
            </w:r>
            <w:smartTag w:uri="urn:schemas-microsoft-com:office:smarttags" w:element="place">
              <w:r w:rsidRPr="00A27685">
                <w:rPr>
                  <w:rFonts w:ascii="Times New Roman" w:eastAsia="MS Mincho" w:hAnsi="Times New Roman" w:cs="Helv"/>
                  <w:color w:val="000000"/>
                  <w:sz w:val="20"/>
                  <w:szCs w:val="20"/>
                  <w:lang w:eastAsia="ja-JP" w:bidi="th-TH"/>
                </w:rPr>
                <w:t>Europe</w:t>
              </w:r>
            </w:smartTag>
            <w:r w:rsidRPr="00A27685">
              <w:rPr>
                <w:rFonts w:ascii="Times New Roman" w:eastAsia="MS Mincho" w:hAnsi="Times New Roman" w:cs="Helv"/>
                <w:color w:val="000000"/>
                <w:sz w:val="20"/>
                <w:szCs w:val="20"/>
                <w:lang w:eastAsia="ja-JP" w:bidi="th-TH"/>
              </w:rPr>
              <w:t xml:space="preserve"> in the area of blood traceability.</w:t>
            </w:r>
          </w:p>
          <w:p w:rsidR="000B78F3" w:rsidRPr="00A27685" w:rsidRDefault="000B78F3" w:rsidP="00A27685">
            <w:pPr>
              <w:ind w:right="1260"/>
              <w:rPr>
                <w:rFonts w:ascii="Times New Roman" w:hAnsi="Times New Roman" w:cs="EUAlbertina-ReguItal"/>
              </w:rPr>
            </w:pPr>
            <w:r w:rsidRPr="00A27685">
              <w:rPr>
                <w:rFonts w:ascii="Times New Roman" w:eastAsia="MS Mincho" w:hAnsi="Times New Roman" w:cs="Helv"/>
                <w:color w:val="000000"/>
                <w:sz w:val="20"/>
                <w:szCs w:val="20"/>
                <w:lang w:eastAsia="ja-JP" w:bidi="th-TH"/>
              </w:rPr>
              <w:t>It is provided for information of the delegates.</w:t>
            </w:r>
          </w:p>
        </w:tc>
      </w:tr>
    </w:tbl>
    <w:p w:rsidR="000B78F3" w:rsidRDefault="000B78F3" w:rsidP="0063429E">
      <w:pPr>
        <w:jc w:val="both"/>
        <w:rPr>
          <w:rFonts w:ascii="Times New Roman" w:hAnsi="Times New Roman" w:cs="EUAlbertina-ReguItal"/>
        </w:rPr>
      </w:pPr>
    </w:p>
    <w:p w:rsidR="000B78F3" w:rsidRDefault="000B78F3" w:rsidP="0063429E">
      <w:pPr>
        <w:jc w:val="both"/>
        <w:rPr>
          <w:rFonts w:ascii="Times New Roman" w:hAnsi="Times New Roman" w:cs="EUAlbertina-Regu"/>
        </w:rPr>
      </w:pPr>
      <w:r w:rsidRPr="0063429E">
        <w:rPr>
          <w:rFonts w:ascii="Times New Roman" w:hAnsi="Times New Roman" w:cs="EUAlbertina-ReguItal"/>
        </w:rPr>
        <w:t xml:space="preserve">Member states </w:t>
      </w:r>
      <w:r w:rsidRPr="0063429E">
        <w:rPr>
          <w:rFonts w:ascii="Times New Roman" w:hAnsi="Times New Roman" w:cs="EUAlbertina-Regu"/>
        </w:rPr>
        <w:t xml:space="preserve">shall ensure that activities relating to the collection and testing of human blood and blood components, whatever their intended purpose, and to their preparation, storage, and distribution when intended for transfusion, are undertaken only by the blood establishments which have been designated, authorised, accredited or licensed by the competent authority for that purpose (article 5, Chapter II). And relevant controls to this end shall be organized (article 8, Chapter II). </w:t>
      </w:r>
    </w:p>
    <w:p w:rsidR="000B78F3" w:rsidRPr="0063429E" w:rsidRDefault="000B78F3" w:rsidP="0063429E">
      <w:pPr>
        <w:autoSpaceDE w:val="0"/>
        <w:autoSpaceDN w:val="0"/>
        <w:adjustRightInd w:val="0"/>
        <w:spacing w:after="0" w:line="240" w:lineRule="auto"/>
        <w:jc w:val="both"/>
        <w:rPr>
          <w:rFonts w:ascii="Times New Roman" w:hAnsi="Times New Roman" w:cs="EUAlbertina-ReguItal"/>
        </w:rPr>
      </w:pPr>
      <w:r w:rsidRPr="0063429E">
        <w:rPr>
          <w:rFonts w:ascii="Times New Roman" w:hAnsi="Times New Roman" w:cs="EUAlbertina-ReguItal"/>
        </w:rPr>
        <w:t>The activities under the Directive are seen as a part of the general quality management process and article 11 of chapte</w:t>
      </w:r>
      <w:r>
        <w:rPr>
          <w:rFonts w:ascii="Times New Roman" w:hAnsi="Times New Roman" w:cs="EUAlbertina-ReguItal"/>
        </w:rPr>
        <w:t>r IV calls on member states to "</w:t>
      </w:r>
      <w:r w:rsidRPr="0063429E">
        <w:rPr>
          <w:rFonts w:ascii="Times New Roman" w:hAnsi="Times New Roman" w:cs="EUAlbertina-ReguItal"/>
        </w:rPr>
        <w:t>take</w:t>
      </w:r>
      <w:r w:rsidRPr="0063429E">
        <w:rPr>
          <w:rFonts w:ascii="Times New Roman" w:hAnsi="Times New Roman" w:cs="EUAlbertina-Regu"/>
        </w:rPr>
        <w:t xml:space="preserve"> all necessary measures to ensure that each blood establishment establishes and maintains a quality system for blood establishments based on the principles of good practice".</w:t>
      </w:r>
      <w:r>
        <w:rPr>
          <w:rFonts w:ascii="Times New Roman" w:hAnsi="Times New Roman" w:cs="EUAlbertina-Regu"/>
        </w:rPr>
        <w:t xml:space="preserve"> </w:t>
      </w:r>
      <w:r w:rsidRPr="0063429E">
        <w:rPr>
          <w:rFonts w:ascii="Times New Roman" w:hAnsi="Times New Roman" w:cs="EUAlbertina-ReguItal"/>
        </w:rPr>
        <w:t xml:space="preserve">As a part of this process record keeping shall be organized and blood establishments shall keep them for a minimum of 15 years (article 13, chapter IV). </w:t>
      </w:r>
    </w:p>
    <w:p w:rsidR="000B78F3" w:rsidRPr="0063429E" w:rsidRDefault="000B78F3" w:rsidP="0063429E">
      <w:pPr>
        <w:autoSpaceDE w:val="0"/>
        <w:autoSpaceDN w:val="0"/>
        <w:adjustRightInd w:val="0"/>
        <w:spacing w:after="0" w:line="240" w:lineRule="auto"/>
        <w:jc w:val="both"/>
        <w:rPr>
          <w:rFonts w:ascii="Times New Roman" w:hAnsi="Times New Roman" w:cs="EUAlbertina-ReguItal"/>
        </w:rPr>
      </w:pPr>
    </w:p>
    <w:p w:rsidR="000B78F3" w:rsidRPr="0063429E" w:rsidRDefault="000B78F3" w:rsidP="0063429E">
      <w:pPr>
        <w:autoSpaceDE w:val="0"/>
        <w:autoSpaceDN w:val="0"/>
        <w:adjustRightInd w:val="0"/>
        <w:spacing w:after="0" w:line="240" w:lineRule="auto"/>
        <w:jc w:val="both"/>
        <w:rPr>
          <w:rFonts w:ascii="Times New Roman" w:hAnsi="Times New Roman" w:cs="EUAlbertina-Regu"/>
        </w:rPr>
      </w:pPr>
      <w:r w:rsidRPr="0063429E">
        <w:rPr>
          <w:rFonts w:ascii="Times New Roman" w:hAnsi="Times New Roman" w:cs="EUAlbertina-ReguItal"/>
        </w:rPr>
        <w:t>The major emphasis of the Directive is on haemovigilance (article 14,chapter V) which says that</w:t>
      </w:r>
      <w:r>
        <w:rPr>
          <w:rFonts w:ascii="Times New Roman" w:hAnsi="Times New Roman" w:cs="EUAlbertina-ReguItal"/>
        </w:rPr>
        <w:br/>
      </w:r>
      <w:r w:rsidRPr="0063429E">
        <w:rPr>
          <w:rFonts w:ascii="Times New Roman" w:hAnsi="Times New Roman" w:cs="EUAlbertina-ReguItal"/>
        </w:rPr>
        <w:t>"</w:t>
      </w:r>
      <w:r w:rsidRPr="0063429E">
        <w:rPr>
          <w:rFonts w:ascii="Times New Roman" w:hAnsi="Times New Roman" w:cs="EUAlbertina-Regu"/>
        </w:rPr>
        <w:t>Member States shall take all necessary measures in order to ensure that blood and blood components collected, tested, processed, stored, released and/or distributed on their territory can be traced from donor to recipient and vice versa. To this end, Member States shall ensure that</w:t>
      </w:r>
      <w:r>
        <w:rPr>
          <w:rFonts w:ascii="Times New Roman" w:hAnsi="Times New Roman" w:cs="EUAlbertina-Regu"/>
        </w:rPr>
        <w:t xml:space="preserve"> blood establishments implement, </w:t>
      </w:r>
      <w:r w:rsidRPr="0063429E">
        <w:rPr>
          <w:rFonts w:ascii="Times New Roman" w:hAnsi="Times New Roman" w:cs="EUAlbertina-Regu"/>
        </w:rPr>
        <w:t>a system for identification of each single blood donation and each single blood unit and components,</w:t>
      </w:r>
      <w:r>
        <w:rPr>
          <w:rFonts w:ascii="Times New Roman" w:hAnsi="Times New Roman" w:cs="EUAlbertina-Regu"/>
        </w:rPr>
        <w:t xml:space="preserve"> </w:t>
      </w:r>
      <w:r w:rsidRPr="0063429E">
        <w:rPr>
          <w:rFonts w:ascii="Times New Roman" w:hAnsi="Times New Roman" w:cs="EUAlbertina-Regu"/>
        </w:rPr>
        <w:t>thereof enabling full traceability to the donor as well as to the transfusion and the recipient thereof. The system must unmistakably identify each unique donation and type of blood component</w:t>
      </w:r>
      <w:r>
        <w:rPr>
          <w:rFonts w:ascii="Times New Roman" w:hAnsi="Times New Roman" w:cs="EUAlbertina-Regu"/>
        </w:rPr>
        <w:t>".</w:t>
      </w:r>
    </w:p>
    <w:p w:rsidR="000B78F3" w:rsidRPr="0063429E" w:rsidRDefault="000B78F3" w:rsidP="0063429E">
      <w:pPr>
        <w:autoSpaceDE w:val="0"/>
        <w:autoSpaceDN w:val="0"/>
        <w:adjustRightInd w:val="0"/>
        <w:spacing w:after="0" w:line="240" w:lineRule="auto"/>
        <w:jc w:val="both"/>
        <w:rPr>
          <w:rFonts w:ascii="Times New Roman" w:hAnsi="Times New Roman" w:cs="EUAlbertina-Regu"/>
        </w:rPr>
      </w:pPr>
      <w:r w:rsidRPr="0063429E">
        <w:rPr>
          <w:rFonts w:ascii="Times New Roman" w:hAnsi="Times New Roman" w:cs="EUAlbertina-Regu"/>
        </w:rPr>
        <w:t>"With regard to blood and blood components imported from third countries, Member States shall ensure that the donor identification system to be implemented by blood establishments permits an equivalent level of traceability."</w:t>
      </w:r>
    </w:p>
    <w:p w:rsidR="000B78F3" w:rsidRPr="0063429E" w:rsidRDefault="000B78F3" w:rsidP="0063429E">
      <w:pPr>
        <w:autoSpaceDE w:val="0"/>
        <w:autoSpaceDN w:val="0"/>
        <w:adjustRightInd w:val="0"/>
        <w:spacing w:after="0" w:line="240" w:lineRule="auto"/>
        <w:jc w:val="both"/>
        <w:rPr>
          <w:rFonts w:ascii="Times New Roman" w:hAnsi="Times New Roman" w:cs="EUAlbertina-Regu"/>
        </w:rPr>
      </w:pPr>
    </w:p>
    <w:p w:rsidR="000B78F3" w:rsidRPr="0063429E" w:rsidRDefault="000B78F3" w:rsidP="0063429E">
      <w:pPr>
        <w:autoSpaceDE w:val="0"/>
        <w:autoSpaceDN w:val="0"/>
        <w:adjustRightInd w:val="0"/>
        <w:spacing w:after="0" w:line="240" w:lineRule="auto"/>
        <w:jc w:val="both"/>
        <w:rPr>
          <w:rFonts w:ascii="Times New Roman" w:hAnsi="Times New Roman" w:cs="EUAlbertina-Regu"/>
        </w:rPr>
      </w:pPr>
      <w:r w:rsidRPr="0063429E">
        <w:rPr>
          <w:rFonts w:ascii="Times New Roman" w:hAnsi="Times New Roman" w:cs="EUAlbertina-Regu"/>
        </w:rPr>
        <w:t xml:space="preserve">The directive requires that </w:t>
      </w:r>
      <w:r>
        <w:rPr>
          <w:rFonts w:ascii="Times New Roman" w:hAnsi="Times New Roman" w:cs="EUAlbertina-Regu"/>
        </w:rPr>
        <w:t>"</w:t>
      </w:r>
      <w:r w:rsidRPr="0063429E">
        <w:rPr>
          <w:rFonts w:ascii="Times New Roman" w:hAnsi="Times New Roman" w:cs="EUAlbertina-Regu"/>
        </w:rPr>
        <w:t>Member States shall take all necessary measures in order to ensure that the system used for the labeling of blood and blood components collected, tested, processed, stored, released and/or distributed on their territory complies with the identification system referred to in paragraph 1 and the labeling requirements listed in Annex III. Data needed for full traceability in accordance with this Article shall be kept for at least 30 years.</w:t>
      </w:r>
      <w:r>
        <w:rPr>
          <w:rFonts w:ascii="Times New Roman" w:hAnsi="Times New Roman" w:cs="EUAlbertina-Regu"/>
        </w:rPr>
        <w:t>"</w:t>
      </w:r>
    </w:p>
    <w:p w:rsidR="000B78F3" w:rsidRPr="0063429E" w:rsidRDefault="000B78F3" w:rsidP="0063429E">
      <w:pPr>
        <w:autoSpaceDE w:val="0"/>
        <w:autoSpaceDN w:val="0"/>
        <w:adjustRightInd w:val="0"/>
        <w:spacing w:after="0" w:line="240" w:lineRule="auto"/>
        <w:jc w:val="both"/>
        <w:rPr>
          <w:rFonts w:ascii="Times New Roman" w:hAnsi="Times New Roman" w:cs="EUAlbertina-ReguItal"/>
          <w:i/>
          <w:iCs/>
        </w:rPr>
      </w:pPr>
    </w:p>
    <w:p w:rsidR="000B78F3" w:rsidRPr="0063429E" w:rsidRDefault="000B78F3" w:rsidP="0063429E">
      <w:pPr>
        <w:autoSpaceDE w:val="0"/>
        <w:autoSpaceDN w:val="0"/>
        <w:adjustRightInd w:val="0"/>
        <w:spacing w:after="0" w:line="240" w:lineRule="auto"/>
        <w:jc w:val="both"/>
        <w:rPr>
          <w:rFonts w:ascii="Times New Roman" w:hAnsi="Times New Roman" w:cs="EUAlbertina-ReguItal"/>
        </w:rPr>
      </w:pPr>
      <w:r w:rsidRPr="0063429E">
        <w:rPr>
          <w:rFonts w:ascii="Times New Roman" w:hAnsi="Times New Roman" w:cs="EUAlbertina-ReguItal"/>
        </w:rPr>
        <w:t>The Directive calls on the Member States to take necessary measures to ensure data protection and confidentiality (chapter VII) .</w:t>
      </w:r>
    </w:p>
    <w:p w:rsidR="000B78F3" w:rsidRPr="0063429E" w:rsidRDefault="000B78F3" w:rsidP="0063429E">
      <w:pPr>
        <w:autoSpaceDE w:val="0"/>
        <w:autoSpaceDN w:val="0"/>
        <w:adjustRightInd w:val="0"/>
        <w:spacing w:after="0" w:line="240" w:lineRule="auto"/>
        <w:jc w:val="both"/>
        <w:rPr>
          <w:rFonts w:ascii="Times New Roman" w:hAnsi="Times New Roman" w:cs="EUAlbertina-ReguItal"/>
          <w:i/>
          <w:iCs/>
        </w:rPr>
      </w:pPr>
    </w:p>
    <w:p w:rsidR="000B78F3" w:rsidRPr="0063429E" w:rsidRDefault="000B78F3" w:rsidP="0063429E">
      <w:pPr>
        <w:autoSpaceDE w:val="0"/>
        <w:autoSpaceDN w:val="0"/>
        <w:adjustRightInd w:val="0"/>
        <w:spacing w:after="0" w:line="240" w:lineRule="auto"/>
        <w:jc w:val="both"/>
        <w:rPr>
          <w:rFonts w:ascii="Times New Roman" w:hAnsi="Times New Roman" w:cs="EUAlbertina-Regu"/>
        </w:rPr>
      </w:pPr>
      <w:r w:rsidRPr="0063429E">
        <w:rPr>
          <w:rFonts w:ascii="Times New Roman" w:hAnsi="Times New Roman" w:cs="EUAlbertina-ReguItal"/>
          <w:iCs/>
        </w:rPr>
        <w:t>The Directive also requires that member states introduce system of notification of serious adverse events (accidents and errors) and reactions</w:t>
      </w:r>
      <w:r w:rsidRPr="0063429E">
        <w:rPr>
          <w:rFonts w:ascii="Times New Roman" w:hAnsi="Times New Roman" w:cs="EUAlbertina-ReguItal"/>
          <w:i/>
          <w:iCs/>
        </w:rPr>
        <w:t>.( Article 15</w:t>
      </w:r>
      <w:r w:rsidRPr="0063429E">
        <w:rPr>
          <w:rFonts w:ascii="Times New Roman" w:hAnsi="Times New Roman" w:cs="EUAlbertina-Regu"/>
          <w:i/>
        </w:rPr>
        <w:t xml:space="preserve"> ,Chapter V</w:t>
      </w:r>
      <w:r w:rsidRPr="0063429E">
        <w:rPr>
          <w:rFonts w:ascii="Times New Roman" w:hAnsi="Times New Roman" w:cs="EUAlbertina-ReguItal"/>
          <w:i/>
          <w:iCs/>
        </w:rPr>
        <w:t>,)</w:t>
      </w:r>
      <w:r w:rsidRPr="0063429E">
        <w:rPr>
          <w:rFonts w:ascii="Times New Roman" w:hAnsi="Times New Roman" w:cs="EUAlbertina-ReguItal"/>
          <w:iCs/>
        </w:rPr>
        <w:t xml:space="preserve"> and system of penalties </w:t>
      </w:r>
      <w:r w:rsidRPr="0063429E">
        <w:rPr>
          <w:rFonts w:ascii="Times New Roman" w:hAnsi="Times New Roman" w:cs="EUAlbertina-ReguItal"/>
          <w:i/>
          <w:iCs/>
        </w:rPr>
        <w:t>(article 27,</w:t>
      </w:r>
      <w:r w:rsidRPr="0063429E">
        <w:rPr>
          <w:rFonts w:ascii="Times New Roman" w:hAnsi="Times New Roman" w:cs="EUAlbertina-Regu"/>
          <w:i/>
        </w:rPr>
        <w:t xml:space="preserve"> Chapter VIII</w:t>
      </w:r>
      <w:r w:rsidRPr="0063429E">
        <w:rPr>
          <w:rFonts w:ascii="Times New Roman" w:hAnsi="Times New Roman" w:cs="EUAlbertina-ReguItal"/>
          <w:i/>
          <w:iCs/>
        </w:rPr>
        <w:t>)</w:t>
      </w:r>
      <w:r w:rsidRPr="0063429E">
        <w:rPr>
          <w:rFonts w:ascii="Times New Roman" w:hAnsi="Times New Roman" w:cs="EUAlbertina-ReguItal"/>
          <w:iCs/>
        </w:rPr>
        <w:t xml:space="preserve"> or infringements of national laws relating to this Directive. </w:t>
      </w:r>
    </w:p>
    <w:p w:rsidR="000B78F3" w:rsidRPr="0063429E" w:rsidRDefault="000B78F3" w:rsidP="0063429E">
      <w:pPr>
        <w:autoSpaceDE w:val="0"/>
        <w:autoSpaceDN w:val="0"/>
        <w:adjustRightInd w:val="0"/>
        <w:spacing w:after="0" w:line="240" w:lineRule="auto"/>
        <w:jc w:val="both"/>
        <w:rPr>
          <w:rFonts w:ascii="Times New Roman" w:hAnsi="Times New Roman" w:cs="EUAlbertina-ReguItal"/>
          <w:i/>
          <w:iCs/>
        </w:rPr>
      </w:pPr>
    </w:p>
    <w:p w:rsidR="000B78F3" w:rsidRPr="0063429E" w:rsidRDefault="000B78F3" w:rsidP="0063429E">
      <w:pPr>
        <w:autoSpaceDE w:val="0"/>
        <w:autoSpaceDN w:val="0"/>
        <w:adjustRightInd w:val="0"/>
        <w:spacing w:after="0" w:line="240" w:lineRule="auto"/>
        <w:jc w:val="both"/>
        <w:rPr>
          <w:rFonts w:ascii="Times New Roman" w:hAnsi="Times New Roman" w:cs="EUAlbertina-ReguItal"/>
        </w:rPr>
      </w:pPr>
      <w:r w:rsidRPr="0063429E">
        <w:rPr>
          <w:rFonts w:ascii="Times New Roman" w:hAnsi="Times New Roman" w:cs="EUAlbertina-ReguItal"/>
        </w:rPr>
        <w:t xml:space="preserve">The Directive contains annexes on information which shall be submitted by blood establishments for the purpose of their designation, accreditation or licensing; information to be included in annual reports by blood establishments; labeling requirements for donor blood components, and basic testing requirements to me in respect  of blood donations.  </w:t>
      </w:r>
    </w:p>
    <w:p w:rsidR="000B78F3" w:rsidRPr="0063429E" w:rsidRDefault="000B78F3" w:rsidP="0063429E">
      <w:pPr>
        <w:autoSpaceDE w:val="0"/>
        <w:autoSpaceDN w:val="0"/>
        <w:adjustRightInd w:val="0"/>
        <w:spacing w:line="240" w:lineRule="auto"/>
        <w:jc w:val="center"/>
        <w:rPr>
          <w:rFonts w:ascii="Times New Roman" w:hAnsi="Times New Roman" w:cs="EUAlbertina-Regu"/>
          <w:sz w:val="19"/>
          <w:szCs w:val="19"/>
          <w:lang w:bidi="th-TH"/>
        </w:rPr>
      </w:pPr>
      <w:r>
        <w:rPr>
          <w:rFonts w:ascii="Times New Roman" w:hAnsi="Times New Roman" w:cs="EUAlbertina-ReguItal"/>
          <w:sz w:val="24"/>
          <w:szCs w:val="24"/>
        </w:rPr>
        <w:br w:type="page"/>
      </w:r>
      <w:r w:rsidRPr="0063429E">
        <w:rPr>
          <w:rFonts w:ascii="Times New Roman" w:hAnsi="Times New Roman" w:cs="EUAlbertina-Regu"/>
          <w:sz w:val="24"/>
          <w:szCs w:val="24"/>
          <w:lang w:bidi="th-TH"/>
        </w:rPr>
        <w:t>Reporting requirements under the Directive.</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The Directive requires (article 15) that Member States shall ensure that any serious adverse events (accidents and errors) related to the collection, testing, processing, storage and distribution of blood and blood components which may have an influence on their quality and safety, as well as any serious adverse reactions observed during or after transfusion which may be attributed to the quality and the safety of blood and blood components are notified to the competent authority.</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Some of the definitions that are provided to this end in the Directive (article 3):</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(g) ‘serious adverse event’ shall mean any untoward occurrence associated with the collection, testing, processing, storage and distribution, of blood and blood components that might lead to death or life-threatening, disabling or incapacitating conditions for patients or which results in, or prolongs, hospitalisation or morbidity;</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 xml:space="preserve">(h) ‘serious adverse reaction’ shall mean an unintended response in donor or in patient associated with the collection or transfusion of blood or blood components that is fatal, life-threatening, disabling, incapacitating, or which results in, or prolongs, hospitalisation or morbidity; </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(i) ‘blood component release’ shall mean a process which enables a blood component to be released from a quarantine status by the use of systems and procedures to ensure that the finished product meets its release specification;</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(l) ‘haemovigilance’ shall mean a set of organised surveillance procedures relating to serious adverse or unexpected events or reactions in donors or recipients, and the epidemiological follow-up of donors;</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(m) ‘inspection’ shall mean formal and objective control according to adopted standards to assess compliance with this Directive and other relevant legislation and to identify problems.</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 xml:space="preserve">The definitions were later further elaborated and précised in the framework of the EU project “EU Optimal use” but nevertheless there is still  difference between definitions used in countries. </w:t>
      </w:r>
    </w:p>
    <w:p w:rsidR="000B78F3" w:rsidRPr="005D1348" w:rsidRDefault="000B78F3" w:rsidP="0063429E">
      <w:pPr>
        <w:autoSpaceDE w:val="0"/>
        <w:autoSpaceDN w:val="0"/>
        <w:adjustRightInd w:val="0"/>
        <w:spacing w:line="240" w:lineRule="auto"/>
        <w:jc w:val="both"/>
        <w:rPr>
          <w:rFonts w:ascii="Times New Roman" w:hAnsi="Times New Roman" w:cs="EUAlbertina-Regu"/>
          <w:lang w:bidi="th-TH"/>
        </w:rPr>
      </w:pPr>
      <w:r w:rsidRPr="005D1348">
        <w:rPr>
          <w:rFonts w:ascii="Times New Roman" w:hAnsi="Times New Roman" w:cs="EUAlbertina-Regu"/>
          <w:lang w:bidi="th-TH"/>
        </w:rPr>
        <w:t xml:space="preserve">For example, in the </w:t>
      </w:r>
      <w:smartTag w:uri="urn:schemas-microsoft-com:office:smarttags" w:element="country-region">
        <w:r w:rsidRPr="005D1348">
          <w:rPr>
            <w:rFonts w:ascii="Times New Roman" w:hAnsi="Times New Roman" w:cs="EUAlbertina-Regu"/>
            <w:lang w:bidi="th-TH"/>
          </w:rPr>
          <w:t>Netherlands</w:t>
        </w:r>
      </w:smartTag>
      <w:r w:rsidRPr="005D1348">
        <w:rPr>
          <w:rFonts w:ascii="Times New Roman" w:hAnsi="Times New Roman" w:cs="EUAlbertina-Regu"/>
          <w:lang w:bidi="th-TH"/>
        </w:rPr>
        <w:t xml:space="preserve"> a term “serious transfusion reaction” (an incident that results in death or is life threaten to a patient) is used, at </w:t>
      </w:r>
      <w:smartTag w:uri="urn:schemas-microsoft-com:office:smarttags" w:element="country-region">
        <w:r w:rsidRPr="005D1348">
          <w:rPr>
            <w:rFonts w:ascii="Times New Roman" w:hAnsi="Times New Roman" w:cs="EUAlbertina-Regu"/>
            <w:lang w:bidi="th-TH"/>
          </w:rPr>
          <w:t>UK</w:t>
        </w:r>
      </w:smartTag>
      <w:r w:rsidRPr="005D1348">
        <w:rPr>
          <w:rFonts w:ascii="Times New Roman" w:hAnsi="Times New Roman" w:cs="EUAlbertina-Regu"/>
          <w:lang w:bidi="th-TH"/>
        </w:rPr>
        <w:t xml:space="preserve"> and </w:t>
      </w:r>
      <w:smartTag w:uri="urn:schemas-microsoft-com:office:smarttags" w:element="country-region">
        <w:r w:rsidRPr="005D1348">
          <w:rPr>
            <w:rFonts w:ascii="Times New Roman" w:hAnsi="Times New Roman" w:cs="EUAlbertina-Regu"/>
            <w:lang w:bidi="th-TH"/>
          </w:rPr>
          <w:t>Ireland</w:t>
        </w:r>
      </w:smartTag>
      <w:r w:rsidRPr="005D1348">
        <w:rPr>
          <w:rFonts w:ascii="Times New Roman" w:hAnsi="Times New Roman" w:cs="EUAlbertina-Regu"/>
          <w:lang w:bidi="th-TH"/>
        </w:rPr>
        <w:t xml:space="preserve"> - “near miss” (an error that might have harmed a patient but did not). In </w:t>
      </w:r>
      <w:smartTag w:uri="urn:schemas-microsoft-com:office:smarttags" w:element="country-region">
        <w:r w:rsidRPr="005D1348">
          <w:rPr>
            <w:rFonts w:ascii="Times New Roman" w:hAnsi="Times New Roman" w:cs="EUAlbertina-Regu"/>
            <w:lang w:bidi="th-TH"/>
          </w:rPr>
          <w:t>Denmark</w:t>
        </w:r>
      </w:smartTag>
      <w:r w:rsidRPr="005D1348">
        <w:rPr>
          <w:rFonts w:ascii="Times New Roman" w:hAnsi="Times New Roman" w:cs="EUAlbertina-Regu"/>
          <w:lang w:bidi="th-TH"/>
        </w:rPr>
        <w:t xml:space="preserve"> “near miss” is considered almost “incident” (which is a deviation from a standard operating procedure during transfusion).. </w:t>
      </w:r>
    </w:p>
    <w:p w:rsidR="000B78F3" w:rsidRPr="005D1348" w:rsidRDefault="000B78F3" w:rsidP="0063429E">
      <w:pPr>
        <w:autoSpaceDE w:val="0"/>
        <w:autoSpaceDN w:val="0"/>
        <w:adjustRightInd w:val="0"/>
        <w:spacing w:after="0" w:line="240" w:lineRule="auto"/>
        <w:jc w:val="both"/>
        <w:rPr>
          <w:rFonts w:ascii="Times New Roman" w:hAnsi="Times New Roman" w:cs="HelveticaNeueLTStd-Lt"/>
        </w:rPr>
      </w:pPr>
      <w:r w:rsidRPr="005D1348">
        <w:rPr>
          <w:rFonts w:ascii="Times New Roman" w:hAnsi="Times New Roman" w:cs="HelveticaNeueLTStd-Lt"/>
        </w:rPr>
        <w:t xml:space="preserve">Besides difference in definitions, national reporting requirements differ from the point of scope of information. Thus in the Netherlands hospitals are required to report all cases of transfusion of an incorrect blood component, but reporting of “near miss” is optional. UK and Ireland concentrate on ‘serious hazards’ of transfusion (as defined in their reporting schemes) but do not require reports of transfusion reactions that are considered be less serious for patients. On the other extreme,  in France data is collected on all reactions regardless of their severity. </w:t>
      </w:r>
    </w:p>
    <w:p w:rsidR="000B78F3" w:rsidRPr="005D1348" w:rsidRDefault="000B78F3" w:rsidP="0063429E">
      <w:pPr>
        <w:autoSpaceDE w:val="0"/>
        <w:autoSpaceDN w:val="0"/>
        <w:adjustRightInd w:val="0"/>
        <w:spacing w:after="0" w:line="240" w:lineRule="auto"/>
        <w:jc w:val="both"/>
        <w:rPr>
          <w:rFonts w:ascii="Times New Roman" w:hAnsi="Times New Roman" w:cs="HelveticaNeueLTStd-Lt"/>
        </w:rPr>
      </w:pPr>
      <w:r w:rsidRPr="005D1348">
        <w:rPr>
          <w:rFonts w:ascii="Times New Roman" w:hAnsi="Times New Roman" w:cs="HelveticaNeueLTStd-Lt"/>
        </w:rPr>
        <w:t xml:space="preserve">These differences are important to remember when comparing haemovigilance results among the different schemes. </w:t>
      </w:r>
    </w:p>
    <w:p w:rsidR="000B78F3" w:rsidRPr="0063429E" w:rsidRDefault="000B78F3" w:rsidP="005D1348">
      <w:pPr>
        <w:autoSpaceDE w:val="0"/>
        <w:autoSpaceDN w:val="0"/>
        <w:adjustRightInd w:val="0"/>
        <w:spacing w:line="240" w:lineRule="auto"/>
        <w:jc w:val="center"/>
        <w:rPr>
          <w:rFonts w:ascii="Times New Roman" w:hAnsi="Times New Roman"/>
          <w:sz w:val="24"/>
          <w:szCs w:val="24"/>
          <w:lang w:bidi="th-TH"/>
        </w:rPr>
      </w:pPr>
      <w:r>
        <w:rPr>
          <w:rFonts w:ascii="Times New Roman" w:hAnsi="Times New Roman"/>
          <w:sz w:val="24"/>
          <w:szCs w:val="24"/>
          <w:lang w:bidi="th-TH"/>
        </w:rPr>
        <w:br w:type="page"/>
      </w:r>
      <w:r w:rsidRPr="0063429E">
        <w:rPr>
          <w:rFonts w:ascii="Times New Roman" w:hAnsi="Times New Roman"/>
          <w:sz w:val="24"/>
          <w:szCs w:val="24"/>
          <w:lang w:bidi="th-TH"/>
        </w:rPr>
        <w:t>Blood transfusion traceability standards</w:t>
      </w:r>
    </w:p>
    <w:p w:rsidR="000B78F3" w:rsidRPr="0063429E" w:rsidRDefault="000B78F3" w:rsidP="0063429E">
      <w:pPr>
        <w:spacing w:before="100" w:beforeAutospacing="1" w:after="100" w:afterAutospacing="1" w:line="312" w:lineRule="auto"/>
        <w:ind w:right="120"/>
        <w:jc w:val="both"/>
        <w:rPr>
          <w:rFonts w:ascii="Times New Roman" w:hAnsi="Times New Roman"/>
          <w:lang w:bidi="th-TH"/>
        </w:rPr>
      </w:pPr>
      <w:r w:rsidRPr="0063429E">
        <w:rPr>
          <w:rFonts w:ascii="Times New Roman" w:hAnsi="Times New Roman"/>
          <w:lang w:bidi="th-TH"/>
        </w:rPr>
        <w:t>There are no harmonized European standards in this area. But there are standards prepared by medical/business associations and such two standards are currently used in the European countries: one is EUROCODE (primarily used in Germany) and another one is ISBT 128, which has a wider application in Europe. These standards are encoding information and allow for its transfer through various electronic means. Both standards are aimed at identification, lab</w:t>
      </w:r>
      <w:r>
        <w:rPr>
          <w:rFonts w:ascii="Times New Roman" w:hAnsi="Times New Roman"/>
          <w:lang w:bidi="th-TH"/>
        </w:rPr>
        <w:t xml:space="preserve">eling and information transfer </w:t>
      </w:r>
      <w:r w:rsidRPr="0063429E">
        <w:rPr>
          <w:rFonts w:ascii="Times New Roman" w:hAnsi="Times New Roman"/>
          <w:lang w:bidi="th-TH"/>
        </w:rPr>
        <w:t>based on bar code technology, namely by assigning specific bar codes. For example, under ISBT 128 an unique 13 number bar code (so called DIN or Donation Identification Number) is assigned to every particular blood donation which all</w:t>
      </w:r>
      <w:r>
        <w:rPr>
          <w:rFonts w:ascii="Times New Roman" w:hAnsi="Times New Roman"/>
          <w:lang w:bidi="th-TH"/>
        </w:rPr>
        <w:t>ows to identify and to trace it</w:t>
      </w:r>
      <w:r w:rsidRPr="0063429E">
        <w:rPr>
          <w:rFonts w:ascii="Times New Roman" w:hAnsi="Times New Roman"/>
          <w:lang w:bidi="th-TH"/>
        </w:rPr>
        <w:t xml:space="preserve">, including the facility where such donation took place. </w:t>
      </w:r>
    </w:p>
    <w:p w:rsidR="000B78F3" w:rsidRPr="0063429E" w:rsidRDefault="000B78F3" w:rsidP="0063429E">
      <w:pPr>
        <w:spacing w:before="100" w:beforeAutospacing="1" w:after="100" w:afterAutospacing="1" w:line="312" w:lineRule="auto"/>
        <w:ind w:right="120"/>
        <w:jc w:val="both"/>
        <w:rPr>
          <w:rFonts w:ascii="Times New Roman" w:hAnsi="Times New Roman"/>
          <w:lang w:bidi="th-TH"/>
        </w:rPr>
      </w:pPr>
      <w:r w:rsidRPr="0063429E">
        <w:rPr>
          <w:rFonts w:ascii="Times New Roman" w:hAnsi="Times New Roman"/>
          <w:lang w:bidi="th-TH"/>
        </w:rPr>
        <w:t xml:space="preserve">The ISBT standard was prepared in the 90-s by a number of European and American associations and organizations with participation of health authorities. The implementation of the standard was entrusted to a specially established organization  </w:t>
      </w:r>
      <w:hyperlink r:id="rId7" w:history="1">
        <w:r w:rsidRPr="0063429E">
          <w:rPr>
            <w:rFonts w:ascii="Times New Roman" w:hAnsi="Times New Roman"/>
            <w:lang w:bidi="th-TH"/>
          </w:rPr>
          <w:t>International Council for Commonality in Blood Banking Automation (ICCBBA)</w:t>
        </w:r>
      </w:hyperlink>
      <w:r w:rsidRPr="0063429E">
        <w:rPr>
          <w:rFonts w:ascii="Times New Roman" w:hAnsi="Times New Roman"/>
          <w:lang w:bidi="th-TH"/>
        </w:rPr>
        <w:t xml:space="preserve"> which charges fees for the use of this standard and for registration of its user in the common database.</w:t>
      </w:r>
    </w:p>
    <w:p w:rsidR="000B78F3" w:rsidRPr="0063429E" w:rsidRDefault="000B78F3" w:rsidP="0063429E">
      <w:pPr>
        <w:spacing w:before="100" w:beforeAutospacing="1" w:after="100" w:afterAutospacing="1" w:line="312" w:lineRule="auto"/>
        <w:ind w:right="120"/>
        <w:jc w:val="both"/>
        <w:rPr>
          <w:rFonts w:ascii="Times New Roman" w:hAnsi="Times New Roman"/>
          <w:lang w:bidi="th-TH"/>
        </w:rPr>
      </w:pPr>
      <w:r w:rsidRPr="0063429E">
        <w:rPr>
          <w:rFonts w:ascii="Times New Roman" w:hAnsi="Times New Roman"/>
          <w:lang w:bidi="th-TH"/>
        </w:rPr>
        <w:t xml:space="preserve">Both Eurocode and ISBT 128 are voluntary standards but some organizations promote the use of a particular standard. Thus, one of the associations which participated in the elaboration of the ISBT 128 standard was ABBB (current name -Advancing Transfusion and Cellular Therapies Worldwide; initially an association of American blood banks which later expanded its activities). AABB requires that its accredited blood banks implement ISBT 128 standard. </w:t>
      </w:r>
    </w:p>
    <w:p w:rsidR="000B78F3" w:rsidRPr="0063429E" w:rsidRDefault="000B78F3" w:rsidP="0063429E">
      <w:pPr>
        <w:spacing w:before="100" w:beforeAutospacing="1" w:after="100" w:afterAutospacing="1" w:line="312" w:lineRule="auto"/>
        <w:ind w:right="120"/>
        <w:jc w:val="both"/>
        <w:rPr>
          <w:rFonts w:ascii="Times New Roman" w:hAnsi="Times New Roman"/>
          <w:lang w:bidi="th-TH"/>
        </w:rPr>
      </w:pPr>
      <w:r w:rsidRPr="0063429E">
        <w:rPr>
          <w:rFonts w:ascii="Times New Roman" w:hAnsi="Times New Roman"/>
          <w:lang w:bidi="th-TH"/>
        </w:rPr>
        <w:t xml:space="preserve">On a practical level there a number of products on the market that allow medical institutions to implement bar code based traceability systems by using specific tools, for example, by combining into one traceability chain wrist labels for patients, fridges for blood storage, </w:t>
      </w:r>
      <w:r>
        <w:rPr>
          <w:rFonts w:ascii="Times New Roman" w:hAnsi="Times New Roman"/>
          <w:lang w:bidi="th-TH"/>
        </w:rPr>
        <w:t>codes on blood donations, etc...and</w:t>
      </w:r>
      <w:r w:rsidRPr="0063429E">
        <w:rPr>
          <w:rFonts w:ascii="Times New Roman" w:hAnsi="Times New Roman"/>
          <w:lang w:bidi="th-TH"/>
        </w:rPr>
        <w:t xml:space="preserve"> by allowing for their checking at each stage of blood components movement (example- software and related tools - "BLOODTRACK").  </w:t>
      </w:r>
    </w:p>
    <w:p w:rsidR="000B78F3" w:rsidRPr="0063429E" w:rsidRDefault="000B78F3" w:rsidP="0063429E">
      <w:pPr>
        <w:spacing w:before="100" w:beforeAutospacing="1" w:after="100" w:afterAutospacing="1" w:line="312" w:lineRule="auto"/>
        <w:ind w:right="120"/>
        <w:jc w:val="both"/>
        <w:rPr>
          <w:rFonts w:ascii="Times New Roman" w:hAnsi="Times New Roman"/>
          <w:lang w:bidi="th-TH"/>
        </w:rPr>
      </w:pPr>
      <w:r w:rsidRPr="0063429E">
        <w:rPr>
          <w:rFonts w:ascii="Times New Roman" w:hAnsi="Times New Roman"/>
          <w:lang w:bidi="th-TH"/>
        </w:rPr>
        <w:t xml:space="preserve">On the basis of information received from national authorities (see below under countries) one could conclude that bar coded technologies used in the region allow to ensure required traceability and to reduce significantly the number of potential mistakes. </w:t>
      </w:r>
    </w:p>
    <w:p w:rsidR="000B78F3" w:rsidRPr="0063429E" w:rsidRDefault="000B78F3" w:rsidP="005D1348">
      <w:pPr>
        <w:spacing w:before="100" w:beforeAutospacing="1" w:after="100" w:afterAutospacing="1" w:line="312" w:lineRule="auto"/>
        <w:ind w:left="270" w:right="120"/>
        <w:jc w:val="center"/>
        <w:rPr>
          <w:rFonts w:ascii="Times New Roman" w:hAnsi="Times New Roman"/>
          <w:sz w:val="24"/>
          <w:szCs w:val="24"/>
          <w:lang w:bidi="th-TH"/>
        </w:rPr>
      </w:pPr>
      <w:r>
        <w:rPr>
          <w:rFonts w:ascii="Times New Roman" w:hAnsi="Times New Roman"/>
          <w:sz w:val="24"/>
          <w:szCs w:val="24"/>
        </w:rPr>
        <w:br w:type="page"/>
      </w:r>
      <w:r w:rsidRPr="0063429E">
        <w:rPr>
          <w:rFonts w:ascii="Times New Roman" w:hAnsi="Times New Roman"/>
          <w:sz w:val="24"/>
          <w:szCs w:val="24"/>
        </w:rPr>
        <w:t>National implementation at EU</w:t>
      </w:r>
    </w:p>
    <w:p w:rsidR="000B78F3" w:rsidRPr="005D1348" w:rsidRDefault="000B78F3" w:rsidP="0063429E">
      <w:pPr>
        <w:jc w:val="both"/>
        <w:rPr>
          <w:rFonts w:ascii="Times New Roman" w:hAnsi="Times New Roman" w:cs="EUAlbertina-Regu"/>
        </w:rPr>
      </w:pPr>
      <w:r w:rsidRPr="005D1348">
        <w:rPr>
          <w:rFonts w:ascii="Times New Roman" w:hAnsi="Times New Roman" w:cs="EUAlbertina-Regu"/>
        </w:rPr>
        <w:t>The basic 2002/98 Directive (and other related EU directives) was implemented (transposed into national legislation) by all EU member states plus by other European countries (for example, by Switzerland).</w:t>
      </w:r>
    </w:p>
    <w:p w:rsidR="000B78F3" w:rsidRPr="005D1348" w:rsidRDefault="000B78F3" w:rsidP="0063429E">
      <w:pPr>
        <w:jc w:val="both"/>
        <w:rPr>
          <w:rFonts w:ascii="Times New Roman" w:hAnsi="Times New Roman" w:cs="EUAlbertina-Regu"/>
        </w:rPr>
      </w:pPr>
      <w:r w:rsidRPr="005D1348">
        <w:rPr>
          <w:rFonts w:ascii="Times New Roman" w:hAnsi="Times New Roman" w:cs="EUAlbertina-Regu"/>
        </w:rPr>
        <w:t xml:space="preserve">As a part of national implementation in most cases a two stage institutional system was introduced: with ministries or specially designated agencies which are setting rules for activities of blood establishments (and for their accreditation, if required) and with controlling agencies </w:t>
      </w:r>
      <w:r>
        <w:rPr>
          <w:rFonts w:ascii="Times New Roman" w:hAnsi="Times New Roman" w:cs="EUAlbertina-Regu"/>
        </w:rPr>
        <w:t>(usually) on a regional level (</w:t>
      </w:r>
      <w:r w:rsidRPr="005D1348">
        <w:rPr>
          <w:rFonts w:ascii="Times New Roman" w:hAnsi="Times New Roman" w:cs="EUAlbertina-Regu"/>
        </w:rPr>
        <w:t>“</w:t>
      </w:r>
      <w:r w:rsidRPr="005D1348">
        <w:rPr>
          <w:rFonts w:ascii="Times New Roman" w:hAnsi="Times New Roman"/>
        </w:rPr>
        <w:t>Laender”</w:t>
      </w:r>
      <w:r w:rsidRPr="005D1348">
        <w:rPr>
          <w:rFonts w:ascii="Times New Roman" w:hAnsi="Times New Roman" w:cs="EUAlbertina-Regu"/>
        </w:rPr>
        <w:t xml:space="preserve"> in Germany). </w:t>
      </w:r>
    </w:p>
    <w:p w:rsidR="000B78F3" w:rsidRPr="005D1348" w:rsidRDefault="000B78F3" w:rsidP="0063429E">
      <w:pPr>
        <w:jc w:val="both"/>
        <w:rPr>
          <w:rFonts w:ascii="Times New Roman" w:hAnsi="Times New Roman" w:cs="EUAlbertina-Regu"/>
        </w:rPr>
      </w:pPr>
      <w:r w:rsidRPr="005D1348">
        <w:rPr>
          <w:rFonts w:ascii="Times New Roman" w:hAnsi="Times New Roman" w:cs="EUAlbertina-Regu"/>
        </w:rPr>
        <w:t>It could be noted that there are certain differences in national implementati</w:t>
      </w:r>
      <w:r>
        <w:rPr>
          <w:rFonts w:ascii="Times New Roman" w:hAnsi="Times New Roman" w:cs="EUAlbertina-Regu"/>
        </w:rPr>
        <w:t xml:space="preserve">on in the EU blood transfusion </w:t>
      </w:r>
      <w:r w:rsidRPr="005D1348">
        <w:rPr>
          <w:rFonts w:ascii="Times New Roman" w:hAnsi="Times New Roman" w:cs="EUAlbertina-Regu"/>
        </w:rPr>
        <w:t xml:space="preserve">traceability requirements; very often it relates to how EU requirements are interpreted on a national level . </w:t>
      </w:r>
    </w:p>
    <w:p w:rsidR="000B78F3" w:rsidRPr="005D1348" w:rsidRDefault="000B78F3" w:rsidP="0063429E">
      <w:pPr>
        <w:jc w:val="both"/>
        <w:rPr>
          <w:rFonts w:ascii="Times New Roman" w:hAnsi="Times New Roman" w:cs="EUAlbertina-Regu"/>
        </w:rPr>
      </w:pPr>
      <w:r w:rsidRPr="005D1348">
        <w:rPr>
          <w:rFonts w:ascii="Times New Roman" w:hAnsi="Times New Roman" w:cs="EUAlbertina-Regu"/>
        </w:rPr>
        <w:t>For example, there exist different understanding of what is a “blood establishment”. Thus, i</w:t>
      </w:r>
      <w:r w:rsidRPr="005D1348">
        <w:rPr>
          <w:rFonts w:ascii="Times New Roman" w:hAnsi="Times New Roman"/>
        </w:rPr>
        <w:t>n Italy there is no distinction between "Blood Establishment" and "Hospital Blood Bank". Blood Transfusion Services (BTSs) are by law can be only public hospital-based services.</w:t>
      </w:r>
    </w:p>
    <w:p w:rsidR="000B78F3" w:rsidRPr="005D1348" w:rsidRDefault="000B78F3" w:rsidP="0063429E">
      <w:pPr>
        <w:jc w:val="both"/>
        <w:rPr>
          <w:rFonts w:ascii="Times New Roman" w:hAnsi="Times New Roman" w:cs="EUAlbertina-Regu"/>
        </w:rPr>
      </w:pPr>
      <w:r w:rsidRPr="005D1348">
        <w:rPr>
          <w:rFonts w:ascii="Times New Roman" w:hAnsi="Times New Roman" w:cs="EUAlbertina-Regu"/>
        </w:rPr>
        <w:t>The reporting issues also vary from country to country. In some cases there are different interpretations of the definitions provided in the Directive (se above under "reporting", for example the Netherlands dedicate a big part of the report to “error transfusion in the ward” like patient identification problems. It can be noted that in general , each country focuses on where it has encountered most difficulties.</w:t>
      </w:r>
    </w:p>
    <w:p w:rsidR="000B78F3" w:rsidRPr="005D1348" w:rsidRDefault="000B78F3" w:rsidP="0063429E">
      <w:pPr>
        <w:jc w:val="both"/>
        <w:rPr>
          <w:rFonts w:ascii="Times New Roman" w:hAnsi="Times New Roman" w:cs="EUAlbertina-Regu"/>
        </w:rPr>
      </w:pPr>
      <w:r w:rsidRPr="005D1348">
        <w:rPr>
          <w:rFonts w:ascii="Times New Roman" w:hAnsi="Times New Roman" w:cs="EUAlbertina-Regu"/>
        </w:rPr>
        <w:t>The reporting scope can be different as well. In France it is mandatory to report all events caused in the transfusion chain while in Germany “incorrect blood transfused” is a voluntary report (making it sometimes poorly documented.)</w:t>
      </w:r>
    </w:p>
    <w:p w:rsidR="000B78F3" w:rsidRPr="005D1348" w:rsidRDefault="000B78F3" w:rsidP="0063429E">
      <w:pPr>
        <w:jc w:val="both"/>
        <w:rPr>
          <w:rFonts w:ascii="Times New Roman" w:hAnsi="Times New Roman" w:cs="EUAlbertina-Regu"/>
        </w:rPr>
      </w:pPr>
      <w:r w:rsidRPr="005D1348">
        <w:rPr>
          <w:rFonts w:ascii="Times New Roman" w:hAnsi="Times New Roman" w:cs="EUAlbertina-Regu"/>
        </w:rPr>
        <w:t>The issue of penalties varies also with the most severe sanctions foreseen at UK (up to prison term) to rather light penalties namely fines in most European countries.</w:t>
      </w:r>
    </w:p>
    <w:p w:rsidR="000B78F3" w:rsidRPr="005D1348" w:rsidRDefault="000B78F3" w:rsidP="0063429E">
      <w:pPr>
        <w:autoSpaceDE w:val="0"/>
        <w:autoSpaceDN w:val="0"/>
        <w:adjustRightInd w:val="0"/>
        <w:spacing w:after="0" w:line="240" w:lineRule="auto"/>
        <w:jc w:val="both"/>
        <w:rPr>
          <w:rFonts w:ascii="Times New Roman" w:hAnsi="Times New Roman" w:cs="EUAlbertina-Regu"/>
        </w:rPr>
      </w:pPr>
      <w:r w:rsidRPr="005D1348">
        <w:rPr>
          <w:rFonts w:ascii="Times New Roman" w:hAnsi="Times New Roman" w:cs="EUAlbertina-Regu"/>
        </w:rPr>
        <w:t xml:space="preserve">The annex below provides information on the Directive transposition in selected European countries plus some related statistical data on blood transfusion facilities and details of national reporting (information is based on the latest available EU and national statistics from various sources) .  </w:t>
      </w:r>
    </w:p>
    <w:p w:rsidR="000B78F3" w:rsidRPr="0063429E" w:rsidRDefault="000B78F3" w:rsidP="0063429E">
      <w:pPr>
        <w:autoSpaceDE w:val="0"/>
        <w:autoSpaceDN w:val="0"/>
        <w:adjustRightInd w:val="0"/>
        <w:spacing w:after="0" w:line="240" w:lineRule="auto"/>
        <w:jc w:val="both"/>
        <w:rPr>
          <w:rFonts w:ascii="Times New Roman" w:hAnsi="Times New Roman" w:cs="EUAlbertina-Regu"/>
          <w:sz w:val="19"/>
          <w:szCs w:val="19"/>
        </w:rPr>
      </w:pPr>
    </w:p>
    <w:p w:rsidR="000B78F3" w:rsidRPr="005D1348" w:rsidRDefault="000B78F3" w:rsidP="0063429E">
      <w:pPr>
        <w:autoSpaceDE w:val="0"/>
        <w:autoSpaceDN w:val="0"/>
        <w:adjustRightInd w:val="0"/>
        <w:spacing w:after="0" w:line="240" w:lineRule="auto"/>
        <w:jc w:val="both"/>
        <w:rPr>
          <w:rFonts w:ascii="Times New Roman" w:hAnsi="Times New Roman" w:cs="EUAlbertina-Regu"/>
        </w:rPr>
      </w:pPr>
      <w:r w:rsidRPr="005D1348">
        <w:rPr>
          <w:rFonts w:ascii="Times New Roman" w:hAnsi="Times New Roman" w:cs="EUAlbertina-Regu"/>
        </w:rPr>
        <w:t xml:space="preserve">France </w:t>
      </w:r>
    </w:p>
    <w:p w:rsidR="000B78F3" w:rsidRPr="005D1348" w:rsidRDefault="000B78F3" w:rsidP="0063429E">
      <w:pPr>
        <w:autoSpaceDE w:val="0"/>
        <w:autoSpaceDN w:val="0"/>
        <w:adjustRightInd w:val="0"/>
        <w:spacing w:after="0" w:line="240" w:lineRule="auto"/>
        <w:jc w:val="both"/>
        <w:rPr>
          <w:rFonts w:ascii="Times New Roman" w:hAnsi="Times New Roman" w:cs="EUAlbertina-Regu"/>
        </w:rPr>
      </w:pPr>
      <w:r w:rsidRPr="005D1348">
        <w:rPr>
          <w:rFonts w:ascii="Times New Roman" w:hAnsi="Times New Roman" w:cs="EUAlbertina-Regu"/>
        </w:rPr>
        <w:t>Germany</w:t>
      </w:r>
    </w:p>
    <w:p w:rsidR="000B78F3" w:rsidRPr="005D1348" w:rsidRDefault="000B78F3" w:rsidP="0063429E">
      <w:pPr>
        <w:autoSpaceDE w:val="0"/>
        <w:autoSpaceDN w:val="0"/>
        <w:adjustRightInd w:val="0"/>
        <w:spacing w:after="0" w:line="240" w:lineRule="auto"/>
        <w:jc w:val="both"/>
        <w:rPr>
          <w:rFonts w:ascii="Times New Roman" w:hAnsi="Times New Roman" w:cs="EUAlbertina-Regu"/>
        </w:rPr>
      </w:pPr>
      <w:r w:rsidRPr="005D1348">
        <w:rPr>
          <w:rFonts w:ascii="Times New Roman" w:hAnsi="Times New Roman" w:cs="EUAlbertina-Regu"/>
        </w:rPr>
        <w:t xml:space="preserve">Italy </w:t>
      </w:r>
    </w:p>
    <w:p w:rsidR="000B78F3" w:rsidRPr="005D1348" w:rsidRDefault="000B78F3" w:rsidP="0063429E">
      <w:pPr>
        <w:autoSpaceDE w:val="0"/>
        <w:autoSpaceDN w:val="0"/>
        <w:adjustRightInd w:val="0"/>
        <w:spacing w:after="0" w:line="240" w:lineRule="auto"/>
        <w:jc w:val="both"/>
        <w:rPr>
          <w:rFonts w:ascii="Times New Roman" w:hAnsi="Times New Roman" w:cs="EUAlbertina-Regu"/>
        </w:rPr>
      </w:pPr>
      <w:r w:rsidRPr="005D1348">
        <w:rPr>
          <w:rFonts w:ascii="Times New Roman" w:hAnsi="Times New Roman" w:cs="EUAlbertina-Regu"/>
        </w:rPr>
        <w:t>Netherlands</w:t>
      </w:r>
    </w:p>
    <w:p w:rsidR="000B78F3" w:rsidRPr="005D1348" w:rsidRDefault="000B78F3" w:rsidP="0063429E">
      <w:pPr>
        <w:autoSpaceDE w:val="0"/>
        <w:autoSpaceDN w:val="0"/>
        <w:adjustRightInd w:val="0"/>
        <w:spacing w:after="0" w:line="240" w:lineRule="auto"/>
        <w:jc w:val="both"/>
        <w:rPr>
          <w:rFonts w:ascii="Times New Roman" w:hAnsi="Times New Roman" w:cs="EUAlbertina-Regu"/>
        </w:rPr>
      </w:pPr>
      <w:r w:rsidRPr="005D1348">
        <w:rPr>
          <w:rFonts w:ascii="Times New Roman" w:hAnsi="Times New Roman" w:cs="EUAlbertina-Regu"/>
        </w:rPr>
        <w:t xml:space="preserve">Switzerland </w:t>
      </w:r>
    </w:p>
    <w:p w:rsidR="000B78F3" w:rsidRPr="005D1348" w:rsidRDefault="000B78F3" w:rsidP="0063429E">
      <w:pPr>
        <w:ind w:left="360"/>
        <w:jc w:val="both"/>
        <w:rPr>
          <w:rFonts w:ascii="Times New Roman" w:hAnsi="Times New Roman"/>
          <w:b/>
          <w:bCs/>
          <w:sz w:val="32"/>
          <w:szCs w:val="32"/>
        </w:rPr>
      </w:pPr>
      <w:r>
        <w:rPr>
          <w:rFonts w:ascii="Times New Roman" w:hAnsi="Times New Roman"/>
        </w:rPr>
        <w:br w:type="page"/>
      </w:r>
      <w:r w:rsidRPr="005D1348">
        <w:rPr>
          <w:rFonts w:ascii="Times New Roman" w:hAnsi="Times New Roman"/>
          <w:b/>
          <w:bCs/>
          <w:sz w:val="32"/>
          <w:szCs w:val="32"/>
        </w:rPr>
        <w:t xml:space="preserve">Annex </w:t>
      </w:r>
    </w:p>
    <w:p w:rsidR="000B78F3" w:rsidRPr="0063429E" w:rsidRDefault="000B78F3" w:rsidP="0063429E">
      <w:pPr>
        <w:ind w:left="360"/>
        <w:jc w:val="both"/>
        <w:rPr>
          <w:rFonts w:ascii="Times New Roman" w:hAnsi="Times New Roman"/>
          <w:b/>
          <w:sz w:val="32"/>
          <w:szCs w:val="32"/>
        </w:rPr>
      </w:pPr>
      <w:r w:rsidRPr="0063429E">
        <w:rPr>
          <w:rFonts w:ascii="Times New Roman" w:hAnsi="Times New Roman"/>
          <w:b/>
          <w:sz w:val="32"/>
          <w:szCs w:val="32"/>
        </w:rPr>
        <w:t>FRANCE</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Abbreviations: </w:t>
      </w:r>
    </w:p>
    <w:p w:rsidR="000B78F3" w:rsidRPr="0063429E" w:rsidRDefault="000B78F3" w:rsidP="0063429E">
      <w:pPr>
        <w:ind w:left="360"/>
        <w:jc w:val="both"/>
        <w:rPr>
          <w:rFonts w:ascii="Times New Roman" w:hAnsi="Times New Roman"/>
        </w:rPr>
      </w:pPr>
      <w:r>
        <w:rPr>
          <w:rFonts w:ascii="Times New Roman" w:hAnsi="Times New Roman"/>
        </w:rPr>
        <w:t>SAE:</w:t>
      </w:r>
      <w:r>
        <w:rPr>
          <w:rFonts w:ascii="Times New Roman" w:hAnsi="Times New Roman"/>
        </w:rPr>
        <w:tab/>
      </w:r>
      <w:r>
        <w:rPr>
          <w:rFonts w:ascii="Times New Roman" w:hAnsi="Times New Roman"/>
        </w:rPr>
        <w:tab/>
      </w:r>
      <w:r w:rsidRPr="0063429E">
        <w:rPr>
          <w:rFonts w:ascii="Times New Roman" w:hAnsi="Times New Roman"/>
        </w:rPr>
        <w:t>Serious Adverse Event</w:t>
      </w:r>
    </w:p>
    <w:p w:rsidR="000B78F3" w:rsidRPr="0063429E" w:rsidRDefault="000B78F3" w:rsidP="0063429E">
      <w:pPr>
        <w:ind w:left="360"/>
        <w:jc w:val="both"/>
        <w:rPr>
          <w:rFonts w:ascii="Times New Roman" w:hAnsi="Times New Roman"/>
        </w:rPr>
      </w:pPr>
      <w:r>
        <w:rPr>
          <w:rFonts w:ascii="Times New Roman" w:hAnsi="Times New Roman"/>
        </w:rPr>
        <w:t>SAR:</w:t>
      </w:r>
      <w:r>
        <w:rPr>
          <w:rFonts w:ascii="Times New Roman" w:hAnsi="Times New Roman"/>
        </w:rPr>
        <w:tab/>
      </w:r>
      <w:r>
        <w:rPr>
          <w:rFonts w:ascii="Times New Roman" w:hAnsi="Times New Roman"/>
        </w:rPr>
        <w:tab/>
      </w:r>
      <w:r w:rsidRPr="0063429E">
        <w:rPr>
          <w:rFonts w:ascii="Times New Roman" w:hAnsi="Times New Roman"/>
        </w:rPr>
        <w:t>Serious Adverse Reaction</w:t>
      </w:r>
    </w:p>
    <w:p w:rsidR="000B78F3" w:rsidRPr="0063429E" w:rsidRDefault="000B78F3" w:rsidP="0063429E">
      <w:pPr>
        <w:ind w:left="360"/>
        <w:jc w:val="both"/>
        <w:rPr>
          <w:rFonts w:ascii="Times New Roman" w:hAnsi="Times New Roman"/>
        </w:rPr>
      </w:pPr>
      <w:r>
        <w:rPr>
          <w:rFonts w:ascii="Times New Roman" w:hAnsi="Times New Roman"/>
        </w:rPr>
        <w:t>RAR:</w:t>
      </w:r>
      <w:r>
        <w:rPr>
          <w:rFonts w:ascii="Times New Roman" w:hAnsi="Times New Roman"/>
        </w:rPr>
        <w:tab/>
      </w:r>
      <w:r>
        <w:rPr>
          <w:rFonts w:ascii="Times New Roman" w:hAnsi="Times New Roman"/>
        </w:rPr>
        <w:tab/>
      </w:r>
      <w:r w:rsidRPr="0063429E">
        <w:rPr>
          <w:rFonts w:ascii="Times New Roman" w:hAnsi="Times New Roman"/>
        </w:rPr>
        <w:t>Recipient Adverse Reaction</w:t>
      </w:r>
    </w:p>
    <w:p w:rsidR="000B78F3" w:rsidRPr="0063429E" w:rsidRDefault="000B78F3" w:rsidP="0063429E">
      <w:pPr>
        <w:ind w:firstLine="360"/>
        <w:jc w:val="both"/>
        <w:rPr>
          <w:rFonts w:ascii="Times New Roman" w:hAnsi="Times New Roman"/>
        </w:rPr>
      </w:pPr>
      <w:r>
        <w:rPr>
          <w:rFonts w:ascii="Times New Roman" w:hAnsi="Times New Roman"/>
        </w:rPr>
        <w:t>DSAR/DSARF:</w:t>
      </w:r>
      <w:r>
        <w:rPr>
          <w:rFonts w:ascii="Times New Roman" w:hAnsi="Times New Roman"/>
        </w:rPr>
        <w:tab/>
      </w:r>
      <w:r w:rsidRPr="0063429E">
        <w:rPr>
          <w:rFonts w:ascii="Times New Roman" w:hAnsi="Times New Roman"/>
        </w:rPr>
        <w:t>Donor serious adverse effect/donor serious adverse effect form</w:t>
      </w:r>
    </w:p>
    <w:p w:rsidR="000B78F3" w:rsidRPr="0063429E" w:rsidRDefault="000B78F3" w:rsidP="0063429E">
      <w:pPr>
        <w:ind w:left="360"/>
        <w:jc w:val="both"/>
        <w:rPr>
          <w:rFonts w:ascii="Times New Roman" w:hAnsi="Times New Roman"/>
        </w:rPr>
      </w:pPr>
      <w:r>
        <w:rPr>
          <w:rFonts w:ascii="Times New Roman" w:hAnsi="Times New Roman"/>
        </w:rPr>
        <w:t>PDI:</w:t>
      </w:r>
      <w:r>
        <w:rPr>
          <w:rFonts w:ascii="Times New Roman" w:hAnsi="Times New Roman"/>
        </w:rPr>
        <w:tab/>
      </w:r>
      <w:r>
        <w:rPr>
          <w:rFonts w:ascii="Times New Roman" w:hAnsi="Times New Roman"/>
        </w:rPr>
        <w:tab/>
      </w:r>
      <w:r w:rsidRPr="0063429E">
        <w:rPr>
          <w:rFonts w:ascii="Times New Roman" w:hAnsi="Times New Roman"/>
        </w:rPr>
        <w:t>Post Donation Information</w:t>
      </w:r>
    </w:p>
    <w:p w:rsidR="000B78F3" w:rsidRPr="0063429E" w:rsidRDefault="000B78F3" w:rsidP="0063429E">
      <w:pPr>
        <w:ind w:left="360"/>
        <w:jc w:val="both"/>
        <w:rPr>
          <w:rFonts w:ascii="Times New Roman" w:hAnsi="Times New Roman"/>
        </w:rPr>
      </w:pPr>
      <w:r>
        <w:rPr>
          <w:rFonts w:ascii="Times New Roman" w:hAnsi="Times New Roman"/>
        </w:rPr>
        <w:t>RHC:</w:t>
      </w:r>
      <w:r>
        <w:rPr>
          <w:rFonts w:ascii="Times New Roman" w:hAnsi="Times New Roman"/>
        </w:rPr>
        <w:tab/>
      </w:r>
      <w:r>
        <w:rPr>
          <w:rFonts w:ascii="Times New Roman" w:hAnsi="Times New Roman"/>
        </w:rPr>
        <w:tab/>
      </w:r>
      <w:r w:rsidRPr="0063429E">
        <w:rPr>
          <w:rFonts w:ascii="Times New Roman" w:hAnsi="Times New Roman"/>
        </w:rPr>
        <w:t>Regional Haemovigilance Coordinator</w:t>
      </w:r>
    </w:p>
    <w:p w:rsidR="000B78F3" w:rsidRPr="0063429E" w:rsidRDefault="000B78F3" w:rsidP="0063429E">
      <w:pPr>
        <w:ind w:left="360"/>
        <w:jc w:val="both"/>
        <w:rPr>
          <w:rFonts w:ascii="Times New Roman" w:hAnsi="Times New Roman"/>
        </w:rPr>
      </w:pPr>
      <w:r w:rsidRPr="0063429E">
        <w:rPr>
          <w:rFonts w:ascii="Times New Roman" w:hAnsi="Times New Roman"/>
        </w:rPr>
        <w:t>LBP:</w:t>
      </w:r>
      <w:r>
        <w:rPr>
          <w:rFonts w:ascii="Times New Roman" w:hAnsi="Times New Roman"/>
        </w:rPr>
        <w:tab/>
      </w:r>
      <w:r>
        <w:rPr>
          <w:rFonts w:ascii="Times New Roman" w:hAnsi="Times New Roman"/>
        </w:rPr>
        <w:tab/>
      </w:r>
      <w:r w:rsidRPr="0063429E">
        <w:rPr>
          <w:rFonts w:ascii="Times New Roman" w:hAnsi="Times New Roman"/>
        </w:rPr>
        <w:t>Labile Blood Products</w:t>
      </w:r>
    </w:p>
    <w:p w:rsidR="000B78F3" w:rsidRPr="0063429E" w:rsidRDefault="000B78F3" w:rsidP="0063429E">
      <w:pPr>
        <w:ind w:left="360"/>
        <w:jc w:val="both"/>
        <w:rPr>
          <w:rFonts w:ascii="Times New Roman" w:hAnsi="Times New Roman"/>
          <w:b/>
          <w:sz w:val="28"/>
          <w:szCs w:val="28"/>
        </w:rPr>
      </w:pPr>
      <w:r>
        <w:rPr>
          <w:rFonts w:ascii="Times New Roman" w:hAnsi="Times New Roman"/>
          <w:b/>
          <w:sz w:val="28"/>
          <w:szCs w:val="28"/>
        </w:rPr>
        <w:t>S</w:t>
      </w:r>
      <w:r w:rsidRPr="0063429E">
        <w:rPr>
          <w:rFonts w:ascii="Times New Roman" w:hAnsi="Times New Roman"/>
          <w:b/>
          <w:sz w:val="28"/>
          <w:szCs w:val="28"/>
        </w:rPr>
        <w:t>ummary information</w:t>
      </w:r>
    </w:p>
    <w:p w:rsidR="000B78F3" w:rsidRPr="00DE0155" w:rsidRDefault="000B78F3" w:rsidP="0063429E">
      <w:pPr>
        <w:pStyle w:val="ListParagraph"/>
        <w:numPr>
          <w:ilvl w:val="0"/>
          <w:numId w:val="10"/>
        </w:numPr>
        <w:contextualSpacing/>
        <w:jc w:val="both"/>
        <w:rPr>
          <w:rFonts w:ascii="Times New Roman" w:hAnsi="Times New Roman"/>
          <w:b/>
          <w:bCs/>
        </w:rPr>
      </w:pPr>
      <w:r w:rsidRPr="00DE0155">
        <w:rPr>
          <w:rFonts w:ascii="Times New Roman" w:hAnsi="Times New Roman"/>
          <w:b/>
          <w:bCs/>
        </w:rPr>
        <w:t>Legal framework</w:t>
      </w:r>
    </w:p>
    <w:p w:rsidR="000B78F3" w:rsidRPr="0063429E" w:rsidRDefault="000B78F3" w:rsidP="0063429E">
      <w:pPr>
        <w:pStyle w:val="ListParagraph"/>
        <w:jc w:val="both"/>
        <w:rPr>
          <w:rFonts w:ascii="Times New Roman" w:hAnsi="Times New Roman"/>
          <w:bCs/>
        </w:rPr>
      </w:pPr>
      <w:r w:rsidRPr="0063429E">
        <w:rPr>
          <w:rFonts w:ascii="Times New Roman" w:hAnsi="Times New Roman"/>
        </w:rPr>
        <w:t>The legal framework is composed of the EU directives (</w:t>
      </w:r>
      <w:r w:rsidRPr="0063429E">
        <w:rPr>
          <w:rFonts w:ascii="Times New Roman" w:hAnsi="Times New Roman"/>
          <w:bCs/>
        </w:rPr>
        <w:t xml:space="preserve">Directives 2002/98/EC, </w:t>
      </w:r>
      <w:r>
        <w:rPr>
          <w:rFonts w:ascii="Times New Roman" w:hAnsi="Times New Roman"/>
          <w:bCs/>
        </w:rPr>
        <w:t xml:space="preserve">2004/33/EC, </w:t>
      </w:r>
      <w:r w:rsidRPr="0063429E">
        <w:rPr>
          <w:rFonts w:ascii="Times New Roman" w:hAnsi="Times New Roman"/>
          <w:bCs/>
        </w:rPr>
        <w:t>2005/61/EC  and 2005/62/EC) that have transposed into the  national law.</w:t>
      </w:r>
    </w:p>
    <w:p w:rsidR="000B78F3" w:rsidRPr="00DE0155" w:rsidRDefault="000B78F3" w:rsidP="0063429E">
      <w:pPr>
        <w:pStyle w:val="ListParagraph"/>
        <w:numPr>
          <w:ilvl w:val="0"/>
          <w:numId w:val="10"/>
        </w:numPr>
        <w:contextualSpacing/>
        <w:jc w:val="both"/>
        <w:rPr>
          <w:rFonts w:ascii="Times New Roman" w:hAnsi="Times New Roman"/>
          <w:b/>
          <w:bCs/>
        </w:rPr>
      </w:pPr>
      <w:r w:rsidRPr="00DE0155">
        <w:rPr>
          <w:rFonts w:ascii="Times New Roman" w:hAnsi="Times New Roman"/>
          <w:b/>
          <w:bCs/>
        </w:rPr>
        <w:t>Control and implementation institutional framework</w:t>
      </w:r>
    </w:p>
    <w:p w:rsidR="000B78F3" w:rsidRPr="0063429E" w:rsidRDefault="000B78F3" w:rsidP="0063429E">
      <w:pPr>
        <w:pStyle w:val="ListParagraph"/>
        <w:numPr>
          <w:ilvl w:val="0"/>
          <w:numId w:val="11"/>
        </w:numPr>
        <w:autoSpaceDE w:val="0"/>
        <w:autoSpaceDN w:val="0"/>
        <w:adjustRightInd w:val="0"/>
        <w:spacing w:after="0" w:line="240" w:lineRule="auto"/>
        <w:contextualSpacing/>
        <w:jc w:val="both"/>
        <w:rPr>
          <w:rFonts w:ascii="Times New Roman" w:hAnsi="Times New Roman"/>
          <w:lang w:val="fr-FR"/>
        </w:rPr>
      </w:pPr>
      <w:r w:rsidRPr="0063429E">
        <w:rPr>
          <w:rFonts w:ascii="Times New Roman" w:hAnsi="Times New Roman"/>
          <w:lang w:val="fr-FR"/>
        </w:rPr>
        <w:t xml:space="preserve">Direction générale de la santé (DGS) –  policy authority  </w:t>
      </w:r>
    </w:p>
    <w:p w:rsidR="000B78F3" w:rsidRDefault="000B78F3" w:rsidP="00ED085B">
      <w:pPr>
        <w:pStyle w:val="ListParagraph"/>
        <w:numPr>
          <w:ilvl w:val="0"/>
          <w:numId w:val="11"/>
        </w:numPr>
        <w:autoSpaceDE w:val="0"/>
        <w:autoSpaceDN w:val="0"/>
        <w:adjustRightInd w:val="0"/>
        <w:spacing w:line="360" w:lineRule="auto"/>
        <w:ind w:left="1077" w:hanging="357"/>
        <w:contextualSpacing/>
        <w:jc w:val="both"/>
        <w:rPr>
          <w:rFonts w:ascii="Times New Roman" w:hAnsi="Times New Roman"/>
        </w:rPr>
      </w:pPr>
      <w:r>
        <w:rPr>
          <w:rFonts w:ascii="Times New Roman" w:hAnsi="Times New Roman"/>
        </w:rPr>
        <w:t>C</w:t>
      </w:r>
      <w:r w:rsidRPr="0063429E">
        <w:rPr>
          <w:rFonts w:ascii="Times New Roman" w:hAnsi="Times New Roman"/>
        </w:rPr>
        <w:t>ontrolling and implementing agency</w:t>
      </w:r>
    </w:p>
    <w:p w:rsidR="000B78F3" w:rsidRPr="00ED085B" w:rsidRDefault="000B78F3" w:rsidP="0063429E">
      <w:pPr>
        <w:pStyle w:val="ListParagraph"/>
        <w:numPr>
          <w:ilvl w:val="0"/>
          <w:numId w:val="10"/>
        </w:numPr>
        <w:contextualSpacing/>
        <w:jc w:val="both"/>
        <w:rPr>
          <w:rFonts w:ascii="Times New Roman" w:hAnsi="Times New Roman"/>
          <w:b/>
          <w:bCs/>
        </w:rPr>
      </w:pPr>
      <w:r w:rsidRPr="00ED085B">
        <w:rPr>
          <w:rFonts w:ascii="Times New Roman" w:hAnsi="Times New Roman"/>
          <w:b/>
          <w:bCs/>
        </w:rPr>
        <w:t>Haemovigilance system</w:t>
      </w:r>
    </w:p>
    <w:p w:rsidR="000B78F3" w:rsidRPr="0063429E" w:rsidRDefault="000B78F3" w:rsidP="00ED085B">
      <w:pPr>
        <w:pStyle w:val="ListParagraph"/>
        <w:numPr>
          <w:ilvl w:val="0"/>
          <w:numId w:val="18"/>
        </w:numPr>
        <w:autoSpaceDE w:val="0"/>
        <w:autoSpaceDN w:val="0"/>
        <w:adjustRightInd w:val="0"/>
        <w:spacing w:after="0" w:line="240" w:lineRule="auto"/>
        <w:contextualSpacing/>
        <w:jc w:val="both"/>
        <w:rPr>
          <w:rFonts w:ascii="Times New Roman" w:hAnsi="Times New Roman"/>
        </w:rPr>
      </w:pPr>
      <w:r w:rsidRPr="0063429E">
        <w:rPr>
          <w:rFonts w:ascii="Times New Roman" w:hAnsi="Times New Roman"/>
        </w:rPr>
        <w:t xml:space="preserve">Afssaps is responsible for the compilation of the haemovigilance data. The data was submitted in paper form but from March 2010 a new system of electronic declarations was put in place. </w:t>
      </w:r>
    </w:p>
    <w:p w:rsidR="000B78F3" w:rsidRDefault="000B78F3" w:rsidP="00ED085B">
      <w:pPr>
        <w:pStyle w:val="ListParagraph"/>
        <w:numPr>
          <w:ilvl w:val="0"/>
          <w:numId w:val="18"/>
        </w:numPr>
        <w:autoSpaceDE w:val="0"/>
        <w:autoSpaceDN w:val="0"/>
        <w:adjustRightInd w:val="0"/>
        <w:spacing w:after="0" w:line="240" w:lineRule="auto"/>
        <w:contextualSpacing/>
        <w:jc w:val="both"/>
        <w:rPr>
          <w:rFonts w:ascii="Times New Roman" w:hAnsi="Times New Roman"/>
        </w:rPr>
      </w:pPr>
      <w:r w:rsidRPr="0063429E">
        <w:rPr>
          <w:rFonts w:ascii="Times New Roman" w:hAnsi="Times New Roman"/>
        </w:rPr>
        <w:t xml:space="preserve">This system shall offer the haemovigilance network the possibility of immediate responsiveness, via the simultaneous communication of information to all the participants. </w:t>
      </w:r>
    </w:p>
    <w:p w:rsidR="000B78F3" w:rsidRPr="0063429E" w:rsidRDefault="000B78F3" w:rsidP="00FB09CB">
      <w:pPr>
        <w:pStyle w:val="ListParagraph"/>
        <w:autoSpaceDE w:val="0"/>
        <w:autoSpaceDN w:val="0"/>
        <w:adjustRightInd w:val="0"/>
        <w:spacing w:after="0" w:line="240" w:lineRule="auto"/>
        <w:contextualSpacing/>
        <w:jc w:val="both"/>
        <w:rPr>
          <w:rFonts w:ascii="Times New Roman" w:hAnsi="Times New Roman"/>
        </w:rPr>
      </w:pPr>
    </w:p>
    <w:p w:rsidR="000B78F3" w:rsidRPr="00FB09CB" w:rsidRDefault="000B78F3" w:rsidP="0063429E">
      <w:pPr>
        <w:pStyle w:val="ListParagraph"/>
        <w:numPr>
          <w:ilvl w:val="0"/>
          <w:numId w:val="10"/>
        </w:numPr>
        <w:contextualSpacing/>
        <w:jc w:val="both"/>
        <w:rPr>
          <w:rFonts w:ascii="Times New Roman" w:hAnsi="Times New Roman"/>
          <w:b/>
          <w:bCs/>
        </w:rPr>
      </w:pPr>
      <w:r w:rsidRPr="00FB09CB">
        <w:rPr>
          <w:rFonts w:ascii="Times New Roman" w:hAnsi="Times New Roman"/>
          <w:b/>
          <w:bCs/>
        </w:rPr>
        <w:t xml:space="preserve">Summary of key statistics on blood transfusion facilities </w:t>
      </w:r>
    </w:p>
    <w:p w:rsidR="000B78F3" w:rsidRPr="0063429E" w:rsidRDefault="000B78F3" w:rsidP="0063429E">
      <w:pPr>
        <w:ind w:left="708"/>
        <w:jc w:val="both"/>
        <w:rPr>
          <w:rFonts w:ascii="Times New Roman" w:hAnsi="Times New Roman"/>
        </w:rPr>
      </w:pPr>
      <w:r w:rsidRPr="0063429E">
        <w:rPr>
          <w:rFonts w:ascii="Times New Roman" w:hAnsi="Times New Roman"/>
        </w:rPr>
        <w:t xml:space="preserve">There are around 800 registered facilities in the country.  </w:t>
      </w:r>
    </w:p>
    <w:p w:rsidR="000B78F3" w:rsidRPr="0063429E" w:rsidRDefault="000B78F3" w:rsidP="0063429E">
      <w:pPr>
        <w:numPr>
          <w:ilvl w:val="0"/>
          <w:numId w:val="3"/>
        </w:numPr>
        <w:autoSpaceDE w:val="0"/>
        <w:autoSpaceDN w:val="0"/>
        <w:adjustRightInd w:val="0"/>
        <w:spacing w:after="0" w:line="240" w:lineRule="auto"/>
        <w:jc w:val="both"/>
        <w:rPr>
          <w:rFonts w:ascii="Times New Roman" w:hAnsi="Times New Roman"/>
        </w:rPr>
      </w:pPr>
      <w:r w:rsidRPr="0063429E">
        <w:rPr>
          <w:rFonts w:ascii="Times New Roman" w:hAnsi="Times New Roman"/>
        </w:rPr>
        <w:t>Blood establishments: 17 regional establishments performing 158 collection activities, 17 processing activities, 17 testing activities and 152 distribution activities</w:t>
      </w:r>
    </w:p>
    <w:p w:rsidR="000B78F3" w:rsidRDefault="000B78F3" w:rsidP="00DE0155">
      <w:pPr>
        <w:numPr>
          <w:ilvl w:val="0"/>
          <w:numId w:val="3"/>
        </w:numPr>
        <w:autoSpaceDE w:val="0"/>
        <w:autoSpaceDN w:val="0"/>
        <w:adjustRightInd w:val="0"/>
        <w:spacing w:after="0" w:line="240" w:lineRule="auto"/>
        <w:jc w:val="both"/>
        <w:rPr>
          <w:rFonts w:ascii="Times New Roman" w:hAnsi="Times New Roman"/>
        </w:rPr>
      </w:pPr>
      <w:r w:rsidRPr="0063429E">
        <w:rPr>
          <w:rFonts w:ascii="Times New Roman" w:hAnsi="Times New Roman"/>
        </w:rPr>
        <w:t>705 Hospital Blood Banks are in activity</w:t>
      </w:r>
    </w:p>
    <w:p w:rsidR="000B78F3" w:rsidRPr="0063429E" w:rsidRDefault="000B78F3" w:rsidP="00DE0155">
      <w:pPr>
        <w:autoSpaceDE w:val="0"/>
        <w:autoSpaceDN w:val="0"/>
        <w:adjustRightInd w:val="0"/>
        <w:spacing w:after="0" w:line="240" w:lineRule="auto"/>
        <w:ind w:left="720"/>
        <w:jc w:val="both"/>
        <w:rPr>
          <w:rFonts w:ascii="Times New Roman" w:hAnsi="Times New Roman"/>
        </w:rPr>
      </w:pPr>
    </w:p>
    <w:p w:rsidR="000B78F3" w:rsidRPr="005E4D6A" w:rsidRDefault="000B78F3" w:rsidP="0063429E">
      <w:pPr>
        <w:pStyle w:val="ListParagraph"/>
        <w:numPr>
          <w:ilvl w:val="0"/>
          <w:numId w:val="10"/>
        </w:numPr>
        <w:contextualSpacing/>
        <w:jc w:val="both"/>
        <w:rPr>
          <w:rFonts w:ascii="Times New Roman" w:hAnsi="Times New Roman"/>
          <w:b/>
          <w:bCs/>
        </w:rPr>
      </w:pPr>
      <w:r w:rsidRPr="005E4D6A">
        <w:rPr>
          <w:rFonts w:ascii="Times New Roman" w:hAnsi="Times New Roman"/>
          <w:b/>
          <w:bCs/>
        </w:rPr>
        <w:t xml:space="preserve">Reporting of blood transfusion related “adverse events” </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In 2009, 440 SAEs ("serious adverse reactions") were declared, i.e.:</w:t>
      </w:r>
    </w:p>
    <w:p w:rsidR="000B78F3" w:rsidRPr="0063429E" w:rsidRDefault="000B78F3" w:rsidP="0063429E">
      <w:pPr>
        <w:autoSpaceDE w:val="0"/>
        <w:autoSpaceDN w:val="0"/>
        <w:adjustRightInd w:val="0"/>
        <w:spacing w:after="0" w:line="240" w:lineRule="auto"/>
        <w:ind w:left="1080"/>
        <w:jc w:val="both"/>
        <w:rPr>
          <w:rFonts w:ascii="Times New Roman" w:hAnsi="Times New Roman"/>
        </w:rPr>
      </w:pPr>
      <w:r w:rsidRPr="0063429E">
        <w:rPr>
          <w:rFonts w:ascii="Times New Roman" w:hAnsi="Times New Roman"/>
        </w:rPr>
        <w:t>- 176 incidents with transfusion of LBP( labile blood products) without SAE (ratio of 5.9 per 100,000 distributed LBPs)</w:t>
      </w:r>
    </w:p>
    <w:p w:rsidR="000B78F3" w:rsidRPr="0063429E" w:rsidRDefault="000B78F3" w:rsidP="005E4D6A">
      <w:pPr>
        <w:autoSpaceDE w:val="0"/>
        <w:autoSpaceDN w:val="0"/>
        <w:adjustRightInd w:val="0"/>
        <w:spacing w:after="0" w:line="240" w:lineRule="auto"/>
        <w:ind w:left="1080"/>
        <w:jc w:val="both"/>
        <w:rPr>
          <w:rFonts w:ascii="Times New Roman" w:hAnsi="Times New Roman"/>
        </w:rPr>
      </w:pPr>
      <w:r w:rsidRPr="0063429E">
        <w:rPr>
          <w:rFonts w:ascii="Times New Roman" w:hAnsi="Times New Roman"/>
        </w:rPr>
        <w:t>- 33 incidents with transfusion of LBP ("Labile Blood Products") that caused an SAE of a grade higher than or equal to 1 (ratio of 1.1 per 100,000 distributed LBPs)</w:t>
      </w:r>
    </w:p>
    <w:p w:rsidR="000B78F3" w:rsidRPr="0063429E" w:rsidRDefault="000B78F3" w:rsidP="0063429E">
      <w:pPr>
        <w:ind w:left="1080"/>
        <w:jc w:val="both"/>
        <w:rPr>
          <w:rFonts w:ascii="Times New Roman" w:hAnsi="Times New Roman"/>
        </w:rPr>
      </w:pPr>
      <w:r w:rsidRPr="0063429E">
        <w:rPr>
          <w:rFonts w:ascii="Times New Roman" w:hAnsi="Times New Roman"/>
        </w:rPr>
        <w:t>- 231 serious incidents with transfusion (ratio of 7.8 per 100,000 distributed LBPs)</w:t>
      </w:r>
    </w:p>
    <w:p w:rsidR="000B78F3" w:rsidRPr="0063429E" w:rsidRDefault="000B78F3" w:rsidP="0063429E">
      <w:pPr>
        <w:ind w:left="360"/>
        <w:jc w:val="both"/>
        <w:rPr>
          <w:rFonts w:ascii="Times New Roman" w:hAnsi="Times New Roman"/>
          <w:b/>
          <w:u w:val="single"/>
        </w:rPr>
      </w:pPr>
      <w:r w:rsidRPr="0063429E">
        <w:rPr>
          <w:rFonts w:ascii="Times New Roman" w:hAnsi="Times New Roman"/>
        </w:rPr>
        <w:t>In 2009, the number of RAR ("Recipient Adverse Reaction")  declarations, including all grades, levels of imputability and enquiries, stood at 7,808, i.e. a frequency of 2.6 per 1,000 distributed LBPs.</w:t>
      </w:r>
    </w:p>
    <w:p w:rsidR="000B78F3" w:rsidRPr="005E4D6A" w:rsidRDefault="000B78F3" w:rsidP="0063429E">
      <w:pPr>
        <w:pStyle w:val="ListParagraph"/>
        <w:numPr>
          <w:ilvl w:val="0"/>
          <w:numId w:val="10"/>
        </w:numPr>
        <w:contextualSpacing/>
        <w:jc w:val="both"/>
        <w:rPr>
          <w:rFonts w:ascii="Times New Roman" w:hAnsi="Times New Roman"/>
          <w:b/>
          <w:bCs/>
        </w:rPr>
      </w:pPr>
      <w:r w:rsidRPr="005E4D6A">
        <w:rPr>
          <w:rFonts w:ascii="Times New Roman" w:hAnsi="Times New Roman"/>
          <w:b/>
          <w:bCs/>
        </w:rPr>
        <w:t xml:space="preserve">Standards used </w:t>
      </w:r>
    </w:p>
    <w:p w:rsidR="000B78F3" w:rsidRPr="0063429E" w:rsidRDefault="000B78F3" w:rsidP="0063429E">
      <w:pPr>
        <w:pStyle w:val="ListParagraph"/>
        <w:jc w:val="both"/>
        <w:rPr>
          <w:rFonts w:ascii="Times New Roman" w:hAnsi="Times New Roman"/>
        </w:rPr>
      </w:pPr>
      <w:r w:rsidRPr="0063429E">
        <w:rPr>
          <w:rFonts w:ascii="Times New Roman" w:hAnsi="Times New Roman"/>
        </w:rPr>
        <w:t>ISBT 128 for labeling, coding and identification of blood, blood components, tissues and cells</w:t>
      </w:r>
    </w:p>
    <w:p w:rsidR="000B78F3" w:rsidRPr="005E4D6A" w:rsidRDefault="000B78F3" w:rsidP="0063429E">
      <w:pPr>
        <w:pStyle w:val="ListParagraph"/>
        <w:numPr>
          <w:ilvl w:val="0"/>
          <w:numId w:val="10"/>
        </w:numPr>
        <w:contextualSpacing/>
        <w:jc w:val="both"/>
        <w:rPr>
          <w:rFonts w:ascii="Times New Roman" w:hAnsi="Times New Roman"/>
          <w:b/>
          <w:bCs/>
        </w:rPr>
      </w:pPr>
      <w:r w:rsidRPr="005E4D6A">
        <w:rPr>
          <w:rFonts w:ascii="Times New Roman" w:hAnsi="Times New Roman"/>
          <w:b/>
          <w:bCs/>
        </w:rPr>
        <w:t>Sources/references</w:t>
      </w:r>
    </w:p>
    <w:p w:rsidR="000B78F3" w:rsidRPr="0063429E" w:rsidRDefault="000B78F3" w:rsidP="0063429E">
      <w:pPr>
        <w:pStyle w:val="ListParagraph"/>
        <w:jc w:val="both"/>
        <w:rPr>
          <w:rFonts w:ascii="Times New Roman" w:hAnsi="Times New Roman"/>
        </w:rPr>
      </w:pPr>
      <w:r w:rsidRPr="0063429E">
        <w:rPr>
          <w:rFonts w:ascii="Times New Roman" w:hAnsi="Times New Roman"/>
        </w:rPr>
        <w:t>European commission public health and risk assessment questionnaire 2008 and 2010, French annual haemovigilance report 2009</w:t>
      </w:r>
    </w:p>
    <w:p w:rsidR="000B78F3" w:rsidRPr="0063429E" w:rsidRDefault="000B78F3" w:rsidP="0063429E">
      <w:pPr>
        <w:jc w:val="both"/>
        <w:rPr>
          <w:rFonts w:ascii="Times New Roman" w:hAnsi="Times New Roman"/>
        </w:rPr>
      </w:pPr>
    </w:p>
    <w:p w:rsidR="000B78F3" w:rsidRPr="0063429E" w:rsidRDefault="000B78F3" w:rsidP="0063429E">
      <w:pPr>
        <w:jc w:val="both"/>
        <w:rPr>
          <w:rFonts w:ascii="Times New Roman" w:hAnsi="Times New Roman"/>
        </w:rPr>
      </w:pPr>
      <w:r w:rsidRPr="0063429E">
        <w:rPr>
          <w:rFonts w:ascii="Times New Roman" w:hAnsi="Times New Roman"/>
        </w:rPr>
        <w:t>________________________________________________</w:t>
      </w:r>
    </w:p>
    <w:p w:rsidR="000B78F3" w:rsidRPr="0063429E" w:rsidRDefault="000B78F3" w:rsidP="0063429E">
      <w:pPr>
        <w:ind w:left="360"/>
        <w:jc w:val="both"/>
        <w:rPr>
          <w:rFonts w:ascii="Times New Roman" w:hAnsi="Times New Roman"/>
          <w:b/>
          <w:sz w:val="32"/>
          <w:szCs w:val="32"/>
        </w:rPr>
      </w:pPr>
      <w:r>
        <w:rPr>
          <w:rFonts w:ascii="Times New Roman" w:hAnsi="Times New Roman"/>
          <w:b/>
          <w:sz w:val="32"/>
          <w:szCs w:val="32"/>
        </w:rPr>
        <w:br w:type="page"/>
      </w:r>
      <w:r w:rsidRPr="0063429E">
        <w:rPr>
          <w:rFonts w:ascii="Times New Roman" w:hAnsi="Times New Roman"/>
          <w:b/>
          <w:sz w:val="32"/>
          <w:szCs w:val="32"/>
        </w:rPr>
        <w:t>GERMANY</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Abbreviations: </w:t>
      </w:r>
    </w:p>
    <w:p w:rsidR="000B78F3" w:rsidRPr="0063429E" w:rsidRDefault="000B78F3" w:rsidP="0063429E">
      <w:pPr>
        <w:ind w:left="360"/>
        <w:jc w:val="both"/>
        <w:rPr>
          <w:rFonts w:ascii="Times New Roman" w:hAnsi="Times New Roman"/>
        </w:rPr>
      </w:pPr>
      <w:r>
        <w:rPr>
          <w:rFonts w:ascii="Times New Roman" w:hAnsi="Times New Roman"/>
        </w:rPr>
        <w:t>AMG:</w:t>
      </w:r>
      <w:r>
        <w:rPr>
          <w:rFonts w:ascii="Times New Roman" w:hAnsi="Times New Roman"/>
        </w:rPr>
        <w:tab/>
      </w:r>
      <w:r w:rsidRPr="0063429E">
        <w:rPr>
          <w:rFonts w:ascii="Times New Roman" w:hAnsi="Times New Roman"/>
        </w:rPr>
        <w:t>German medicinal products act</w:t>
      </w:r>
    </w:p>
    <w:p w:rsidR="000B78F3" w:rsidRPr="0063429E" w:rsidRDefault="000B78F3" w:rsidP="005E4D6A">
      <w:pPr>
        <w:ind w:left="360"/>
        <w:jc w:val="both"/>
        <w:rPr>
          <w:rFonts w:ascii="Times New Roman" w:hAnsi="Times New Roman"/>
        </w:rPr>
      </w:pPr>
      <w:r>
        <w:rPr>
          <w:rFonts w:ascii="Times New Roman" w:hAnsi="Times New Roman"/>
        </w:rPr>
        <w:t>PEI:</w:t>
      </w:r>
      <w:r>
        <w:rPr>
          <w:rFonts w:ascii="Times New Roman" w:hAnsi="Times New Roman"/>
        </w:rPr>
        <w:tab/>
      </w:r>
      <w:r w:rsidRPr="0063429E">
        <w:rPr>
          <w:rFonts w:ascii="Times New Roman" w:hAnsi="Times New Roman"/>
        </w:rPr>
        <w:t>Paul-Ehrlich-Institut</w:t>
      </w:r>
    </w:p>
    <w:p w:rsidR="000B78F3" w:rsidRPr="0063429E" w:rsidRDefault="000B78F3" w:rsidP="0063429E">
      <w:pPr>
        <w:ind w:left="360"/>
        <w:jc w:val="both"/>
        <w:rPr>
          <w:rFonts w:ascii="Times New Roman" w:hAnsi="Times New Roman"/>
        </w:rPr>
      </w:pPr>
      <w:r w:rsidRPr="0063429E">
        <w:rPr>
          <w:rFonts w:ascii="Times New Roman" w:hAnsi="Times New Roman"/>
        </w:rPr>
        <w:t>GMP:</w:t>
      </w:r>
      <w:r>
        <w:rPr>
          <w:rFonts w:ascii="Times New Roman" w:hAnsi="Times New Roman"/>
        </w:rPr>
        <w:tab/>
      </w:r>
      <w:r w:rsidRPr="0063429E">
        <w:rPr>
          <w:rFonts w:ascii="Times New Roman" w:hAnsi="Times New Roman"/>
        </w:rPr>
        <w:t>Good manufacturing practices</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SAE:  </w:t>
      </w:r>
      <w:r>
        <w:rPr>
          <w:rFonts w:ascii="Times New Roman" w:hAnsi="Times New Roman"/>
        </w:rPr>
        <w:tab/>
      </w:r>
      <w:r w:rsidRPr="0063429E">
        <w:rPr>
          <w:rFonts w:ascii="Times New Roman" w:hAnsi="Times New Roman"/>
        </w:rPr>
        <w:t>Serious Adverse Event</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SAR: </w:t>
      </w:r>
      <w:r>
        <w:rPr>
          <w:rFonts w:ascii="Times New Roman" w:hAnsi="Times New Roman"/>
        </w:rPr>
        <w:tab/>
      </w:r>
      <w:r w:rsidRPr="0063429E">
        <w:rPr>
          <w:rFonts w:ascii="Times New Roman" w:hAnsi="Times New Roman"/>
        </w:rPr>
        <w:t>Serious Adverse Reaction</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RAR: </w:t>
      </w:r>
      <w:r>
        <w:rPr>
          <w:rFonts w:ascii="Times New Roman" w:hAnsi="Times New Roman"/>
        </w:rPr>
        <w:tab/>
      </w:r>
      <w:r w:rsidRPr="0063429E">
        <w:rPr>
          <w:rFonts w:ascii="Times New Roman" w:hAnsi="Times New Roman"/>
        </w:rPr>
        <w:t>Recipient Adverse Reaction</w:t>
      </w:r>
    </w:p>
    <w:p w:rsidR="000B78F3" w:rsidRPr="0063429E" w:rsidRDefault="000B78F3" w:rsidP="0063429E">
      <w:pPr>
        <w:ind w:left="360"/>
        <w:jc w:val="both"/>
        <w:rPr>
          <w:rFonts w:ascii="Times New Roman" w:hAnsi="Times New Roman"/>
        </w:rPr>
      </w:pPr>
    </w:p>
    <w:p w:rsidR="000B78F3" w:rsidRPr="0063429E" w:rsidRDefault="000B78F3" w:rsidP="0063429E">
      <w:pPr>
        <w:ind w:left="360"/>
        <w:jc w:val="both"/>
        <w:rPr>
          <w:rFonts w:ascii="Times New Roman" w:hAnsi="Times New Roman"/>
          <w:b/>
          <w:sz w:val="28"/>
          <w:szCs w:val="28"/>
        </w:rPr>
      </w:pPr>
      <w:r>
        <w:rPr>
          <w:rFonts w:ascii="Times New Roman" w:hAnsi="Times New Roman"/>
          <w:b/>
          <w:sz w:val="28"/>
          <w:szCs w:val="28"/>
        </w:rPr>
        <w:t>S</w:t>
      </w:r>
      <w:r w:rsidRPr="0063429E">
        <w:rPr>
          <w:rFonts w:ascii="Times New Roman" w:hAnsi="Times New Roman"/>
          <w:b/>
          <w:sz w:val="28"/>
          <w:szCs w:val="28"/>
        </w:rPr>
        <w:t xml:space="preserve">ummary information </w:t>
      </w:r>
    </w:p>
    <w:p w:rsidR="000B78F3" w:rsidRPr="005E4D6A" w:rsidRDefault="000B78F3" w:rsidP="0063429E">
      <w:pPr>
        <w:pStyle w:val="ListParagraph"/>
        <w:numPr>
          <w:ilvl w:val="0"/>
          <w:numId w:val="12"/>
        </w:numPr>
        <w:contextualSpacing/>
        <w:jc w:val="both"/>
        <w:rPr>
          <w:rFonts w:ascii="Times New Roman" w:hAnsi="Times New Roman"/>
          <w:b/>
          <w:bCs/>
        </w:rPr>
      </w:pPr>
      <w:r w:rsidRPr="005E4D6A">
        <w:rPr>
          <w:rFonts w:ascii="Times New Roman" w:hAnsi="Times New Roman"/>
          <w:b/>
          <w:bCs/>
        </w:rPr>
        <w:t>Legal framework</w:t>
      </w:r>
    </w:p>
    <w:p w:rsidR="000B78F3" w:rsidRPr="0063429E" w:rsidRDefault="000B78F3" w:rsidP="0063429E">
      <w:pPr>
        <w:pStyle w:val="ListParagraph"/>
        <w:jc w:val="both"/>
        <w:rPr>
          <w:rFonts w:ascii="Times New Roman" w:hAnsi="Times New Roman"/>
          <w:bCs/>
        </w:rPr>
      </w:pPr>
      <w:r w:rsidRPr="0063429E">
        <w:rPr>
          <w:rFonts w:ascii="Times New Roman" w:hAnsi="Times New Roman"/>
        </w:rPr>
        <w:t>The legal framework is composed of the EU directives (</w:t>
      </w:r>
      <w:r w:rsidRPr="0063429E">
        <w:rPr>
          <w:rFonts w:ascii="Times New Roman" w:hAnsi="Times New Roman"/>
          <w:bCs/>
        </w:rPr>
        <w:t>Di</w:t>
      </w:r>
      <w:r>
        <w:rPr>
          <w:rFonts w:ascii="Times New Roman" w:hAnsi="Times New Roman"/>
          <w:bCs/>
        </w:rPr>
        <w:t xml:space="preserve">rective 2002/98/EC 2004/33/EC </w:t>
      </w:r>
      <w:r w:rsidRPr="0063429E">
        <w:rPr>
          <w:rFonts w:ascii="Times New Roman" w:hAnsi="Times New Roman"/>
          <w:bCs/>
        </w:rPr>
        <w:t xml:space="preserve">2005/61/EC 2005/62/EC) and have been transposed into the </w:t>
      </w:r>
      <w:r>
        <w:rPr>
          <w:rFonts w:ascii="Times New Roman" w:hAnsi="Times New Roman"/>
          <w:bCs/>
        </w:rPr>
        <w:t xml:space="preserve"> </w:t>
      </w:r>
      <w:r w:rsidRPr="0063429E">
        <w:rPr>
          <w:rFonts w:ascii="Times New Roman" w:hAnsi="Times New Roman"/>
          <w:bCs/>
        </w:rPr>
        <w:t>national law.</w:t>
      </w:r>
    </w:p>
    <w:p w:rsidR="000B78F3" w:rsidRPr="0063429E" w:rsidRDefault="000B78F3" w:rsidP="0063429E">
      <w:pPr>
        <w:ind w:left="708"/>
        <w:jc w:val="both"/>
        <w:rPr>
          <w:rFonts w:ascii="Times New Roman" w:hAnsi="Times New Roman"/>
        </w:rPr>
      </w:pPr>
      <w:r w:rsidRPr="0063429E">
        <w:rPr>
          <w:rFonts w:ascii="Times New Roman" w:hAnsi="Times New Roman"/>
        </w:rPr>
        <w:t>In the German law blood components have been defined as medicinal products and therefore require a marketing authorization pursuant to the German medicinal products act (AMG)</w:t>
      </w:r>
    </w:p>
    <w:p w:rsidR="000B78F3" w:rsidRPr="005E4D6A" w:rsidRDefault="000B78F3" w:rsidP="0063429E">
      <w:pPr>
        <w:pStyle w:val="ListParagraph"/>
        <w:numPr>
          <w:ilvl w:val="0"/>
          <w:numId w:val="12"/>
        </w:numPr>
        <w:contextualSpacing/>
        <w:jc w:val="both"/>
        <w:rPr>
          <w:rFonts w:ascii="Times New Roman" w:hAnsi="Times New Roman"/>
          <w:b/>
          <w:bCs/>
        </w:rPr>
      </w:pPr>
      <w:r w:rsidRPr="005E4D6A">
        <w:rPr>
          <w:rFonts w:ascii="Times New Roman" w:hAnsi="Times New Roman"/>
          <w:b/>
          <w:bCs/>
        </w:rPr>
        <w:t>Control and implementation institutional framework</w:t>
      </w:r>
    </w:p>
    <w:p w:rsidR="000B78F3" w:rsidRPr="0063429E" w:rsidRDefault="000B78F3" w:rsidP="0063429E">
      <w:pPr>
        <w:pStyle w:val="ListParagraph"/>
        <w:numPr>
          <w:ilvl w:val="0"/>
          <w:numId w:val="13"/>
        </w:numPr>
        <w:autoSpaceDE w:val="0"/>
        <w:autoSpaceDN w:val="0"/>
        <w:adjustRightInd w:val="0"/>
        <w:spacing w:after="0" w:line="240" w:lineRule="auto"/>
        <w:contextualSpacing/>
        <w:jc w:val="both"/>
        <w:rPr>
          <w:rFonts w:ascii="Times New Roman" w:hAnsi="Times New Roman"/>
        </w:rPr>
      </w:pPr>
      <w:r w:rsidRPr="0063429E">
        <w:rPr>
          <w:rFonts w:ascii="Times New Roman" w:hAnsi="Times New Roman"/>
        </w:rPr>
        <w:t>Paul-Ehrlich-Institut (PEI)</w:t>
      </w:r>
    </w:p>
    <w:p w:rsidR="000B78F3" w:rsidRPr="0063429E" w:rsidRDefault="000B78F3" w:rsidP="0063429E">
      <w:pPr>
        <w:pStyle w:val="ListParagraph"/>
        <w:numPr>
          <w:ilvl w:val="0"/>
          <w:numId w:val="13"/>
        </w:numPr>
        <w:autoSpaceDE w:val="0"/>
        <w:autoSpaceDN w:val="0"/>
        <w:adjustRightInd w:val="0"/>
        <w:spacing w:after="0" w:line="240" w:lineRule="auto"/>
        <w:contextualSpacing/>
        <w:jc w:val="both"/>
        <w:rPr>
          <w:rFonts w:ascii="Times New Roman" w:hAnsi="Times New Roman"/>
        </w:rPr>
      </w:pPr>
      <w:r w:rsidRPr="0063429E">
        <w:rPr>
          <w:rFonts w:ascii="Times New Roman" w:hAnsi="Times New Roman"/>
        </w:rPr>
        <w:t xml:space="preserve"> 32 regional GMP( Good manufacturing practices) inspection services of the “Laender”</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 xml:space="preserve">PEI is an independent highest federal authority within the framework of the German Federal Ministry of Health. </w:t>
      </w:r>
    </w:p>
    <w:p w:rsidR="000B78F3" w:rsidRPr="0063429E" w:rsidRDefault="000B78F3" w:rsidP="0063429E">
      <w:pPr>
        <w:autoSpaceDE w:val="0"/>
        <w:autoSpaceDN w:val="0"/>
        <w:adjustRightInd w:val="0"/>
        <w:spacing w:after="0" w:line="240" w:lineRule="auto"/>
        <w:ind w:left="708"/>
        <w:jc w:val="both"/>
        <w:rPr>
          <w:rFonts w:ascii="Times New Roman" w:hAnsi="Times New Roman"/>
        </w:rPr>
      </w:pPr>
      <w:r w:rsidRPr="0063429E">
        <w:rPr>
          <w:rFonts w:ascii="Times New Roman" w:hAnsi="Times New Roman"/>
        </w:rPr>
        <w:t>Regional GMP inspection services are competent authorities of the federal states (“Laender”). Blood establishments/facilities obtain GMP license from the regional GMP inspection services. Marketing authorization for blood products is given by the PEI.</w:t>
      </w:r>
    </w:p>
    <w:p w:rsidR="000B78F3" w:rsidRDefault="000B78F3" w:rsidP="0063429E">
      <w:pPr>
        <w:autoSpaceDE w:val="0"/>
        <w:autoSpaceDN w:val="0"/>
        <w:adjustRightInd w:val="0"/>
        <w:spacing w:after="0" w:line="240" w:lineRule="auto"/>
        <w:ind w:left="708"/>
        <w:jc w:val="both"/>
        <w:rPr>
          <w:rFonts w:ascii="Times New Roman" w:hAnsi="Times New Roman"/>
        </w:rPr>
      </w:pPr>
    </w:p>
    <w:p w:rsidR="000B78F3" w:rsidRPr="0063429E" w:rsidRDefault="000B78F3" w:rsidP="0063429E">
      <w:pPr>
        <w:autoSpaceDE w:val="0"/>
        <w:autoSpaceDN w:val="0"/>
        <w:adjustRightInd w:val="0"/>
        <w:spacing w:after="0" w:line="240" w:lineRule="auto"/>
        <w:ind w:left="708"/>
        <w:jc w:val="both"/>
        <w:rPr>
          <w:rFonts w:ascii="Times New Roman" w:hAnsi="Times New Roman"/>
        </w:rPr>
      </w:pPr>
      <w:r w:rsidRPr="0063429E">
        <w:rPr>
          <w:rFonts w:ascii="Times New Roman" w:hAnsi="Times New Roman"/>
        </w:rPr>
        <w:t>PEI and GMP have linked responsibilities and are working closely together. Inspections of blood establishments are in the responsibility of the regional GMP inspection services, according to the German Medicinal Products Act (Art. 64), and are in general performed together with authorized experts from PEI.</w:t>
      </w:r>
    </w:p>
    <w:p w:rsidR="000B78F3" w:rsidRPr="0063429E" w:rsidRDefault="000B78F3" w:rsidP="0063429E">
      <w:pPr>
        <w:autoSpaceDE w:val="0"/>
        <w:autoSpaceDN w:val="0"/>
        <w:adjustRightInd w:val="0"/>
        <w:spacing w:after="0" w:line="240" w:lineRule="auto"/>
        <w:ind w:left="708"/>
        <w:jc w:val="both"/>
        <w:rPr>
          <w:rFonts w:ascii="Times New Roman" w:hAnsi="Times New Roman"/>
        </w:rPr>
      </w:pPr>
      <w:r w:rsidRPr="0063429E">
        <w:rPr>
          <w:rFonts w:ascii="Times New Roman" w:hAnsi="Times New Roman"/>
        </w:rPr>
        <w:t>Vigilance inspections (Medicinal Products Act Art. 63b para. 5a and Art. 63c para. 5) and inspections prior to marketing authorization (Medicinal Products Act Art. 25 para. 5, and 8) have to be organized by authorized experts from PEI and are performed in consultations with inspectors of the regional GMP inspection services.</w:t>
      </w:r>
    </w:p>
    <w:p w:rsidR="000B78F3" w:rsidRPr="0063429E" w:rsidRDefault="000B78F3" w:rsidP="0063429E">
      <w:pPr>
        <w:pStyle w:val="ListParagraph"/>
        <w:jc w:val="both"/>
        <w:rPr>
          <w:rFonts w:ascii="Times New Roman" w:hAnsi="Times New Roman"/>
        </w:rPr>
      </w:pPr>
      <w:r>
        <w:rPr>
          <w:rFonts w:ascii="Times New Roman" w:hAnsi="Times New Roman"/>
        </w:rPr>
        <w:br w:type="page"/>
      </w:r>
    </w:p>
    <w:p w:rsidR="000B78F3" w:rsidRPr="005E4D6A" w:rsidRDefault="000B78F3" w:rsidP="0063429E">
      <w:pPr>
        <w:pStyle w:val="ListParagraph"/>
        <w:numPr>
          <w:ilvl w:val="0"/>
          <w:numId w:val="12"/>
        </w:numPr>
        <w:contextualSpacing/>
        <w:jc w:val="both"/>
        <w:rPr>
          <w:rFonts w:ascii="Times New Roman" w:hAnsi="Times New Roman"/>
          <w:b/>
          <w:bCs/>
        </w:rPr>
      </w:pPr>
      <w:r w:rsidRPr="005E4D6A">
        <w:rPr>
          <w:rFonts w:ascii="Times New Roman" w:hAnsi="Times New Roman"/>
          <w:b/>
          <w:bCs/>
        </w:rPr>
        <w:t>Haemovigilance system</w:t>
      </w:r>
    </w:p>
    <w:p w:rsidR="000B78F3" w:rsidRPr="0063429E" w:rsidRDefault="000B78F3" w:rsidP="0063429E">
      <w:pPr>
        <w:pStyle w:val="ListParagraph"/>
        <w:autoSpaceDE w:val="0"/>
        <w:autoSpaceDN w:val="0"/>
        <w:adjustRightInd w:val="0"/>
        <w:spacing w:after="0" w:line="240" w:lineRule="auto"/>
        <w:jc w:val="both"/>
        <w:rPr>
          <w:rFonts w:ascii="Times New Roman" w:hAnsi="Times New Roman"/>
        </w:rPr>
      </w:pPr>
    </w:p>
    <w:p w:rsidR="000B78F3" w:rsidRPr="0063429E" w:rsidRDefault="000B78F3" w:rsidP="0063429E">
      <w:pPr>
        <w:ind w:left="360"/>
        <w:jc w:val="both"/>
        <w:rPr>
          <w:rFonts w:ascii="Times New Roman" w:hAnsi="Times New Roman"/>
        </w:rPr>
      </w:pPr>
      <w:r w:rsidRPr="0063429E">
        <w:rPr>
          <w:rFonts w:ascii="Times New Roman" w:hAnsi="Times New Roman"/>
        </w:rPr>
        <w:tab/>
        <w:t xml:space="preserve">Blood establishments as marketing authorization holders of blood components are legally </w:t>
      </w:r>
      <w:r w:rsidRPr="0063429E">
        <w:rPr>
          <w:rFonts w:ascii="Times New Roman" w:hAnsi="Times New Roman"/>
        </w:rPr>
        <w:tab/>
        <w:t xml:space="preserve">obligated to notify any suspicion of SAE ("Serious Adverse Event") or SAR ("Serious </w:t>
      </w:r>
      <w:r w:rsidRPr="0063429E">
        <w:rPr>
          <w:rFonts w:ascii="Times New Roman" w:hAnsi="Times New Roman"/>
        </w:rPr>
        <w:tab/>
        <w:t xml:space="preserve">Adverse Reaction") with a possible impact on quality and safety of the blood component to the </w:t>
      </w:r>
      <w:r w:rsidRPr="0063429E">
        <w:rPr>
          <w:rFonts w:ascii="Times New Roman" w:hAnsi="Times New Roman"/>
        </w:rPr>
        <w:tab/>
        <w:t xml:space="preserve">PEI within 15 days. In case of blood components without marketing authorization like </w:t>
      </w:r>
      <w:r w:rsidRPr="0063429E">
        <w:rPr>
          <w:rFonts w:ascii="Times New Roman" w:hAnsi="Times New Roman"/>
        </w:rPr>
        <w:tab/>
        <w:t xml:space="preserve">autologous blood establishments, they have to notify to the regional GMP inspection services </w:t>
      </w:r>
      <w:r w:rsidRPr="0063429E">
        <w:rPr>
          <w:rFonts w:ascii="Times New Roman" w:hAnsi="Times New Roman"/>
        </w:rPr>
        <w:tab/>
        <w:t xml:space="preserve">(Medicinal Products Act Art. 63c). Physicians are legally obligated to notify without delay any </w:t>
      </w:r>
      <w:r w:rsidRPr="0063429E">
        <w:rPr>
          <w:rFonts w:ascii="Times New Roman" w:hAnsi="Times New Roman"/>
        </w:rPr>
        <w:tab/>
        <w:t xml:space="preserve">suspicion of a transfusion transmitted SAR to the PEI and to the blood establishment (German </w:t>
      </w:r>
      <w:r w:rsidRPr="0063429E">
        <w:rPr>
          <w:rFonts w:ascii="Times New Roman" w:hAnsi="Times New Roman"/>
        </w:rPr>
        <w:tab/>
        <w:t>Transfusion Act Art. 16 para. 2).</w:t>
      </w:r>
    </w:p>
    <w:p w:rsidR="000B78F3" w:rsidRPr="0063429E" w:rsidRDefault="000B78F3" w:rsidP="0063429E">
      <w:pPr>
        <w:pStyle w:val="ListParagraph"/>
        <w:autoSpaceDE w:val="0"/>
        <w:autoSpaceDN w:val="0"/>
        <w:adjustRightInd w:val="0"/>
        <w:spacing w:after="0" w:line="240" w:lineRule="auto"/>
        <w:jc w:val="both"/>
        <w:rPr>
          <w:rFonts w:ascii="Times New Roman" w:hAnsi="Times New Roman"/>
        </w:rPr>
      </w:pPr>
    </w:p>
    <w:p w:rsidR="000B78F3" w:rsidRPr="0063429E" w:rsidRDefault="000B78F3" w:rsidP="0063429E">
      <w:pPr>
        <w:ind w:left="708"/>
        <w:jc w:val="both"/>
        <w:rPr>
          <w:rFonts w:ascii="Times New Roman" w:hAnsi="Times New Roman"/>
        </w:rPr>
      </w:pPr>
      <w:r w:rsidRPr="0063429E">
        <w:rPr>
          <w:rFonts w:ascii="Times New Roman" w:hAnsi="Times New Roman"/>
        </w:rPr>
        <w:t>Requirements for an efficient haemovgilance system are based on precise documentation of the adverse events and reactions of the reporting physician and the blood establishment which is evaluated and standardized by the PEI.</w:t>
      </w:r>
    </w:p>
    <w:p w:rsidR="000B78F3" w:rsidRPr="0063429E" w:rsidRDefault="000B78F3" w:rsidP="0063429E">
      <w:pPr>
        <w:ind w:left="708"/>
        <w:jc w:val="both"/>
        <w:rPr>
          <w:rFonts w:ascii="Times New Roman" w:hAnsi="Times New Roman"/>
        </w:rPr>
      </w:pPr>
      <w:r w:rsidRPr="0063429E">
        <w:rPr>
          <w:rFonts w:ascii="Times New Roman" w:hAnsi="Times New Roman"/>
        </w:rPr>
        <w:t>The management of medication errors is managed at the local level whereas product errors are managed at the state or national level.</w:t>
      </w:r>
    </w:p>
    <w:p w:rsidR="000B78F3" w:rsidRPr="005E4D6A" w:rsidRDefault="000B78F3" w:rsidP="0063429E">
      <w:pPr>
        <w:pStyle w:val="ListParagraph"/>
        <w:numPr>
          <w:ilvl w:val="0"/>
          <w:numId w:val="12"/>
        </w:numPr>
        <w:contextualSpacing/>
        <w:jc w:val="both"/>
        <w:rPr>
          <w:rFonts w:ascii="Times New Roman" w:hAnsi="Times New Roman"/>
          <w:b/>
          <w:bCs/>
        </w:rPr>
      </w:pPr>
      <w:r w:rsidRPr="005E4D6A">
        <w:rPr>
          <w:rFonts w:ascii="Times New Roman" w:hAnsi="Times New Roman"/>
          <w:b/>
          <w:bCs/>
        </w:rPr>
        <w:t xml:space="preserve">Summary of key statistics on blood transfusion facilities </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There are around 120 registered facilities in the country</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 xml:space="preserve">84 blood establishments with 140 production sites </w:t>
      </w:r>
    </w:p>
    <w:p w:rsidR="000B78F3" w:rsidRDefault="000B78F3" w:rsidP="00F43C48">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5 private organisations which exclusively collect plasma for fractionation with several collection centers each</w:t>
      </w:r>
      <w:r>
        <w:rPr>
          <w:rFonts w:ascii="Times New Roman" w:hAnsi="Times New Roman"/>
        </w:rPr>
        <w:t xml:space="preserve"> </w:t>
      </w:r>
      <w:r w:rsidRPr="0063429E">
        <w:rPr>
          <w:rFonts w:ascii="Times New Roman" w:hAnsi="Times New Roman"/>
        </w:rPr>
        <w:t>22 hospital blood banks are in activity</w:t>
      </w:r>
    </w:p>
    <w:p w:rsidR="000B78F3" w:rsidRPr="0063429E" w:rsidRDefault="000B78F3" w:rsidP="00F43C48">
      <w:pPr>
        <w:autoSpaceDE w:val="0"/>
        <w:autoSpaceDN w:val="0"/>
        <w:adjustRightInd w:val="0"/>
        <w:spacing w:after="0" w:line="240" w:lineRule="auto"/>
        <w:ind w:left="720"/>
        <w:jc w:val="both"/>
        <w:rPr>
          <w:rFonts w:ascii="Times New Roman" w:hAnsi="Times New Roman"/>
        </w:rPr>
      </w:pPr>
    </w:p>
    <w:p w:rsidR="000B78F3" w:rsidRPr="005E4D6A" w:rsidRDefault="000B78F3" w:rsidP="0063429E">
      <w:pPr>
        <w:pStyle w:val="ListParagraph"/>
        <w:numPr>
          <w:ilvl w:val="0"/>
          <w:numId w:val="12"/>
        </w:numPr>
        <w:contextualSpacing/>
        <w:jc w:val="both"/>
        <w:rPr>
          <w:rFonts w:ascii="Times New Roman" w:hAnsi="Times New Roman"/>
          <w:b/>
          <w:bCs/>
        </w:rPr>
      </w:pPr>
      <w:r w:rsidRPr="005E4D6A">
        <w:rPr>
          <w:rFonts w:ascii="Times New Roman" w:hAnsi="Times New Roman"/>
          <w:b/>
          <w:bCs/>
        </w:rPr>
        <w:t xml:space="preserve">Reporting of blood transfusion related “adverse events” </w:t>
      </w:r>
    </w:p>
    <w:p w:rsidR="000B78F3" w:rsidRPr="0063429E" w:rsidRDefault="000B78F3" w:rsidP="0063429E">
      <w:pPr>
        <w:pStyle w:val="ListParagraph"/>
        <w:ind w:left="360"/>
        <w:jc w:val="both"/>
        <w:rPr>
          <w:rFonts w:ascii="Times New Roman" w:hAnsi="Times New Roman"/>
        </w:rPr>
      </w:pPr>
      <w:r>
        <w:rPr>
          <w:rFonts w:ascii="Times New Roman" w:hAnsi="Times New Roman"/>
        </w:rPr>
        <w:tab/>
      </w:r>
      <w:r w:rsidRPr="0063429E">
        <w:rPr>
          <w:rFonts w:ascii="Times New Roman" w:hAnsi="Times New Roman"/>
        </w:rPr>
        <w:t xml:space="preserve">Germany gives a rather detailed information on the transfusion reactions, but it is not always </w:t>
      </w:r>
      <w:r>
        <w:rPr>
          <w:rFonts w:ascii="Times New Roman" w:hAnsi="Times New Roman"/>
        </w:rPr>
        <w:tab/>
      </w:r>
      <w:r w:rsidRPr="0063429E">
        <w:rPr>
          <w:rFonts w:ascii="Times New Roman" w:hAnsi="Times New Roman"/>
        </w:rPr>
        <w:t xml:space="preserve">comparable with other countries which do not use the same classification. Overall in 2009 there </w:t>
      </w:r>
      <w:r>
        <w:rPr>
          <w:rFonts w:ascii="Times New Roman" w:hAnsi="Times New Roman"/>
        </w:rPr>
        <w:tab/>
      </w:r>
      <w:r w:rsidRPr="0063429E">
        <w:rPr>
          <w:rFonts w:ascii="Times New Roman" w:hAnsi="Times New Roman"/>
        </w:rPr>
        <w:t xml:space="preserve">were 498 “suspected cases” reported which are considered as </w:t>
      </w:r>
      <w:r>
        <w:rPr>
          <w:rFonts w:ascii="Times New Roman" w:hAnsi="Times New Roman"/>
        </w:rPr>
        <w:t xml:space="preserve">serious transfusion reactions </w:t>
      </w:r>
      <w:r>
        <w:rPr>
          <w:rFonts w:ascii="Times New Roman" w:hAnsi="Times New Roman"/>
        </w:rPr>
        <w:br/>
        <w:t>(</w:t>
      </w:r>
      <w:r>
        <w:rPr>
          <w:rFonts w:ascii="Times New Roman" w:hAnsi="Times New Roman"/>
        </w:rPr>
        <w:tab/>
      </w:r>
      <w:r w:rsidRPr="0063429E">
        <w:rPr>
          <w:rFonts w:ascii="Times New Roman" w:hAnsi="Times New Roman"/>
        </w:rPr>
        <w:t xml:space="preserve">varying from incorrect blood transfused, to bacteria, and incompatibility  and 66 mortal cases for </w:t>
      </w:r>
      <w:r>
        <w:rPr>
          <w:rFonts w:ascii="Times New Roman" w:hAnsi="Times New Roman"/>
        </w:rPr>
        <w:tab/>
      </w:r>
      <w:r w:rsidRPr="0063429E">
        <w:rPr>
          <w:rFonts w:ascii="Times New Roman" w:hAnsi="Times New Roman"/>
        </w:rPr>
        <w:t>the period 1997-2009)</w:t>
      </w:r>
    </w:p>
    <w:p w:rsidR="000B78F3" w:rsidRPr="005E4D6A" w:rsidRDefault="000B78F3" w:rsidP="0063429E">
      <w:pPr>
        <w:pStyle w:val="ListParagraph"/>
        <w:numPr>
          <w:ilvl w:val="0"/>
          <w:numId w:val="12"/>
        </w:numPr>
        <w:contextualSpacing/>
        <w:jc w:val="both"/>
        <w:rPr>
          <w:rFonts w:ascii="Times New Roman" w:hAnsi="Times New Roman"/>
          <w:b/>
          <w:bCs/>
        </w:rPr>
      </w:pPr>
      <w:r w:rsidRPr="005E4D6A">
        <w:rPr>
          <w:rFonts w:ascii="Times New Roman" w:hAnsi="Times New Roman"/>
          <w:b/>
          <w:bCs/>
        </w:rPr>
        <w:t xml:space="preserve">Standards used </w:t>
      </w:r>
    </w:p>
    <w:p w:rsidR="000B78F3" w:rsidRPr="0063429E" w:rsidRDefault="000B78F3" w:rsidP="0063429E">
      <w:pPr>
        <w:pStyle w:val="ListParagraph"/>
        <w:jc w:val="both"/>
        <w:rPr>
          <w:rFonts w:ascii="Times New Roman" w:hAnsi="Times New Roman"/>
        </w:rPr>
      </w:pPr>
      <w:r w:rsidRPr="0063429E">
        <w:rPr>
          <w:rFonts w:ascii="Times New Roman" w:hAnsi="Times New Roman"/>
        </w:rPr>
        <w:t>ISBT 128 and EUROCODE for labeling, coding and identification of blood, blood components, tissues and cells</w:t>
      </w:r>
    </w:p>
    <w:p w:rsidR="000B78F3" w:rsidRPr="005E4D6A" w:rsidRDefault="000B78F3" w:rsidP="0063429E">
      <w:pPr>
        <w:pStyle w:val="ListParagraph"/>
        <w:numPr>
          <w:ilvl w:val="0"/>
          <w:numId w:val="12"/>
        </w:numPr>
        <w:contextualSpacing/>
        <w:jc w:val="both"/>
        <w:rPr>
          <w:rFonts w:ascii="Times New Roman" w:hAnsi="Times New Roman"/>
          <w:b/>
          <w:bCs/>
        </w:rPr>
      </w:pPr>
      <w:r w:rsidRPr="005E4D6A">
        <w:rPr>
          <w:rFonts w:ascii="Times New Roman" w:hAnsi="Times New Roman"/>
          <w:b/>
          <w:bCs/>
        </w:rPr>
        <w:t>Sources/references</w:t>
      </w:r>
    </w:p>
    <w:p w:rsidR="000B78F3" w:rsidRPr="0063429E" w:rsidRDefault="000B78F3" w:rsidP="0063429E">
      <w:pPr>
        <w:pStyle w:val="ListParagraph"/>
        <w:jc w:val="both"/>
        <w:rPr>
          <w:rFonts w:ascii="Times New Roman" w:hAnsi="Times New Roman"/>
        </w:rPr>
      </w:pPr>
      <w:r w:rsidRPr="0063429E">
        <w:rPr>
          <w:rFonts w:ascii="Times New Roman" w:hAnsi="Times New Roman"/>
        </w:rPr>
        <w:t>Documents used: European commission public health and risk assessment questionnaire 2008 and 2010, Paul –Ehrlich-Institute report 2008/2009</w:t>
      </w:r>
    </w:p>
    <w:p w:rsidR="000B78F3" w:rsidRPr="0063429E" w:rsidRDefault="000B78F3" w:rsidP="0063429E">
      <w:pPr>
        <w:jc w:val="both"/>
        <w:rPr>
          <w:rFonts w:ascii="Times New Roman" w:hAnsi="Times New Roman"/>
        </w:rPr>
      </w:pPr>
      <w:r w:rsidRPr="0063429E">
        <w:rPr>
          <w:rFonts w:ascii="Times New Roman" w:hAnsi="Times New Roman"/>
        </w:rPr>
        <w:t>______________________________________________________________</w:t>
      </w:r>
    </w:p>
    <w:p w:rsidR="000B78F3" w:rsidRPr="0063429E" w:rsidRDefault="000B78F3" w:rsidP="0063429E">
      <w:pPr>
        <w:jc w:val="both"/>
        <w:rPr>
          <w:rFonts w:ascii="Times New Roman" w:hAnsi="Times New Roman"/>
          <w:b/>
          <w:sz w:val="32"/>
          <w:szCs w:val="32"/>
        </w:rPr>
      </w:pPr>
      <w:r>
        <w:rPr>
          <w:rFonts w:ascii="Times New Roman" w:hAnsi="Times New Roman"/>
          <w:b/>
          <w:sz w:val="32"/>
          <w:szCs w:val="32"/>
        </w:rPr>
        <w:br w:type="page"/>
      </w:r>
      <w:r w:rsidRPr="0063429E">
        <w:rPr>
          <w:rFonts w:ascii="Times New Roman" w:hAnsi="Times New Roman"/>
          <w:b/>
          <w:sz w:val="32"/>
          <w:szCs w:val="32"/>
        </w:rPr>
        <w:t>ITALY</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Abbreviations: </w:t>
      </w:r>
    </w:p>
    <w:p w:rsidR="000B78F3" w:rsidRPr="0063429E" w:rsidRDefault="000B78F3" w:rsidP="0063429E">
      <w:pPr>
        <w:ind w:left="324"/>
        <w:jc w:val="both"/>
        <w:rPr>
          <w:rFonts w:ascii="Times New Roman" w:hAnsi="Times New Roman"/>
        </w:rPr>
      </w:pPr>
      <w:r>
        <w:rPr>
          <w:rFonts w:ascii="Times New Roman" w:hAnsi="Times New Roman"/>
        </w:rPr>
        <w:t>CRCC</w:t>
      </w:r>
      <w:r w:rsidRPr="0063429E">
        <w:rPr>
          <w:rFonts w:ascii="Times New Roman" w:hAnsi="Times New Roman"/>
        </w:rPr>
        <w:t>:</w:t>
      </w:r>
      <w:r>
        <w:rPr>
          <w:rFonts w:ascii="Times New Roman" w:hAnsi="Times New Roman"/>
        </w:rPr>
        <w:tab/>
      </w:r>
      <w:r w:rsidRPr="0063429E">
        <w:rPr>
          <w:rFonts w:ascii="Times New Roman" w:hAnsi="Times New Roman"/>
        </w:rPr>
        <w:t>Regional Centres of Coordination and Compensation [</w:t>
      </w:r>
      <w:r w:rsidRPr="0063429E">
        <w:rPr>
          <w:rFonts w:ascii="Times New Roman" w:hAnsi="Times New Roman"/>
          <w:iCs/>
        </w:rPr>
        <w:t xml:space="preserve">Centri Regionali di Coordinamento   </w:t>
      </w:r>
      <w:r>
        <w:rPr>
          <w:rFonts w:ascii="Times New Roman" w:hAnsi="Times New Roman"/>
          <w:iCs/>
        </w:rPr>
        <w:tab/>
      </w:r>
      <w:r>
        <w:rPr>
          <w:rFonts w:ascii="Times New Roman" w:hAnsi="Times New Roman"/>
          <w:iCs/>
        </w:rPr>
        <w:tab/>
      </w:r>
      <w:r w:rsidRPr="0063429E">
        <w:rPr>
          <w:rFonts w:ascii="Times New Roman" w:hAnsi="Times New Roman"/>
          <w:iCs/>
        </w:rPr>
        <w:t>and Compensazione</w:t>
      </w:r>
      <w:r w:rsidRPr="0063429E">
        <w:rPr>
          <w:rFonts w:ascii="Times New Roman" w:hAnsi="Times New Roman"/>
        </w:rPr>
        <w:t xml:space="preserve"> – CRCC].</w:t>
      </w:r>
    </w:p>
    <w:p w:rsidR="000B78F3" w:rsidRPr="0063429E" w:rsidRDefault="000B78F3" w:rsidP="0063429E">
      <w:pPr>
        <w:jc w:val="both"/>
        <w:rPr>
          <w:rFonts w:ascii="Times New Roman" w:hAnsi="Times New Roman"/>
        </w:rPr>
      </w:pPr>
      <w:r>
        <w:rPr>
          <w:rFonts w:ascii="Times New Roman" w:hAnsi="Times New Roman"/>
        </w:rPr>
        <w:t xml:space="preserve">      ISS:</w:t>
      </w:r>
      <w:r>
        <w:rPr>
          <w:rFonts w:ascii="Times New Roman" w:hAnsi="Times New Roman"/>
        </w:rPr>
        <w:tab/>
      </w:r>
      <w:r>
        <w:rPr>
          <w:rFonts w:ascii="Times New Roman" w:hAnsi="Times New Roman"/>
        </w:rPr>
        <w:tab/>
      </w:r>
      <w:r w:rsidRPr="0063429E">
        <w:rPr>
          <w:rFonts w:ascii="Times New Roman" w:hAnsi="Times New Roman"/>
        </w:rPr>
        <w:t>National Institute of Health [</w:t>
      </w:r>
      <w:r w:rsidRPr="0063429E">
        <w:rPr>
          <w:rFonts w:ascii="Times New Roman" w:hAnsi="Times New Roman"/>
          <w:iCs/>
        </w:rPr>
        <w:t>Istituto Superiore di Sanità</w:t>
      </w:r>
      <w:r w:rsidRPr="0063429E">
        <w:rPr>
          <w:rFonts w:ascii="Times New Roman" w:hAnsi="Times New Roman"/>
        </w:rPr>
        <w:t xml:space="preserve"> - ISS]</w:t>
      </w:r>
    </w:p>
    <w:p w:rsidR="000B78F3" w:rsidRPr="0063429E" w:rsidRDefault="000B78F3" w:rsidP="0063429E">
      <w:pPr>
        <w:jc w:val="both"/>
        <w:rPr>
          <w:rFonts w:ascii="Times New Roman" w:hAnsi="Times New Roman"/>
        </w:rPr>
      </w:pPr>
      <w:r w:rsidRPr="0063429E">
        <w:rPr>
          <w:rFonts w:ascii="Times New Roman" w:hAnsi="Times New Roman"/>
        </w:rPr>
        <w:t xml:space="preserve">      PETRA:</w:t>
      </w:r>
      <w:r>
        <w:rPr>
          <w:rFonts w:ascii="Times New Roman" w:hAnsi="Times New Roman"/>
        </w:rPr>
        <w:tab/>
        <w:t>N</w:t>
      </w:r>
      <w:r w:rsidRPr="0063429E">
        <w:rPr>
          <w:rFonts w:ascii="Times New Roman" w:hAnsi="Times New Roman"/>
        </w:rPr>
        <w:t>ational form proposed for notifying adverse reactions</w:t>
      </w:r>
    </w:p>
    <w:p w:rsidR="000B78F3" w:rsidRPr="0063429E" w:rsidRDefault="000B78F3" w:rsidP="0063429E">
      <w:pPr>
        <w:ind w:firstLine="360"/>
        <w:jc w:val="both"/>
        <w:rPr>
          <w:rFonts w:ascii="Times New Roman" w:hAnsi="Times New Roman"/>
        </w:rPr>
      </w:pPr>
      <w:r w:rsidRPr="0063429E">
        <w:rPr>
          <w:rFonts w:ascii="Times New Roman" w:hAnsi="Times New Roman"/>
        </w:rPr>
        <w:t xml:space="preserve">BTS: </w:t>
      </w:r>
      <w:r>
        <w:rPr>
          <w:rFonts w:ascii="Times New Roman" w:hAnsi="Times New Roman"/>
        </w:rPr>
        <w:tab/>
      </w:r>
      <w:r w:rsidRPr="0063429E">
        <w:rPr>
          <w:rFonts w:ascii="Times New Roman" w:hAnsi="Times New Roman"/>
        </w:rPr>
        <w:t>Blood Transfusion Services</w:t>
      </w:r>
    </w:p>
    <w:p w:rsidR="000B78F3" w:rsidRPr="0063429E" w:rsidRDefault="000B78F3" w:rsidP="0063429E">
      <w:pPr>
        <w:ind w:firstLine="360"/>
        <w:jc w:val="both"/>
        <w:rPr>
          <w:rFonts w:ascii="Times New Roman" w:hAnsi="Times New Roman"/>
        </w:rPr>
      </w:pPr>
      <w:r w:rsidRPr="0063429E">
        <w:rPr>
          <w:rFonts w:ascii="Times New Roman" w:hAnsi="Times New Roman"/>
        </w:rPr>
        <w:t xml:space="preserve">TS: </w:t>
      </w:r>
      <w:r>
        <w:rPr>
          <w:rFonts w:ascii="Times New Roman" w:hAnsi="Times New Roman"/>
        </w:rPr>
        <w:tab/>
      </w:r>
      <w:r w:rsidRPr="0063429E">
        <w:rPr>
          <w:rFonts w:ascii="Times New Roman" w:hAnsi="Times New Roman"/>
        </w:rPr>
        <w:t>Transfusion Structures</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SAE:  </w:t>
      </w:r>
      <w:r>
        <w:rPr>
          <w:rFonts w:ascii="Times New Roman" w:hAnsi="Times New Roman"/>
        </w:rPr>
        <w:tab/>
      </w:r>
      <w:r w:rsidRPr="0063429E">
        <w:rPr>
          <w:rFonts w:ascii="Times New Roman" w:hAnsi="Times New Roman"/>
        </w:rPr>
        <w:t>Serious Adverse Event</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SAR: </w:t>
      </w:r>
      <w:r>
        <w:rPr>
          <w:rFonts w:ascii="Times New Roman" w:hAnsi="Times New Roman"/>
        </w:rPr>
        <w:tab/>
      </w:r>
      <w:r w:rsidRPr="0063429E">
        <w:rPr>
          <w:rFonts w:ascii="Times New Roman" w:hAnsi="Times New Roman"/>
        </w:rPr>
        <w:t>Serious Adverse Reaction</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RAR: </w:t>
      </w:r>
      <w:r>
        <w:rPr>
          <w:rFonts w:ascii="Times New Roman" w:hAnsi="Times New Roman"/>
        </w:rPr>
        <w:tab/>
      </w:r>
      <w:r w:rsidRPr="0063429E">
        <w:rPr>
          <w:rFonts w:ascii="Times New Roman" w:hAnsi="Times New Roman"/>
        </w:rPr>
        <w:t>Recipient Adverse Reaction</w:t>
      </w:r>
    </w:p>
    <w:p w:rsidR="000B78F3" w:rsidRPr="0063429E" w:rsidRDefault="000B78F3" w:rsidP="0063429E">
      <w:pPr>
        <w:jc w:val="both"/>
        <w:rPr>
          <w:rFonts w:ascii="Times New Roman" w:hAnsi="Times New Roman"/>
        </w:rPr>
      </w:pPr>
    </w:p>
    <w:p w:rsidR="000B78F3" w:rsidRPr="0063429E" w:rsidRDefault="000B78F3" w:rsidP="0063429E">
      <w:pPr>
        <w:jc w:val="both"/>
        <w:rPr>
          <w:rFonts w:ascii="Times New Roman" w:hAnsi="Times New Roman"/>
          <w:b/>
          <w:bCs/>
          <w:sz w:val="28"/>
          <w:szCs w:val="28"/>
        </w:rPr>
      </w:pPr>
      <w:r>
        <w:rPr>
          <w:rFonts w:ascii="Times New Roman" w:hAnsi="Times New Roman"/>
          <w:b/>
          <w:bCs/>
          <w:sz w:val="28"/>
          <w:szCs w:val="28"/>
        </w:rPr>
        <w:t>S</w:t>
      </w:r>
      <w:r w:rsidRPr="0063429E">
        <w:rPr>
          <w:rFonts w:ascii="Times New Roman" w:hAnsi="Times New Roman"/>
          <w:b/>
          <w:bCs/>
          <w:sz w:val="28"/>
          <w:szCs w:val="28"/>
        </w:rPr>
        <w:t xml:space="preserve">ummary information </w:t>
      </w:r>
    </w:p>
    <w:p w:rsidR="000B78F3" w:rsidRPr="005E4D6A" w:rsidRDefault="000B78F3" w:rsidP="0063429E">
      <w:pPr>
        <w:jc w:val="both"/>
        <w:rPr>
          <w:rFonts w:ascii="Times New Roman" w:hAnsi="Times New Roman"/>
          <w:b/>
          <w:bCs/>
        </w:rPr>
      </w:pPr>
      <w:r w:rsidRPr="005E4D6A">
        <w:rPr>
          <w:rFonts w:ascii="Times New Roman" w:hAnsi="Times New Roman"/>
          <w:b/>
          <w:bCs/>
        </w:rPr>
        <w:t>1) Legal framework</w:t>
      </w:r>
    </w:p>
    <w:p w:rsidR="000B78F3" w:rsidRPr="0063429E" w:rsidRDefault="000B78F3" w:rsidP="0063429E">
      <w:pPr>
        <w:pStyle w:val="ListParagraph"/>
        <w:jc w:val="both"/>
        <w:rPr>
          <w:rFonts w:ascii="Times New Roman" w:hAnsi="Times New Roman"/>
          <w:bCs/>
        </w:rPr>
      </w:pPr>
      <w:r w:rsidRPr="0063429E">
        <w:rPr>
          <w:rFonts w:ascii="Times New Roman" w:hAnsi="Times New Roman"/>
        </w:rPr>
        <w:t>The legal framework is composed of the EU directives (</w:t>
      </w:r>
      <w:r w:rsidRPr="0063429E">
        <w:rPr>
          <w:rFonts w:ascii="Times New Roman" w:hAnsi="Times New Roman"/>
          <w:bCs/>
        </w:rPr>
        <w:t>Directives 2002/98/EC,  2004/33/EC  2005/61/EC  and 2005/62/EC) that have been transposed into the national law.</w:t>
      </w:r>
    </w:p>
    <w:p w:rsidR="000B78F3" w:rsidRPr="0063429E" w:rsidRDefault="000B78F3" w:rsidP="0063429E">
      <w:pPr>
        <w:pStyle w:val="ListParagraph"/>
        <w:jc w:val="both"/>
        <w:rPr>
          <w:rFonts w:ascii="Times New Roman" w:hAnsi="Times New Roman"/>
          <w:bCs/>
        </w:rPr>
      </w:pPr>
      <w:r w:rsidRPr="0063429E">
        <w:rPr>
          <w:rFonts w:ascii="Times New Roman" w:hAnsi="Times New Roman"/>
          <w:bCs/>
        </w:rPr>
        <w:t xml:space="preserve">The principal law is the law of </w:t>
      </w:r>
      <w:r>
        <w:rPr>
          <w:rFonts w:ascii="Times New Roman" w:hAnsi="Times New Roman"/>
          <w:bCs/>
        </w:rPr>
        <w:t>21</w:t>
      </w:r>
      <w:r w:rsidRPr="0063429E">
        <w:rPr>
          <w:rFonts w:ascii="Times New Roman" w:hAnsi="Times New Roman"/>
          <w:bCs/>
        </w:rPr>
        <w:t xml:space="preserve"> October 2005 (on new regulations for blood transfusion activities and national productions of blood derivatives).</w:t>
      </w:r>
    </w:p>
    <w:p w:rsidR="000B78F3" w:rsidRPr="0063429E" w:rsidRDefault="000B78F3" w:rsidP="0063429E">
      <w:pPr>
        <w:ind w:firstLine="708"/>
        <w:jc w:val="both"/>
        <w:rPr>
          <w:rFonts w:ascii="Times New Roman" w:hAnsi="Times New Roman"/>
          <w:u w:val="single"/>
        </w:rPr>
      </w:pPr>
      <w:r w:rsidRPr="0063429E">
        <w:rPr>
          <w:rFonts w:ascii="Times New Roman" w:hAnsi="Times New Roman"/>
          <w:u w:val="single"/>
        </w:rPr>
        <w:t>Legal challenges</w:t>
      </w:r>
    </w:p>
    <w:p w:rsidR="000B78F3" w:rsidRPr="0063429E" w:rsidRDefault="000B78F3" w:rsidP="0063429E">
      <w:pPr>
        <w:ind w:left="708"/>
        <w:jc w:val="both"/>
        <w:rPr>
          <w:rFonts w:ascii="Times New Roman" w:hAnsi="Times New Roman"/>
        </w:rPr>
      </w:pPr>
      <w:r w:rsidRPr="0063429E">
        <w:rPr>
          <w:rFonts w:ascii="Times New Roman" w:hAnsi="Times New Roman"/>
        </w:rPr>
        <w:t>Although the general framework was harmonized at EU, there are still some national provisions which are different from basic EU directives.</w:t>
      </w:r>
    </w:p>
    <w:p w:rsidR="000B78F3" w:rsidRPr="0063429E" w:rsidRDefault="000B78F3" w:rsidP="0063429E">
      <w:pPr>
        <w:ind w:left="708"/>
        <w:jc w:val="both"/>
        <w:rPr>
          <w:rFonts w:ascii="Times New Roman" w:hAnsi="Times New Roman"/>
        </w:rPr>
      </w:pPr>
      <w:r w:rsidRPr="0063429E">
        <w:rPr>
          <w:rFonts w:ascii="Times New Roman" w:hAnsi="Times New Roman"/>
        </w:rPr>
        <w:t xml:space="preserve">Among such challenges is harmonization of the transposition 2002/98/EC with the 21st Oct 2005 national blood law as, for example, national organizational model of BTSs (“blood transfusion services”; see below) do not correspond to the organizational models proposed by the Directive2002/98/EC. </w:t>
      </w:r>
    </w:p>
    <w:p w:rsidR="000B78F3" w:rsidRPr="0063429E" w:rsidRDefault="000B78F3" w:rsidP="0063429E">
      <w:pPr>
        <w:autoSpaceDE w:val="0"/>
        <w:autoSpaceDN w:val="0"/>
        <w:adjustRightInd w:val="0"/>
        <w:spacing w:after="0" w:line="240" w:lineRule="auto"/>
        <w:ind w:left="708"/>
        <w:jc w:val="both"/>
        <w:rPr>
          <w:rFonts w:ascii="Times New Roman" w:hAnsi="Times New Roman"/>
        </w:rPr>
      </w:pPr>
      <w:r w:rsidRPr="0063429E">
        <w:rPr>
          <w:rFonts w:ascii="Times New Roman" w:hAnsi="Times New Roman"/>
        </w:rPr>
        <w:t>Due to the essentiality of safety requirements for blood and blood components established by the Directive 2002/98/EC problems were encountered regarding revising national requirements of import plasma for fractionation and in harmonizing them with the provisions derived from the transposition of the Directive 2001/83/EC.</w:t>
      </w:r>
    </w:p>
    <w:p w:rsidR="000B78F3" w:rsidRPr="0063429E" w:rsidRDefault="000B78F3" w:rsidP="0063429E">
      <w:pPr>
        <w:pStyle w:val="ListParagraph"/>
        <w:jc w:val="both"/>
        <w:rPr>
          <w:rFonts w:ascii="Times New Roman" w:hAnsi="Times New Roman"/>
        </w:rPr>
      </w:pPr>
      <w:r>
        <w:rPr>
          <w:rFonts w:ascii="Times New Roman" w:hAnsi="Times New Roman"/>
        </w:rPr>
        <w:br w:type="page"/>
      </w:r>
    </w:p>
    <w:p w:rsidR="000B78F3" w:rsidRPr="005E4D6A" w:rsidRDefault="000B78F3" w:rsidP="0063429E">
      <w:pPr>
        <w:pStyle w:val="ListParagraph"/>
        <w:ind w:left="360"/>
        <w:contextualSpacing/>
        <w:jc w:val="both"/>
        <w:rPr>
          <w:rFonts w:ascii="Times New Roman" w:hAnsi="Times New Roman"/>
          <w:b/>
          <w:bCs/>
        </w:rPr>
      </w:pPr>
      <w:r w:rsidRPr="005E4D6A">
        <w:rPr>
          <w:rFonts w:ascii="Times New Roman" w:hAnsi="Times New Roman"/>
          <w:b/>
          <w:bCs/>
        </w:rPr>
        <w:t>2) Control and implementation institutional framework</w:t>
      </w:r>
    </w:p>
    <w:p w:rsidR="000B78F3" w:rsidRPr="0063429E" w:rsidRDefault="000B78F3" w:rsidP="0063429E">
      <w:pPr>
        <w:pStyle w:val="ListParagraph"/>
        <w:jc w:val="both"/>
        <w:rPr>
          <w:rFonts w:ascii="Times New Roman" w:hAnsi="Times New Roman"/>
        </w:rPr>
      </w:pPr>
      <w:r w:rsidRPr="0063429E">
        <w:rPr>
          <w:rFonts w:ascii="Times New Roman" w:hAnsi="Times New Roman"/>
        </w:rPr>
        <w:t>The institutional framework includes:</w:t>
      </w:r>
    </w:p>
    <w:p w:rsidR="000B78F3" w:rsidRPr="0063429E" w:rsidRDefault="000B78F3" w:rsidP="0063429E">
      <w:pPr>
        <w:pStyle w:val="ListParagraph"/>
        <w:numPr>
          <w:ilvl w:val="0"/>
          <w:numId w:val="14"/>
        </w:numPr>
        <w:contextualSpacing/>
        <w:jc w:val="both"/>
        <w:rPr>
          <w:rFonts w:ascii="Times New Roman" w:hAnsi="Times New Roman"/>
        </w:rPr>
      </w:pPr>
      <w:r w:rsidRPr="0063429E">
        <w:rPr>
          <w:rFonts w:ascii="Times New Roman" w:hAnsi="Times New Roman"/>
        </w:rPr>
        <w:t xml:space="preserve">the Ministry of Welfare </w:t>
      </w:r>
    </w:p>
    <w:p w:rsidR="000B78F3" w:rsidRPr="0063429E" w:rsidRDefault="000B78F3" w:rsidP="0063429E">
      <w:pPr>
        <w:pStyle w:val="ListParagraph"/>
        <w:numPr>
          <w:ilvl w:val="0"/>
          <w:numId w:val="14"/>
        </w:numPr>
        <w:contextualSpacing/>
        <w:jc w:val="both"/>
        <w:rPr>
          <w:rFonts w:ascii="Times New Roman" w:hAnsi="Times New Roman"/>
        </w:rPr>
      </w:pPr>
      <w:r w:rsidRPr="0063429E">
        <w:rPr>
          <w:rFonts w:ascii="Times New Roman" w:hAnsi="Times New Roman"/>
        </w:rPr>
        <w:t xml:space="preserve">National blood center  </w:t>
      </w:r>
    </w:p>
    <w:p w:rsidR="000B78F3" w:rsidRPr="0063429E" w:rsidRDefault="000B78F3" w:rsidP="0063429E">
      <w:pPr>
        <w:pStyle w:val="ListParagraph"/>
        <w:numPr>
          <w:ilvl w:val="0"/>
          <w:numId w:val="14"/>
        </w:numPr>
        <w:contextualSpacing/>
        <w:jc w:val="both"/>
        <w:rPr>
          <w:rFonts w:ascii="Times New Roman" w:hAnsi="Times New Roman"/>
        </w:rPr>
      </w:pPr>
      <w:r w:rsidRPr="0063429E">
        <w:rPr>
          <w:rFonts w:ascii="Times New Roman" w:hAnsi="Times New Roman"/>
        </w:rPr>
        <w:t xml:space="preserve">regional health authorities and regional blood centers and also </w:t>
      </w:r>
    </w:p>
    <w:p w:rsidR="000B78F3" w:rsidRPr="0063429E" w:rsidRDefault="000B78F3" w:rsidP="0063429E">
      <w:pPr>
        <w:pStyle w:val="ListParagraph"/>
        <w:numPr>
          <w:ilvl w:val="0"/>
          <w:numId w:val="14"/>
        </w:numPr>
        <w:contextualSpacing/>
        <w:jc w:val="both"/>
        <w:rPr>
          <w:rFonts w:ascii="Times New Roman" w:hAnsi="Times New Roman"/>
        </w:rPr>
      </w:pPr>
      <w:r w:rsidRPr="0063429E">
        <w:rPr>
          <w:rFonts w:ascii="Times New Roman" w:hAnsi="Times New Roman"/>
        </w:rPr>
        <w:t xml:space="preserve">National Institute of Health. </w:t>
      </w:r>
    </w:p>
    <w:p w:rsidR="000B78F3" w:rsidRPr="0063429E" w:rsidRDefault="000B78F3" w:rsidP="0063429E">
      <w:pPr>
        <w:pStyle w:val="ListParagraph"/>
        <w:jc w:val="both"/>
        <w:rPr>
          <w:rFonts w:ascii="Times New Roman" w:hAnsi="Times New Roman"/>
        </w:rPr>
      </w:pPr>
    </w:p>
    <w:p w:rsidR="000B78F3" w:rsidRPr="0063429E" w:rsidRDefault="000B78F3" w:rsidP="0063429E">
      <w:pPr>
        <w:ind w:firstLine="708"/>
        <w:jc w:val="both"/>
        <w:rPr>
          <w:rFonts w:ascii="Times New Roman" w:hAnsi="Times New Roman"/>
        </w:rPr>
      </w:pPr>
      <w:r w:rsidRPr="0063429E">
        <w:rPr>
          <w:rFonts w:ascii="Times New Roman" w:hAnsi="Times New Roman"/>
        </w:rPr>
        <w:t xml:space="preserve">The Ministry of Welfare has legislative and general planning tasks. </w:t>
      </w:r>
    </w:p>
    <w:p w:rsidR="000B78F3" w:rsidRPr="0063429E" w:rsidRDefault="000B78F3" w:rsidP="0063429E">
      <w:pPr>
        <w:ind w:left="708"/>
        <w:jc w:val="both"/>
        <w:rPr>
          <w:rFonts w:ascii="Times New Roman" w:hAnsi="Times New Roman"/>
        </w:rPr>
      </w:pPr>
      <w:r w:rsidRPr="0063429E">
        <w:rPr>
          <w:rFonts w:ascii="Times New Roman" w:hAnsi="Times New Roman"/>
        </w:rPr>
        <w:t>The National Blood Centre is the technical body of the Ministry of Welfare responsible for co-ordination and technical and scientific control of all transfusion medicine issues ruled by national laws and European provisions; it also co-ordinates the Regional Blood Centers which work as a national network.</w:t>
      </w:r>
    </w:p>
    <w:p w:rsidR="000B78F3" w:rsidRPr="0063429E" w:rsidRDefault="000B78F3" w:rsidP="0063429E">
      <w:pPr>
        <w:ind w:left="720"/>
        <w:jc w:val="both"/>
        <w:rPr>
          <w:rFonts w:ascii="Times New Roman" w:hAnsi="Times New Roman"/>
        </w:rPr>
      </w:pPr>
      <w:r w:rsidRPr="0063429E">
        <w:rPr>
          <w:rFonts w:ascii="Times New Roman" w:hAnsi="Times New Roman"/>
        </w:rPr>
        <w:t>Regional health authorities participate in controls in their areas of competence.</w:t>
      </w:r>
    </w:p>
    <w:p w:rsidR="000B78F3" w:rsidRPr="0063429E" w:rsidRDefault="000B78F3" w:rsidP="0063429E">
      <w:pPr>
        <w:ind w:left="720"/>
        <w:jc w:val="both"/>
        <w:rPr>
          <w:rFonts w:ascii="Times New Roman" w:hAnsi="Times New Roman"/>
        </w:rPr>
      </w:pPr>
      <w:r w:rsidRPr="0063429E">
        <w:rPr>
          <w:rFonts w:ascii="Times New Roman" w:hAnsi="Times New Roman"/>
        </w:rPr>
        <w:t xml:space="preserve">National Institute of Health is involved in reporting process. </w:t>
      </w:r>
    </w:p>
    <w:p w:rsidR="000B78F3" w:rsidRPr="005E4D6A" w:rsidRDefault="000B78F3" w:rsidP="0063429E">
      <w:pPr>
        <w:pStyle w:val="ListParagraph"/>
        <w:ind w:left="360"/>
        <w:contextualSpacing/>
        <w:jc w:val="both"/>
        <w:rPr>
          <w:rFonts w:ascii="Times New Roman" w:hAnsi="Times New Roman"/>
          <w:b/>
          <w:bCs/>
        </w:rPr>
      </w:pPr>
      <w:r w:rsidRPr="005E4D6A">
        <w:rPr>
          <w:rFonts w:ascii="Times New Roman" w:hAnsi="Times New Roman"/>
          <w:b/>
          <w:bCs/>
        </w:rPr>
        <w:t>3) Haemovigilance system</w:t>
      </w:r>
    </w:p>
    <w:p w:rsidR="000B78F3" w:rsidRPr="0063429E" w:rsidRDefault="000B78F3" w:rsidP="0063429E">
      <w:pPr>
        <w:pStyle w:val="NoSpacing"/>
        <w:ind w:left="720"/>
        <w:jc w:val="both"/>
        <w:rPr>
          <w:rFonts w:ascii="Times New Roman" w:hAnsi="Times New Roman"/>
        </w:rPr>
      </w:pPr>
      <w:r w:rsidRPr="0063429E">
        <w:rPr>
          <w:rFonts w:ascii="Times New Roman" w:hAnsi="Times New Roman"/>
        </w:rPr>
        <w:t>The collection of haemovigilance data is the responsibility of the 326 Italian TSs (“transfusion structures”) distributed throughout the country and located within hospitals</w:t>
      </w:r>
      <w:r w:rsidRPr="0063429E">
        <w:rPr>
          <w:rFonts w:ascii="Times New Roman" w:hAnsi="Times New Roman"/>
          <w:u w:val="single"/>
          <w:vertAlign w:val="superscript"/>
        </w:rPr>
        <w:t>.</w:t>
      </w:r>
      <w:r w:rsidRPr="0063429E">
        <w:rPr>
          <w:rFonts w:ascii="Times New Roman" w:hAnsi="Times New Roman"/>
        </w:rPr>
        <w:t xml:space="preserve"> Inside the TS, blood is donated, tested and processed to produce the blood components that are then sent to the wards; the TS must then receive, from the doctor who uses the transfusion therapy, documentation on every transfusion and any adverse reactions.</w:t>
      </w:r>
    </w:p>
    <w:p w:rsidR="000B78F3" w:rsidRPr="0063429E" w:rsidRDefault="000B78F3" w:rsidP="0063429E">
      <w:pPr>
        <w:pStyle w:val="NoSpacing"/>
        <w:ind w:left="720"/>
        <w:jc w:val="both"/>
        <w:rPr>
          <w:rFonts w:ascii="Times New Roman" w:hAnsi="Times New Roman"/>
        </w:rPr>
      </w:pPr>
    </w:p>
    <w:p w:rsidR="000B78F3" w:rsidRPr="0063429E" w:rsidRDefault="000B78F3" w:rsidP="0063429E">
      <w:pPr>
        <w:pStyle w:val="ListParagraph"/>
        <w:jc w:val="both"/>
        <w:rPr>
          <w:rFonts w:ascii="Times New Roman" w:hAnsi="Times New Roman"/>
        </w:rPr>
      </w:pPr>
      <w:r w:rsidRPr="0063429E">
        <w:rPr>
          <w:rFonts w:ascii="Times New Roman" w:hAnsi="Times New Roman"/>
        </w:rPr>
        <w:t>The TS store and manage the information, filling in the computerised PETRA form for every case identified. The records are periodically sent to the CRCC, which then transmit the regional data to the ISS. The data collected can be used at local, regional, national and international levels.</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The national haemovigilance system has been created to be fully complying with the Directive 2005/61/EC; it is being implemented within the framework of the national blood information system instituted under the national blood law of 21st Oct 2005</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The haemovigilance system calls for the registration of immediate transfusion reactions (haemolysis, TRALI, bacterial contamination, anaphylactic shock, etc.), late effects [haemolysis, graft-versus-host disease (GvHD), post-transfusional purpura, etc.] and transfusion of wrong blood components.</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The notification of severe unwanted reactions and incidents is mandatory</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The national form proposed for notifying adverse reactions (PETRA) was prepared by the National Institute of Health and distributed to all Transfusion Structures(TS)</w:t>
      </w:r>
    </w:p>
    <w:p w:rsidR="000B78F3" w:rsidRPr="0063429E" w:rsidRDefault="000B78F3" w:rsidP="0063429E">
      <w:pPr>
        <w:pStyle w:val="NoSpacing"/>
        <w:ind w:left="708"/>
        <w:jc w:val="both"/>
        <w:rPr>
          <w:rFonts w:ascii="Times New Roman" w:hAnsi="Times New Roman"/>
        </w:rPr>
      </w:pPr>
      <w:r w:rsidRPr="0063429E">
        <w:rPr>
          <w:rFonts w:ascii="Times New Roman" w:hAnsi="Times New Roman"/>
        </w:rPr>
        <w:t xml:space="preserve">The PETRA forms sent by the Region of Piemonte are filled in electronically, interfacing the </w:t>
      </w:r>
    </w:p>
    <w:p w:rsidR="000B78F3" w:rsidRPr="0063429E" w:rsidRDefault="000B78F3" w:rsidP="0063429E">
      <w:pPr>
        <w:pStyle w:val="NoSpacing"/>
        <w:ind w:left="708"/>
        <w:jc w:val="both"/>
        <w:rPr>
          <w:rFonts w:ascii="Times New Roman" w:hAnsi="Times New Roman"/>
        </w:rPr>
      </w:pPr>
      <w:r w:rsidRPr="0063429E">
        <w:rPr>
          <w:rFonts w:ascii="Times New Roman" w:hAnsi="Times New Roman"/>
        </w:rPr>
        <w:t xml:space="preserve">PETRA software with that of the “Form for recording adverse events of transfusion therapy”, used by this region which is implementing electronic reporting on a pilot basis.  </w:t>
      </w:r>
    </w:p>
    <w:p w:rsidR="000B78F3" w:rsidRPr="0063429E" w:rsidRDefault="000B78F3" w:rsidP="0063429E">
      <w:pPr>
        <w:autoSpaceDE w:val="0"/>
        <w:autoSpaceDN w:val="0"/>
        <w:adjustRightInd w:val="0"/>
        <w:spacing w:after="0" w:line="240" w:lineRule="auto"/>
        <w:ind w:left="1080"/>
        <w:jc w:val="both"/>
        <w:rPr>
          <w:rFonts w:ascii="Times New Roman" w:hAnsi="Times New Roman"/>
        </w:rPr>
      </w:pPr>
    </w:p>
    <w:p w:rsidR="000B78F3" w:rsidRPr="0063429E" w:rsidRDefault="000B78F3" w:rsidP="0063429E">
      <w:pPr>
        <w:spacing w:after="0" w:line="360" w:lineRule="auto"/>
        <w:ind w:left="1080"/>
        <w:jc w:val="both"/>
        <w:rPr>
          <w:rFonts w:ascii="Times New Roman" w:hAnsi="Times New Roman"/>
        </w:rPr>
      </w:pPr>
    </w:p>
    <w:p w:rsidR="000B78F3" w:rsidRPr="0063429E" w:rsidRDefault="000B78F3" w:rsidP="0063429E">
      <w:pPr>
        <w:pStyle w:val="NoSpacing"/>
        <w:ind w:left="708"/>
        <w:jc w:val="both"/>
        <w:rPr>
          <w:rFonts w:ascii="Times New Roman" w:hAnsi="Times New Roman"/>
        </w:rPr>
      </w:pPr>
      <w:r w:rsidRPr="0063429E">
        <w:rPr>
          <w:rFonts w:ascii="Times New Roman" w:hAnsi="Times New Roman"/>
        </w:rPr>
        <w:t xml:space="preserve">In Italy, the surveillance of adverse events in recipients was activated at the end of 2004 by the </w:t>
      </w:r>
    </w:p>
    <w:p w:rsidR="000B78F3" w:rsidRPr="0063429E" w:rsidRDefault="000B78F3" w:rsidP="0063429E">
      <w:pPr>
        <w:pStyle w:val="NoSpacing"/>
        <w:ind w:left="708"/>
        <w:jc w:val="both"/>
        <w:rPr>
          <w:rFonts w:ascii="Times New Roman" w:hAnsi="Times New Roman"/>
        </w:rPr>
      </w:pPr>
      <w:r w:rsidRPr="0063429E">
        <w:rPr>
          <w:rFonts w:ascii="Times New Roman" w:hAnsi="Times New Roman"/>
        </w:rPr>
        <w:t>National Institute of Health [</w:t>
      </w:r>
      <w:r w:rsidRPr="0063429E">
        <w:rPr>
          <w:rFonts w:ascii="Times New Roman" w:hAnsi="Times New Roman"/>
          <w:iCs/>
        </w:rPr>
        <w:t>Istituto Superiore di Sanità</w:t>
      </w:r>
      <w:r w:rsidRPr="0063429E">
        <w:rPr>
          <w:rFonts w:ascii="Times New Roman" w:hAnsi="Times New Roman"/>
        </w:rPr>
        <w:t xml:space="preserve"> - ISS]</w:t>
      </w:r>
      <w:hyperlink r:id="rId8" w:history="1">
        <w:r w:rsidRPr="0063429E">
          <w:rPr>
            <w:rFonts w:ascii="Times New Roman" w:hAnsi="Times New Roman"/>
            <w:u w:val="single"/>
            <w:vertAlign w:val="superscript"/>
          </w:rPr>
          <w:t>5</w:t>
        </w:r>
      </w:hyperlink>
      <w:r w:rsidRPr="0063429E">
        <w:rPr>
          <w:rFonts w:ascii="Times New Roman" w:hAnsi="Times New Roman"/>
        </w:rPr>
        <w:t>. There were already systems for monitoring adverse reactions in some Regions</w:t>
      </w:r>
      <w:hyperlink r:id="rId9" w:anchor="b6-blt5_2p066" w:history="1">
        <w:r w:rsidRPr="0063429E">
          <w:rPr>
            <w:rFonts w:ascii="Times New Roman" w:hAnsi="Times New Roman"/>
            <w:u w:val="single"/>
            <w:vertAlign w:val="superscript"/>
          </w:rPr>
          <w:t>6</w:t>
        </w:r>
      </w:hyperlink>
      <w:r w:rsidRPr="0063429E">
        <w:rPr>
          <w:rFonts w:ascii="Times New Roman" w:hAnsi="Times New Roman"/>
        </w:rPr>
        <w:t>; at a national level, efforts were made to guarantee the homogeneity of the data collected by using the same forms. The proposed form for national suveillance was designed by Transfusion Medicine specialists and agreed upon through consultatory meetings with representatives of the Regional Centres of Coordination</w:t>
      </w:r>
    </w:p>
    <w:p w:rsidR="000B78F3" w:rsidRPr="0063429E" w:rsidRDefault="000B78F3" w:rsidP="0063429E">
      <w:pPr>
        <w:pStyle w:val="NoSpacing"/>
        <w:ind w:left="708"/>
        <w:jc w:val="both"/>
        <w:rPr>
          <w:rFonts w:ascii="Times New Roman" w:hAnsi="Times New Roman"/>
        </w:rPr>
      </w:pPr>
      <w:r w:rsidRPr="0063429E">
        <w:rPr>
          <w:rFonts w:ascii="Times New Roman" w:hAnsi="Times New Roman"/>
        </w:rPr>
        <w:t>and Compensation [</w:t>
      </w:r>
      <w:r w:rsidRPr="0063429E">
        <w:rPr>
          <w:rFonts w:ascii="Times New Roman" w:hAnsi="Times New Roman"/>
          <w:iCs/>
        </w:rPr>
        <w:t>Centri Regionali di Coordinamento and Compensazione</w:t>
      </w:r>
      <w:r w:rsidRPr="0063429E">
        <w:rPr>
          <w:rFonts w:ascii="Times New Roman" w:hAnsi="Times New Roman"/>
        </w:rPr>
        <w:t xml:space="preserve"> – CRCC]. Subsequently, dedicated software was developed, based on the paper form. </w:t>
      </w:r>
    </w:p>
    <w:p w:rsidR="000B78F3" w:rsidRDefault="000B78F3" w:rsidP="0063429E">
      <w:pPr>
        <w:pStyle w:val="NoSpacing"/>
        <w:ind w:left="708"/>
        <w:jc w:val="both"/>
        <w:rPr>
          <w:rFonts w:ascii="Times New Roman" w:hAnsi="Times New Roman"/>
        </w:rPr>
      </w:pPr>
    </w:p>
    <w:p w:rsidR="000B78F3" w:rsidRPr="0063429E" w:rsidRDefault="000B78F3" w:rsidP="0063429E">
      <w:pPr>
        <w:pStyle w:val="NoSpacing"/>
        <w:ind w:left="708"/>
        <w:jc w:val="both"/>
        <w:rPr>
          <w:rFonts w:ascii="Times New Roman" w:hAnsi="Times New Roman"/>
        </w:rPr>
      </w:pPr>
      <w:r w:rsidRPr="0063429E">
        <w:rPr>
          <w:rFonts w:ascii="Times New Roman" w:hAnsi="Times New Roman"/>
        </w:rPr>
        <w:t>This software, called PETRA (</w:t>
      </w:r>
      <w:r w:rsidRPr="0063429E">
        <w:rPr>
          <w:rFonts w:ascii="Times New Roman" w:hAnsi="Times New Roman"/>
          <w:iCs/>
        </w:rPr>
        <w:t>Programma degli Errori Transfusionali e delle Reazioni Avverse –</w:t>
      </w:r>
      <w:r w:rsidRPr="0063429E">
        <w:rPr>
          <w:rFonts w:ascii="Times New Roman" w:hAnsi="Times New Roman"/>
        </w:rPr>
        <w:t xml:space="preserve"> Programme for Transfusion Errors and Adverse Reactions), was distributed by the ISS to all TS. </w:t>
      </w:r>
    </w:p>
    <w:p w:rsidR="000B78F3" w:rsidRPr="0063429E" w:rsidRDefault="000B78F3" w:rsidP="0063429E">
      <w:pPr>
        <w:pStyle w:val="NoSpacing"/>
        <w:ind w:left="708"/>
        <w:jc w:val="both"/>
        <w:rPr>
          <w:rFonts w:ascii="Times New Roman" w:hAnsi="Times New Roman"/>
        </w:rPr>
      </w:pPr>
      <w:r w:rsidRPr="0063429E">
        <w:rPr>
          <w:rFonts w:ascii="Times New Roman" w:hAnsi="Times New Roman"/>
        </w:rPr>
        <w:t>Participation in the haemovigilance system was not obligatory, but was strongly recommended by the institutions (ISS and CRCC).</w:t>
      </w:r>
    </w:p>
    <w:p w:rsidR="000B78F3" w:rsidRDefault="000B78F3" w:rsidP="0063429E">
      <w:pPr>
        <w:pStyle w:val="ListParagraph"/>
        <w:ind w:left="360"/>
        <w:contextualSpacing/>
        <w:jc w:val="both"/>
        <w:rPr>
          <w:rFonts w:ascii="Times New Roman" w:hAnsi="Times New Roman"/>
          <w:b/>
          <w:bCs/>
        </w:rPr>
      </w:pPr>
    </w:p>
    <w:p w:rsidR="000B78F3" w:rsidRPr="005E4D6A" w:rsidRDefault="000B78F3" w:rsidP="0063429E">
      <w:pPr>
        <w:pStyle w:val="ListParagraph"/>
        <w:ind w:left="360"/>
        <w:contextualSpacing/>
        <w:jc w:val="both"/>
        <w:rPr>
          <w:rFonts w:ascii="Times New Roman" w:hAnsi="Times New Roman"/>
          <w:b/>
          <w:bCs/>
        </w:rPr>
      </w:pPr>
      <w:r w:rsidRPr="005E4D6A">
        <w:rPr>
          <w:rFonts w:ascii="Times New Roman" w:hAnsi="Times New Roman"/>
          <w:b/>
          <w:bCs/>
        </w:rPr>
        <w:t xml:space="preserve">4) Summary of key statistics on blood transfusion facilities . </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 xml:space="preserve">There are around 330 registered facilities in the country. </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In Italy there no distinction is made between "Blood Establishment" and "Hospital Blood Bank". Blood Transfusion Services (BTSs) are by law only public hospital-based services. The overall number of BTSs is 326 (2005 survey, latest available).</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The number of blood components distributed in 2005 (1,834,474)</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5E4D6A" w:rsidRDefault="000B78F3" w:rsidP="0063429E">
      <w:pPr>
        <w:pStyle w:val="ListParagraph"/>
        <w:autoSpaceDE w:val="0"/>
        <w:autoSpaceDN w:val="0"/>
        <w:adjustRightInd w:val="0"/>
        <w:spacing w:after="0" w:line="240" w:lineRule="auto"/>
        <w:ind w:left="360"/>
        <w:contextualSpacing/>
        <w:jc w:val="both"/>
        <w:rPr>
          <w:rFonts w:ascii="Times New Roman" w:hAnsi="Times New Roman"/>
          <w:b/>
          <w:bCs/>
        </w:rPr>
      </w:pPr>
      <w:r w:rsidRPr="005E4D6A">
        <w:rPr>
          <w:rFonts w:ascii="Times New Roman" w:hAnsi="Times New Roman"/>
          <w:b/>
          <w:bCs/>
        </w:rPr>
        <w:t>5) Reporting on blood transfusion related “adverse events”</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pStyle w:val="NoSpacing"/>
        <w:ind w:left="708"/>
        <w:jc w:val="both"/>
        <w:rPr>
          <w:rFonts w:ascii="Times New Roman" w:hAnsi="Times New Roman"/>
        </w:rPr>
      </w:pPr>
      <w:r w:rsidRPr="0063429E">
        <w:rPr>
          <w:rFonts w:ascii="Times New Roman" w:hAnsi="Times New Roman"/>
        </w:rPr>
        <w:t>In 2005 (latest full data available) , the percentage of the 326 Italian TS that participated in the haemovigilance survey was 38.4%, which was almost double that in 2004 (21.0%). This percentage also includes the TS that did not use PETRA (electronic data submission) and those that stated the absence of adverse reactions.</w:t>
      </w:r>
    </w:p>
    <w:p w:rsidR="000B78F3" w:rsidRPr="0063429E" w:rsidRDefault="000B78F3" w:rsidP="0063429E">
      <w:pPr>
        <w:pStyle w:val="NoSpacing"/>
        <w:ind w:left="720"/>
        <w:jc w:val="both"/>
        <w:rPr>
          <w:rFonts w:ascii="Times New Roman" w:hAnsi="Times New Roman"/>
        </w:rPr>
      </w:pPr>
    </w:p>
    <w:p w:rsidR="000B78F3" w:rsidRPr="0063429E" w:rsidRDefault="000B78F3" w:rsidP="0063429E">
      <w:pPr>
        <w:pStyle w:val="NoSpacing"/>
        <w:ind w:left="360"/>
        <w:jc w:val="both"/>
        <w:rPr>
          <w:rFonts w:ascii="Times New Roman" w:hAnsi="Times New Roman"/>
        </w:rPr>
      </w:pPr>
      <w:r w:rsidRPr="0063429E">
        <w:rPr>
          <w:rFonts w:ascii="Times New Roman" w:hAnsi="Times New Roman"/>
        </w:rPr>
        <w:tab/>
        <w:t xml:space="preserve">In 2005, there were reports of 1,495 adverse reactions, 823 of which were reported using a </w:t>
      </w:r>
      <w:r w:rsidRPr="0063429E">
        <w:rPr>
          <w:rFonts w:ascii="Times New Roman" w:hAnsi="Times New Roman"/>
        </w:rPr>
        <w:tab/>
        <w:t xml:space="preserve">summary data-sheet other than PETRA, such that, in most cases of events notified, a </w:t>
      </w:r>
      <w:r w:rsidRPr="0063429E">
        <w:rPr>
          <w:rFonts w:ascii="Times New Roman" w:hAnsi="Times New Roman"/>
        </w:rPr>
        <w:tab/>
        <w:t>description of the causative role of the transfusion in the adverse reaction was not given.</w:t>
      </w:r>
    </w:p>
    <w:p w:rsidR="000B78F3" w:rsidRPr="0063429E" w:rsidRDefault="000B78F3" w:rsidP="0063429E">
      <w:pPr>
        <w:pStyle w:val="NoSpacing"/>
        <w:ind w:left="360"/>
        <w:jc w:val="both"/>
        <w:rPr>
          <w:rFonts w:ascii="Times New Roman" w:hAnsi="Times New Roman"/>
        </w:rPr>
      </w:pPr>
      <w:r w:rsidRPr="0063429E">
        <w:rPr>
          <w:rFonts w:ascii="Times New Roman" w:hAnsi="Times New Roman"/>
        </w:rPr>
        <w:tab/>
        <w:t>Overall, 0.8 reactions were reported every 1,000 units of blood components distributed.</w:t>
      </w:r>
    </w:p>
    <w:p w:rsidR="000B78F3" w:rsidRPr="0063429E" w:rsidRDefault="000B78F3" w:rsidP="0063429E">
      <w:pPr>
        <w:pStyle w:val="NoSpacing"/>
        <w:ind w:left="720" w:firstLine="30"/>
        <w:jc w:val="both"/>
        <w:rPr>
          <w:rFonts w:ascii="Times New Roman" w:hAnsi="Times New Roman"/>
        </w:rPr>
      </w:pPr>
      <w:r w:rsidRPr="0063429E">
        <w:rPr>
          <w:rFonts w:ascii="Times New Roman" w:hAnsi="Times New Roman"/>
        </w:rPr>
        <w:t>Almost all the adverse events reported were acute: 46.9% of the reactions were febrile type</w:t>
      </w:r>
      <w:r>
        <w:rPr>
          <w:rFonts w:ascii="Times New Roman" w:hAnsi="Times New Roman"/>
        </w:rPr>
        <w:t xml:space="preserve"> </w:t>
      </w:r>
      <w:r w:rsidRPr="0063429E">
        <w:rPr>
          <w:rFonts w:ascii="Times New Roman" w:hAnsi="Times New Roman"/>
        </w:rPr>
        <w:t>reactions and 38.7% were of an allergic nature.</w:t>
      </w:r>
    </w:p>
    <w:p w:rsidR="000B78F3" w:rsidRPr="0063429E" w:rsidRDefault="000B78F3" w:rsidP="0063429E">
      <w:pPr>
        <w:pStyle w:val="NoSpacing"/>
        <w:ind w:left="360"/>
        <w:jc w:val="both"/>
        <w:rPr>
          <w:rFonts w:ascii="Times New Roman" w:hAnsi="Times New Roman"/>
        </w:rPr>
      </w:pPr>
      <w:r w:rsidRPr="0063429E">
        <w:rPr>
          <w:rFonts w:ascii="Times New Roman" w:hAnsi="Times New Roman"/>
        </w:rPr>
        <w:tab/>
        <w:t xml:space="preserve">Overall, 986 forms were returned, of which 871 reported adverse reactions and 63 reported </w:t>
      </w:r>
      <w:r w:rsidRPr="0063429E">
        <w:rPr>
          <w:rFonts w:ascii="Times New Roman" w:hAnsi="Times New Roman"/>
        </w:rPr>
        <w:tab/>
        <w:t>near miss errors or errors; 52 forms could not be evaluated</w:t>
      </w:r>
    </w:p>
    <w:p w:rsidR="000B78F3" w:rsidRDefault="000B78F3" w:rsidP="0063429E">
      <w:pPr>
        <w:pStyle w:val="ListParagraph"/>
        <w:ind w:left="360"/>
        <w:contextualSpacing/>
        <w:jc w:val="both"/>
        <w:rPr>
          <w:rFonts w:ascii="Times New Roman" w:hAnsi="Times New Roman"/>
          <w:b/>
          <w:bCs/>
        </w:rPr>
      </w:pPr>
    </w:p>
    <w:p w:rsidR="000B78F3" w:rsidRPr="005E4D6A" w:rsidRDefault="000B78F3" w:rsidP="0063429E">
      <w:pPr>
        <w:pStyle w:val="ListParagraph"/>
        <w:ind w:left="360"/>
        <w:contextualSpacing/>
        <w:jc w:val="both"/>
        <w:rPr>
          <w:rFonts w:ascii="Times New Roman" w:hAnsi="Times New Roman"/>
          <w:b/>
          <w:bCs/>
        </w:rPr>
      </w:pPr>
      <w:r w:rsidRPr="005E4D6A">
        <w:rPr>
          <w:rFonts w:ascii="Times New Roman" w:hAnsi="Times New Roman"/>
          <w:b/>
          <w:bCs/>
        </w:rPr>
        <w:t>6) Standards used</w:t>
      </w:r>
    </w:p>
    <w:p w:rsidR="000B78F3" w:rsidRPr="0063429E" w:rsidRDefault="000B78F3" w:rsidP="0063429E">
      <w:pPr>
        <w:pStyle w:val="ListParagraph"/>
        <w:jc w:val="both"/>
        <w:rPr>
          <w:rFonts w:ascii="Times New Roman" w:hAnsi="Times New Roman"/>
        </w:rPr>
      </w:pPr>
      <w:r w:rsidRPr="0063429E">
        <w:rPr>
          <w:rFonts w:ascii="Times New Roman" w:hAnsi="Times New Roman"/>
        </w:rPr>
        <w:t>ISBT 128 for labeling, coding and identification of blood, blood components, tissues and cells</w:t>
      </w:r>
    </w:p>
    <w:p w:rsidR="000B78F3" w:rsidRPr="005E4D6A" w:rsidRDefault="000B78F3" w:rsidP="0063429E">
      <w:pPr>
        <w:pStyle w:val="ListParagraph"/>
        <w:ind w:left="360"/>
        <w:contextualSpacing/>
        <w:jc w:val="both"/>
        <w:rPr>
          <w:rFonts w:ascii="Times New Roman" w:hAnsi="Times New Roman"/>
          <w:b/>
          <w:bCs/>
        </w:rPr>
      </w:pPr>
      <w:r w:rsidRPr="005E4D6A">
        <w:rPr>
          <w:rFonts w:ascii="Times New Roman" w:hAnsi="Times New Roman"/>
          <w:b/>
          <w:bCs/>
        </w:rPr>
        <w:t xml:space="preserve">7) Sources/references </w:t>
      </w:r>
    </w:p>
    <w:p w:rsidR="000B78F3" w:rsidRPr="0063429E" w:rsidRDefault="000B78F3" w:rsidP="0063429E">
      <w:pPr>
        <w:pStyle w:val="ListParagraph"/>
        <w:jc w:val="both"/>
        <w:rPr>
          <w:rFonts w:ascii="Times New Roman" w:hAnsi="Times New Roman"/>
        </w:rPr>
      </w:pPr>
      <w:r w:rsidRPr="0063429E">
        <w:rPr>
          <w:rFonts w:ascii="Times New Roman" w:hAnsi="Times New Roman"/>
        </w:rPr>
        <w:t xml:space="preserve">Documents used: European commission public health and risk assessment questionnaire 2008 and 2010, </w:t>
      </w:r>
      <w:r w:rsidRPr="0063429E">
        <w:rPr>
          <w:rFonts w:ascii="Times New Roman" w:hAnsi="Times New Roman"/>
          <w:bCs/>
        </w:rPr>
        <w:t>The haemovigilance system in Italy 2007</w:t>
      </w:r>
    </w:p>
    <w:p w:rsidR="000B78F3" w:rsidRPr="0063429E" w:rsidRDefault="000B78F3" w:rsidP="005E4D6A">
      <w:pPr>
        <w:jc w:val="both"/>
        <w:rPr>
          <w:rFonts w:ascii="Times New Roman" w:hAnsi="Times New Roman"/>
        </w:rPr>
      </w:pPr>
      <w:r w:rsidRPr="0063429E">
        <w:rPr>
          <w:rFonts w:ascii="Times New Roman" w:hAnsi="Times New Roman"/>
        </w:rPr>
        <w:t>______________________________________________________________</w:t>
      </w:r>
    </w:p>
    <w:p w:rsidR="000B78F3" w:rsidRDefault="000B78F3" w:rsidP="0063429E">
      <w:pPr>
        <w:ind w:left="360"/>
        <w:jc w:val="both"/>
        <w:rPr>
          <w:rFonts w:ascii="Times New Roman" w:hAnsi="Times New Roman"/>
          <w:b/>
          <w:sz w:val="32"/>
          <w:szCs w:val="32"/>
        </w:rPr>
      </w:pPr>
    </w:p>
    <w:p w:rsidR="000B78F3" w:rsidRPr="0063429E" w:rsidRDefault="000B78F3" w:rsidP="0063429E">
      <w:pPr>
        <w:ind w:left="360"/>
        <w:jc w:val="both"/>
        <w:rPr>
          <w:rFonts w:ascii="Times New Roman" w:hAnsi="Times New Roman"/>
          <w:b/>
          <w:sz w:val="32"/>
          <w:szCs w:val="32"/>
        </w:rPr>
      </w:pPr>
      <w:r w:rsidRPr="0063429E">
        <w:rPr>
          <w:rFonts w:ascii="Times New Roman" w:hAnsi="Times New Roman"/>
          <w:b/>
          <w:sz w:val="32"/>
          <w:szCs w:val="32"/>
        </w:rPr>
        <w:t>Netherlands</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Abbreviations: </w:t>
      </w:r>
    </w:p>
    <w:p w:rsidR="000B78F3" w:rsidRPr="0063429E" w:rsidRDefault="000B78F3" w:rsidP="0063429E">
      <w:pPr>
        <w:ind w:left="360"/>
        <w:jc w:val="both"/>
        <w:rPr>
          <w:rFonts w:ascii="Times New Roman" w:hAnsi="Times New Roman"/>
        </w:rPr>
      </w:pPr>
      <w:r w:rsidRPr="0063429E">
        <w:rPr>
          <w:rFonts w:ascii="Times New Roman" w:hAnsi="Times New Roman"/>
        </w:rPr>
        <w:t>SAE:</w:t>
      </w:r>
      <w:r>
        <w:rPr>
          <w:rFonts w:ascii="Times New Roman" w:hAnsi="Times New Roman"/>
        </w:rPr>
        <w:tab/>
      </w:r>
      <w:r w:rsidRPr="0063429E">
        <w:rPr>
          <w:rFonts w:ascii="Times New Roman" w:hAnsi="Times New Roman"/>
        </w:rPr>
        <w:t>Serious Adverse Event</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SAR: </w:t>
      </w:r>
      <w:r>
        <w:rPr>
          <w:rFonts w:ascii="Times New Roman" w:hAnsi="Times New Roman"/>
        </w:rPr>
        <w:tab/>
      </w:r>
      <w:r w:rsidRPr="0063429E">
        <w:rPr>
          <w:rFonts w:ascii="Times New Roman" w:hAnsi="Times New Roman"/>
        </w:rPr>
        <w:t>Serious Adverse Reaction</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RAR: </w:t>
      </w:r>
      <w:r>
        <w:rPr>
          <w:rFonts w:ascii="Times New Roman" w:hAnsi="Times New Roman"/>
        </w:rPr>
        <w:tab/>
      </w:r>
      <w:r w:rsidRPr="0063429E">
        <w:rPr>
          <w:rFonts w:ascii="Times New Roman" w:hAnsi="Times New Roman"/>
        </w:rPr>
        <w:t>Recipient Adverse Reaction</w:t>
      </w:r>
    </w:p>
    <w:p w:rsidR="000B78F3" w:rsidRDefault="000B78F3" w:rsidP="0063429E">
      <w:pPr>
        <w:ind w:left="360"/>
        <w:jc w:val="both"/>
        <w:rPr>
          <w:rFonts w:ascii="Times New Roman" w:hAnsi="Times New Roman"/>
          <w:b/>
          <w:sz w:val="28"/>
          <w:szCs w:val="28"/>
        </w:rPr>
      </w:pPr>
    </w:p>
    <w:p w:rsidR="000B78F3" w:rsidRPr="0063429E" w:rsidRDefault="000B78F3" w:rsidP="0063429E">
      <w:pPr>
        <w:ind w:left="360"/>
        <w:jc w:val="both"/>
        <w:rPr>
          <w:rFonts w:ascii="Times New Roman" w:hAnsi="Times New Roman"/>
          <w:b/>
          <w:sz w:val="28"/>
          <w:szCs w:val="28"/>
        </w:rPr>
      </w:pPr>
      <w:r>
        <w:rPr>
          <w:rFonts w:ascii="Times New Roman" w:hAnsi="Times New Roman"/>
          <w:b/>
          <w:sz w:val="28"/>
          <w:szCs w:val="28"/>
        </w:rPr>
        <w:t>S</w:t>
      </w:r>
      <w:r w:rsidRPr="0063429E">
        <w:rPr>
          <w:rFonts w:ascii="Times New Roman" w:hAnsi="Times New Roman"/>
          <w:b/>
          <w:sz w:val="28"/>
          <w:szCs w:val="28"/>
        </w:rPr>
        <w:t xml:space="preserve">ummary information </w:t>
      </w:r>
    </w:p>
    <w:p w:rsidR="000B78F3" w:rsidRPr="0063429E" w:rsidRDefault="000B78F3" w:rsidP="0063429E">
      <w:pPr>
        <w:ind w:left="360"/>
        <w:jc w:val="both"/>
        <w:rPr>
          <w:rFonts w:ascii="Times New Roman" w:hAnsi="Times New Roman"/>
        </w:rPr>
      </w:pPr>
    </w:p>
    <w:p w:rsidR="000B78F3" w:rsidRPr="005E4D6A" w:rsidRDefault="000B78F3" w:rsidP="0063429E">
      <w:pPr>
        <w:ind w:left="360"/>
        <w:jc w:val="both"/>
        <w:rPr>
          <w:rFonts w:ascii="Times New Roman" w:hAnsi="Times New Roman"/>
          <w:b/>
          <w:bCs/>
        </w:rPr>
      </w:pPr>
      <w:r w:rsidRPr="005E4D6A">
        <w:rPr>
          <w:rFonts w:ascii="Times New Roman" w:hAnsi="Times New Roman"/>
          <w:b/>
          <w:bCs/>
        </w:rPr>
        <w:t>1) Legal framework</w:t>
      </w:r>
    </w:p>
    <w:p w:rsidR="000B78F3" w:rsidRPr="0063429E" w:rsidRDefault="000B78F3" w:rsidP="0063429E">
      <w:pPr>
        <w:ind w:left="576"/>
        <w:jc w:val="both"/>
        <w:rPr>
          <w:rFonts w:ascii="Times New Roman" w:hAnsi="Times New Roman"/>
          <w:bCs/>
        </w:rPr>
      </w:pPr>
      <w:r w:rsidRPr="0063429E">
        <w:rPr>
          <w:rFonts w:ascii="Times New Roman" w:hAnsi="Times New Roman"/>
        </w:rPr>
        <w:t>The legal framework is provided by the EU directives (</w:t>
      </w:r>
      <w:r w:rsidRPr="0063429E">
        <w:rPr>
          <w:rFonts w:ascii="Times New Roman" w:hAnsi="Times New Roman"/>
          <w:bCs/>
        </w:rPr>
        <w:t>Directives 2002/98/EC, 2004/33/EC 2005/61/EC and 2005/62/EC) that have been transposed into the national law.</w:t>
      </w:r>
    </w:p>
    <w:p w:rsidR="000B78F3" w:rsidRPr="005E4D6A" w:rsidRDefault="000B78F3" w:rsidP="005E4D6A">
      <w:pPr>
        <w:ind w:left="360"/>
        <w:jc w:val="both"/>
        <w:rPr>
          <w:rFonts w:ascii="Times New Roman" w:hAnsi="Times New Roman"/>
          <w:b/>
          <w:bCs/>
        </w:rPr>
      </w:pPr>
      <w:r w:rsidRPr="005E4D6A">
        <w:rPr>
          <w:rFonts w:ascii="Times New Roman" w:hAnsi="Times New Roman"/>
          <w:b/>
          <w:bCs/>
        </w:rPr>
        <w:t>2) Control and implementation institutional framework</w:t>
      </w:r>
    </w:p>
    <w:p w:rsidR="000B78F3" w:rsidRPr="0063429E" w:rsidRDefault="000B78F3" w:rsidP="0063429E">
      <w:pPr>
        <w:jc w:val="both"/>
        <w:rPr>
          <w:rFonts w:ascii="Times New Roman" w:hAnsi="Times New Roman"/>
        </w:rPr>
      </w:pPr>
      <w:r>
        <w:rPr>
          <w:rFonts w:ascii="Times New Roman" w:hAnsi="Times New Roman"/>
        </w:rPr>
        <w:tab/>
      </w:r>
      <w:r w:rsidRPr="0063429E">
        <w:rPr>
          <w:rFonts w:ascii="Times New Roman" w:hAnsi="Times New Roman"/>
        </w:rPr>
        <w:t xml:space="preserve">a) Ministry of Health,  Welfare and Sport </w:t>
      </w:r>
    </w:p>
    <w:p w:rsidR="000B78F3" w:rsidRPr="0063429E" w:rsidRDefault="000B78F3" w:rsidP="0063429E">
      <w:pPr>
        <w:ind w:left="360"/>
        <w:jc w:val="both"/>
        <w:rPr>
          <w:rFonts w:ascii="Times New Roman" w:hAnsi="Times New Roman"/>
          <w:lang w:val="nl-NL"/>
        </w:rPr>
      </w:pPr>
      <w:r>
        <w:rPr>
          <w:rFonts w:ascii="Times New Roman" w:hAnsi="Times New Roman"/>
          <w:lang w:val="nl-NL"/>
        </w:rPr>
        <w:tab/>
      </w:r>
      <w:r w:rsidRPr="0063429E">
        <w:rPr>
          <w:rFonts w:ascii="Times New Roman" w:hAnsi="Times New Roman"/>
          <w:lang w:val="nl-NL"/>
        </w:rPr>
        <w:t>b) Healthcare Inspectorate (Inspectie voor de Gezondheidszorg, IGZ).</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The Ministry is a competent authority which is granting permissions and inspecting agency is the Healthcare Inspectorate. </w:t>
      </w:r>
    </w:p>
    <w:p w:rsidR="000B78F3" w:rsidRPr="005E4D6A" w:rsidRDefault="000B78F3" w:rsidP="0063429E">
      <w:pPr>
        <w:ind w:left="360"/>
        <w:jc w:val="both"/>
        <w:rPr>
          <w:rFonts w:ascii="Times New Roman" w:hAnsi="Times New Roman"/>
          <w:b/>
          <w:bCs/>
        </w:rPr>
      </w:pPr>
      <w:r w:rsidRPr="005E4D6A">
        <w:rPr>
          <w:rFonts w:ascii="Times New Roman" w:hAnsi="Times New Roman"/>
          <w:b/>
          <w:bCs/>
        </w:rPr>
        <w:t>3)</w:t>
      </w:r>
      <w:r>
        <w:rPr>
          <w:rFonts w:ascii="Times New Roman" w:hAnsi="Times New Roman"/>
          <w:b/>
          <w:bCs/>
        </w:rPr>
        <w:t xml:space="preserve"> </w:t>
      </w:r>
      <w:r w:rsidRPr="005E4D6A">
        <w:rPr>
          <w:rFonts w:ascii="Times New Roman" w:hAnsi="Times New Roman"/>
          <w:b/>
          <w:bCs/>
        </w:rPr>
        <w:t>Haemovigilance system</w:t>
      </w:r>
    </w:p>
    <w:p w:rsidR="000B78F3" w:rsidRPr="0063429E" w:rsidRDefault="000B78F3" w:rsidP="0063429E">
      <w:pPr>
        <w:pStyle w:val="NoSpacing"/>
        <w:ind w:left="516"/>
        <w:jc w:val="both"/>
        <w:rPr>
          <w:rFonts w:ascii="Times New Roman" w:hAnsi="Times New Roman"/>
        </w:rPr>
      </w:pPr>
      <w:r w:rsidRPr="0063429E">
        <w:rPr>
          <w:rFonts w:ascii="Times New Roman" w:hAnsi="Times New Roman"/>
        </w:rPr>
        <w:t>Hospitals and the Blood Establishment are obliged to report serious adverse events and serious adverse reactions to the competent authority (CA) and on a voluntarily basis to an independent foundation "TRIP" (“Transfusion reactions in patients”). TRIP is responsible for haemovigilance. The CA cooperates cordially with this organization and has above that,its own database mainly to trace quickly donor-related products. TRIP participates in the European Haemovigilance Network.</w:t>
      </w:r>
    </w:p>
    <w:p w:rsidR="000B78F3" w:rsidRPr="0063429E" w:rsidRDefault="000B78F3" w:rsidP="0063429E">
      <w:pPr>
        <w:pStyle w:val="NoSpacing"/>
        <w:jc w:val="both"/>
        <w:rPr>
          <w:rFonts w:ascii="Times New Roman" w:hAnsi="Times New Roman"/>
        </w:rPr>
      </w:pPr>
    </w:p>
    <w:p w:rsidR="000B78F3" w:rsidRPr="0063429E" w:rsidRDefault="000B78F3" w:rsidP="0063429E">
      <w:pPr>
        <w:autoSpaceDE w:val="0"/>
        <w:autoSpaceDN w:val="0"/>
        <w:adjustRightInd w:val="0"/>
        <w:spacing w:after="0" w:line="240" w:lineRule="auto"/>
        <w:ind w:left="516"/>
        <w:jc w:val="both"/>
        <w:rPr>
          <w:rFonts w:ascii="Times New Roman" w:hAnsi="Times New Roman"/>
        </w:rPr>
      </w:pPr>
      <w:r w:rsidRPr="0063429E">
        <w:rPr>
          <w:rFonts w:ascii="Times New Roman" w:hAnsi="Times New Roman"/>
        </w:rPr>
        <w:t xml:space="preserve">The registration (reporting) concerns both serious and non serious adverse effects and incidents. These are reported by the permanent contact person (hemovigilance officer), a special position which exists in the Dutch hospitals for this purpose. </w:t>
      </w:r>
    </w:p>
    <w:p w:rsidR="000B78F3" w:rsidRPr="0063429E" w:rsidRDefault="000B78F3" w:rsidP="0063429E">
      <w:pPr>
        <w:autoSpaceDE w:val="0"/>
        <w:autoSpaceDN w:val="0"/>
        <w:adjustRightInd w:val="0"/>
        <w:spacing w:after="0" w:line="240" w:lineRule="auto"/>
        <w:jc w:val="both"/>
        <w:rPr>
          <w:rFonts w:ascii="Times New Roman" w:hAnsi="Times New Roman"/>
        </w:rPr>
      </w:pPr>
    </w:p>
    <w:p w:rsidR="000B78F3" w:rsidRPr="0063429E" w:rsidRDefault="000B78F3" w:rsidP="0063429E">
      <w:pPr>
        <w:autoSpaceDE w:val="0"/>
        <w:autoSpaceDN w:val="0"/>
        <w:adjustRightInd w:val="0"/>
        <w:spacing w:after="0" w:line="240" w:lineRule="auto"/>
        <w:ind w:left="516"/>
        <w:jc w:val="both"/>
        <w:rPr>
          <w:rFonts w:ascii="Times New Roman" w:hAnsi="Times New Roman"/>
        </w:rPr>
      </w:pPr>
      <w:r w:rsidRPr="0063429E">
        <w:rPr>
          <w:rFonts w:ascii="Times New Roman" w:hAnsi="Times New Roman"/>
        </w:rPr>
        <w:t>TRIP National Hemovigilance Office has managed the national reporting system for transfusion reactions in collaboration with contact persons in the hospitals and the blood supply service Sanquin.</w:t>
      </w:r>
    </w:p>
    <w:p w:rsidR="000B78F3" w:rsidRPr="0063429E" w:rsidRDefault="000B78F3" w:rsidP="0063429E">
      <w:pPr>
        <w:pStyle w:val="NoSpacing"/>
        <w:jc w:val="both"/>
        <w:rPr>
          <w:rFonts w:ascii="Times New Roman" w:hAnsi="Times New Roman"/>
        </w:rPr>
      </w:pPr>
      <w:r>
        <w:rPr>
          <w:rFonts w:ascii="Times New Roman" w:hAnsi="Times New Roman"/>
        </w:rPr>
        <w:br w:type="page"/>
      </w:r>
    </w:p>
    <w:p w:rsidR="000B78F3" w:rsidRPr="0063429E" w:rsidRDefault="000B78F3" w:rsidP="0063429E">
      <w:pPr>
        <w:jc w:val="both"/>
        <w:rPr>
          <w:rFonts w:ascii="Times New Roman" w:hAnsi="Times New Roman"/>
          <w:u w:val="single"/>
        </w:rPr>
      </w:pPr>
      <w:r w:rsidRPr="0063429E">
        <w:rPr>
          <w:rFonts w:ascii="Times New Roman" w:hAnsi="Times New Roman"/>
        </w:rPr>
        <w:tab/>
      </w:r>
      <w:r w:rsidRPr="0063429E">
        <w:rPr>
          <w:rFonts w:ascii="Times New Roman" w:hAnsi="Times New Roman"/>
          <w:u w:val="single"/>
        </w:rPr>
        <w:t xml:space="preserve">Implementation controls </w:t>
      </w:r>
    </w:p>
    <w:p w:rsidR="000B78F3" w:rsidRPr="0063429E" w:rsidRDefault="000B78F3" w:rsidP="0063429E">
      <w:pPr>
        <w:pStyle w:val="ListParagraph"/>
        <w:jc w:val="both"/>
        <w:rPr>
          <w:rFonts w:ascii="Times New Roman" w:hAnsi="Times New Roman"/>
        </w:rPr>
      </w:pPr>
      <w:r w:rsidRPr="0063429E">
        <w:rPr>
          <w:rFonts w:ascii="Times New Roman" w:hAnsi="Times New Roman"/>
        </w:rPr>
        <w:t>Four blood banks (big establishments) are responsible for the collection of blood/plasma. The blood banks have central management and central storage/testing facilities. The blood banks have more than one location where blood/plasma is actually donated. Every two years each blood bank and all fixed blood establishments are inspected. The mobile blood collection sites are excluded from this obligatory inspection. The inspections of mobile sites are organized at random.</w:t>
      </w:r>
    </w:p>
    <w:p w:rsidR="000B78F3" w:rsidRPr="005E4D6A" w:rsidRDefault="000B78F3" w:rsidP="0063429E">
      <w:pPr>
        <w:ind w:left="360"/>
        <w:jc w:val="both"/>
        <w:rPr>
          <w:rFonts w:ascii="Times New Roman" w:hAnsi="Times New Roman"/>
          <w:b/>
          <w:bCs/>
        </w:rPr>
      </w:pPr>
      <w:r w:rsidRPr="005E4D6A">
        <w:rPr>
          <w:rFonts w:ascii="Times New Roman" w:hAnsi="Times New Roman"/>
          <w:b/>
          <w:bCs/>
        </w:rPr>
        <w:t xml:space="preserve">4) Summary of key statistics on blood transfusion facilities  </w:t>
      </w:r>
    </w:p>
    <w:p w:rsidR="000B78F3" w:rsidRPr="0063429E" w:rsidRDefault="000B78F3" w:rsidP="0063429E">
      <w:pPr>
        <w:ind w:firstLine="360"/>
        <w:jc w:val="both"/>
        <w:rPr>
          <w:rFonts w:ascii="Times New Roman" w:hAnsi="Times New Roman"/>
        </w:rPr>
      </w:pPr>
      <w:r>
        <w:rPr>
          <w:rFonts w:ascii="Times New Roman" w:hAnsi="Times New Roman"/>
        </w:rPr>
        <w:tab/>
      </w:r>
      <w:r w:rsidRPr="0063429E">
        <w:rPr>
          <w:rFonts w:ascii="Times New Roman" w:hAnsi="Times New Roman"/>
        </w:rPr>
        <w:t xml:space="preserve">Around 120 registered facilities engaged in blood transfusion. </w:t>
      </w:r>
    </w:p>
    <w:p w:rsidR="000B78F3" w:rsidRPr="0063429E" w:rsidRDefault="000B78F3" w:rsidP="0063429E">
      <w:pPr>
        <w:pStyle w:val="ListParagraph"/>
        <w:numPr>
          <w:ilvl w:val="0"/>
          <w:numId w:val="15"/>
        </w:numPr>
        <w:contextualSpacing/>
        <w:jc w:val="both"/>
        <w:rPr>
          <w:rFonts w:ascii="Times New Roman" w:hAnsi="Times New Roman"/>
        </w:rPr>
      </w:pPr>
      <w:r>
        <w:rPr>
          <w:rFonts w:ascii="Times New Roman" w:hAnsi="Times New Roman"/>
          <w:bCs/>
        </w:rPr>
        <w:t xml:space="preserve">1 </w:t>
      </w:r>
      <w:r w:rsidRPr="0063429E">
        <w:rPr>
          <w:rFonts w:ascii="Times New Roman" w:hAnsi="Times New Roman"/>
          <w:bCs/>
        </w:rPr>
        <w:t xml:space="preserve">blood establishment </w:t>
      </w:r>
    </w:p>
    <w:p w:rsidR="000B78F3" w:rsidRPr="0063429E" w:rsidRDefault="000B78F3" w:rsidP="0063429E">
      <w:pPr>
        <w:pStyle w:val="ListParagraph"/>
        <w:numPr>
          <w:ilvl w:val="0"/>
          <w:numId w:val="15"/>
        </w:numPr>
        <w:contextualSpacing/>
        <w:jc w:val="both"/>
        <w:rPr>
          <w:rFonts w:ascii="Times New Roman" w:hAnsi="Times New Roman"/>
        </w:rPr>
      </w:pPr>
      <w:r w:rsidRPr="0063429E">
        <w:rPr>
          <w:rFonts w:ascii="Times New Roman" w:hAnsi="Times New Roman"/>
          <w:bCs/>
        </w:rPr>
        <w:t xml:space="preserve">4 big blood banks (responsible for the collection of blood)  </w:t>
      </w:r>
    </w:p>
    <w:p w:rsidR="000B78F3" w:rsidRPr="0063429E" w:rsidRDefault="000B78F3" w:rsidP="0063429E">
      <w:pPr>
        <w:pStyle w:val="ListParagraph"/>
        <w:numPr>
          <w:ilvl w:val="0"/>
          <w:numId w:val="15"/>
        </w:numPr>
        <w:contextualSpacing/>
        <w:jc w:val="both"/>
        <w:rPr>
          <w:rFonts w:ascii="Times New Roman" w:hAnsi="Times New Roman"/>
        </w:rPr>
      </w:pPr>
      <w:r w:rsidRPr="0063429E">
        <w:rPr>
          <w:rFonts w:ascii="Times New Roman" w:hAnsi="Times New Roman"/>
          <w:bCs/>
        </w:rPr>
        <w:t>In total, approximately 115  Hospital Blood Banks are in activity (including 4 big banks mentioned above)</w:t>
      </w:r>
    </w:p>
    <w:p w:rsidR="000B78F3" w:rsidRPr="0063429E" w:rsidRDefault="000B78F3" w:rsidP="0063429E">
      <w:pPr>
        <w:pStyle w:val="ListParagraph"/>
        <w:numPr>
          <w:ilvl w:val="0"/>
          <w:numId w:val="15"/>
        </w:numPr>
        <w:contextualSpacing/>
        <w:jc w:val="both"/>
        <w:rPr>
          <w:rFonts w:ascii="Times New Roman" w:hAnsi="Times New Roman"/>
        </w:rPr>
      </w:pPr>
      <w:r w:rsidRPr="0063429E">
        <w:rPr>
          <w:rFonts w:ascii="Times New Roman" w:hAnsi="Times New Roman"/>
        </w:rPr>
        <w:t>In 2009, Sanquin supplied a total of 699,720 blood components to hospitals.</w:t>
      </w:r>
    </w:p>
    <w:p w:rsidR="000B78F3" w:rsidRPr="0063429E" w:rsidRDefault="000B78F3" w:rsidP="0063429E">
      <w:pPr>
        <w:pStyle w:val="ListParagraph"/>
        <w:jc w:val="both"/>
        <w:rPr>
          <w:rFonts w:ascii="Times New Roman" w:hAnsi="Times New Roman"/>
        </w:rPr>
      </w:pPr>
    </w:p>
    <w:p w:rsidR="000B78F3" w:rsidRPr="005E4D6A" w:rsidRDefault="000B78F3" w:rsidP="0063429E">
      <w:pPr>
        <w:ind w:left="360"/>
        <w:jc w:val="both"/>
        <w:rPr>
          <w:rFonts w:ascii="Times New Roman" w:hAnsi="Times New Roman"/>
          <w:b/>
          <w:bCs/>
        </w:rPr>
      </w:pPr>
      <w:r w:rsidRPr="005E4D6A">
        <w:rPr>
          <w:rFonts w:ascii="Times New Roman" w:hAnsi="Times New Roman"/>
          <w:b/>
          <w:bCs/>
        </w:rPr>
        <w:t xml:space="preserve">5) Reporting on blood transfusion related “adverse events.” </w:t>
      </w:r>
    </w:p>
    <w:p w:rsidR="000B78F3" w:rsidRPr="0063429E" w:rsidRDefault="000B78F3" w:rsidP="005E4D6A">
      <w:pPr>
        <w:pStyle w:val="NoSpacing"/>
        <w:ind w:left="540"/>
        <w:jc w:val="both"/>
        <w:rPr>
          <w:rFonts w:ascii="Times New Roman" w:hAnsi="Times New Roman"/>
        </w:rPr>
      </w:pPr>
      <w:r w:rsidRPr="0063429E">
        <w:rPr>
          <w:rFonts w:ascii="Times New Roman" w:hAnsi="Times New Roman"/>
        </w:rPr>
        <w:t xml:space="preserve">The reports from participating facilities contain various, rather detailed information. </w:t>
      </w:r>
    </w:p>
    <w:p w:rsidR="000B78F3" w:rsidRPr="0063429E" w:rsidRDefault="000B78F3" w:rsidP="0063429E">
      <w:pPr>
        <w:pStyle w:val="NoSpacing"/>
        <w:ind w:firstLine="360"/>
        <w:jc w:val="both"/>
        <w:rPr>
          <w:rFonts w:ascii="Times New Roman" w:hAnsi="Times New Roman"/>
        </w:rPr>
      </w:pPr>
    </w:p>
    <w:p w:rsidR="000B78F3" w:rsidRPr="0063429E" w:rsidRDefault="000B78F3" w:rsidP="0063429E">
      <w:pPr>
        <w:pStyle w:val="NoSpacing"/>
        <w:ind w:left="576"/>
        <w:jc w:val="both"/>
        <w:rPr>
          <w:rFonts w:ascii="Times New Roman" w:hAnsi="Times New Roman"/>
        </w:rPr>
      </w:pPr>
      <w:r w:rsidRPr="0063429E">
        <w:rPr>
          <w:rFonts w:ascii="Times New Roman" w:hAnsi="Times New Roman"/>
        </w:rPr>
        <w:t>A lot of information is attributed to incorrect blood transfused or blood that has become unsuitable for transfusion.</w:t>
      </w:r>
    </w:p>
    <w:p w:rsidR="000B78F3" w:rsidRPr="0063429E" w:rsidRDefault="000B78F3" w:rsidP="0063429E">
      <w:pPr>
        <w:pStyle w:val="NoSpacing"/>
        <w:jc w:val="both"/>
        <w:rPr>
          <w:rFonts w:ascii="Times New Roman" w:hAnsi="Times New Roman"/>
        </w:rPr>
      </w:pPr>
    </w:p>
    <w:p w:rsidR="000B78F3" w:rsidRPr="0063429E" w:rsidRDefault="000B78F3" w:rsidP="0063429E">
      <w:pPr>
        <w:pStyle w:val="NoSpacing"/>
        <w:ind w:left="576"/>
        <w:jc w:val="both"/>
        <w:rPr>
          <w:rFonts w:ascii="Times New Roman" w:hAnsi="Times New Roman"/>
        </w:rPr>
      </w:pPr>
      <w:r w:rsidRPr="0063429E">
        <w:rPr>
          <w:rFonts w:ascii="Times New Roman" w:hAnsi="Times New Roman"/>
        </w:rPr>
        <w:t xml:space="preserve">Imputability which is a measure of probability that the reaction resulted from the transfusion, is highly used and various from events considered “serious” ( 2 to 4 </w:t>
      </w:r>
      <w:r>
        <w:rPr>
          <w:rFonts w:ascii="Times New Roman" w:hAnsi="Times New Roman"/>
        </w:rPr>
        <w:t>on a scale) and non “serious” (</w:t>
      </w:r>
      <w:r w:rsidRPr="0063429E">
        <w:rPr>
          <w:rFonts w:ascii="Times New Roman" w:hAnsi="Times New Roman"/>
        </w:rPr>
        <w:t>0 to 2).</w:t>
      </w:r>
    </w:p>
    <w:p w:rsidR="000B78F3" w:rsidRPr="0063429E" w:rsidRDefault="000B78F3" w:rsidP="0063429E">
      <w:pPr>
        <w:pStyle w:val="NoSpacing"/>
        <w:jc w:val="both"/>
        <w:rPr>
          <w:rFonts w:ascii="Times New Roman" w:hAnsi="Times New Roman"/>
        </w:rPr>
      </w:pPr>
    </w:p>
    <w:p w:rsidR="000B78F3" w:rsidRPr="0063429E" w:rsidRDefault="000B78F3" w:rsidP="0063429E">
      <w:pPr>
        <w:pStyle w:val="NoSpacing"/>
        <w:ind w:left="576"/>
        <w:jc w:val="both"/>
        <w:rPr>
          <w:rFonts w:ascii="Times New Roman" w:hAnsi="Times New Roman"/>
        </w:rPr>
      </w:pPr>
      <w:r w:rsidRPr="0063429E">
        <w:rPr>
          <w:rFonts w:ascii="Times New Roman" w:hAnsi="Times New Roman"/>
        </w:rPr>
        <w:t xml:space="preserve">There were 2134 transfusion reactions reported in 2009 and 330 were considered certainly related to the transfusion. </w:t>
      </w:r>
    </w:p>
    <w:p w:rsidR="000B78F3" w:rsidRPr="0063429E" w:rsidRDefault="000B78F3" w:rsidP="0063429E">
      <w:pPr>
        <w:pStyle w:val="NoSpacing"/>
        <w:ind w:left="720"/>
        <w:jc w:val="both"/>
        <w:rPr>
          <w:rFonts w:ascii="Times New Roman" w:hAnsi="Times New Roman"/>
        </w:rPr>
      </w:pPr>
    </w:p>
    <w:p w:rsidR="000B78F3" w:rsidRPr="0063429E" w:rsidRDefault="000B78F3" w:rsidP="0063429E">
      <w:pPr>
        <w:pStyle w:val="NoSpacing"/>
        <w:ind w:left="576"/>
        <w:jc w:val="both"/>
        <w:rPr>
          <w:rFonts w:ascii="Times New Roman" w:hAnsi="Times New Roman"/>
        </w:rPr>
      </w:pPr>
      <w:r w:rsidRPr="0063429E">
        <w:rPr>
          <w:rFonts w:ascii="Times New Roman" w:hAnsi="Times New Roman"/>
        </w:rPr>
        <w:t xml:space="preserve">For example, out of the 2134 transfusion reactions reported in 2009, the imputability was listed for 2093 cases (98.1 %). </w:t>
      </w:r>
    </w:p>
    <w:p w:rsidR="000B78F3" w:rsidRPr="0063429E" w:rsidRDefault="000B78F3" w:rsidP="0063429E">
      <w:pPr>
        <w:pStyle w:val="NoSpacing"/>
        <w:ind w:left="576"/>
        <w:jc w:val="both"/>
        <w:rPr>
          <w:rFonts w:ascii="Times New Roman" w:hAnsi="Times New Roman"/>
        </w:rPr>
      </w:pPr>
      <w:r w:rsidRPr="0063429E">
        <w:rPr>
          <w:rFonts w:ascii="Times New Roman" w:hAnsi="Times New Roman"/>
        </w:rPr>
        <w:t>Of these, 330 reports (15.8 %) were considered certainly related to the transfusion, 623 (29.8 %) were probable, 975 (46.6 %) were possible, 145 (6.9 %) were unlikely and 20 (1.0 %) were excluded.</w:t>
      </w:r>
    </w:p>
    <w:p w:rsidR="000B78F3" w:rsidRPr="0063429E" w:rsidRDefault="000B78F3" w:rsidP="0063429E">
      <w:pPr>
        <w:pStyle w:val="ListParagraph"/>
        <w:jc w:val="both"/>
        <w:rPr>
          <w:rFonts w:ascii="Times New Roman" w:hAnsi="Times New Roman"/>
        </w:rPr>
      </w:pPr>
    </w:p>
    <w:p w:rsidR="000B78F3" w:rsidRPr="005E4D6A" w:rsidRDefault="000B78F3" w:rsidP="0063429E">
      <w:pPr>
        <w:pStyle w:val="ListParagraph"/>
        <w:numPr>
          <w:ilvl w:val="0"/>
          <w:numId w:val="16"/>
        </w:numPr>
        <w:contextualSpacing/>
        <w:jc w:val="both"/>
        <w:rPr>
          <w:rFonts w:ascii="Times New Roman" w:hAnsi="Times New Roman"/>
          <w:b/>
          <w:bCs/>
        </w:rPr>
      </w:pPr>
      <w:r w:rsidRPr="005E4D6A">
        <w:rPr>
          <w:rFonts w:ascii="Times New Roman" w:hAnsi="Times New Roman"/>
          <w:b/>
          <w:bCs/>
        </w:rPr>
        <w:t>Standards used</w:t>
      </w:r>
    </w:p>
    <w:p w:rsidR="000B78F3" w:rsidRPr="0063429E" w:rsidRDefault="000B78F3" w:rsidP="0063429E">
      <w:pPr>
        <w:pStyle w:val="ListParagraph"/>
        <w:jc w:val="both"/>
        <w:rPr>
          <w:rFonts w:ascii="Times New Roman" w:hAnsi="Times New Roman"/>
        </w:rPr>
      </w:pPr>
      <w:r w:rsidRPr="0063429E">
        <w:rPr>
          <w:rFonts w:ascii="Times New Roman" w:hAnsi="Times New Roman"/>
        </w:rPr>
        <w:t>ISBT 128 for labeling, coding and identification of blood, blood components, tissues and cells</w:t>
      </w:r>
    </w:p>
    <w:p w:rsidR="000B78F3" w:rsidRPr="005E4D6A" w:rsidRDefault="000B78F3" w:rsidP="0063429E">
      <w:pPr>
        <w:pStyle w:val="ListParagraph"/>
        <w:numPr>
          <w:ilvl w:val="0"/>
          <w:numId w:val="16"/>
        </w:numPr>
        <w:contextualSpacing/>
        <w:jc w:val="both"/>
        <w:rPr>
          <w:rFonts w:ascii="Times New Roman" w:hAnsi="Times New Roman"/>
          <w:b/>
          <w:bCs/>
        </w:rPr>
      </w:pPr>
      <w:r w:rsidRPr="005E4D6A">
        <w:rPr>
          <w:rFonts w:ascii="Times New Roman" w:hAnsi="Times New Roman"/>
          <w:b/>
          <w:bCs/>
        </w:rPr>
        <w:t>Sources / references</w:t>
      </w:r>
    </w:p>
    <w:p w:rsidR="000B78F3" w:rsidRPr="0063429E" w:rsidRDefault="000B78F3" w:rsidP="0063429E">
      <w:pPr>
        <w:ind w:left="708"/>
        <w:jc w:val="both"/>
        <w:rPr>
          <w:rFonts w:ascii="Times New Roman" w:hAnsi="Times New Roman"/>
        </w:rPr>
      </w:pPr>
      <w:r w:rsidRPr="0063429E">
        <w:rPr>
          <w:rFonts w:ascii="Times New Roman" w:hAnsi="Times New Roman"/>
        </w:rPr>
        <w:t>Documents used: European commission public health and risk assessment questionnaire 2008, TRIP annual haemovigilance report 2009</w:t>
      </w:r>
    </w:p>
    <w:p w:rsidR="000B78F3" w:rsidRPr="0063429E" w:rsidRDefault="000B78F3" w:rsidP="0063429E">
      <w:pPr>
        <w:ind w:left="708"/>
        <w:jc w:val="both"/>
        <w:rPr>
          <w:rFonts w:ascii="Times New Roman" w:hAnsi="Times New Roman"/>
        </w:rPr>
      </w:pPr>
      <w:r w:rsidRPr="0063429E">
        <w:rPr>
          <w:rFonts w:ascii="Times New Roman" w:hAnsi="Times New Roman"/>
        </w:rPr>
        <w:t>_______________________________________________________</w:t>
      </w:r>
    </w:p>
    <w:p w:rsidR="000B78F3" w:rsidRPr="0063429E" w:rsidRDefault="000B78F3" w:rsidP="0063429E">
      <w:pPr>
        <w:ind w:left="360"/>
        <w:jc w:val="both"/>
        <w:rPr>
          <w:rFonts w:ascii="Times New Roman" w:hAnsi="Times New Roman"/>
          <w:b/>
          <w:sz w:val="32"/>
          <w:szCs w:val="32"/>
        </w:rPr>
      </w:pPr>
      <w:r w:rsidRPr="0063429E">
        <w:rPr>
          <w:rFonts w:ascii="Times New Roman" w:hAnsi="Times New Roman"/>
          <w:b/>
          <w:sz w:val="32"/>
          <w:szCs w:val="32"/>
        </w:rPr>
        <w:t>SWITZERLAND</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Abbreviations: </w:t>
      </w:r>
    </w:p>
    <w:p w:rsidR="000B78F3" w:rsidRPr="0063429E" w:rsidRDefault="000B78F3" w:rsidP="0063429E">
      <w:pPr>
        <w:ind w:left="360"/>
        <w:jc w:val="both"/>
        <w:rPr>
          <w:rFonts w:ascii="Times New Roman" w:hAnsi="Times New Roman"/>
        </w:rPr>
      </w:pPr>
      <w:r w:rsidRPr="0063429E">
        <w:rPr>
          <w:rFonts w:ascii="Times New Roman" w:hAnsi="Times New Roman"/>
        </w:rPr>
        <w:t>LTP:</w:t>
      </w:r>
      <w:r>
        <w:rPr>
          <w:rFonts w:ascii="Times New Roman" w:hAnsi="Times New Roman"/>
        </w:rPr>
        <w:tab/>
      </w:r>
      <w:r w:rsidRPr="0063429E">
        <w:rPr>
          <w:rFonts w:ascii="Times New Roman" w:hAnsi="Times New Roman"/>
        </w:rPr>
        <w:t>Law on Therapeutic Products</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BTC: </w:t>
      </w:r>
      <w:r>
        <w:rPr>
          <w:rFonts w:ascii="Times New Roman" w:hAnsi="Times New Roman"/>
        </w:rPr>
        <w:tab/>
      </w:r>
      <w:r w:rsidRPr="0063429E">
        <w:rPr>
          <w:rFonts w:ascii="Times New Roman" w:hAnsi="Times New Roman"/>
        </w:rPr>
        <w:t>Blood Transfusion Center</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BTS SRC: </w:t>
      </w:r>
      <w:r>
        <w:rPr>
          <w:rFonts w:ascii="Times New Roman" w:hAnsi="Times New Roman"/>
        </w:rPr>
        <w:tab/>
      </w:r>
      <w:r w:rsidRPr="0063429E">
        <w:rPr>
          <w:rFonts w:ascii="Times New Roman" w:hAnsi="Times New Roman"/>
        </w:rPr>
        <w:t>Blood Transfusion Service of the Swiss Red Cross</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SAE:  </w:t>
      </w:r>
      <w:r>
        <w:rPr>
          <w:rFonts w:ascii="Times New Roman" w:hAnsi="Times New Roman"/>
        </w:rPr>
        <w:tab/>
      </w:r>
      <w:r w:rsidRPr="0063429E">
        <w:rPr>
          <w:rFonts w:ascii="Times New Roman" w:hAnsi="Times New Roman"/>
        </w:rPr>
        <w:t>Serious Adverse Event</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SAR: </w:t>
      </w:r>
      <w:r>
        <w:rPr>
          <w:rFonts w:ascii="Times New Roman" w:hAnsi="Times New Roman"/>
        </w:rPr>
        <w:tab/>
      </w:r>
      <w:r w:rsidRPr="0063429E">
        <w:rPr>
          <w:rFonts w:ascii="Times New Roman" w:hAnsi="Times New Roman"/>
        </w:rPr>
        <w:t>Serious Adverse Reaction</w:t>
      </w:r>
    </w:p>
    <w:p w:rsidR="000B78F3" w:rsidRPr="0063429E" w:rsidRDefault="000B78F3" w:rsidP="0063429E">
      <w:pPr>
        <w:ind w:left="360"/>
        <w:jc w:val="both"/>
        <w:rPr>
          <w:rFonts w:ascii="Times New Roman" w:hAnsi="Times New Roman"/>
        </w:rPr>
      </w:pPr>
      <w:r w:rsidRPr="0063429E">
        <w:rPr>
          <w:rFonts w:ascii="Times New Roman" w:hAnsi="Times New Roman"/>
        </w:rPr>
        <w:t xml:space="preserve">RAR: </w:t>
      </w:r>
      <w:r>
        <w:rPr>
          <w:rFonts w:ascii="Times New Roman" w:hAnsi="Times New Roman"/>
        </w:rPr>
        <w:tab/>
      </w:r>
      <w:r w:rsidRPr="0063429E">
        <w:rPr>
          <w:rFonts w:ascii="Times New Roman" w:hAnsi="Times New Roman"/>
        </w:rPr>
        <w:t>Recipient Adverse Reaction</w:t>
      </w:r>
    </w:p>
    <w:p w:rsidR="000B78F3" w:rsidRPr="0063429E" w:rsidRDefault="000B78F3" w:rsidP="0063429E">
      <w:pPr>
        <w:ind w:left="360"/>
        <w:jc w:val="both"/>
        <w:rPr>
          <w:rFonts w:ascii="Times New Roman" w:hAnsi="Times New Roman"/>
          <w:b/>
          <w:sz w:val="28"/>
          <w:szCs w:val="28"/>
        </w:rPr>
      </w:pPr>
    </w:p>
    <w:p w:rsidR="000B78F3" w:rsidRPr="0063429E" w:rsidRDefault="000B78F3" w:rsidP="0063429E">
      <w:pPr>
        <w:ind w:left="360"/>
        <w:jc w:val="both"/>
        <w:rPr>
          <w:rFonts w:ascii="Times New Roman" w:hAnsi="Times New Roman"/>
          <w:b/>
          <w:sz w:val="28"/>
          <w:szCs w:val="28"/>
        </w:rPr>
      </w:pPr>
      <w:r>
        <w:rPr>
          <w:rFonts w:ascii="Times New Roman" w:hAnsi="Times New Roman"/>
          <w:b/>
          <w:sz w:val="28"/>
          <w:szCs w:val="28"/>
        </w:rPr>
        <w:t>S</w:t>
      </w:r>
      <w:r w:rsidRPr="0063429E">
        <w:rPr>
          <w:rFonts w:ascii="Times New Roman" w:hAnsi="Times New Roman"/>
          <w:b/>
          <w:sz w:val="28"/>
          <w:szCs w:val="28"/>
        </w:rPr>
        <w:t xml:space="preserve">ummary information </w:t>
      </w:r>
    </w:p>
    <w:p w:rsidR="000B78F3" w:rsidRPr="005E4D6A" w:rsidRDefault="000B78F3" w:rsidP="0063429E">
      <w:pPr>
        <w:pStyle w:val="ListParagraph"/>
        <w:numPr>
          <w:ilvl w:val="0"/>
          <w:numId w:val="17"/>
        </w:numPr>
        <w:contextualSpacing/>
        <w:jc w:val="both"/>
        <w:rPr>
          <w:rFonts w:ascii="Times New Roman" w:hAnsi="Times New Roman"/>
          <w:b/>
          <w:bCs/>
        </w:rPr>
      </w:pPr>
      <w:r w:rsidRPr="005E4D6A">
        <w:rPr>
          <w:rFonts w:ascii="Times New Roman" w:hAnsi="Times New Roman"/>
          <w:b/>
          <w:bCs/>
        </w:rPr>
        <w:t>Legal framework</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Switzerland is not a Member State of the European Union. But the existing regulations on blood transfusion in Switzerland are equivalent to the requirements</w:t>
      </w:r>
      <w:r>
        <w:rPr>
          <w:rFonts w:ascii="Times New Roman" w:hAnsi="Times New Roman"/>
        </w:rPr>
        <w:t xml:space="preserve"> set in Directives 2002/98/EC. 2004/33/EC</w:t>
      </w:r>
      <w:r w:rsidRPr="0063429E">
        <w:rPr>
          <w:rFonts w:ascii="Times New Roman" w:hAnsi="Times New Roman"/>
        </w:rPr>
        <w:t>, 2005/61/EC and 2005/62/EC. It should be noted that in Switzerland national transfusion regulations are not mandatory,</w:t>
      </w:r>
    </w:p>
    <w:p w:rsidR="000B78F3"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Law on Therapeutic Products (LTP) applies to synthetic human drugs, biotechnology, vaccines, medical devices, implants, diagnostic agents and blood products. Special dispositions concern blood and blood components whose preparation must comply with the requirements in place for drugs.</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 xml:space="preserve">The Law provides for setting of a federal drug regulatory authority (Swismedic; see below) with powers for the whole country. </w:t>
      </w:r>
    </w:p>
    <w:p w:rsidR="000B78F3" w:rsidRPr="0063429E" w:rsidRDefault="000B78F3" w:rsidP="0063429E">
      <w:pPr>
        <w:pStyle w:val="ListParagraph"/>
        <w:jc w:val="both"/>
        <w:rPr>
          <w:rFonts w:ascii="Times New Roman" w:hAnsi="Times New Roman"/>
          <w:bCs/>
        </w:rPr>
      </w:pPr>
    </w:p>
    <w:p w:rsidR="000B78F3" w:rsidRPr="005E4D6A" w:rsidRDefault="000B78F3" w:rsidP="0063429E">
      <w:pPr>
        <w:pStyle w:val="ListParagraph"/>
        <w:numPr>
          <w:ilvl w:val="0"/>
          <w:numId w:val="17"/>
        </w:numPr>
        <w:contextualSpacing/>
        <w:jc w:val="both"/>
        <w:rPr>
          <w:rFonts w:ascii="Times New Roman" w:hAnsi="Times New Roman"/>
          <w:b/>
          <w:bCs/>
        </w:rPr>
      </w:pPr>
      <w:r w:rsidRPr="005E4D6A">
        <w:rPr>
          <w:rFonts w:ascii="Times New Roman" w:hAnsi="Times New Roman"/>
          <w:b/>
          <w:bCs/>
        </w:rPr>
        <w:t>Control and implementation institutional framework</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 xml:space="preserve">a) Swissmedic (Swiss Agency for Therapeutic Products) </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 xml:space="preserve">b) Federal Office of Public Health </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 xml:space="preserve">Swissmedic is the central Swiss supervisory authority for therapeutic products (human and veterinary medicines together with medical devices). It is linked to the Federal Department of Home Affairs (FDHA). Swissmedic's administrates practical implementation of the Swiss Law on Therapeutic Products (LTP). </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The Federal Office of Public Health (FOPH), as the national authority in health matters, is a  part of the Federal Department of Home Affairs and represents Switzerland in international organisations and in dealings with other countries. It is responsible - together with the cantons - for public health and the development of national health policy including monitoring transmissible diseases, radiological protection, regulations governing the basic and advanced training of doctors, dentists, pharmacists and veterinary surgeons and for legislation on biological safety, research on humans, stem cell research and transplantation medicine. It is drafting the laws and regulations and supervises the implementation.</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The status of  Swissmedic is defined by the law (LTP) as a federal regulatory body whose decisions are mandatory all over the country, which guarantees quality, safety and efficiency of drugs and performs consequently regular inspections of all BTC preparing and releasing blood components. BTC (blood transfusion center) receive after each inspection an official license in order to carry out their activity.</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Currently, there are no formal mandatory national transfusion regulations or guidelines in Switzerland. The Blood Transfusion Service of the Swiss Red Cross Ltd (BTS SRC), a non-profit organisation, is in charge of the reference activities in immunohaemotology and serology, and issues the national recommendations and guidelines that regulate the standards of quality and logistics for blood donations.</w:t>
      </w:r>
    </w:p>
    <w:p w:rsidR="000B78F3" w:rsidRPr="0063429E" w:rsidRDefault="000B78F3" w:rsidP="0063429E">
      <w:pPr>
        <w:autoSpaceDE w:val="0"/>
        <w:autoSpaceDN w:val="0"/>
        <w:adjustRightInd w:val="0"/>
        <w:spacing w:after="0" w:line="240" w:lineRule="auto"/>
        <w:ind w:left="720"/>
        <w:jc w:val="both"/>
        <w:rPr>
          <w:rFonts w:ascii="Times New Roman" w:hAnsi="Times New Roman"/>
        </w:rPr>
      </w:pPr>
      <w:r w:rsidRPr="0063429E">
        <w:rPr>
          <w:rFonts w:ascii="Times New Roman" w:hAnsi="Times New Roman"/>
        </w:rPr>
        <w:t>But the appropriate use of these components is not yet regulated by law: national transfusion guidelines per se do not exist in Switzerland</w:t>
      </w:r>
    </w:p>
    <w:p w:rsidR="000B78F3" w:rsidRPr="0063429E" w:rsidRDefault="000B78F3" w:rsidP="0063429E">
      <w:pPr>
        <w:pStyle w:val="ListParagraph"/>
        <w:jc w:val="both"/>
        <w:rPr>
          <w:rFonts w:ascii="Times New Roman" w:hAnsi="Times New Roman"/>
        </w:rPr>
      </w:pPr>
    </w:p>
    <w:p w:rsidR="000B78F3" w:rsidRPr="005E4D6A" w:rsidRDefault="000B78F3" w:rsidP="0063429E">
      <w:pPr>
        <w:pStyle w:val="ListParagraph"/>
        <w:numPr>
          <w:ilvl w:val="0"/>
          <w:numId w:val="17"/>
        </w:numPr>
        <w:contextualSpacing/>
        <w:jc w:val="both"/>
        <w:rPr>
          <w:rFonts w:ascii="Times New Roman" w:hAnsi="Times New Roman"/>
          <w:b/>
          <w:bCs/>
        </w:rPr>
      </w:pPr>
      <w:r w:rsidRPr="005E4D6A">
        <w:rPr>
          <w:rFonts w:ascii="Times New Roman" w:hAnsi="Times New Roman"/>
          <w:b/>
          <w:bCs/>
        </w:rPr>
        <w:t>Haemovigilance system</w:t>
      </w:r>
    </w:p>
    <w:p w:rsidR="000B78F3" w:rsidRPr="0063429E" w:rsidRDefault="000B78F3" w:rsidP="0063429E">
      <w:pPr>
        <w:pStyle w:val="ListParagraph"/>
        <w:autoSpaceDE w:val="0"/>
        <w:autoSpaceDN w:val="0"/>
        <w:adjustRightInd w:val="0"/>
        <w:spacing w:after="0" w:line="240" w:lineRule="auto"/>
        <w:jc w:val="both"/>
        <w:rPr>
          <w:rFonts w:ascii="Times New Roman" w:hAnsi="Times New Roman"/>
        </w:rPr>
      </w:pPr>
    </w:p>
    <w:p w:rsidR="000B78F3" w:rsidRPr="0063429E" w:rsidRDefault="000B78F3" w:rsidP="0063429E">
      <w:pPr>
        <w:pStyle w:val="NoSpacing"/>
        <w:ind w:left="360"/>
        <w:jc w:val="both"/>
        <w:rPr>
          <w:rFonts w:ascii="Times New Roman" w:hAnsi="Times New Roman"/>
        </w:rPr>
      </w:pPr>
      <w:r w:rsidRPr="0063429E">
        <w:rPr>
          <w:rFonts w:ascii="Times New Roman" w:hAnsi="Times New Roman"/>
        </w:rPr>
        <w:tab/>
        <w:t xml:space="preserve">In Switzerland, all transfusion related adverse events and reactions, irrespective of their grade </w:t>
      </w:r>
      <w:r w:rsidRPr="0063429E">
        <w:rPr>
          <w:rFonts w:ascii="Times New Roman" w:hAnsi="Times New Roman"/>
        </w:rPr>
        <w:tab/>
        <w:t xml:space="preserve">of severity, are eligible for reporting. The reports are reviewed by the haemovigilance team at </w:t>
      </w:r>
      <w:r w:rsidRPr="0063429E">
        <w:rPr>
          <w:rFonts w:ascii="Times New Roman" w:hAnsi="Times New Roman"/>
        </w:rPr>
        <w:tab/>
        <w:t>Swissmedic and evaluated.</w:t>
      </w:r>
    </w:p>
    <w:p w:rsidR="000B78F3" w:rsidRPr="0063429E" w:rsidRDefault="000B78F3" w:rsidP="0063429E">
      <w:pPr>
        <w:pStyle w:val="NoSpacing"/>
        <w:ind w:left="360"/>
        <w:jc w:val="both"/>
        <w:rPr>
          <w:rFonts w:ascii="Times New Roman" w:hAnsi="Times New Roman"/>
        </w:rPr>
      </w:pPr>
    </w:p>
    <w:p w:rsidR="000B78F3" w:rsidRPr="0063429E" w:rsidRDefault="000B78F3" w:rsidP="0063429E">
      <w:pPr>
        <w:pStyle w:val="NoSpacing"/>
        <w:ind w:left="360"/>
        <w:jc w:val="both"/>
        <w:rPr>
          <w:rFonts w:ascii="Times New Roman" w:hAnsi="Times New Roman"/>
        </w:rPr>
      </w:pPr>
      <w:r w:rsidRPr="0063429E">
        <w:rPr>
          <w:rFonts w:ascii="Times New Roman" w:hAnsi="Times New Roman"/>
        </w:rPr>
        <w:tab/>
        <w:t xml:space="preserve">Reporting to Swissmedic (the Swiss agency for therapeutic products) of all suspected adverse </w:t>
      </w:r>
      <w:r w:rsidRPr="0063429E">
        <w:rPr>
          <w:rFonts w:ascii="Times New Roman" w:hAnsi="Times New Roman"/>
        </w:rPr>
        <w:tab/>
        <w:t>transfusion events in  a standardized format is mandatory.</w:t>
      </w:r>
    </w:p>
    <w:p w:rsidR="000B78F3" w:rsidRPr="0063429E" w:rsidRDefault="000B78F3" w:rsidP="0063429E">
      <w:pPr>
        <w:autoSpaceDE w:val="0"/>
        <w:autoSpaceDN w:val="0"/>
        <w:adjustRightInd w:val="0"/>
        <w:spacing w:after="0" w:line="240" w:lineRule="auto"/>
        <w:jc w:val="both"/>
        <w:rPr>
          <w:rFonts w:ascii="Times New Roman" w:hAnsi="Times New Roman"/>
        </w:rPr>
      </w:pPr>
    </w:p>
    <w:p w:rsidR="000B78F3" w:rsidRPr="0063429E" w:rsidRDefault="000B78F3" w:rsidP="0063429E">
      <w:pPr>
        <w:autoSpaceDE w:val="0"/>
        <w:autoSpaceDN w:val="0"/>
        <w:adjustRightInd w:val="0"/>
        <w:spacing w:after="0" w:line="240" w:lineRule="auto"/>
        <w:ind w:left="360"/>
        <w:jc w:val="both"/>
        <w:rPr>
          <w:rFonts w:ascii="Times New Roman" w:hAnsi="Times New Roman"/>
        </w:rPr>
      </w:pPr>
      <w:r w:rsidRPr="0063429E">
        <w:rPr>
          <w:rFonts w:ascii="Times New Roman" w:hAnsi="Times New Roman"/>
        </w:rPr>
        <w:tab/>
        <w:t xml:space="preserve">Hospital blood banks are required to have a cantonal establishment license. Some basic </w:t>
      </w:r>
      <w:r w:rsidRPr="0063429E">
        <w:rPr>
          <w:rFonts w:ascii="Times New Roman" w:hAnsi="Times New Roman"/>
        </w:rPr>
        <w:tab/>
        <w:t xml:space="preserve">requirements (e.g. archiving of documents) which are comparable to the EU provisions are </w:t>
      </w:r>
      <w:r w:rsidRPr="0063429E">
        <w:rPr>
          <w:rFonts w:ascii="Times New Roman" w:hAnsi="Times New Roman"/>
        </w:rPr>
        <w:tab/>
        <w:t xml:space="preserve">laid down in the national Law on Therapeutic Products. In addition, additional cantonal </w:t>
      </w:r>
      <w:r w:rsidRPr="0063429E">
        <w:rPr>
          <w:rFonts w:ascii="Times New Roman" w:hAnsi="Times New Roman"/>
        </w:rPr>
        <w:tab/>
        <w:t>regulations exist for hospital blood banks.</w:t>
      </w:r>
    </w:p>
    <w:p w:rsidR="000B78F3" w:rsidRPr="0063429E" w:rsidRDefault="000B78F3" w:rsidP="0063429E">
      <w:pPr>
        <w:jc w:val="both"/>
        <w:rPr>
          <w:rFonts w:ascii="Times New Roman" w:hAnsi="Times New Roman"/>
        </w:rPr>
      </w:pPr>
    </w:p>
    <w:p w:rsidR="000B78F3" w:rsidRPr="0063429E" w:rsidRDefault="000B78F3" w:rsidP="0063429E">
      <w:pPr>
        <w:ind w:left="360"/>
        <w:jc w:val="both"/>
        <w:rPr>
          <w:rFonts w:ascii="Times New Roman" w:hAnsi="Times New Roman"/>
        </w:rPr>
      </w:pPr>
      <w:r w:rsidRPr="0063429E">
        <w:rPr>
          <w:rFonts w:ascii="Times New Roman" w:hAnsi="Times New Roman"/>
        </w:rPr>
        <w:tab/>
        <w:t xml:space="preserve">The Division Inspectorates of Swissmedic conducts these inspections and has a quality </w:t>
      </w:r>
      <w:r w:rsidRPr="0063429E">
        <w:rPr>
          <w:rFonts w:ascii="Times New Roman" w:hAnsi="Times New Roman"/>
        </w:rPr>
        <w:tab/>
        <w:t>management system and accreditation according to ISO 17020 for their activities.</w:t>
      </w:r>
    </w:p>
    <w:p w:rsidR="000B78F3" w:rsidRPr="005E4D6A" w:rsidRDefault="000B78F3" w:rsidP="0063429E">
      <w:pPr>
        <w:pStyle w:val="ListParagraph"/>
        <w:numPr>
          <w:ilvl w:val="0"/>
          <w:numId w:val="17"/>
        </w:numPr>
        <w:contextualSpacing/>
        <w:jc w:val="both"/>
        <w:rPr>
          <w:rFonts w:ascii="Times New Roman" w:hAnsi="Times New Roman"/>
          <w:b/>
          <w:bCs/>
        </w:rPr>
      </w:pPr>
      <w:r w:rsidRPr="005E4D6A">
        <w:rPr>
          <w:rFonts w:ascii="Times New Roman" w:hAnsi="Times New Roman"/>
          <w:b/>
          <w:bCs/>
        </w:rPr>
        <w:t xml:space="preserve">Summary of key statistics on blood transfusion facilities </w:t>
      </w:r>
    </w:p>
    <w:p w:rsidR="000B78F3" w:rsidRPr="0063429E" w:rsidRDefault="000B78F3" w:rsidP="0063429E">
      <w:pPr>
        <w:pStyle w:val="ListParagraph"/>
        <w:jc w:val="both"/>
        <w:rPr>
          <w:rFonts w:ascii="Times New Roman" w:hAnsi="Times New Roman"/>
        </w:rPr>
      </w:pPr>
      <w:r w:rsidRPr="0063429E">
        <w:rPr>
          <w:rFonts w:ascii="Times New Roman" w:hAnsi="Times New Roman"/>
        </w:rPr>
        <w:t>There are around 200 registered facilities in the country.</w:t>
      </w:r>
    </w:p>
    <w:p w:rsidR="000B78F3" w:rsidRPr="0063429E" w:rsidRDefault="000B78F3" w:rsidP="0063429E">
      <w:pPr>
        <w:pStyle w:val="ListParagraph"/>
        <w:jc w:val="both"/>
        <w:rPr>
          <w:rFonts w:ascii="Times New Roman" w:hAnsi="Times New Roman"/>
        </w:rPr>
      </w:pPr>
      <w:r w:rsidRPr="0063429E">
        <w:rPr>
          <w:rFonts w:ascii="Times New Roman" w:hAnsi="Times New Roman"/>
        </w:rPr>
        <w:t xml:space="preserve">Licensing process distinguishes between those establishments which collect  blood and those which  perform serology testing. </w:t>
      </w:r>
    </w:p>
    <w:p w:rsidR="000B78F3" w:rsidRPr="0063429E" w:rsidRDefault="000B78F3" w:rsidP="0063429E">
      <w:pPr>
        <w:pStyle w:val="ListParagraph"/>
        <w:jc w:val="both"/>
        <w:rPr>
          <w:rFonts w:ascii="Times New Roman" w:hAnsi="Times New Roman"/>
        </w:rPr>
      </w:pPr>
      <w:r w:rsidRPr="0063429E">
        <w:rPr>
          <w:rFonts w:ascii="Times New Roman" w:hAnsi="Times New Roman"/>
        </w:rPr>
        <w:t>In Switzerland, 54 Establishments have licenses as blood establishments which perform collection and/or processing activities, and 50 Establishments - licenses for establishments which perform serology testing. These establishment’s licenses may cover multiple sites (e.g. for collection)</w:t>
      </w:r>
    </w:p>
    <w:p w:rsidR="000B78F3" w:rsidRPr="0063429E" w:rsidRDefault="000B78F3" w:rsidP="0063429E">
      <w:pPr>
        <w:pStyle w:val="NoSpacing"/>
        <w:ind w:left="720"/>
        <w:jc w:val="both"/>
        <w:rPr>
          <w:rFonts w:ascii="Times New Roman" w:hAnsi="Times New Roman"/>
        </w:rPr>
      </w:pPr>
    </w:p>
    <w:p w:rsidR="000B78F3" w:rsidRPr="0063429E" w:rsidRDefault="000B78F3" w:rsidP="0063429E">
      <w:pPr>
        <w:pStyle w:val="NoSpacing"/>
        <w:ind w:left="720"/>
        <w:jc w:val="both"/>
        <w:rPr>
          <w:rFonts w:ascii="Times New Roman" w:hAnsi="Times New Roman"/>
        </w:rPr>
      </w:pPr>
      <w:r w:rsidRPr="0063429E">
        <w:rPr>
          <w:rFonts w:ascii="Times New Roman" w:hAnsi="Times New Roman"/>
        </w:rPr>
        <w:t xml:space="preserve">Approximately 100 blood banks are in activity, Authorisation for the storage of blood components (only if there are no other activities regarding blood) are issued by a cantonal authority. </w:t>
      </w:r>
    </w:p>
    <w:p w:rsidR="000B78F3" w:rsidRDefault="000B78F3" w:rsidP="0063429E">
      <w:pPr>
        <w:pStyle w:val="NoSpacing"/>
        <w:ind w:left="720"/>
        <w:jc w:val="both"/>
        <w:rPr>
          <w:rFonts w:ascii="Times New Roman" w:hAnsi="Times New Roman"/>
        </w:rPr>
      </w:pPr>
    </w:p>
    <w:p w:rsidR="000B78F3" w:rsidRPr="0063429E" w:rsidRDefault="000B78F3" w:rsidP="0063429E">
      <w:pPr>
        <w:pStyle w:val="NoSpacing"/>
        <w:ind w:left="720"/>
        <w:jc w:val="both"/>
        <w:rPr>
          <w:rFonts w:ascii="Times New Roman" w:hAnsi="Times New Roman"/>
        </w:rPr>
      </w:pPr>
      <w:r w:rsidRPr="0063429E">
        <w:rPr>
          <w:rFonts w:ascii="Times New Roman" w:hAnsi="Times New Roman"/>
        </w:rPr>
        <w:t>There is no open official statistics neither on a federal nor cantonal levels on the exact number of establishments holding an authorisation issued by the cantonal authorities.</w:t>
      </w:r>
    </w:p>
    <w:p w:rsidR="000B78F3" w:rsidRPr="0063429E" w:rsidRDefault="000B78F3" w:rsidP="0063429E">
      <w:pPr>
        <w:autoSpaceDE w:val="0"/>
        <w:autoSpaceDN w:val="0"/>
        <w:adjustRightInd w:val="0"/>
        <w:spacing w:after="0" w:line="240" w:lineRule="auto"/>
        <w:jc w:val="both"/>
        <w:rPr>
          <w:rFonts w:ascii="Times New Roman" w:hAnsi="Times New Roman"/>
        </w:rPr>
      </w:pPr>
    </w:p>
    <w:p w:rsidR="000B78F3" w:rsidRPr="005E4D6A" w:rsidRDefault="000B78F3" w:rsidP="0063429E">
      <w:pPr>
        <w:pStyle w:val="ListParagraph"/>
        <w:numPr>
          <w:ilvl w:val="0"/>
          <w:numId w:val="17"/>
        </w:numPr>
        <w:autoSpaceDE w:val="0"/>
        <w:autoSpaceDN w:val="0"/>
        <w:adjustRightInd w:val="0"/>
        <w:spacing w:after="0" w:line="240" w:lineRule="auto"/>
        <w:contextualSpacing/>
        <w:jc w:val="both"/>
        <w:rPr>
          <w:rFonts w:ascii="Times New Roman" w:hAnsi="Times New Roman"/>
          <w:b/>
          <w:bCs/>
        </w:rPr>
      </w:pPr>
      <w:r w:rsidRPr="005E4D6A">
        <w:rPr>
          <w:rFonts w:ascii="Times New Roman" w:hAnsi="Times New Roman"/>
          <w:b/>
          <w:bCs/>
        </w:rPr>
        <w:t xml:space="preserve">Reporting on blood transfusion related “adverse events” </w:t>
      </w:r>
    </w:p>
    <w:p w:rsidR="000B78F3" w:rsidRPr="0063429E" w:rsidRDefault="000B78F3" w:rsidP="0063429E">
      <w:pPr>
        <w:pStyle w:val="NoSpacing"/>
        <w:ind w:left="720"/>
        <w:jc w:val="both"/>
        <w:rPr>
          <w:rFonts w:ascii="Times New Roman" w:hAnsi="Times New Roman"/>
        </w:rPr>
      </w:pPr>
    </w:p>
    <w:p w:rsidR="000B78F3" w:rsidRPr="0063429E" w:rsidRDefault="000B78F3" w:rsidP="0063429E">
      <w:pPr>
        <w:pStyle w:val="NoSpacing"/>
        <w:ind w:left="720"/>
        <w:jc w:val="both"/>
        <w:rPr>
          <w:rFonts w:ascii="Times New Roman" w:hAnsi="Times New Roman"/>
        </w:rPr>
      </w:pPr>
      <w:r w:rsidRPr="0063429E">
        <w:rPr>
          <w:rFonts w:ascii="Times New Roman" w:hAnsi="Times New Roman"/>
        </w:rPr>
        <w:t>In Switzerland, all transfusion related adverse events and reactions, irrespective of their grade of severity, are eligible for reporting.</w:t>
      </w:r>
    </w:p>
    <w:p w:rsidR="000B78F3" w:rsidRPr="0063429E" w:rsidRDefault="000B78F3" w:rsidP="0063429E">
      <w:pPr>
        <w:pStyle w:val="NoSpacing"/>
        <w:ind w:left="720"/>
        <w:jc w:val="both"/>
        <w:rPr>
          <w:rFonts w:ascii="Times New Roman" w:hAnsi="Times New Roman"/>
        </w:rPr>
      </w:pPr>
      <w:r w:rsidRPr="0063429E">
        <w:rPr>
          <w:rFonts w:ascii="Times New Roman" w:hAnsi="Times New Roman"/>
        </w:rPr>
        <w:t xml:space="preserve">In 2009, according to Swiss sources 538 “serious events” were reported: No details were provided but it is highly probable that they are linked to a transfusion. </w:t>
      </w:r>
    </w:p>
    <w:p w:rsidR="000B78F3" w:rsidRPr="0063429E" w:rsidRDefault="000B78F3" w:rsidP="0063429E">
      <w:pPr>
        <w:pStyle w:val="NoSpacing"/>
        <w:ind w:left="720"/>
        <w:jc w:val="both"/>
        <w:rPr>
          <w:rFonts w:ascii="Times New Roman" w:hAnsi="Times New Roman"/>
        </w:rPr>
      </w:pPr>
    </w:p>
    <w:p w:rsidR="000B78F3" w:rsidRPr="005E4D6A" w:rsidRDefault="000B78F3" w:rsidP="0063429E">
      <w:pPr>
        <w:pStyle w:val="ListParagraph"/>
        <w:numPr>
          <w:ilvl w:val="0"/>
          <w:numId w:val="17"/>
        </w:numPr>
        <w:contextualSpacing/>
        <w:jc w:val="both"/>
        <w:rPr>
          <w:rFonts w:ascii="Times New Roman" w:hAnsi="Times New Roman"/>
          <w:b/>
          <w:bCs/>
        </w:rPr>
      </w:pPr>
      <w:r w:rsidRPr="005E4D6A">
        <w:rPr>
          <w:rFonts w:ascii="Times New Roman" w:hAnsi="Times New Roman"/>
          <w:b/>
          <w:bCs/>
        </w:rPr>
        <w:t>Standards used</w:t>
      </w:r>
    </w:p>
    <w:p w:rsidR="000B78F3" w:rsidRPr="0063429E" w:rsidRDefault="000B78F3" w:rsidP="0063429E">
      <w:pPr>
        <w:pStyle w:val="ListParagraph"/>
        <w:jc w:val="both"/>
        <w:rPr>
          <w:rFonts w:ascii="Times New Roman" w:hAnsi="Times New Roman"/>
        </w:rPr>
      </w:pPr>
      <w:r w:rsidRPr="0063429E">
        <w:rPr>
          <w:rFonts w:ascii="Times New Roman" w:hAnsi="Times New Roman"/>
        </w:rPr>
        <w:t>ISBT 128 for labeling, coding and identification of blood, blood components, tissues and cells</w:t>
      </w:r>
      <w:r>
        <w:rPr>
          <w:rFonts w:ascii="Times New Roman" w:hAnsi="Times New Roman"/>
        </w:rPr>
        <w:t>.</w:t>
      </w:r>
    </w:p>
    <w:p w:rsidR="000B78F3" w:rsidRPr="005E4D6A" w:rsidRDefault="000B78F3" w:rsidP="0063429E">
      <w:pPr>
        <w:pStyle w:val="ListParagraph"/>
        <w:numPr>
          <w:ilvl w:val="0"/>
          <w:numId w:val="17"/>
        </w:numPr>
        <w:contextualSpacing/>
        <w:jc w:val="both"/>
        <w:rPr>
          <w:rFonts w:ascii="Times New Roman" w:hAnsi="Times New Roman"/>
          <w:b/>
          <w:bCs/>
        </w:rPr>
      </w:pPr>
      <w:r w:rsidRPr="005E4D6A">
        <w:rPr>
          <w:rFonts w:ascii="Times New Roman" w:hAnsi="Times New Roman"/>
          <w:b/>
          <w:bCs/>
        </w:rPr>
        <w:t>Sources/references</w:t>
      </w:r>
    </w:p>
    <w:p w:rsidR="000B78F3" w:rsidRPr="0063429E" w:rsidRDefault="000B78F3" w:rsidP="0063429E">
      <w:pPr>
        <w:pStyle w:val="ListParagraph"/>
        <w:jc w:val="both"/>
        <w:rPr>
          <w:rFonts w:ascii="Times New Roman" w:hAnsi="Times New Roman"/>
        </w:rPr>
      </w:pPr>
      <w:r w:rsidRPr="0063429E">
        <w:rPr>
          <w:rFonts w:ascii="Times New Roman" w:hAnsi="Times New Roman"/>
        </w:rPr>
        <w:t>European commission public health and risk assessment questionnaire 2008 and 2010, Swissmedic annual haemovigilance report 2009.</w:t>
      </w:r>
    </w:p>
    <w:p w:rsidR="000B78F3" w:rsidRDefault="000B78F3" w:rsidP="0063429E">
      <w:pPr>
        <w:jc w:val="both"/>
        <w:rPr>
          <w:rFonts w:ascii="Times New Roman" w:hAnsi="Times New Roman"/>
        </w:rPr>
      </w:pPr>
    </w:p>
    <w:p w:rsidR="000B78F3" w:rsidRDefault="000B78F3" w:rsidP="0063429E">
      <w:pPr>
        <w:jc w:val="both"/>
        <w:rPr>
          <w:rFonts w:ascii="Times New Roman" w:hAnsi="Times New Roman"/>
        </w:rPr>
      </w:pPr>
    </w:p>
    <w:p w:rsidR="000B78F3" w:rsidRPr="0063429E" w:rsidRDefault="000B78F3" w:rsidP="005E4D6A">
      <w:pPr>
        <w:jc w:val="both"/>
        <w:rPr>
          <w:rFonts w:ascii="Times New Roman" w:hAnsi="Times New Roman"/>
        </w:rPr>
      </w:pPr>
      <w:r w:rsidRPr="0063429E">
        <w:rPr>
          <w:rFonts w:ascii="Times New Roman" w:hAnsi="Times New Roman"/>
        </w:rPr>
        <w:t>______________________________________________________________</w:t>
      </w:r>
    </w:p>
    <w:p w:rsidR="000B78F3" w:rsidRPr="0063429E" w:rsidRDefault="000B78F3" w:rsidP="0063429E">
      <w:pPr>
        <w:jc w:val="both"/>
        <w:rPr>
          <w:rFonts w:ascii="Times New Roman" w:hAnsi="Times New Roman"/>
        </w:rPr>
      </w:pPr>
    </w:p>
    <w:sectPr w:rsidR="000B78F3" w:rsidRPr="0063429E" w:rsidSect="00C06603">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F3" w:rsidRDefault="000B78F3">
      <w:r>
        <w:separator/>
      </w:r>
    </w:p>
  </w:endnote>
  <w:endnote w:type="continuationSeparator" w:id="0">
    <w:p w:rsidR="000B78F3" w:rsidRDefault="000B7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EUAlbertina-Regu">
    <w:panose1 w:val="00000000000000000000"/>
    <w:charset w:val="00"/>
    <w:family w:val="auto"/>
    <w:notTrueType/>
    <w:pitch w:val="default"/>
    <w:sig w:usb0="00000003" w:usb1="00000000" w:usb2="00000000" w:usb3="00000000" w:csb0="00000001" w:csb1="00000000"/>
  </w:font>
  <w:font w:name="EUAlbertina-ReguItal">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3" w:rsidRDefault="000B78F3" w:rsidP="00F015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B78F3" w:rsidRDefault="000B78F3" w:rsidP="000320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F3" w:rsidRDefault="000B78F3">
      <w:r>
        <w:separator/>
      </w:r>
    </w:p>
  </w:footnote>
  <w:footnote w:type="continuationSeparator" w:id="0">
    <w:p w:rsidR="000B78F3" w:rsidRDefault="000B7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EFE"/>
    <w:multiLevelType w:val="hybridMultilevel"/>
    <w:tmpl w:val="3200A98C"/>
    <w:lvl w:ilvl="0" w:tplc="0C16E80A">
      <w:start w:val="1"/>
      <w:numFmt w:val="lowerLetter"/>
      <w:lvlText w:val="%1)"/>
      <w:lvlJc w:val="left"/>
      <w:pPr>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5F2EB2"/>
    <w:multiLevelType w:val="hybridMultilevel"/>
    <w:tmpl w:val="AD4017BC"/>
    <w:lvl w:ilvl="0" w:tplc="100C0011">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nsid w:val="08CE79BF"/>
    <w:multiLevelType w:val="hybridMultilevel"/>
    <w:tmpl w:val="EC484DA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51F06FC"/>
    <w:multiLevelType w:val="hybridMultilevel"/>
    <w:tmpl w:val="2C4E2FFA"/>
    <w:lvl w:ilvl="0" w:tplc="F3906384">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4">
    <w:nsid w:val="20021392"/>
    <w:multiLevelType w:val="multilevel"/>
    <w:tmpl w:val="13E21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DE031D"/>
    <w:multiLevelType w:val="hybridMultilevel"/>
    <w:tmpl w:val="C852AE88"/>
    <w:lvl w:ilvl="0" w:tplc="100C0011">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nsid w:val="28B439BD"/>
    <w:multiLevelType w:val="hybridMultilevel"/>
    <w:tmpl w:val="A22C1AA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384F60DE"/>
    <w:multiLevelType w:val="hybridMultilevel"/>
    <w:tmpl w:val="E0C47F10"/>
    <w:lvl w:ilvl="0" w:tplc="100C0011">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8">
    <w:nsid w:val="44F06793"/>
    <w:multiLevelType w:val="multilevel"/>
    <w:tmpl w:val="73806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5632121"/>
    <w:multiLevelType w:val="hybridMultilevel"/>
    <w:tmpl w:val="7700DFC8"/>
    <w:lvl w:ilvl="0" w:tplc="0C16E80A">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0">
    <w:nsid w:val="46643D81"/>
    <w:multiLevelType w:val="hybridMultilevel"/>
    <w:tmpl w:val="006CA6DC"/>
    <w:lvl w:ilvl="0" w:tplc="100C0011">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1">
    <w:nsid w:val="46D807EE"/>
    <w:multiLevelType w:val="hybridMultilevel"/>
    <w:tmpl w:val="2D6E3B3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53FB7DFA"/>
    <w:multiLevelType w:val="hybridMultilevel"/>
    <w:tmpl w:val="1CB6F19A"/>
    <w:lvl w:ilvl="0" w:tplc="100C0011">
      <w:start w:val="6"/>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3">
    <w:nsid w:val="555552DA"/>
    <w:multiLevelType w:val="hybridMultilevel"/>
    <w:tmpl w:val="45E616EA"/>
    <w:lvl w:ilvl="0" w:tplc="C50AC8EA">
      <w:start w:val="1"/>
      <w:numFmt w:val="lowerLetter"/>
      <w:lvlText w:val="%1)"/>
      <w:lvlJc w:val="left"/>
      <w:pPr>
        <w:ind w:left="1080" w:hanging="360"/>
      </w:pPr>
      <w:rPr>
        <w:rFonts w:cs="Times New Roman"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4">
    <w:nsid w:val="698618CE"/>
    <w:multiLevelType w:val="hybridMultilevel"/>
    <w:tmpl w:val="D6FE86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0276501"/>
    <w:multiLevelType w:val="hybridMultilevel"/>
    <w:tmpl w:val="57E211B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70E01541"/>
    <w:multiLevelType w:val="hybridMultilevel"/>
    <w:tmpl w:val="D6FE86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F7F7778"/>
    <w:multiLevelType w:val="hybridMultilevel"/>
    <w:tmpl w:val="091A936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6"/>
  </w:num>
  <w:num w:numId="2">
    <w:abstractNumId w:val="14"/>
  </w:num>
  <w:num w:numId="3">
    <w:abstractNumId w:val="6"/>
  </w:num>
  <w:num w:numId="4">
    <w:abstractNumId w:val="8"/>
  </w:num>
  <w:num w:numId="5">
    <w:abstractNumId w:val="4"/>
  </w:num>
  <w:num w:numId="6">
    <w:abstractNumId w:val="15"/>
  </w:num>
  <w:num w:numId="7">
    <w:abstractNumId w:val="17"/>
  </w:num>
  <w:num w:numId="8">
    <w:abstractNumId w:val="11"/>
  </w:num>
  <w:num w:numId="9">
    <w:abstractNumId w:val="10"/>
  </w:num>
  <w:num w:numId="10">
    <w:abstractNumId w:val="5"/>
  </w:num>
  <w:num w:numId="11">
    <w:abstractNumId w:val="9"/>
  </w:num>
  <w:num w:numId="12">
    <w:abstractNumId w:val="7"/>
  </w:num>
  <w:num w:numId="13">
    <w:abstractNumId w:val="3"/>
  </w:num>
  <w:num w:numId="14">
    <w:abstractNumId w:val="13"/>
  </w:num>
  <w:num w:numId="15">
    <w:abstractNumId w:val="2"/>
  </w:num>
  <w:num w:numId="16">
    <w:abstractNumId w:val="1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33D"/>
    <w:rsid w:val="00013898"/>
    <w:rsid w:val="0001430E"/>
    <w:rsid w:val="00032049"/>
    <w:rsid w:val="000734B9"/>
    <w:rsid w:val="000944EA"/>
    <w:rsid w:val="000B7575"/>
    <w:rsid w:val="000B78F3"/>
    <w:rsid w:val="000C3A45"/>
    <w:rsid w:val="000D0981"/>
    <w:rsid w:val="000E0354"/>
    <w:rsid w:val="000E120C"/>
    <w:rsid w:val="001108DF"/>
    <w:rsid w:val="00126126"/>
    <w:rsid w:val="00173EDA"/>
    <w:rsid w:val="001835AC"/>
    <w:rsid w:val="00185302"/>
    <w:rsid w:val="00196E3D"/>
    <w:rsid w:val="001A70DC"/>
    <w:rsid w:val="001F1F64"/>
    <w:rsid w:val="002F2BC7"/>
    <w:rsid w:val="00300540"/>
    <w:rsid w:val="00354AF6"/>
    <w:rsid w:val="00391A69"/>
    <w:rsid w:val="003D517E"/>
    <w:rsid w:val="003E7AF3"/>
    <w:rsid w:val="003F0379"/>
    <w:rsid w:val="003F0F26"/>
    <w:rsid w:val="003F2EE7"/>
    <w:rsid w:val="004202B1"/>
    <w:rsid w:val="00420A32"/>
    <w:rsid w:val="00435482"/>
    <w:rsid w:val="00486127"/>
    <w:rsid w:val="004A5083"/>
    <w:rsid w:val="004D327E"/>
    <w:rsid w:val="004E2F96"/>
    <w:rsid w:val="005222CB"/>
    <w:rsid w:val="005449E0"/>
    <w:rsid w:val="00550AEC"/>
    <w:rsid w:val="00551DE1"/>
    <w:rsid w:val="00553F7E"/>
    <w:rsid w:val="005608EB"/>
    <w:rsid w:val="005864DD"/>
    <w:rsid w:val="005A41EA"/>
    <w:rsid w:val="005A7C73"/>
    <w:rsid w:val="005B329D"/>
    <w:rsid w:val="005D1348"/>
    <w:rsid w:val="005E4D6A"/>
    <w:rsid w:val="005F18EA"/>
    <w:rsid w:val="006076A2"/>
    <w:rsid w:val="00623573"/>
    <w:rsid w:val="00630F69"/>
    <w:rsid w:val="0063429E"/>
    <w:rsid w:val="00657265"/>
    <w:rsid w:val="0067206F"/>
    <w:rsid w:val="00687537"/>
    <w:rsid w:val="006955B1"/>
    <w:rsid w:val="006A18BF"/>
    <w:rsid w:val="006C259B"/>
    <w:rsid w:val="006E0B0D"/>
    <w:rsid w:val="00702954"/>
    <w:rsid w:val="00702ED3"/>
    <w:rsid w:val="00716303"/>
    <w:rsid w:val="00751745"/>
    <w:rsid w:val="0078114A"/>
    <w:rsid w:val="00790DB1"/>
    <w:rsid w:val="007949EE"/>
    <w:rsid w:val="007958F1"/>
    <w:rsid w:val="00856DC6"/>
    <w:rsid w:val="0086479F"/>
    <w:rsid w:val="00872DA0"/>
    <w:rsid w:val="00874C30"/>
    <w:rsid w:val="00884C27"/>
    <w:rsid w:val="008D0F8F"/>
    <w:rsid w:val="008E1C1E"/>
    <w:rsid w:val="0090426A"/>
    <w:rsid w:val="009938AB"/>
    <w:rsid w:val="009C3BBB"/>
    <w:rsid w:val="009D4C3B"/>
    <w:rsid w:val="009E3557"/>
    <w:rsid w:val="009F533D"/>
    <w:rsid w:val="00A133AF"/>
    <w:rsid w:val="00A2026F"/>
    <w:rsid w:val="00A24A38"/>
    <w:rsid w:val="00A27685"/>
    <w:rsid w:val="00A33815"/>
    <w:rsid w:val="00A36F57"/>
    <w:rsid w:val="00A775A4"/>
    <w:rsid w:val="00AB78B7"/>
    <w:rsid w:val="00AE3417"/>
    <w:rsid w:val="00B308C1"/>
    <w:rsid w:val="00B72482"/>
    <w:rsid w:val="00BC24AF"/>
    <w:rsid w:val="00BF13EA"/>
    <w:rsid w:val="00BF5545"/>
    <w:rsid w:val="00BF72EB"/>
    <w:rsid w:val="00C06603"/>
    <w:rsid w:val="00C452FC"/>
    <w:rsid w:val="00C67E9A"/>
    <w:rsid w:val="00C70313"/>
    <w:rsid w:val="00C91347"/>
    <w:rsid w:val="00CB7780"/>
    <w:rsid w:val="00CC148C"/>
    <w:rsid w:val="00CC5726"/>
    <w:rsid w:val="00CC7F5D"/>
    <w:rsid w:val="00D01EB3"/>
    <w:rsid w:val="00D175F0"/>
    <w:rsid w:val="00D30B5C"/>
    <w:rsid w:val="00D37AA4"/>
    <w:rsid w:val="00D41709"/>
    <w:rsid w:val="00D52ED3"/>
    <w:rsid w:val="00D746DA"/>
    <w:rsid w:val="00DA557A"/>
    <w:rsid w:val="00DE0155"/>
    <w:rsid w:val="00DE77B3"/>
    <w:rsid w:val="00E26BA8"/>
    <w:rsid w:val="00E52CB5"/>
    <w:rsid w:val="00E75B22"/>
    <w:rsid w:val="00ED085B"/>
    <w:rsid w:val="00EE2875"/>
    <w:rsid w:val="00F015FF"/>
    <w:rsid w:val="00F01D8F"/>
    <w:rsid w:val="00F04F3B"/>
    <w:rsid w:val="00F079B2"/>
    <w:rsid w:val="00F15A74"/>
    <w:rsid w:val="00F20891"/>
    <w:rsid w:val="00F43C48"/>
    <w:rsid w:val="00F70D16"/>
    <w:rsid w:val="00F83000"/>
    <w:rsid w:val="00F9164E"/>
    <w:rsid w:val="00FB09CB"/>
    <w:rsid w:val="00FB6389"/>
    <w:rsid w:val="00FC6F9B"/>
    <w:rsid w:val="00FC7BA1"/>
    <w:rsid w:val="00FD0B10"/>
    <w:rsid w:val="00FD0D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03"/>
    <w:pPr>
      <w:spacing w:after="200" w:line="276" w:lineRule="auto"/>
    </w:pPr>
  </w:style>
  <w:style w:type="paragraph" w:styleId="Heading1">
    <w:name w:val="heading 1"/>
    <w:basedOn w:val="Normal"/>
    <w:next w:val="Normal"/>
    <w:link w:val="Heading1Char"/>
    <w:uiPriority w:val="99"/>
    <w:qFormat/>
    <w:rsid w:val="009F533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33D"/>
    <w:rPr>
      <w:rFonts w:ascii="Cambria" w:hAnsi="Cambria" w:cs="Times New Roman"/>
      <w:b/>
      <w:bCs/>
      <w:color w:val="365F91"/>
      <w:sz w:val="28"/>
      <w:szCs w:val="28"/>
    </w:rPr>
  </w:style>
  <w:style w:type="paragraph" w:styleId="Title">
    <w:name w:val="Title"/>
    <w:basedOn w:val="Normal"/>
    <w:next w:val="Normal"/>
    <w:link w:val="TitleChar"/>
    <w:uiPriority w:val="99"/>
    <w:qFormat/>
    <w:rsid w:val="00702ED3"/>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02ED3"/>
    <w:rPr>
      <w:rFonts w:ascii="Cambria" w:hAnsi="Cambria" w:cs="Times New Roman"/>
      <w:color w:val="17365D"/>
      <w:spacing w:val="5"/>
      <w:kern w:val="28"/>
      <w:sz w:val="52"/>
      <w:szCs w:val="52"/>
    </w:rPr>
  </w:style>
  <w:style w:type="paragraph" w:styleId="NoSpacing">
    <w:name w:val="No Spacing"/>
    <w:uiPriority w:val="99"/>
    <w:qFormat/>
    <w:rsid w:val="00702ED3"/>
  </w:style>
  <w:style w:type="paragraph" w:styleId="ListParagraph">
    <w:name w:val="List Paragraph"/>
    <w:basedOn w:val="Normal"/>
    <w:uiPriority w:val="99"/>
    <w:qFormat/>
    <w:rsid w:val="00702ED3"/>
    <w:pPr>
      <w:ind w:left="720"/>
    </w:pPr>
  </w:style>
  <w:style w:type="character" w:customStyle="1" w:styleId="hps">
    <w:name w:val="hps"/>
    <w:basedOn w:val="DefaultParagraphFont"/>
    <w:uiPriority w:val="99"/>
    <w:rsid w:val="00702ED3"/>
    <w:rPr>
      <w:rFonts w:cs="Times New Roman"/>
    </w:rPr>
  </w:style>
  <w:style w:type="paragraph" w:styleId="Footer">
    <w:name w:val="footer"/>
    <w:basedOn w:val="Normal"/>
    <w:link w:val="FooterChar"/>
    <w:uiPriority w:val="99"/>
    <w:rsid w:val="00032049"/>
    <w:pPr>
      <w:tabs>
        <w:tab w:val="center" w:pos="4320"/>
        <w:tab w:val="right" w:pos="8640"/>
      </w:tabs>
    </w:pPr>
  </w:style>
  <w:style w:type="character" w:customStyle="1" w:styleId="FooterChar">
    <w:name w:val="Footer Char"/>
    <w:basedOn w:val="DefaultParagraphFont"/>
    <w:link w:val="Footer"/>
    <w:uiPriority w:val="99"/>
    <w:semiHidden/>
    <w:locked/>
    <w:rsid w:val="001F1F64"/>
    <w:rPr>
      <w:rFonts w:cs="Times New Roman"/>
    </w:rPr>
  </w:style>
  <w:style w:type="character" w:styleId="PageNumber">
    <w:name w:val="page number"/>
    <w:basedOn w:val="DefaultParagraphFont"/>
    <w:uiPriority w:val="99"/>
    <w:rsid w:val="00032049"/>
    <w:rPr>
      <w:rFonts w:cs="Times New Roman"/>
    </w:rPr>
  </w:style>
  <w:style w:type="paragraph" w:styleId="NormalWeb">
    <w:name w:val="Normal (Web)"/>
    <w:basedOn w:val="Normal"/>
    <w:uiPriority w:val="99"/>
    <w:semiHidden/>
    <w:rsid w:val="001835AC"/>
    <w:pPr>
      <w:spacing w:after="324"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99"/>
    <w:qFormat/>
    <w:rsid w:val="0001430E"/>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01430E"/>
    <w:rPr>
      <w:rFonts w:ascii="Cambria" w:hAnsi="Cambria" w:cs="Times New Roman"/>
      <w:sz w:val="24"/>
      <w:szCs w:val="24"/>
    </w:rPr>
  </w:style>
  <w:style w:type="table" w:styleId="TableGrid">
    <w:name w:val="Table Grid"/>
    <w:basedOn w:val="TableNormal"/>
    <w:uiPriority w:val="99"/>
    <w:locked/>
    <w:rsid w:val="009C3BBB"/>
    <w:pPr>
      <w:spacing w:after="200" w:line="276" w:lineRule="auto"/>
    </w:pPr>
    <w:rPr>
      <w:rFonts w:eastAsia="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261952">
      <w:marLeft w:val="0"/>
      <w:marRight w:val="0"/>
      <w:marTop w:val="0"/>
      <w:marBottom w:val="0"/>
      <w:divBdr>
        <w:top w:val="none" w:sz="0" w:space="0" w:color="auto"/>
        <w:left w:val="none" w:sz="0" w:space="0" w:color="auto"/>
        <w:bottom w:val="none" w:sz="0" w:space="0" w:color="auto"/>
        <w:right w:val="none" w:sz="0" w:space="0" w:color="auto"/>
      </w:divBdr>
      <w:divsChild>
        <w:div w:id="349261938">
          <w:marLeft w:val="0"/>
          <w:marRight w:val="0"/>
          <w:marTop w:val="0"/>
          <w:marBottom w:val="0"/>
          <w:divBdr>
            <w:top w:val="none" w:sz="0" w:space="0" w:color="auto"/>
            <w:left w:val="none" w:sz="0" w:space="0" w:color="auto"/>
            <w:bottom w:val="none" w:sz="0" w:space="0" w:color="auto"/>
            <w:right w:val="none" w:sz="0" w:space="0" w:color="auto"/>
          </w:divBdr>
          <w:divsChild>
            <w:div w:id="349261946">
              <w:marLeft w:val="0"/>
              <w:marRight w:val="0"/>
              <w:marTop w:val="0"/>
              <w:marBottom w:val="0"/>
              <w:divBdr>
                <w:top w:val="none" w:sz="0" w:space="0" w:color="auto"/>
                <w:left w:val="none" w:sz="0" w:space="0" w:color="auto"/>
                <w:bottom w:val="none" w:sz="0" w:space="0" w:color="auto"/>
                <w:right w:val="none" w:sz="0" w:space="0" w:color="auto"/>
              </w:divBdr>
              <w:divsChild>
                <w:div w:id="349261936">
                  <w:marLeft w:val="0"/>
                  <w:marRight w:val="0"/>
                  <w:marTop w:val="0"/>
                  <w:marBottom w:val="0"/>
                  <w:divBdr>
                    <w:top w:val="none" w:sz="0" w:space="0" w:color="auto"/>
                    <w:left w:val="none" w:sz="0" w:space="0" w:color="auto"/>
                    <w:bottom w:val="none" w:sz="0" w:space="0" w:color="auto"/>
                    <w:right w:val="none" w:sz="0" w:space="0" w:color="auto"/>
                  </w:divBdr>
                  <w:divsChild>
                    <w:div w:id="349261950">
                      <w:marLeft w:val="0"/>
                      <w:marRight w:val="0"/>
                      <w:marTop w:val="0"/>
                      <w:marBottom w:val="0"/>
                      <w:divBdr>
                        <w:top w:val="none" w:sz="0" w:space="0" w:color="auto"/>
                        <w:left w:val="none" w:sz="0" w:space="0" w:color="auto"/>
                        <w:bottom w:val="none" w:sz="0" w:space="0" w:color="auto"/>
                        <w:right w:val="none" w:sz="0" w:space="0" w:color="auto"/>
                      </w:divBdr>
                      <w:divsChild>
                        <w:div w:id="349261945">
                          <w:marLeft w:val="0"/>
                          <w:marRight w:val="0"/>
                          <w:marTop w:val="0"/>
                          <w:marBottom w:val="0"/>
                          <w:divBdr>
                            <w:top w:val="none" w:sz="0" w:space="0" w:color="auto"/>
                            <w:left w:val="none" w:sz="0" w:space="0" w:color="auto"/>
                            <w:bottom w:val="none" w:sz="0" w:space="0" w:color="auto"/>
                            <w:right w:val="none" w:sz="0" w:space="0" w:color="auto"/>
                          </w:divBdr>
                          <w:divsChild>
                            <w:div w:id="349261941">
                              <w:marLeft w:val="0"/>
                              <w:marRight w:val="0"/>
                              <w:marTop w:val="0"/>
                              <w:marBottom w:val="0"/>
                              <w:divBdr>
                                <w:top w:val="none" w:sz="0" w:space="0" w:color="auto"/>
                                <w:left w:val="none" w:sz="0" w:space="0" w:color="auto"/>
                                <w:bottom w:val="none" w:sz="0" w:space="0" w:color="auto"/>
                                <w:right w:val="none" w:sz="0" w:space="0" w:color="auto"/>
                              </w:divBdr>
                              <w:divsChild>
                                <w:div w:id="349261934">
                                  <w:marLeft w:val="0"/>
                                  <w:marRight w:val="0"/>
                                  <w:marTop w:val="0"/>
                                  <w:marBottom w:val="0"/>
                                  <w:divBdr>
                                    <w:top w:val="none" w:sz="0" w:space="0" w:color="auto"/>
                                    <w:left w:val="none" w:sz="0" w:space="0" w:color="auto"/>
                                    <w:bottom w:val="none" w:sz="0" w:space="0" w:color="auto"/>
                                    <w:right w:val="none" w:sz="0" w:space="0" w:color="auto"/>
                                  </w:divBdr>
                                  <w:divsChild>
                                    <w:div w:id="349261939">
                                      <w:marLeft w:val="0"/>
                                      <w:marRight w:val="0"/>
                                      <w:marTop w:val="0"/>
                                      <w:marBottom w:val="0"/>
                                      <w:divBdr>
                                        <w:top w:val="none" w:sz="0" w:space="0" w:color="auto"/>
                                        <w:left w:val="none" w:sz="0" w:space="0" w:color="auto"/>
                                        <w:bottom w:val="none" w:sz="0" w:space="0" w:color="auto"/>
                                        <w:right w:val="none" w:sz="0" w:space="0" w:color="auto"/>
                                      </w:divBdr>
                                      <w:divsChild>
                                        <w:div w:id="349261937">
                                          <w:marLeft w:val="0"/>
                                          <w:marRight w:val="0"/>
                                          <w:marTop w:val="0"/>
                                          <w:marBottom w:val="0"/>
                                          <w:divBdr>
                                            <w:top w:val="none" w:sz="0" w:space="0" w:color="auto"/>
                                            <w:left w:val="none" w:sz="0" w:space="0" w:color="auto"/>
                                            <w:bottom w:val="none" w:sz="0" w:space="0" w:color="auto"/>
                                            <w:right w:val="none" w:sz="0" w:space="0" w:color="auto"/>
                                          </w:divBdr>
                                          <w:divsChild>
                                            <w:div w:id="349261935">
                                              <w:marLeft w:val="0"/>
                                              <w:marRight w:val="0"/>
                                              <w:marTop w:val="0"/>
                                              <w:marBottom w:val="0"/>
                                              <w:divBdr>
                                                <w:top w:val="none" w:sz="0" w:space="0" w:color="auto"/>
                                                <w:left w:val="none" w:sz="0" w:space="0" w:color="auto"/>
                                                <w:bottom w:val="none" w:sz="0" w:space="0" w:color="auto"/>
                                                <w:right w:val="none" w:sz="0" w:space="0" w:color="auto"/>
                                              </w:divBdr>
                                              <w:divsChild>
                                                <w:div w:id="349261953">
                                                  <w:marLeft w:val="0"/>
                                                  <w:marRight w:val="90"/>
                                                  <w:marTop w:val="0"/>
                                                  <w:marBottom w:val="0"/>
                                                  <w:divBdr>
                                                    <w:top w:val="none" w:sz="0" w:space="0" w:color="auto"/>
                                                    <w:left w:val="none" w:sz="0" w:space="0" w:color="auto"/>
                                                    <w:bottom w:val="none" w:sz="0" w:space="0" w:color="auto"/>
                                                    <w:right w:val="none" w:sz="0" w:space="0" w:color="auto"/>
                                                  </w:divBdr>
                                                  <w:divsChild>
                                                    <w:div w:id="349261944">
                                                      <w:marLeft w:val="0"/>
                                                      <w:marRight w:val="0"/>
                                                      <w:marTop w:val="0"/>
                                                      <w:marBottom w:val="0"/>
                                                      <w:divBdr>
                                                        <w:top w:val="none" w:sz="0" w:space="0" w:color="auto"/>
                                                        <w:left w:val="none" w:sz="0" w:space="0" w:color="auto"/>
                                                        <w:bottom w:val="none" w:sz="0" w:space="0" w:color="auto"/>
                                                        <w:right w:val="none" w:sz="0" w:space="0" w:color="auto"/>
                                                      </w:divBdr>
                                                      <w:divsChild>
                                                        <w:div w:id="349261942">
                                                          <w:marLeft w:val="0"/>
                                                          <w:marRight w:val="0"/>
                                                          <w:marTop w:val="0"/>
                                                          <w:marBottom w:val="0"/>
                                                          <w:divBdr>
                                                            <w:top w:val="none" w:sz="0" w:space="0" w:color="auto"/>
                                                            <w:left w:val="none" w:sz="0" w:space="0" w:color="auto"/>
                                                            <w:bottom w:val="none" w:sz="0" w:space="0" w:color="auto"/>
                                                            <w:right w:val="none" w:sz="0" w:space="0" w:color="auto"/>
                                                          </w:divBdr>
                                                          <w:divsChild>
                                                            <w:div w:id="349261951">
                                                              <w:marLeft w:val="0"/>
                                                              <w:marRight w:val="0"/>
                                                              <w:marTop w:val="0"/>
                                                              <w:marBottom w:val="0"/>
                                                              <w:divBdr>
                                                                <w:top w:val="none" w:sz="0" w:space="0" w:color="auto"/>
                                                                <w:left w:val="none" w:sz="0" w:space="0" w:color="auto"/>
                                                                <w:bottom w:val="none" w:sz="0" w:space="0" w:color="auto"/>
                                                                <w:right w:val="none" w:sz="0" w:space="0" w:color="auto"/>
                                                              </w:divBdr>
                                                              <w:divsChild>
                                                                <w:div w:id="349261943">
                                                                  <w:marLeft w:val="0"/>
                                                                  <w:marRight w:val="0"/>
                                                                  <w:marTop w:val="0"/>
                                                                  <w:marBottom w:val="105"/>
                                                                  <w:divBdr>
                                                                    <w:top w:val="single" w:sz="6" w:space="0" w:color="EDEDED"/>
                                                                    <w:left w:val="single" w:sz="6" w:space="0" w:color="EDEDED"/>
                                                                    <w:bottom w:val="single" w:sz="6" w:space="0" w:color="EDEDED"/>
                                                                    <w:right w:val="single" w:sz="6" w:space="0" w:color="EDEDED"/>
                                                                  </w:divBdr>
                                                                  <w:divsChild>
                                                                    <w:div w:id="349261948">
                                                                      <w:marLeft w:val="0"/>
                                                                      <w:marRight w:val="0"/>
                                                                      <w:marTop w:val="0"/>
                                                                      <w:marBottom w:val="0"/>
                                                                      <w:divBdr>
                                                                        <w:top w:val="none" w:sz="0" w:space="0" w:color="auto"/>
                                                                        <w:left w:val="none" w:sz="0" w:space="0" w:color="auto"/>
                                                                        <w:bottom w:val="none" w:sz="0" w:space="0" w:color="auto"/>
                                                                        <w:right w:val="none" w:sz="0" w:space="0" w:color="auto"/>
                                                                      </w:divBdr>
                                                                      <w:divsChild>
                                                                        <w:div w:id="349261949">
                                                                          <w:marLeft w:val="0"/>
                                                                          <w:marRight w:val="0"/>
                                                                          <w:marTop w:val="0"/>
                                                                          <w:marBottom w:val="0"/>
                                                                          <w:divBdr>
                                                                            <w:top w:val="none" w:sz="0" w:space="0" w:color="auto"/>
                                                                            <w:left w:val="none" w:sz="0" w:space="0" w:color="auto"/>
                                                                            <w:bottom w:val="none" w:sz="0" w:space="0" w:color="auto"/>
                                                                            <w:right w:val="none" w:sz="0" w:space="0" w:color="auto"/>
                                                                          </w:divBdr>
                                                                          <w:divsChild>
                                                                            <w:div w:id="349261940">
                                                                              <w:marLeft w:val="0"/>
                                                                              <w:marRight w:val="0"/>
                                                                              <w:marTop w:val="0"/>
                                                                              <w:marBottom w:val="0"/>
                                                                              <w:divBdr>
                                                                                <w:top w:val="none" w:sz="0" w:space="0" w:color="auto"/>
                                                                                <w:left w:val="none" w:sz="0" w:space="0" w:color="auto"/>
                                                                                <w:bottom w:val="none" w:sz="0" w:space="0" w:color="auto"/>
                                                                                <w:right w:val="none" w:sz="0" w:space="0" w:color="auto"/>
                                                                              </w:divBdr>
                                                                              <w:divsChild>
                                                                                <w:div w:id="349261947">
                                                                                  <w:marLeft w:val="180"/>
                                                                                  <w:marRight w:val="180"/>
                                                                                  <w:marTop w:val="0"/>
                                                                                  <w:marBottom w:val="0"/>
                                                                                  <w:divBdr>
                                                                                    <w:top w:val="none" w:sz="0" w:space="0" w:color="auto"/>
                                                                                    <w:left w:val="none" w:sz="0" w:space="0" w:color="auto"/>
                                                                                    <w:bottom w:val="none" w:sz="0" w:space="0" w:color="auto"/>
                                                                                    <w:right w:val="none" w:sz="0" w:space="0" w:color="auto"/>
                                                                                  </w:divBdr>
                                                                                  <w:divsChild>
                                                                                    <w:div w:id="3492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6507025" TargetMode="External"/><Relationship Id="rId3" Type="http://schemas.openxmlformats.org/officeDocument/2006/relationships/settings" Target="settings.xml"/><Relationship Id="rId7" Type="http://schemas.openxmlformats.org/officeDocument/2006/relationships/hyperlink" Target="http://iccb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mc/articles/PMC2535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5415</Words>
  <Characters>30871</Characters>
  <Application>Microsoft Office Outlook</Application>
  <DocSecurity>0</DocSecurity>
  <Lines>0</Lines>
  <Paragraphs>0</Paragraphs>
  <ScaleCrop>false</ScaleCrop>
  <Company>Haemonetics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2002/98/EC OF THE EUROPEAN PARLIAMENT AND OF THE COUNCIL</dc:title>
  <dc:subject/>
  <dc:creator>ksenia kouzmina</dc:creator>
  <cp:keywords/>
  <dc:description/>
  <cp:lastModifiedBy>Vivekanantham</cp:lastModifiedBy>
  <cp:revision>2</cp:revision>
  <dcterms:created xsi:type="dcterms:W3CDTF">2011-10-28T13:09:00Z</dcterms:created>
  <dcterms:modified xsi:type="dcterms:W3CDTF">2011-10-28T13:09:00Z</dcterms:modified>
</cp:coreProperties>
</file>