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43" w:rsidRPr="00112A43" w:rsidRDefault="00112A43" w:rsidP="00112A43">
      <w:pPr>
        <w:pStyle w:val="Titre2"/>
        <w:spacing w:before="69"/>
        <w:ind w:left="-270" w:right="-3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12A43">
        <w:rPr>
          <w:rFonts w:ascii="Times New Roman" w:hAnsi="Times New Roman" w:cs="Times New Roman"/>
          <w:b/>
          <w:color w:val="auto"/>
          <w:sz w:val="24"/>
          <w:szCs w:val="24"/>
        </w:rPr>
        <w:t>UNITED NATIONS SPECIAL PROGRAMME FOR THE ECONOMIES OF CENTRAL ASIA (SPECA)</w:t>
      </w:r>
    </w:p>
    <w:p w:rsidR="005654C5" w:rsidRDefault="005654C5" w:rsidP="005654C5">
      <w:pPr>
        <w:pStyle w:val="NormalWeb"/>
        <w:spacing w:before="0" w:beforeAutospacing="0" w:after="0" w:afterAutospacing="0"/>
        <w:jc w:val="right"/>
        <w:rPr>
          <w:lang w:val="sv-SE"/>
        </w:rPr>
      </w:pPr>
    </w:p>
    <w:p w:rsidR="005654C5" w:rsidRDefault="005654C5" w:rsidP="005654C5">
      <w:pPr>
        <w:pStyle w:val="NormalWeb"/>
        <w:spacing w:before="0" w:beforeAutospacing="0" w:after="0" w:afterAutospacing="0"/>
        <w:jc w:val="right"/>
        <w:rPr>
          <w:lang w:val="sv-SE"/>
        </w:rPr>
      </w:pPr>
      <w:r w:rsidRPr="00F61B3E">
        <w:rPr>
          <w:lang w:val="sv-SE"/>
        </w:rPr>
        <w:t>SPECA/WG-Trade/201</w:t>
      </w:r>
      <w:r>
        <w:rPr>
          <w:lang w:val="sv-SE"/>
        </w:rPr>
        <w:t>9</w:t>
      </w:r>
      <w:r w:rsidRPr="00F61B3E">
        <w:rPr>
          <w:lang w:val="sv-SE"/>
        </w:rPr>
        <w:t>/EN</w:t>
      </w:r>
      <w:r>
        <w:rPr>
          <w:lang w:val="sv-SE"/>
        </w:rPr>
        <w:t>/</w:t>
      </w:r>
      <w:r w:rsidR="00E0411D">
        <w:rPr>
          <w:lang w:val="sv-SE"/>
        </w:rPr>
        <w:t>5</w:t>
      </w:r>
      <w:bookmarkStart w:id="0" w:name="_GoBack"/>
      <w:bookmarkEnd w:id="0"/>
    </w:p>
    <w:p w:rsidR="005654C5" w:rsidRDefault="005654C5" w:rsidP="00B20B4F">
      <w:pPr>
        <w:pStyle w:val="Titre2"/>
        <w:ind w:left="-270" w:right="22"/>
        <w:jc w:val="center"/>
        <w:rPr>
          <w:rFonts w:ascii="Times New Roman Bold" w:hAnsi="Times New Roman Bold" w:cs="Times New Roman"/>
          <w:b/>
          <w:caps/>
          <w:color w:val="auto"/>
          <w:sz w:val="28"/>
          <w:szCs w:val="28"/>
        </w:rPr>
      </w:pPr>
    </w:p>
    <w:p w:rsidR="00B06208" w:rsidRPr="00B06208" w:rsidRDefault="00B06208" w:rsidP="00B20B4F">
      <w:pPr>
        <w:pStyle w:val="Titre2"/>
        <w:ind w:left="-270" w:right="22"/>
        <w:jc w:val="center"/>
        <w:rPr>
          <w:rFonts w:ascii="Times New Roman Bold" w:hAnsi="Times New Roman Bold" w:cs="Times New Roman"/>
          <w:b/>
          <w:caps/>
          <w:color w:val="auto"/>
          <w:sz w:val="28"/>
          <w:szCs w:val="28"/>
        </w:rPr>
      </w:pPr>
      <w:r w:rsidRPr="00B06208">
        <w:rPr>
          <w:rFonts w:ascii="Times New Roman Bold" w:hAnsi="Times New Roman Bold" w:cs="Times New Roman"/>
          <w:b/>
          <w:caps/>
          <w:color w:val="auto"/>
          <w:sz w:val="28"/>
          <w:szCs w:val="28"/>
        </w:rPr>
        <w:t xml:space="preserve">Fourteenth session of the SPECA </w:t>
      </w:r>
      <w:r w:rsidR="005654C5">
        <w:rPr>
          <w:rFonts w:ascii="Times New Roman Bold" w:hAnsi="Times New Roman Bold" w:cs="Times New Roman"/>
          <w:b/>
          <w:caps/>
          <w:color w:val="auto"/>
          <w:sz w:val="28"/>
          <w:szCs w:val="28"/>
        </w:rPr>
        <w:t>Working group on trade</w:t>
      </w:r>
    </w:p>
    <w:p w:rsidR="00B06208" w:rsidRPr="004C0303" w:rsidRDefault="00B06208" w:rsidP="00B20B4F">
      <w:pPr>
        <w:ind w:left="-270" w:right="22"/>
        <w:jc w:val="center"/>
        <w:rPr>
          <w:b/>
        </w:rPr>
      </w:pPr>
      <w:r w:rsidRPr="004C0303">
        <w:rPr>
          <w:b/>
        </w:rPr>
        <w:t>(</w:t>
      </w:r>
      <w:r>
        <w:rPr>
          <w:b/>
        </w:rPr>
        <w:t xml:space="preserve">Ashgabat, Turkmenistan, </w:t>
      </w:r>
      <w:r w:rsidR="005654C5">
        <w:rPr>
          <w:b/>
        </w:rPr>
        <w:t>19</w:t>
      </w:r>
      <w:r>
        <w:rPr>
          <w:b/>
        </w:rPr>
        <w:t xml:space="preserve"> November 2019</w:t>
      </w:r>
      <w:r w:rsidRPr="004C0303">
        <w:rPr>
          <w:b/>
        </w:rPr>
        <w:t>)</w:t>
      </w:r>
    </w:p>
    <w:p w:rsidR="00112A43" w:rsidRPr="00E0411D" w:rsidRDefault="00112A43" w:rsidP="00112A43">
      <w:pPr>
        <w:ind w:right="-6"/>
        <w:jc w:val="center"/>
        <w:rPr>
          <w:b/>
          <w:caps/>
          <w:lang w:val="en-GB"/>
        </w:rPr>
      </w:pPr>
    </w:p>
    <w:p w:rsidR="00B06208" w:rsidRPr="00B06208" w:rsidRDefault="00B06208" w:rsidP="00112A43">
      <w:pPr>
        <w:ind w:right="-6"/>
        <w:jc w:val="center"/>
        <w:rPr>
          <w:b/>
          <w:caps/>
          <w:lang w:val="sv-SE"/>
        </w:rPr>
      </w:pPr>
    </w:p>
    <w:p w:rsidR="00380043" w:rsidRPr="00112A43" w:rsidRDefault="002336C6" w:rsidP="00112A43">
      <w:pPr>
        <w:ind w:right="-6"/>
        <w:jc w:val="center"/>
        <w:rPr>
          <w:b/>
          <w:caps/>
          <w:sz w:val="28"/>
          <w:szCs w:val="28"/>
          <w:lang w:val="sv-SE"/>
        </w:rPr>
      </w:pPr>
      <w:r w:rsidRPr="00112A43">
        <w:rPr>
          <w:b/>
          <w:caps/>
          <w:sz w:val="28"/>
          <w:szCs w:val="28"/>
          <w:lang w:val="sv-SE"/>
        </w:rPr>
        <w:t xml:space="preserve">Study on </w:t>
      </w:r>
      <w:r w:rsidR="00AA5C90" w:rsidRPr="00112A43">
        <w:rPr>
          <w:b/>
          <w:caps/>
          <w:sz w:val="28"/>
          <w:szCs w:val="28"/>
          <w:lang w:val="sv-SE"/>
        </w:rPr>
        <w:t>regulatory and procedural barriers to trade</w:t>
      </w:r>
    </w:p>
    <w:p w:rsidR="002C3D23" w:rsidRPr="00112A43" w:rsidRDefault="00AA5C90" w:rsidP="00112A43">
      <w:pPr>
        <w:ind w:right="-6"/>
        <w:jc w:val="center"/>
        <w:rPr>
          <w:b/>
          <w:caps/>
          <w:sz w:val="28"/>
          <w:szCs w:val="28"/>
          <w:lang w:val="sv-SE"/>
        </w:rPr>
      </w:pPr>
      <w:r w:rsidRPr="00112A43">
        <w:rPr>
          <w:b/>
          <w:caps/>
          <w:sz w:val="28"/>
          <w:szCs w:val="28"/>
          <w:lang w:val="sv-SE"/>
        </w:rPr>
        <w:t xml:space="preserve">in </w:t>
      </w:r>
      <w:r w:rsidR="00380043" w:rsidRPr="00112A43">
        <w:rPr>
          <w:b/>
          <w:caps/>
          <w:sz w:val="28"/>
          <w:szCs w:val="28"/>
          <w:lang w:val="sv-SE"/>
        </w:rPr>
        <w:t xml:space="preserve">THE </w:t>
      </w:r>
      <w:r w:rsidR="002C3D23" w:rsidRPr="00112A43">
        <w:rPr>
          <w:b/>
          <w:caps/>
          <w:sz w:val="28"/>
          <w:szCs w:val="28"/>
          <w:lang w:val="sv-SE"/>
        </w:rPr>
        <w:t>SPECA</w:t>
      </w:r>
      <w:r w:rsidR="00380043" w:rsidRPr="00112A43">
        <w:rPr>
          <w:b/>
          <w:caps/>
          <w:sz w:val="28"/>
          <w:szCs w:val="28"/>
          <w:lang w:val="sv-SE"/>
        </w:rPr>
        <w:t xml:space="preserve"> SUBREGION</w:t>
      </w:r>
    </w:p>
    <w:p w:rsidR="00112A43" w:rsidRPr="00112A43" w:rsidRDefault="00112A43" w:rsidP="00112A43">
      <w:pPr>
        <w:ind w:right="-6"/>
        <w:jc w:val="center"/>
        <w:rPr>
          <w:b/>
          <w:caps/>
          <w:sz w:val="28"/>
          <w:szCs w:val="28"/>
          <w:lang w:val="sv-SE"/>
        </w:rPr>
      </w:pPr>
    </w:p>
    <w:p w:rsidR="00112A43" w:rsidRPr="00112A43" w:rsidRDefault="00112A43" w:rsidP="00112A43">
      <w:pPr>
        <w:spacing w:before="120" w:after="120"/>
        <w:ind w:right="-7"/>
        <w:jc w:val="center"/>
        <w:rPr>
          <w:b/>
          <w:caps/>
          <w:sz w:val="28"/>
          <w:szCs w:val="28"/>
          <w:lang w:val="sv-SE"/>
        </w:rPr>
      </w:pPr>
      <w:r w:rsidRPr="00112A43">
        <w:rPr>
          <w:b/>
          <w:caps/>
          <w:sz w:val="28"/>
          <w:szCs w:val="28"/>
          <w:lang w:val="sv-SE"/>
        </w:rPr>
        <w:t xml:space="preserve">Concept Note </w:t>
      </w:r>
    </w:p>
    <w:p w:rsidR="00112A43" w:rsidRPr="00112A43" w:rsidRDefault="00112A43" w:rsidP="00112A43">
      <w:pPr>
        <w:ind w:right="-6"/>
        <w:jc w:val="center"/>
        <w:rPr>
          <w:caps/>
          <w:sz w:val="28"/>
          <w:szCs w:val="28"/>
        </w:rPr>
      </w:pPr>
    </w:p>
    <w:p w:rsidR="002C3D23" w:rsidRDefault="002C3D23" w:rsidP="002C3D23">
      <w:pPr>
        <w:ind w:left="2832" w:hanging="2832"/>
        <w:jc w:val="both"/>
        <w:rPr>
          <w:b/>
          <w:lang w:val="sv-SE"/>
        </w:rPr>
      </w:pPr>
    </w:p>
    <w:p w:rsidR="002C3D23" w:rsidRPr="00BE6DCD" w:rsidRDefault="002C3D23" w:rsidP="002C3D23">
      <w:pPr>
        <w:ind w:left="2832" w:hanging="2832"/>
        <w:jc w:val="both"/>
        <w:rPr>
          <w:lang w:val="sv-SE"/>
        </w:rPr>
      </w:pPr>
      <w:r w:rsidRPr="003C6785">
        <w:rPr>
          <w:b/>
          <w:lang w:val="sv-SE"/>
        </w:rPr>
        <w:t>1. Objective</w:t>
      </w:r>
      <w:r w:rsidRPr="00BE6DCD">
        <w:rPr>
          <w:b/>
          <w:lang w:val="sv-SE"/>
        </w:rPr>
        <w:tab/>
      </w:r>
      <w:r>
        <w:rPr>
          <w:lang w:val="sv-SE"/>
        </w:rPr>
        <w:t xml:space="preserve">Support a regional approach to achieving the succcessful integration of </w:t>
      </w:r>
      <w:r w:rsidR="00107732">
        <w:rPr>
          <w:lang w:val="sv-SE"/>
        </w:rPr>
        <w:t xml:space="preserve">the </w:t>
      </w:r>
      <w:r>
        <w:rPr>
          <w:lang w:val="sv-SE"/>
        </w:rPr>
        <w:t xml:space="preserve">countries </w:t>
      </w:r>
      <w:r w:rsidR="00107732">
        <w:rPr>
          <w:lang w:val="sv-SE"/>
        </w:rPr>
        <w:t xml:space="preserve">participating in the United Nations Special Programme for the </w:t>
      </w:r>
      <w:r w:rsidR="00380043">
        <w:rPr>
          <w:lang w:val="sv-SE"/>
        </w:rPr>
        <w:t>E</w:t>
      </w:r>
      <w:r w:rsidR="00107732">
        <w:rPr>
          <w:lang w:val="sv-SE"/>
        </w:rPr>
        <w:t>conomies of Central Asia (SPECA) in</w:t>
      </w:r>
      <w:r>
        <w:rPr>
          <w:lang w:val="sv-SE"/>
        </w:rPr>
        <w:t xml:space="preserve">to global value chains in a manner that is consistent with the implementation of the 2030 Agenda </w:t>
      </w:r>
      <w:r w:rsidR="00107732">
        <w:rPr>
          <w:lang w:val="sv-SE"/>
        </w:rPr>
        <w:t>on Sustainable Development.</w:t>
      </w:r>
      <w:r>
        <w:rPr>
          <w:lang w:val="sv-SE"/>
        </w:rPr>
        <w:t xml:space="preserve"> </w:t>
      </w:r>
    </w:p>
    <w:p w:rsidR="002C3D23" w:rsidRPr="003C6785" w:rsidRDefault="002C3D23" w:rsidP="002C3D23">
      <w:pPr>
        <w:jc w:val="both"/>
        <w:rPr>
          <w:b/>
          <w:lang w:val="sv-SE"/>
        </w:rPr>
      </w:pPr>
    </w:p>
    <w:p w:rsidR="002C3D23" w:rsidRPr="003C6785" w:rsidRDefault="002C3D23" w:rsidP="002C3D23">
      <w:pPr>
        <w:jc w:val="both"/>
        <w:rPr>
          <w:b/>
          <w:lang w:val="sv-SE"/>
        </w:rPr>
      </w:pPr>
      <w:r w:rsidRPr="003C6785">
        <w:rPr>
          <w:b/>
          <w:lang w:val="sv-SE"/>
        </w:rPr>
        <w:t>2. Duration</w:t>
      </w:r>
      <w:r w:rsidRPr="00B310A0">
        <w:rPr>
          <w:b/>
          <w:color w:val="4577C7"/>
          <w:lang w:val="sv-SE"/>
        </w:rPr>
        <w:tab/>
      </w:r>
      <w:r w:rsidRPr="00B310A0">
        <w:rPr>
          <w:b/>
          <w:color w:val="4577C7"/>
          <w:lang w:val="sv-SE"/>
        </w:rPr>
        <w:tab/>
        <w:t xml:space="preserve"> </w:t>
      </w:r>
      <w:r w:rsidRPr="00B310A0">
        <w:rPr>
          <w:b/>
          <w:color w:val="4577C7"/>
          <w:lang w:val="sv-SE"/>
        </w:rPr>
        <w:tab/>
      </w:r>
      <w:r w:rsidR="001F1CDE" w:rsidRPr="001F1CDE">
        <w:rPr>
          <w:lang w:val="sv-SE"/>
        </w:rPr>
        <w:t xml:space="preserve">Up to </w:t>
      </w:r>
      <w:r w:rsidR="001F1CDE">
        <w:rPr>
          <w:lang w:val="sv-SE"/>
        </w:rPr>
        <w:t>18</w:t>
      </w:r>
      <w:r>
        <w:rPr>
          <w:lang w:val="sv-SE"/>
        </w:rPr>
        <w:t xml:space="preserve"> </w:t>
      </w:r>
      <w:r w:rsidR="001F1CDE">
        <w:rPr>
          <w:lang w:val="sv-SE"/>
        </w:rPr>
        <w:t>months</w:t>
      </w:r>
      <w:r w:rsidRPr="00B310A0">
        <w:rPr>
          <w:b/>
          <w:lang w:val="sv-SE"/>
        </w:rPr>
        <w:t xml:space="preserve"> </w:t>
      </w:r>
    </w:p>
    <w:p w:rsidR="002C3D23" w:rsidRPr="003C6785" w:rsidRDefault="002C3D23" w:rsidP="002C3D23">
      <w:pPr>
        <w:ind w:left="2832" w:hanging="2832"/>
        <w:jc w:val="both"/>
        <w:rPr>
          <w:b/>
          <w:lang w:val="sv-SE"/>
        </w:rPr>
      </w:pPr>
    </w:p>
    <w:p w:rsidR="002C3D23" w:rsidRPr="001151BF" w:rsidRDefault="002C3D23" w:rsidP="002C3D23">
      <w:pPr>
        <w:ind w:left="2832" w:hanging="2832"/>
        <w:jc w:val="both"/>
        <w:rPr>
          <w:b/>
        </w:rPr>
      </w:pPr>
      <w:r w:rsidRPr="003C6785">
        <w:rPr>
          <w:b/>
          <w:lang w:val="sv-SE"/>
        </w:rPr>
        <w:t>3. Deliverables</w:t>
      </w:r>
      <w:r>
        <w:rPr>
          <w:b/>
          <w:color w:val="4472C4" w:themeColor="accent1"/>
        </w:rPr>
        <w:tab/>
      </w:r>
      <w:r>
        <w:t xml:space="preserve">Subject to </w:t>
      </w:r>
      <w:r w:rsidR="00107732">
        <w:t xml:space="preserve">agreement </w:t>
      </w:r>
      <w:r>
        <w:t xml:space="preserve">with national stakeholders, the work will involve:  </w:t>
      </w:r>
    </w:p>
    <w:p w:rsidR="002C3D23" w:rsidRDefault="002C3D23" w:rsidP="002C3D23">
      <w:pPr>
        <w:ind w:left="2832"/>
        <w:jc w:val="both"/>
      </w:pPr>
    </w:p>
    <w:p w:rsidR="002C3D23" w:rsidRDefault="002C3D23" w:rsidP="002C3D23">
      <w:pPr>
        <w:pStyle w:val="Paragraphedeliste"/>
        <w:numPr>
          <w:ilvl w:val="1"/>
          <w:numId w:val="2"/>
        </w:numPr>
        <w:ind w:left="3261" w:hanging="426"/>
        <w:jc w:val="both"/>
      </w:pPr>
      <w:r>
        <w:t xml:space="preserve">Study on regulatory and procedural barriers to trade </w:t>
      </w:r>
      <w:r w:rsidR="00380043">
        <w:t>in</w:t>
      </w:r>
      <w:r>
        <w:t xml:space="preserve"> </w:t>
      </w:r>
      <w:r w:rsidR="00107732">
        <w:t xml:space="preserve">the </w:t>
      </w:r>
      <w:r>
        <w:t xml:space="preserve">SPECA </w:t>
      </w:r>
      <w:r w:rsidR="00380043">
        <w:t>sub</w:t>
      </w:r>
      <w:r>
        <w:t xml:space="preserve">region: Needs assessment </w:t>
      </w:r>
    </w:p>
    <w:p w:rsidR="002C3D23" w:rsidRDefault="002C3D23" w:rsidP="002C3D23">
      <w:pPr>
        <w:pStyle w:val="Paragraphedeliste"/>
        <w:ind w:left="3261"/>
        <w:jc w:val="both"/>
      </w:pPr>
    </w:p>
    <w:p w:rsidR="002C3D23" w:rsidRPr="00AA55B9" w:rsidRDefault="002C3D23" w:rsidP="002C3D23">
      <w:pPr>
        <w:ind w:left="2832"/>
        <w:jc w:val="both"/>
      </w:pPr>
      <w:r w:rsidRPr="00AA55B9">
        <w:t>The study will provide an in-depth analysis of the exist</w:t>
      </w:r>
      <w:r w:rsidR="00107732">
        <w:t>ing</w:t>
      </w:r>
      <w:r w:rsidRPr="00AA55B9">
        <w:t xml:space="preserve"> regulatory and procedural framework </w:t>
      </w:r>
      <w:r>
        <w:t xml:space="preserve">governing trade in goods within </w:t>
      </w:r>
      <w:r w:rsidR="00107732">
        <w:t xml:space="preserve">the </w:t>
      </w:r>
      <w:r>
        <w:t>SPECA region</w:t>
      </w:r>
      <w:r w:rsidRPr="00AA55B9">
        <w:t xml:space="preserve"> taking into consideration the</w:t>
      </w:r>
      <w:r>
        <w:t>ir commitments under existing bilateral, regional and international trade agreements</w:t>
      </w:r>
      <w:r w:rsidRPr="00AA55B9">
        <w:t xml:space="preserve">, using </w:t>
      </w:r>
      <w:r>
        <w:t xml:space="preserve">an inhouse </w:t>
      </w:r>
      <w:r w:rsidR="00D4028F">
        <w:t>survey-based</w:t>
      </w:r>
      <w:r>
        <w:t xml:space="preserve"> </w:t>
      </w:r>
      <w:r w:rsidRPr="00AA55B9">
        <w:t>Evaluation Methodology</w:t>
      </w:r>
      <w:r>
        <w:t xml:space="preserve"> that will be developed by the UNECE</w:t>
      </w:r>
      <w:r w:rsidRPr="00AA55B9">
        <w:t>.</w:t>
      </w:r>
      <w:r>
        <w:t xml:space="preserve"> </w:t>
      </w:r>
      <w:r w:rsidRPr="00BE6DCD">
        <w:t xml:space="preserve">The recommendations will be developed in close consultation with </w:t>
      </w:r>
      <w:r>
        <w:t>public and private sector stakeholders</w:t>
      </w:r>
      <w:r w:rsidRPr="00BE6DCD">
        <w:t>, with a view to</w:t>
      </w:r>
      <w:r>
        <w:t xml:space="preserve"> identify</w:t>
      </w:r>
      <w:r w:rsidR="00107732">
        <w:t xml:space="preserve"> </w:t>
      </w:r>
      <w:r>
        <w:t xml:space="preserve">action-oriented </w:t>
      </w:r>
      <w:r w:rsidR="003D5816">
        <w:t>interventions</w:t>
      </w:r>
      <w:r>
        <w:t xml:space="preserve"> and areas for joint action </w:t>
      </w:r>
      <w:r w:rsidRPr="00BE6DCD">
        <w:t>to address the identified needs and development priorities.</w:t>
      </w:r>
      <w:r>
        <w:t xml:space="preserve"> The study will </w:t>
      </w:r>
      <w:proofErr w:type="gramStart"/>
      <w:r w:rsidRPr="00C9518D">
        <w:t xml:space="preserve">take </w:t>
      </w:r>
      <w:r w:rsidR="00107732">
        <w:t xml:space="preserve">into </w:t>
      </w:r>
      <w:r w:rsidRPr="00C9518D">
        <w:t>account</w:t>
      </w:r>
      <w:proofErr w:type="gramEnd"/>
      <w:r w:rsidRPr="00C9518D">
        <w:t xml:space="preserve"> the needs and economic realities </w:t>
      </w:r>
      <w:r w:rsidR="00107732">
        <w:t xml:space="preserve">in </w:t>
      </w:r>
      <w:r w:rsidRPr="00C9518D">
        <w:t xml:space="preserve">the </w:t>
      </w:r>
      <w:r>
        <w:t xml:space="preserve">individual SPECA </w:t>
      </w:r>
      <w:r w:rsidR="00107732">
        <w:t xml:space="preserve">participating </w:t>
      </w:r>
      <w:r>
        <w:t>countries (including the results of UNECE national needs assessments)</w:t>
      </w:r>
      <w:r>
        <w:rPr>
          <w:rStyle w:val="Appelnotedebasdep"/>
        </w:rPr>
        <w:footnoteReference w:id="1"/>
      </w:r>
      <w:r w:rsidRPr="00C9518D">
        <w:t xml:space="preserve"> and the challenges </w:t>
      </w:r>
      <w:r>
        <w:t xml:space="preserve">associated with ensuring the </w:t>
      </w:r>
      <w:r w:rsidR="00D4028F">
        <w:t>trickle-down</w:t>
      </w:r>
      <w:r>
        <w:t xml:space="preserve"> effects of trade reforms in the form of export diversification, increased job opportunities and income equity. In so doing, the study will</w:t>
      </w:r>
      <w:r w:rsidR="003D5816">
        <w:t xml:space="preserve"> build on </w:t>
      </w:r>
      <w:r w:rsidR="003D5816">
        <w:lastRenderedPageBreak/>
        <w:t>existing research and analysis, and</w:t>
      </w:r>
      <w:r>
        <w:t xml:space="preserve"> bring forward the interplay between regulatory and procedural barriers and industrial development (to be understood as an economy-wide structural transformation towards increased specialization in products with high value-added); the broader implications for job creation and poverty alleviation; and, thereof, support increasing the contribution of trade to </w:t>
      </w:r>
      <w:r w:rsidR="00805931">
        <w:t xml:space="preserve">the </w:t>
      </w:r>
      <w:r w:rsidR="00380043">
        <w:t xml:space="preserve">achievement of </w:t>
      </w:r>
      <w:r>
        <w:t xml:space="preserve">the </w:t>
      </w:r>
      <w:r w:rsidR="00107732">
        <w:t>following S</w:t>
      </w:r>
      <w:r>
        <w:t xml:space="preserve">ustainable </w:t>
      </w:r>
      <w:r w:rsidR="00107732">
        <w:t>D</w:t>
      </w:r>
      <w:r>
        <w:t xml:space="preserve">evelopment </w:t>
      </w:r>
      <w:r w:rsidR="00107732">
        <w:t>G</w:t>
      </w:r>
      <w:r>
        <w:t>oals</w:t>
      </w:r>
      <w:r w:rsidR="00107732">
        <w:t>:</w:t>
      </w:r>
      <w:r>
        <w:t xml:space="preserve"> </w:t>
      </w:r>
      <w:r w:rsidRPr="003631EF">
        <w:t xml:space="preserve">SDG 7 (affordable and clean energy), </w:t>
      </w:r>
      <w:r w:rsidR="00107732">
        <w:t xml:space="preserve">SDG </w:t>
      </w:r>
      <w:r w:rsidRPr="003631EF">
        <w:t xml:space="preserve">16 (peace, justice and strong institutions) and </w:t>
      </w:r>
      <w:r w:rsidR="00107732">
        <w:t xml:space="preserve">SDG </w:t>
      </w:r>
      <w:r w:rsidRPr="003631EF">
        <w:t xml:space="preserve">17 (partnerships for the goals). The recommendations </w:t>
      </w:r>
      <w:r w:rsidR="00107732">
        <w:t xml:space="preserve">will </w:t>
      </w:r>
      <w:r w:rsidRPr="003631EF">
        <w:t xml:space="preserve">also carry indirect contributions to SDG 8 (decent work and economic growth) and </w:t>
      </w:r>
      <w:r w:rsidR="00107732">
        <w:t xml:space="preserve">SDG </w:t>
      </w:r>
      <w:r w:rsidRPr="003631EF">
        <w:t>9 (industry, innovation and infrastructure).</w:t>
      </w:r>
    </w:p>
    <w:p w:rsidR="002C3D23" w:rsidRDefault="002C3D23" w:rsidP="002C3D23">
      <w:pPr>
        <w:ind w:left="2112" w:firstLine="720"/>
        <w:jc w:val="both"/>
      </w:pPr>
    </w:p>
    <w:p w:rsidR="002C3D23" w:rsidRDefault="002C3D23" w:rsidP="002C3D23">
      <w:pPr>
        <w:ind w:left="2832"/>
        <w:jc w:val="both"/>
      </w:pPr>
      <w:r>
        <w:t>Subject to discussions with national stakeholders, the study will comprise all or any of the below components:</w:t>
      </w:r>
    </w:p>
    <w:p w:rsidR="00E02D69" w:rsidRDefault="00E02D69" w:rsidP="002C3D23">
      <w:pPr>
        <w:ind w:left="2832"/>
        <w:jc w:val="both"/>
      </w:pPr>
    </w:p>
    <w:p w:rsidR="002C3D23" w:rsidRDefault="002C3D23" w:rsidP="001151BF">
      <w:pPr>
        <w:numPr>
          <w:ilvl w:val="0"/>
          <w:numId w:val="1"/>
        </w:numPr>
        <w:ind w:hanging="222"/>
        <w:jc w:val="both"/>
      </w:pPr>
      <w:r>
        <w:t>In-depth analysis of trade facilitation conditions within SPECA and their implications for intra-regional trade and integration into global value chains</w:t>
      </w:r>
      <w:r w:rsidR="00380043">
        <w:t>;</w:t>
      </w:r>
    </w:p>
    <w:p w:rsidR="002C3D23" w:rsidRDefault="002C3D23" w:rsidP="001151BF">
      <w:pPr>
        <w:numPr>
          <w:ilvl w:val="0"/>
          <w:numId w:val="1"/>
        </w:numPr>
        <w:ind w:hanging="222"/>
        <w:jc w:val="both"/>
      </w:pPr>
      <w:r>
        <w:t>In-depth analysis of the system</w:t>
      </w:r>
      <w:r w:rsidR="00107732">
        <w:t>(s)</w:t>
      </w:r>
      <w:r>
        <w:t xml:space="preserve"> of quality control within </w:t>
      </w:r>
      <w:r w:rsidR="0096033E">
        <w:t xml:space="preserve">the </w:t>
      </w:r>
      <w:r>
        <w:t>SPECA</w:t>
      </w:r>
      <w:r w:rsidR="0096033E">
        <w:t xml:space="preserve"> region</w:t>
      </w:r>
      <w:r>
        <w:t>, including standardization, technical regulation, quality assurance and metrology, and its implication for intra-regional trade and integration into global value chains</w:t>
      </w:r>
      <w:r w:rsidR="0096033E">
        <w:t>;</w:t>
      </w:r>
    </w:p>
    <w:p w:rsidR="002C3D23" w:rsidRDefault="002C3D23" w:rsidP="001151BF">
      <w:pPr>
        <w:numPr>
          <w:ilvl w:val="0"/>
          <w:numId w:val="1"/>
        </w:numPr>
        <w:ind w:hanging="222"/>
        <w:jc w:val="both"/>
      </w:pPr>
      <w:r>
        <w:t>A survey of enterprises involved in export and import activities as well as those that are hesitant to engage in trade. Special emphasis will be made to reach out to small</w:t>
      </w:r>
      <w:r w:rsidR="00B6760B">
        <w:t>-</w:t>
      </w:r>
      <w:r>
        <w:t xml:space="preserve"> and medium-sized enterprises</w:t>
      </w:r>
      <w:r w:rsidR="00B6760B">
        <w:t>;</w:t>
      </w:r>
      <w:r>
        <w:t xml:space="preserve"> </w:t>
      </w:r>
    </w:p>
    <w:p w:rsidR="002C3D23" w:rsidRDefault="002C3D23" w:rsidP="001151BF">
      <w:pPr>
        <w:numPr>
          <w:ilvl w:val="0"/>
          <w:numId w:val="1"/>
        </w:numPr>
        <w:ind w:hanging="222"/>
        <w:jc w:val="both"/>
      </w:pPr>
      <w:r>
        <w:t>A survey of barriers faced by SPECA countries’ main trade partners</w:t>
      </w:r>
      <w:r w:rsidR="00B6760B">
        <w:t>;</w:t>
      </w:r>
    </w:p>
    <w:p w:rsidR="002C3D23" w:rsidRDefault="002C3D23" w:rsidP="001151BF">
      <w:pPr>
        <w:numPr>
          <w:ilvl w:val="0"/>
          <w:numId w:val="1"/>
        </w:numPr>
        <w:ind w:hanging="222"/>
        <w:jc w:val="both"/>
      </w:pPr>
      <w:r>
        <w:t>Sector focused analysis of regulatory and procedural barriers to trade in selected products of strategic importance</w:t>
      </w:r>
      <w:r w:rsidR="00B6760B">
        <w:t>; and</w:t>
      </w:r>
    </w:p>
    <w:p w:rsidR="002C3D23" w:rsidRDefault="002C3D23" w:rsidP="001151BF">
      <w:pPr>
        <w:numPr>
          <w:ilvl w:val="0"/>
          <w:numId w:val="1"/>
        </w:numPr>
        <w:ind w:hanging="222"/>
        <w:jc w:val="both"/>
      </w:pPr>
      <w:r>
        <w:t>An analysis of SPECA countries</w:t>
      </w:r>
      <w:r w:rsidR="003D5816">
        <w:t>’</w:t>
      </w:r>
      <w:r>
        <w:t xml:space="preserve"> main trade indices (e.g., revealed comparative advantage and export concentration)</w:t>
      </w:r>
      <w:r w:rsidR="00B6760B">
        <w:t>.</w:t>
      </w:r>
      <w:r>
        <w:t xml:space="preserve"> </w:t>
      </w:r>
    </w:p>
    <w:p w:rsidR="002C3D23" w:rsidRDefault="002C3D23" w:rsidP="002C3D23">
      <w:pPr>
        <w:ind w:left="3552"/>
        <w:jc w:val="both"/>
      </w:pPr>
    </w:p>
    <w:p w:rsidR="002C3D23" w:rsidRDefault="002C3D23" w:rsidP="002C3D23">
      <w:pPr>
        <w:pStyle w:val="Paragraphedeliste"/>
        <w:numPr>
          <w:ilvl w:val="1"/>
          <w:numId w:val="2"/>
        </w:numPr>
        <w:ind w:left="3261" w:hanging="426"/>
        <w:jc w:val="both"/>
      </w:pPr>
      <w:r>
        <w:t>A time-bound action plan for sequencing the implementation of the recommendations emerging from the study. The recommendations will also be integrated into the United Nations Sustainable Development Cooperation Framework as a way for attracting donor support and the assistance of other UN agencies</w:t>
      </w:r>
      <w:r w:rsidR="00B6760B">
        <w:t>.</w:t>
      </w:r>
    </w:p>
    <w:p w:rsidR="001151BF" w:rsidRDefault="001151BF" w:rsidP="001151BF">
      <w:pPr>
        <w:ind w:left="2835"/>
        <w:jc w:val="both"/>
      </w:pPr>
    </w:p>
    <w:p w:rsidR="002C3D23" w:rsidRDefault="002C3D23" w:rsidP="002C3D23">
      <w:pPr>
        <w:pStyle w:val="Paragraphedeliste"/>
        <w:numPr>
          <w:ilvl w:val="1"/>
          <w:numId w:val="2"/>
        </w:numPr>
        <w:ind w:left="3261" w:hanging="426"/>
        <w:jc w:val="both"/>
      </w:pPr>
      <w:r>
        <w:t>Participation in regional workshops that will be undertaken to promote experience sharing and regional cooperation</w:t>
      </w:r>
      <w:r w:rsidR="00B6760B">
        <w:t>.</w:t>
      </w:r>
      <w:r>
        <w:t xml:space="preserve"> </w:t>
      </w:r>
    </w:p>
    <w:p w:rsidR="003D5816" w:rsidRDefault="003D5816" w:rsidP="00B465A6">
      <w:pPr>
        <w:jc w:val="both"/>
      </w:pPr>
    </w:p>
    <w:p w:rsidR="002C3D23" w:rsidRPr="001151BF" w:rsidRDefault="002C3D23" w:rsidP="002C3D23">
      <w:pPr>
        <w:ind w:left="2977" w:hanging="3119"/>
        <w:jc w:val="both"/>
      </w:pPr>
      <w:r w:rsidRPr="001151BF">
        <w:rPr>
          <w:b/>
          <w:lang w:val="sv-SE"/>
        </w:rPr>
        <w:t>4. Institutional framework</w:t>
      </w:r>
      <w:r w:rsidRPr="001151BF">
        <w:t xml:space="preserve">    </w:t>
      </w:r>
      <w:r>
        <w:t>The below arrangements are proposed to ensure national ownership</w:t>
      </w:r>
      <w:r w:rsidR="00B6760B">
        <w:t>:</w:t>
      </w:r>
    </w:p>
    <w:p w:rsidR="002C3D23" w:rsidRPr="001151BF" w:rsidRDefault="002C3D23" w:rsidP="002C3D23">
      <w:pPr>
        <w:ind w:left="3119" w:hanging="2835"/>
        <w:jc w:val="both"/>
      </w:pPr>
    </w:p>
    <w:p w:rsidR="002C3D23" w:rsidRDefault="002C3D23" w:rsidP="002C3D23">
      <w:pPr>
        <w:ind w:left="3261" w:hanging="426"/>
        <w:jc w:val="both"/>
      </w:pPr>
      <w:r>
        <w:t>4.1</w:t>
      </w:r>
      <w:r w:rsidR="001151BF">
        <w:tab/>
      </w:r>
      <w:r>
        <w:t>The</w:t>
      </w:r>
      <w:r w:rsidRPr="00FD55BE">
        <w:t xml:space="preserve"> </w:t>
      </w:r>
      <w:r>
        <w:t xml:space="preserve">activities </w:t>
      </w:r>
      <w:r w:rsidRPr="00FD55BE">
        <w:t xml:space="preserve">will be implemented following a </w:t>
      </w:r>
      <w:r>
        <w:t xml:space="preserve">national </w:t>
      </w:r>
      <w:r w:rsidRPr="00FD55BE">
        <w:t xml:space="preserve">participatory </w:t>
      </w:r>
      <w:r>
        <w:t>approach</w:t>
      </w:r>
      <w:r w:rsidRPr="00FD55BE">
        <w:t xml:space="preserve"> that involves relevant public and private stakeholders. </w:t>
      </w:r>
      <w:r>
        <w:t>The institutional mechanisms for ensuring the broadest possible participation will be discussed with the Government</w:t>
      </w:r>
      <w:r w:rsidR="00551CED">
        <w:t xml:space="preserve">s of the SPECA </w:t>
      </w:r>
      <w:r w:rsidR="00AD6F9C">
        <w:t>countries</w:t>
      </w:r>
      <w:r>
        <w:t xml:space="preserve">. Previous studies were carried out within the context of public-private </w:t>
      </w:r>
      <w:r>
        <w:lastRenderedPageBreak/>
        <w:t>consultations organized by</w:t>
      </w:r>
      <w:r w:rsidR="00551CED">
        <w:t xml:space="preserve"> a</w:t>
      </w:r>
      <w:r>
        <w:t xml:space="preserve"> lead Ministry responsible for trade and associated economic reforms. </w:t>
      </w:r>
    </w:p>
    <w:p w:rsidR="002C3D23" w:rsidRDefault="002C3D23" w:rsidP="002C3D23">
      <w:pPr>
        <w:pStyle w:val="Paragraphedeliste"/>
        <w:ind w:left="3192"/>
        <w:jc w:val="both"/>
      </w:pPr>
    </w:p>
    <w:p w:rsidR="002C3D23" w:rsidRDefault="002C3D23" w:rsidP="002C3D23">
      <w:pPr>
        <w:ind w:left="3261" w:hanging="426"/>
        <w:jc w:val="both"/>
      </w:pPr>
      <w:r>
        <w:t>4.2</w:t>
      </w:r>
      <w:r w:rsidR="001151BF">
        <w:tab/>
      </w:r>
      <w:r>
        <w:t xml:space="preserve">To allow for continuous consultations with the national stakeholders, a focal point </w:t>
      </w:r>
      <w:r w:rsidR="00B6760B">
        <w:t>in</w:t>
      </w:r>
      <w:r>
        <w:t xml:space="preserve"> </w:t>
      </w:r>
      <w:r w:rsidR="00551CED">
        <w:t>each country’s relevant</w:t>
      </w:r>
      <w:r>
        <w:t xml:space="preserve"> Ministry needs to be assigned to interface with the </w:t>
      </w:r>
      <w:r w:rsidR="00551CED">
        <w:t xml:space="preserve">UNECE </w:t>
      </w:r>
      <w:r>
        <w:t>secretariat and act as its main counterpart.</w:t>
      </w:r>
    </w:p>
    <w:p w:rsidR="002C3D23" w:rsidRDefault="002C3D23" w:rsidP="002C3D23">
      <w:pPr>
        <w:ind w:left="3261" w:hanging="426"/>
        <w:jc w:val="both"/>
      </w:pPr>
    </w:p>
    <w:p w:rsidR="002C3D23" w:rsidRDefault="002C3D23" w:rsidP="001151BF">
      <w:pPr>
        <w:tabs>
          <w:tab w:val="left" w:pos="3240"/>
        </w:tabs>
        <w:ind w:left="3261" w:hanging="426"/>
        <w:jc w:val="both"/>
      </w:pPr>
      <w:r>
        <w:t>4.3</w:t>
      </w:r>
      <w:r w:rsidR="001151BF">
        <w:tab/>
      </w:r>
      <w:r>
        <w:t>The survey of enterprises will be conducted by national consultants or</w:t>
      </w:r>
      <w:r w:rsidR="00551CED">
        <w:t>,</w:t>
      </w:r>
      <w:r>
        <w:t xml:space="preserve"> if available</w:t>
      </w:r>
      <w:r w:rsidR="00551CED">
        <w:t>,</w:t>
      </w:r>
      <w:r>
        <w:t xml:space="preserve"> national research institutions that will be trained on the use of the UNECE evaluation methodology. The database will be housed in the said institution for further use and follow-up work.</w:t>
      </w:r>
    </w:p>
    <w:p w:rsidR="002C3D23" w:rsidRDefault="002C3D23" w:rsidP="00805931">
      <w:pPr>
        <w:ind w:left="3261" w:hanging="426"/>
        <w:jc w:val="both"/>
      </w:pPr>
    </w:p>
    <w:p w:rsidR="002C3D23" w:rsidRDefault="002C3D23" w:rsidP="001151BF">
      <w:pPr>
        <w:tabs>
          <w:tab w:val="left" w:pos="2835"/>
          <w:tab w:val="left" w:pos="3261"/>
        </w:tabs>
        <w:ind w:left="3261" w:hanging="2892"/>
        <w:jc w:val="both"/>
        <w:rPr>
          <w:lang w:val="sv-SE"/>
        </w:rPr>
      </w:pPr>
      <w:r w:rsidRPr="001151BF">
        <w:rPr>
          <w:b/>
          <w:lang w:val="sv-SE"/>
        </w:rPr>
        <w:t>5. Next steps</w:t>
      </w:r>
      <w:r w:rsidR="00805931">
        <w:rPr>
          <w:b/>
          <w:color w:val="3069DC"/>
          <w:lang w:val="sv-SE"/>
        </w:rPr>
        <w:tab/>
      </w:r>
      <w:r w:rsidRPr="00EC16AD">
        <w:rPr>
          <w:lang w:val="sv-SE"/>
        </w:rPr>
        <w:t>5.1</w:t>
      </w:r>
      <w:r w:rsidR="00805931">
        <w:rPr>
          <w:lang w:val="sv-SE"/>
        </w:rPr>
        <w:tab/>
      </w:r>
      <w:r>
        <w:rPr>
          <w:lang w:val="sv-SE"/>
        </w:rPr>
        <w:t>Identification of focal points at the nat</w:t>
      </w:r>
      <w:r w:rsidR="00B6760B">
        <w:rPr>
          <w:lang w:val="sv-SE"/>
        </w:rPr>
        <w:t>i</w:t>
      </w:r>
      <w:r>
        <w:rPr>
          <w:lang w:val="sv-SE"/>
        </w:rPr>
        <w:t>onal level to elaborate the concept note and identify strategic sectors</w:t>
      </w:r>
      <w:r w:rsidR="001151BF">
        <w:rPr>
          <w:lang w:val="sv-SE"/>
        </w:rPr>
        <w:t>.</w:t>
      </w:r>
      <w:r>
        <w:rPr>
          <w:lang w:val="sv-SE"/>
        </w:rPr>
        <w:t xml:space="preserve"> </w:t>
      </w:r>
    </w:p>
    <w:p w:rsidR="00805931" w:rsidRDefault="00805931" w:rsidP="00805931">
      <w:pPr>
        <w:tabs>
          <w:tab w:val="left" w:pos="2835"/>
        </w:tabs>
        <w:ind w:left="3261" w:hanging="426"/>
        <w:jc w:val="both"/>
        <w:rPr>
          <w:lang w:val="sv-SE"/>
        </w:rPr>
      </w:pPr>
    </w:p>
    <w:p w:rsidR="002C3D23" w:rsidRDefault="002C3D23" w:rsidP="00112A43">
      <w:pPr>
        <w:tabs>
          <w:tab w:val="left" w:pos="2835"/>
        </w:tabs>
        <w:ind w:left="3261" w:hanging="426"/>
        <w:jc w:val="both"/>
        <w:rPr>
          <w:lang w:val="sv-SE"/>
        </w:rPr>
      </w:pPr>
      <w:r>
        <w:rPr>
          <w:lang w:val="sv-SE"/>
        </w:rPr>
        <w:t>5.2</w:t>
      </w:r>
      <w:r w:rsidR="001151BF">
        <w:rPr>
          <w:lang w:val="sv-SE"/>
        </w:rPr>
        <w:tab/>
      </w:r>
      <w:r>
        <w:rPr>
          <w:lang w:val="sv-SE"/>
        </w:rPr>
        <w:t>Provide the UNECE with relevant policy documents, including development strategies and legislation, as well as previous relevant studies so as to avoid the dupl</w:t>
      </w:r>
      <w:proofErr w:type="spellStart"/>
      <w:r w:rsidR="00E84D6C" w:rsidRPr="009062D6">
        <w:rPr>
          <w:lang w:val="en-GB"/>
        </w:rPr>
        <w:t>i</w:t>
      </w:r>
      <w:proofErr w:type="spellEnd"/>
      <w:r>
        <w:rPr>
          <w:lang w:val="sv-SE"/>
        </w:rPr>
        <w:t>cation of work</w:t>
      </w:r>
      <w:r w:rsidR="001151BF">
        <w:rPr>
          <w:lang w:val="sv-SE"/>
        </w:rPr>
        <w:t>.</w:t>
      </w:r>
    </w:p>
    <w:p w:rsidR="00805931" w:rsidRPr="001151BF" w:rsidRDefault="00805931" w:rsidP="00805931">
      <w:pPr>
        <w:tabs>
          <w:tab w:val="left" w:pos="2835"/>
        </w:tabs>
        <w:ind w:left="3261" w:hanging="426"/>
        <w:jc w:val="both"/>
        <w:rPr>
          <w:b/>
          <w:lang w:val="sv-SE"/>
        </w:rPr>
      </w:pPr>
    </w:p>
    <w:p w:rsidR="002C3D23" w:rsidRDefault="002C3D23" w:rsidP="00112A43">
      <w:pPr>
        <w:tabs>
          <w:tab w:val="left" w:pos="2835"/>
        </w:tabs>
        <w:ind w:left="3261" w:hanging="426"/>
        <w:jc w:val="both"/>
        <w:rPr>
          <w:lang w:val="sv-SE"/>
        </w:rPr>
      </w:pPr>
      <w:r w:rsidRPr="008D4D7D">
        <w:rPr>
          <w:color w:val="000000" w:themeColor="text1"/>
          <w:lang w:val="sv-SE"/>
        </w:rPr>
        <w:t>5.</w:t>
      </w:r>
      <w:r>
        <w:rPr>
          <w:color w:val="000000" w:themeColor="text1"/>
          <w:lang w:val="sv-SE"/>
        </w:rPr>
        <w:t>3</w:t>
      </w:r>
      <w:r w:rsidR="001151BF">
        <w:rPr>
          <w:color w:val="000000" w:themeColor="text1"/>
          <w:lang w:val="sv-SE"/>
        </w:rPr>
        <w:tab/>
      </w:r>
      <w:r>
        <w:rPr>
          <w:color w:val="000000" w:themeColor="text1"/>
          <w:lang w:val="sv-SE"/>
        </w:rPr>
        <w:t xml:space="preserve">Based on the above, prepare a detailed concept note and submit for the consideration of </w:t>
      </w:r>
      <w:r w:rsidR="00D756EC">
        <w:rPr>
          <w:color w:val="000000" w:themeColor="text1"/>
          <w:lang w:val="sv-SE"/>
        </w:rPr>
        <w:t xml:space="preserve">the </w:t>
      </w:r>
      <w:r>
        <w:rPr>
          <w:color w:val="000000" w:themeColor="text1"/>
          <w:lang w:val="sv-SE"/>
        </w:rPr>
        <w:t xml:space="preserve">SPECA </w:t>
      </w:r>
      <w:r w:rsidR="00805931">
        <w:rPr>
          <w:color w:val="000000" w:themeColor="text1"/>
          <w:lang w:val="sv-SE"/>
        </w:rPr>
        <w:t>countries</w:t>
      </w:r>
      <w:r>
        <w:rPr>
          <w:color w:val="000000" w:themeColor="text1"/>
          <w:lang w:val="sv-SE"/>
        </w:rPr>
        <w:t xml:space="preserve"> and </w:t>
      </w:r>
      <w:r w:rsidR="00D756EC">
        <w:rPr>
          <w:color w:val="000000" w:themeColor="text1"/>
          <w:lang w:val="sv-SE"/>
        </w:rPr>
        <w:t xml:space="preserve">the </w:t>
      </w:r>
      <w:r>
        <w:rPr>
          <w:lang w:val="sv-SE"/>
        </w:rPr>
        <w:t>Governing body</w:t>
      </w:r>
      <w:r w:rsidR="00594127" w:rsidRPr="00112A43">
        <w:t>.</w:t>
      </w:r>
      <w:r w:rsidRPr="00EC16AD">
        <w:rPr>
          <w:lang w:val="sv-SE"/>
        </w:rPr>
        <w:t xml:space="preserve"> </w:t>
      </w:r>
      <w:r>
        <w:rPr>
          <w:color w:val="000000" w:themeColor="text1"/>
          <w:lang w:val="sv-SE"/>
        </w:rPr>
        <w:tab/>
      </w:r>
    </w:p>
    <w:p w:rsidR="00805931" w:rsidRDefault="00805931" w:rsidP="00805931">
      <w:pPr>
        <w:tabs>
          <w:tab w:val="left" w:pos="2835"/>
        </w:tabs>
        <w:ind w:left="3261" w:hanging="426"/>
        <w:jc w:val="both"/>
        <w:rPr>
          <w:color w:val="000000" w:themeColor="text1"/>
          <w:lang w:val="sv-SE"/>
        </w:rPr>
      </w:pPr>
    </w:p>
    <w:p w:rsidR="002C3D23" w:rsidRDefault="002C3D23" w:rsidP="00112A43">
      <w:pPr>
        <w:tabs>
          <w:tab w:val="left" w:pos="2835"/>
        </w:tabs>
        <w:ind w:left="3261" w:hanging="426"/>
        <w:jc w:val="both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5.4</w:t>
      </w:r>
      <w:r w:rsidR="001151BF">
        <w:rPr>
          <w:color w:val="000000" w:themeColor="text1"/>
          <w:lang w:val="sv-SE"/>
        </w:rPr>
        <w:tab/>
      </w:r>
      <w:r w:rsidRPr="00112A43">
        <w:rPr>
          <w:lang w:val="sv-SE"/>
        </w:rPr>
        <w:t>Preparation</w:t>
      </w:r>
      <w:r>
        <w:rPr>
          <w:color w:val="000000" w:themeColor="text1"/>
          <w:lang w:val="sv-SE"/>
        </w:rPr>
        <w:t xml:space="preserve"> of the project document by the </w:t>
      </w:r>
      <w:r w:rsidR="009062D6">
        <w:rPr>
          <w:color w:val="000000" w:themeColor="text1"/>
          <w:lang w:val="sv-SE"/>
        </w:rPr>
        <w:t>secretariat</w:t>
      </w:r>
      <w:r w:rsidR="001151BF">
        <w:rPr>
          <w:color w:val="000000" w:themeColor="text1"/>
          <w:lang w:val="sv-SE"/>
        </w:rPr>
        <w:t>.</w:t>
      </w:r>
      <w:r w:rsidR="009062D6">
        <w:rPr>
          <w:color w:val="000000" w:themeColor="text1"/>
          <w:lang w:val="sv-SE"/>
        </w:rPr>
        <w:t xml:space="preserve"> </w:t>
      </w:r>
    </w:p>
    <w:p w:rsidR="00805931" w:rsidRDefault="00805931" w:rsidP="00805931">
      <w:pPr>
        <w:tabs>
          <w:tab w:val="left" w:pos="2835"/>
        </w:tabs>
        <w:ind w:left="3261" w:hanging="426"/>
        <w:jc w:val="both"/>
        <w:rPr>
          <w:color w:val="000000" w:themeColor="text1"/>
          <w:lang w:val="sv-SE"/>
        </w:rPr>
      </w:pPr>
    </w:p>
    <w:p w:rsidR="001151BF" w:rsidRDefault="002C3D23" w:rsidP="00112A43">
      <w:pPr>
        <w:tabs>
          <w:tab w:val="left" w:pos="2835"/>
        </w:tabs>
        <w:ind w:left="3261" w:hanging="426"/>
        <w:jc w:val="both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5.5</w:t>
      </w:r>
      <w:r w:rsidR="001151BF">
        <w:rPr>
          <w:color w:val="000000" w:themeColor="text1"/>
          <w:lang w:val="sv-SE"/>
        </w:rPr>
        <w:tab/>
      </w:r>
      <w:r>
        <w:rPr>
          <w:color w:val="000000" w:themeColor="text1"/>
          <w:lang w:val="sv-SE"/>
        </w:rPr>
        <w:t xml:space="preserve">In </w:t>
      </w:r>
      <w:r w:rsidR="0015356F">
        <w:rPr>
          <w:color w:val="000000" w:themeColor="text1"/>
          <w:lang w:val="sv-SE"/>
        </w:rPr>
        <w:t>tandem</w:t>
      </w:r>
      <w:r>
        <w:rPr>
          <w:color w:val="000000" w:themeColor="text1"/>
          <w:lang w:val="sv-SE"/>
        </w:rPr>
        <w:t>, UNECE will prepare the survey</w:t>
      </w:r>
      <w:r w:rsidR="00551CED">
        <w:rPr>
          <w:color w:val="000000" w:themeColor="text1"/>
          <w:lang w:val="sv-SE"/>
        </w:rPr>
        <w:t>-</w:t>
      </w:r>
      <w:r>
        <w:rPr>
          <w:color w:val="000000" w:themeColor="text1"/>
          <w:lang w:val="sv-SE"/>
        </w:rPr>
        <w:t xml:space="preserve">based evaluation methodology and pilot test </w:t>
      </w:r>
      <w:r w:rsidR="00594127">
        <w:rPr>
          <w:color w:val="000000" w:themeColor="text1"/>
          <w:lang w:val="sv-SE"/>
        </w:rPr>
        <w:t xml:space="preserve">of </w:t>
      </w:r>
      <w:r>
        <w:rPr>
          <w:color w:val="000000" w:themeColor="text1"/>
          <w:lang w:val="sv-SE"/>
        </w:rPr>
        <w:t>th</w:t>
      </w:r>
      <w:r w:rsidR="00551CED">
        <w:rPr>
          <w:color w:val="000000" w:themeColor="text1"/>
          <w:lang w:val="sv-SE"/>
        </w:rPr>
        <w:t>e</w:t>
      </w:r>
      <w:r>
        <w:rPr>
          <w:color w:val="000000" w:themeColor="text1"/>
          <w:lang w:val="sv-SE"/>
        </w:rPr>
        <w:t xml:space="preserve"> questionnaires </w:t>
      </w:r>
      <w:r w:rsidR="00551CED">
        <w:rPr>
          <w:color w:val="000000" w:themeColor="text1"/>
          <w:lang w:val="sv-SE"/>
        </w:rPr>
        <w:t>wor</w:t>
      </w:r>
      <w:r>
        <w:rPr>
          <w:color w:val="000000" w:themeColor="text1"/>
          <w:lang w:val="sv-SE"/>
        </w:rPr>
        <w:t>ki</w:t>
      </w:r>
      <w:r w:rsidR="001151BF">
        <w:rPr>
          <w:color w:val="000000" w:themeColor="text1"/>
          <w:lang w:val="sv-SE"/>
        </w:rPr>
        <w:t>.</w:t>
      </w:r>
      <w:r>
        <w:rPr>
          <w:color w:val="000000" w:themeColor="text1"/>
          <w:lang w:val="sv-SE"/>
        </w:rPr>
        <w:t>ng closely with the focal points</w:t>
      </w:r>
      <w:r w:rsidR="001151BF">
        <w:rPr>
          <w:color w:val="000000" w:themeColor="text1"/>
          <w:lang w:val="sv-SE"/>
        </w:rPr>
        <w:t>.</w:t>
      </w:r>
    </w:p>
    <w:p w:rsidR="002C3D23" w:rsidRDefault="002C3D23" w:rsidP="00112A43">
      <w:pPr>
        <w:tabs>
          <w:tab w:val="left" w:pos="2835"/>
        </w:tabs>
        <w:ind w:left="3261" w:hanging="426"/>
        <w:jc w:val="both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 xml:space="preserve"> </w:t>
      </w:r>
    </w:p>
    <w:p w:rsidR="002C3D23" w:rsidRDefault="002C3D23" w:rsidP="00112A43">
      <w:pPr>
        <w:tabs>
          <w:tab w:val="left" w:pos="2835"/>
        </w:tabs>
        <w:ind w:left="3261" w:hanging="426"/>
        <w:jc w:val="both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5.6</w:t>
      </w:r>
      <w:r w:rsidR="001151BF">
        <w:rPr>
          <w:color w:val="000000" w:themeColor="text1"/>
          <w:lang w:val="sv-SE"/>
        </w:rPr>
        <w:tab/>
      </w:r>
      <w:r w:rsidR="00551CED">
        <w:rPr>
          <w:color w:val="000000" w:themeColor="text1"/>
          <w:lang w:val="sv-SE"/>
        </w:rPr>
        <w:t xml:space="preserve">Start fund-raising. </w:t>
      </w:r>
      <w:r>
        <w:rPr>
          <w:color w:val="000000" w:themeColor="text1"/>
          <w:lang w:val="sv-SE"/>
        </w:rPr>
        <w:t>Once funds</w:t>
      </w:r>
      <w:r w:rsidR="001151BF">
        <w:rPr>
          <w:color w:val="000000" w:themeColor="text1"/>
          <w:lang w:val="sv-SE"/>
        </w:rPr>
        <w:t>.</w:t>
      </w:r>
      <w:r>
        <w:rPr>
          <w:color w:val="000000" w:themeColor="text1"/>
          <w:lang w:val="sv-SE"/>
        </w:rPr>
        <w:t xml:space="preserve"> </w:t>
      </w:r>
      <w:r w:rsidR="00551CED">
        <w:rPr>
          <w:color w:val="000000" w:themeColor="text1"/>
          <w:lang w:val="sv-SE"/>
        </w:rPr>
        <w:t xml:space="preserve">become </w:t>
      </w:r>
      <w:r>
        <w:rPr>
          <w:color w:val="000000" w:themeColor="text1"/>
          <w:lang w:val="sv-SE"/>
        </w:rPr>
        <w:t>available, recruit national consultants to undertake the face</w:t>
      </w:r>
      <w:r w:rsidR="00551CED">
        <w:rPr>
          <w:color w:val="000000" w:themeColor="text1"/>
          <w:lang w:val="sv-SE"/>
        </w:rPr>
        <w:t>-</w:t>
      </w:r>
      <w:r>
        <w:rPr>
          <w:color w:val="000000" w:themeColor="text1"/>
          <w:lang w:val="sv-SE"/>
        </w:rPr>
        <w:t>to</w:t>
      </w:r>
      <w:r w:rsidR="00551CED">
        <w:rPr>
          <w:color w:val="000000" w:themeColor="text1"/>
          <w:lang w:val="sv-SE"/>
        </w:rPr>
        <w:t>-</w:t>
      </w:r>
      <w:r>
        <w:rPr>
          <w:color w:val="000000" w:themeColor="text1"/>
          <w:lang w:val="sv-SE"/>
        </w:rPr>
        <w:t>face interviews with stakeholders and enterprises</w:t>
      </w:r>
      <w:r w:rsidR="00805931">
        <w:rPr>
          <w:color w:val="000000" w:themeColor="text1"/>
          <w:lang w:val="sv-SE"/>
        </w:rPr>
        <w:t>;</w:t>
      </w:r>
    </w:p>
    <w:p w:rsidR="00805931" w:rsidRDefault="00805931" w:rsidP="00805931">
      <w:pPr>
        <w:tabs>
          <w:tab w:val="left" w:pos="2835"/>
        </w:tabs>
        <w:ind w:left="3261" w:hanging="426"/>
        <w:jc w:val="both"/>
        <w:rPr>
          <w:color w:val="000000" w:themeColor="text1"/>
          <w:lang w:val="sv-SE"/>
        </w:rPr>
      </w:pPr>
    </w:p>
    <w:p w:rsidR="002C3D23" w:rsidRDefault="002C3D23" w:rsidP="00112A43">
      <w:pPr>
        <w:tabs>
          <w:tab w:val="left" w:pos="2835"/>
        </w:tabs>
        <w:ind w:left="3261" w:hanging="426"/>
        <w:jc w:val="both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5.</w:t>
      </w:r>
      <w:r w:rsidR="0009660C">
        <w:rPr>
          <w:color w:val="000000" w:themeColor="text1"/>
          <w:lang w:val="sv-SE"/>
        </w:rPr>
        <w:t>7</w:t>
      </w:r>
      <w:r w:rsidR="001151BF">
        <w:rPr>
          <w:color w:val="000000" w:themeColor="text1"/>
          <w:lang w:val="sv-SE"/>
        </w:rPr>
        <w:tab/>
      </w:r>
      <w:r>
        <w:rPr>
          <w:color w:val="000000" w:themeColor="text1"/>
          <w:lang w:val="sv-SE"/>
        </w:rPr>
        <w:t>Using the results of the surveys, the UNECE will draft the report and proposed recommendations for discussion with the relevant State agencies and private sector representatives during a stakeholder meeting</w:t>
      </w:r>
      <w:r w:rsidR="00805931">
        <w:rPr>
          <w:color w:val="000000" w:themeColor="text1"/>
          <w:lang w:val="sv-SE"/>
        </w:rPr>
        <w:t>;</w:t>
      </w:r>
    </w:p>
    <w:p w:rsidR="00805931" w:rsidRDefault="00805931" w:rsidP="00805931">
      <w:pPr>
        <w:tabs>
          <w:tab w:val="left" w:pos="2835"/>
        </w:tabs>
        <w:ind w:left="3261" w:hanging="426"/>
        <w:jc w:val="both"/>
        <w:rPr>
          <w:color w:val="000000" w:themeColor="text1"/>
          <w:lang w:val="sv-SE"/>
        </w:rPr>
      </w:pPr>
    </w:p>
    <w:p w:rsidR="002C3D23" w:rsidRDefault="002C3D23" w:rsidP="00112A43">
      <w:pPr>
        <w:tabs>
          <w:tab w:val="left" w:pos="2835"/>
        </w:tabs>
        <w:ind w:left="3261" w:hanging="426"/>
        <w:jc w:val="both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5.</w:t>
      </w:r>
      <w:r w:rsidR="0009660C">
        <w:rPr>
          <w:color w:val="000000" w:themeColor="text1"/>
          <w:lang w:val="sv-SE"/>
        </w:rPr>
        <w:t>8</w:t>
      </w:r>
      <w:r w:rsidR="001151BF">
        <w:rPr>
          <w:color w:val="000000" w:themeColor="text1"/>
          <w:lang w:val="sv-SE"/>
        </w:rPr>
        <w:tab/>
      </w:r>
      <w:r>
        <w:rPr>
          <w:color w:val="000000" w:themeColor="text1"/>
          <w:lang w:val="sv-SE"/>
        </w:rPr>
        <w:t>Drawing on the outcome of the stakeholder meeting, UNECE will prepare the final study and recommendations for publication in Englis</w:t>
      </w:r>
      <w:r w:rsidR="00551CED">
        <w:rPr>
          <w:color w:val="000000" w:themeColor="text1"/>
          <w:lang w:val="sv-SE"/>
        </w:rPr>
        <w:t>h</w:t>
      </w:r>
      <w:r>
        <w:rPr>
          <w:color w:val="000000" w:themeColor="text1"/>
          <w:lang w:val="sv-SE"/>
        </w:rPr>
        <w:t xml:space="preserve"> and Russian.</w:t>
      </w:r>
    </w:p>
    <w:p w:rsidR="00116DB6" w:rsidRDefault="00116DB6" w:rsidP="00112A43">
      <w:pPr>
        <w:tabs>
          <w:tab w:val="left" w:pos="2835"/>
        </w:tabs>
        <w:ind w:left="3261" w:hanging="426"/>
        <w:jc w:val="both"/>
        <w:rPr>
          <w:color w:val="000000" w:themeColor="text1"/>
          <w:lang w:val="sv-SE"/>
        </w:rPr>
      </w:pPr>
    </w:p>
    <w:p w:rsidR="00116DB6" w:rsidRDefault="00116DB6" w:rsidP="00112A43">
      <w:pPr>
        <w:tabs>
          <w:tab w:val="left" w:pos="2835"/>
        </w:tabs>
        <w:ind w:left="3261" w:hanging="426"/>
        <w:jc w:val="both"/>
        <w:rPr>
          <w:color w:val="000000" w:themeColor="text1"/>
          <w:lang w:val="sv-SE"/>
        </w:rPr>
      </w:pPr>
    </w:p>
    <w:p w:rsidR="00116DB6" w:rsidRDefault="00116DB6" w:rsidP="00112A43">
      <w:pPr>
        <w:tabs>
          <w:tab w:val="left" w:pos="2835"/>
        </w:tabs>
        <w:ind w:left="3261" w:hanging="426"/>
        <w:jc w:val="both"/>
        <w:rPr>
          <w:color w:val="000000" w:themeColor="text1"/>
          <w:lang w:val="sv-SE"/>
        </w:rPr>
      </w:pPr>
    </w:p>
    <w:p w:rsidR="00116DB6" w:rsidRDefault="00116DB6" w:rsidP="00116DB6">
      <w:pPr>
        <w:tabs>
          <w:tab w:val="left" w:pos="2835"/>
        </w:tabs>
        <w:jc w:val="center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_____________________</w:t>
      </w:r>
    </w:p>
    <w:p w:rsidR="005E103B" w:rsidRPr="002C3D23" w:rsidRDefault="005E103B" w:rsidP="007054D4">
      <w:pPr>
        <w:rPr>
          <w:lang w:val="sv-SE"/>
        </w:rPr>
      </w:pPr>
    </w:p>
    <w:sectPr w:rsidR="005E103B" w:rsidRPr="002C3D23" w:rsidSect="00112A43">
      <w:headerReference w:type="default" r:id="rId8"/>
      <w:headerReference w:type="first" r:id="rId9"/>
      <w:pgSz w:w="12240" w:h="15840"/>
      <w:pgMar w:top="864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D23" w:rsidRDefault="002C3D23" w:rsidP="002C3D23">
      <w:r>
        <w:separator/>
      </w:r>
    </w:p>
  </w:endnote>
  <w:endnote w:type="continuationSeparator" w:id="0">
    <w:p w:rsidR="002C3D23" w:rsidRDefault="002C3D23" w:rsidP="002C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D23" w:rsidRDefault="002C3D23" w:rsidP="002C3D23">
      <w:r>
        <w:separator/>
      </w:r>
    </w:p>
  </w:footnote>
  <w:footnote w:type="continuationSeparator" w:id="0">
    <w:p w:rsidR="002C3D23" w:rsidRDefault="002C3D23" w:rsidP="002C3D23">
      <w:r>
        <w:continuationSeparator/>
      </w:r>
    </w:p>
  </w:footnote>
  <w:footnote w:id="1">
    <w:p w:rsidR="002C3D23" w:rsidRPr="007A6A83" w:rsidRDefault="002C3D23" w:rsidP="002C3D23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>
        <w:t xml:space="preserve"> </w:t>
      </w:r>
      <w:r w:rsidRPr="007A6A83">
        <w:rPr>
          <w:lang w:val="en-GB"/>
        </w:rPr>
        <w:t>To date, the UNECE has c</w:t>
      </w:r>
      <w:r>
        <w:rPr>
          <w:lang w:val="en-GB"/>
        </w:rPr>
        <w:t xml:space="preserve">onducted studies on Kazakhstan, Kyrgyzstan and Tajikistan.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2102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2D69" w:rsidRDefault="00E02D69">
        <w:pPr>
          <w:pStyle w:val="En-t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0043" w:rsidRDefault="00380043" w:rsidP="004B1417">
    <w:pPr>
      <w:pStyle w:val="En-tte"/>
      <w:jc w:val="center"/>
    </w:pPr>
  </w:p>
  <w:p w:rsidR="00E02D69" w:rsidRDefault="00E02D69" w:rsidP="004B1417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92" w:type="dxa"/>
      <w:tblInd w:w="-252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780"/>
      <w:gridCol w:w="1980"/>
      <w:gridCol w:w="4932"/>
    </w:tblGrid>
    <w:tr w:rsidR="00D05FAA" w:rsidTr="00112A43">
      <w:tc>
        <w:tcPr>
          <w:tcW w:w="3780" w:type="dxa"/>
          <w:hideMark/>
        </w:tcPr>
        <w:p w:rsidR="00D05FAA" w:rsidRDefault="00D05FAA" w:rsidP="00116DB6">
          <w:pPr>
            <w:pStyle w:val="Titre4"/>
            <w:spacing w:before="0" w:after="0" w:line="240" w:lineRule="auto"/>
            <w:ind w:left="14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UNECE</w:t>
          </w:r>
        </w:p>
        <w:p w:rsidR="00D05FAA" w:rsidRDefault="00D05FAA" w:rsidP="00116DB6">
          <w:pPr>
            <w:tabs>
              <w:tab w:val="center" w:pos="6521"/>
            </w:tabs>
            <w:ind w:left="144"/>
            <w:rPr>
              <w:b/>
              <w:bCs/>
            </w:rPr>
          </w:pPr>
          <w:r>
            <w:rPr>
              <w:b/>
              <w:bCs/>
            </w:rPr>
            <w:t>United Nations Economic Commission for Europe</w:t>
          </w:r>
        </w:p>
      </w:tc>
      <w:tc>
        <w:tcPr>
          <w:tcW w:w="1980" w:type="dxa"/>
          <w:hideMark/>
        </w:tcPr>
        <w:p w:rsidR="00D05FAA" w:rsidRDefault="00D05FAA" w:rsidP="00112A43">
          <w:pPr>
            <w:tabs>
              <w:tab w:val="center" w:pos="6521"/>
            </w:tabs>
            <w:ind w:left="594" w:right="-10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866775" cy="7048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738" t="-70" r="-7568" b="-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2" w:type="dxa"/>
          <w:hideMark/>
        </w:tcPr>
        <w:p w:rsidR="00D05FAA" w:rsidRDefault="00D05FAA" w:rsidP="00116DB6">
          <w:pPr>
            <w:tabs>
              <w:tab w:val="center" w:pos="6521"/>
            </w:tabs>
            <w:ind w:left="-108" w:right="162"/>
            <w:jc w:val="right"/>
            <w:rPr>
              <w:b/>
              <w:bCs/>
            </w:rPr>
          </w:pPr>
          <w:r>
            <w:rPr>
              <w:b/>
              <w:bCs/>
            </w:rPr>
            <w:t>ESCAP</w:t>
          </w:r>
        </w:p>
        <w:p w:rsidR="00D05FAA" w:rsidRDefault="00D05FAA" w:rsidP="00116DB6">
          <w:pPr>
            <w:tabs>
              <w:tab w:val="center" w:pos="6521"/>
            </w:tabs>
            <w:ind w:left="-108" w:right="162"/>
            <w:jc w:val="right"/>
            <w:rPr>
              <w:b/>
              <w:bCs/>
            </w:rPr>
          </w:pPr>
          <w:r>
            <w:rPr>
              <w:b/>
              <w:bCs/>
            </w:rPr>
            <w:t>United Nations Economic and Social</w:t>
          </w:r>
        </w:p>
        <w:p w:rsidR="00D05FAA" w:rsidRDefault="00D05FAA" w:rsidP="00116DB6">
          <w:pPr>
            <w:pStyle w:val="Titre8"/>
            <w:spacing w:before="0" w:after="0" w:line="240" w:lineRule="auto"/>
            <w:ind w:left="-108" w:right="162"/>
            <w:jc w:val="right"/>
            <w:rPr>
              <w:rFonts w:ascii="Times New Roman" w:hAnsi="Times New Roman" w:cs="Times New Roman"/>
              <w:b/>
              <w:bCs/>
              <w:i w:val="0"/>
              <w:iCs w:val="0"/>
            </w:rPr>
          </w:pPr>
          <w:r>
            <w:rPr>
              <w:rFonts w:ascii="Times New Roman" w:hAnsi="Times New Roman" w:cs="Times New Roman"/>
              <w:b/>
              <w:bCs/>
              <w:i w:val="0"/>
              <w:iCs w:val="0"/>
            </w:rPr>
            <w:t xml:space="preserve"> Commission for Asia and the Pacific</w:t>
          </w:r>
        </w:p>
      </w:tc>
    </w:tr>
  </w:tbl>
  <w:p w:rsidR="00D05FAA" w:rsidRPr="00D05FAA" w:rsidRDefault="00D05FAA" w:rsidP="003C6785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76E10"/>
    <w:multiLevelType w:val="multilevel"/>
    <w:tmpl w:val="7AD4B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56" w:hanging="1800"/>
      </w:pPr>
      <w:rPr>
        <w:rFonts w:hint="default"/>
      </w:rPr>
    </w:lvl>
  </w:abstractNum>
  <w:abstractNum w:abstractNumId="1" w15:restartNumberingAfterBreak="0">
    <w:nsid w:val="5A680C26"/>
    <w:multiLevelType w:val="hybridMultilevel"/>
    <w:tmpl w:val="855A3B50"/>
    <w:lvl w:ilvl="0" w:tplc="0809001B">
      <w:start w:val="1"/>
      <w:numFmt w:val="lowerRoman"/>
      <w:lvlText w:val="%1."/>
      <w:lvlJc w:val="right"/>
      <w:pPr>
        <w:ind w:left="3552" w:hanging="360"/>
      </w:pPr>
    </w:lvl>
    <w:lvl w:ilvl="1" w:tplc="04090019">
      <w:start w:val="1"/>
      <w:numFmt w:val="lowerLetter"/>
      <w:lvlText w:val="%2."/>
      <w:lvlJc w:val="left"/>
      <w:pPr>
        <w:ind w:left="4272" w:hanging="360"/>
      </w:pPr>
    </w:lvl>
    <w:lvl w:ilvl="2" w:tplc="0409001B" w:tentative="1">
      <w:start w:val="1"/>
      <w:numFmt w:val="lowerRoman"/>
      <w:lvlText w:val="%3."/>
      <w:lvlJc w:val="right"/>
      <w:pPr>
        <w:ind w:left="4992" w:hanging="180"/>
      </w:pPr>
    </w:lvl>
    <w:lvl w:ilvl="3" w:tplc="0409000F" w:tentative="1">
      <w:start w:val="1"/>
      <w:numFmt w:val="decimal"/>
      <w:lvlText w:val="%4."/>
      <w:lvlJc w:val="left"/>
      <w:pPr>
        <w:ind w:left="5712" w:hanging="360"/>
      </w:pPr>
    </w:lvl>
    <w:lvl w:ilvl="4" w:tplc="04090019" w:tentative="1">
      <w:start w:val="1"/>
      <w:numFmt w:val="lowerLetter"/>
      <w:lvlText w:val="%5."/>
      <w:lvlJc w:val="left"/>
      <w:pPr>
        <w:ind w:left="6432" w:hanging="360"/>
      </w:pPr>
    </w:lvl>
    <w:lvl w:ilvl="5" w:tplc="0409001B" w:tentative="1">
      <w:start w:val="1"/>
      <w:numFmt w:val="lowerRoman"/>
      <w:lvlText w:val="%6."/>
      <w:lvlJc w:val="right"/>
      <w:pPr>
        <w:ind w:left="7152" w:hanging="180"/>
      </w:pPr>
    </w:lvl>
    <w:lvl w:ilvl="6" w:tplc="0409000F" w:tentative="1">
      <w:start w:val="1"/>
      <w:numFmt w:val="decimal"/>
      <w:lvlText w:val="%7."/>
      <w:lvlJc w:val="left"/>
      <w:pPr>
        <w:ind w:left="7872" w:hanging="360"/>
      </w:pPr>
    </w:lvl>
    <w:lvl w:ilvl="7" w:tplc="04090019" w:tentative="1">
      <w:start w:val="1"/>
      <w:numFmt w:val="lowerLetter"/>
      <w:lvlText w:val="%8."/>
      <w:lvlJc w:val="left"/>
      <w:pPr>
        <w:ind w:left="8592" w:hanging="360"/>
      </w:pPr>
    </w:lvl>
    <w:lvl w:ilvl="8" w:tplc="040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23"/>
    <w:rsid w:val="0009660C"/>
    <w:rsid w:val="00107732"/>
    <w:rsid w:val="00107DBB"/>
    <w:rsid w:val="00112A43"/>
    <w:rsid w:val="001151BF"/>
    <w:rsid w:val="00116DB6"/>
    <w:rsid w:val="00140359"/>
    <w:rsid w:val="0015356F"/>
    <w:rsid w:val="001F1CDE"/>
    <w:rsid w:val="002336C6"/>
    <w:rsid w:val="002344C7"/>
    <w:rsid w:val="00294A34"/>
    <w:rsid w:val="002C3D23"/>
    <w:rsid w:val="002E05EE"/>
    <w:rsid w:val="00380043"/>
    <w:rsid w:val="003C4EAA"/>
    <w:rsid w:val="003C6785"/>
    <w:rsid w:val="003D5816"/>
    <w:rsid w:val="004B1417"/>
    <w:rsid w:val="00551CED"/>
    <w:rsid w:val="005654C5"/>
    <w:rsid w:val="00594127"/>
    <w:rsid w:val="005E103B"/>
    <w:rsid w:val="00611796"/>
    <w:rsid w:val="006536D7"/>
    <w:rsid w:val="006D6095"/>
    <w:rsid w:val="007054D4"/>
    <w:rsid w:val="00750C49"/>
    <w:rsid w:val="00805931"/>
    <w:rsid w:val="008935AF"/>
    <w:rsid w:val="009062D6"/>
    <w:rsid w:val="0096033E"/>
    <w:rsid w:val="009A60B0"/>
    <w:rsid w:val="00A34913"/>
    <w:rsid w:val="00AA5C90"/>
    <w:rsid w:val="00AD6F9C"/>
    <w:rsid w:val="00AF2CD3"/>
    <w:rsid w:val="00B06208"/>
    <w:rsid w:val="00B20B4F"/>
    <w:rsid w:val="00B465A6"/>
    <w:rsid w:val="00B6760B"/>
    <w:rsid w:val="00B71761"/>
    <w:rsid w:val="00BE0E18"/>
    <w:rsid w:val="00C051C0"/>
    <w:rsid w:val="00D05FAA"/>
    <w:rsid w:val="00D05FDF"/>
    <w:rsid w:val="00D175A1"/>
    <w:rsid w:val="00D4028F"/>
    <w:rsid w:val="00D53855"/>
    <w:rsid w:val="00D756EC"/>
    <w:rsid w:val="00E02D69"/>
    <w:rsid w:val="00E0411D"/>
    <w:rsid w:val="00E72046"/>
    <w:rsid w:val="00E84D6C"/>
    <w:rsid w:val="00F5650B"/>
    <w:rsid w:val="00F7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677C23"/>
  <w15:chartTrackingRefBased/>
  <w15:docId w15:val="{3B5EE1B6-9B58-499D-8B9F-F590A064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12A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5FAA"/>
    <w:pPr>
      <w:keepNext/>
      <w:spacing w:before="240" w:after="60" w:line="256" w:lineRule="auto"/>
      <w:outlineLvl w:val="3"/>
    </w:pPr>
    <w:rPr>
      <w:rFonts w:ascii="Calibri" w:eastAsia="DengXian" w:hAnsi="Calibri" w:cs="Arial"/>
      <w:b/>
      <w:bCs/>
      <w:sz w:val="28"/>
      <w:szCs w:val="28"/>
      <w:lang w:val="tr-T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5FAA"/>
    <w:pPr>
      <w:spacing w:before="240" w:after="60" w:line="256" w:lineRule="auto"/>
      <w:outlineLvl w:val="7"/>
    </w:pPr>
    <w:rPr>
      <w:rFonts w:ascii="Calibri" w:eastAsia="DengXian" w:hAnsi="Calibri" w:cs="Arial"/>
      <w:i/>
      <w:iCs/>
      <w:lang w:val="tr-T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3D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3D2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3D2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C3D2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C4EA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C4EA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C4EA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4EA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077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77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773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77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7732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Rvision">
    <w:name w:val="Revision"/>
    <w:hidden/>
    <w:uiPriority w:val="99"/>
    <w:semiHidden/>
    <w:rsid w:val="0010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7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732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D05FAA"/>
    <w:rPr>
      <w:rFonts w:ascii="Calibri" w:eastAsia="DengXian" w:hAnsi="Calibri" w:cs="Arial"/>
      <w:b/>
      <w:bCs/>
      <w:sz w:val="28"/>
      <w:szCs w:val="28"/>
      <w:lang w:val="tr-T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D05FAA"/>
    <w:rPr>
      <w:rFonts w:ascii="Calibri" w:eastAsia="DengXian" w:hAnsi="Calibri" w:cs="Arial"/>
      <w:i/>
      <w:iCs/>
      <w:sz w:val="24"/>
      <w:szCs w:val="24"/>
      <w:lang w:val="tr-TR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112A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5654C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B4FD-5A78-46AA-A78D-AEBAC5CC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1021</Words>
  <Characters>5249</Characters>
  <Application>Microsoft Office Word</Application>
  <DocSecurity>0</DocSecurity>
  <Lines>149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Daoudi</dc:creator>
  <cp:keywords/>
  <dc:description/>
  <cp:lastModifiedBy>Grant Akopyan</cp:lastModifiedBy>
  <cp:revision>6</cp:revision>
  <cp:lastPrinted>2019-07-02T14:56:00Z</cp:lastPrinted>
  <dcterms:created xsi:type="dcterms:W3CDTF">2019-10-16T08:47:00Z</dcterms:created>
  <dcterms:modified xsi:type="dcterms:W3CDTF">2019-10-23T15:26:00Z</dcterms:modified>
</cp:coreProperties>
</file>