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6" w:type="dxa"/>
        <w:tblInd w:w="-432" w:type="dxa"/>
        <w:tblLayout w:type="fixed"/>
        <w:tblLook w:val="01E0" w:firstRow="1" w:lastRow="1" w:firstColumn="1" w:lastColumn="1" w:noHBand="0" w:noVBand="0"/>
      </w:tblPr>
      <w:tblGrid>
        <w:gridCol w:w="5218"/>
        <w:gridCol w:w="4678"/>
      </w:tblGrid>
      <w:tr w:rsidR="00294560" w:rsidRPr="00892FF6" w:rsidTr="00CB2585">
        <w:trPr>
          <w:trHeight w:val="2690"/>
        </w:trPr>
        <w:tc>
          <w:tcPr>
            <w:tcW w:w="5218" w:type="dxa"/>
          </w:tcPr>
          <w:p w:rsidR="00294560" w:rsidRPr="00892FF6" w:rsidRDefault="00294560" w:rsidP="00CB2585">
            <w:pPr>
              <w:spacing w:before="120"/>
              <w:jc w:val="center"/>
              <w:rPr>
                <w:rFonts w:ascii="Times New Roman" w:hAnsi="Times New Roman" w:cs="Times New Roman"/>
                <w:b/>
              </w:rPr>
            </w:pPr>
            <w:r w:rsidRPr="00892FF6">
              <w:rPr>
                <w:rFonts w:ascii="Times New Roman" w:hAnsi="Times New Roman" w:cs="Times New Roman"/>
                <w:noProof/>
              </w:rPr>
              <w:drawing>
                <wp:inline distT="0" distB="0" distL="0" distR="0" wp14:anchorId="184540E7" wp14:editId="33D79E48">
                  <wp:extent cx="1343771" cy="1169872"/>
                  <wp:effectExtent l="0" t="0" r="8890" b="0"/>
                  <wp:docPr id="2" name="Picture 2" descr="UN logo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 logo 1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2855" cy="1169075"/>
                          </a:xfrm>
                          <a:prstGeom prst="rect">
                            <a:avLst/>
                          </a:prstGeom>
                          <a:noFill/>
                          <a:ln>
                            <a:noFill/>
                          </a:ln>
                        </pic:spPr>
                      </pic:pic>
                    </a:graphicData>
                  </a:graphic>
                </wp:inline>
              </w:drawing>
            </w:r>
          </w:p>
          <w:p w:rsidR="00294560" w:rsidRPr="00892FF6" w:rsidRDefault="00294560" w:rsidP="00CB2585">
            <w:pPr>
              <w:spacing w:before="120"/>
              <w:jc w:val="center"/>
              <w:rPr>
                <w:rFonts w:ascii="Times New Roman" w:hAnsi="Times New Roman" w:cs="Times New Roman"/>
                <w:b/>
                <w:sz w:val="18"/>
                <w:szCs w:val="18"/>
              </w:rPr>
            </w:pPr>
            <w:r w:rsidRPr="00892FF6">
              <w:rPr>
                <w:rFonts w:ascii="Times New Roman" w:hAnsi="Times New Roman" w:cs="Times New Roman"/>
                <w:b/>
                <w:bCs/>
                <w:sz w:val="18"/>
                <w:szCs w:val="18"/>
                <w:lang w:val="en-GB"/>
              </w:rPr>
              <w:t>UNITED NATIONS ECONOMIC COMMISSION FOR EUROPE</w:t>
            </w:r>
          </w:p>
        </w:tc>
        <w:tc>
          <w:tcPr>
            <w:tcW w:w="4678" w:type="dxa"/>
          </w:tcPr>
          <w:p w:rsidR="00294560" w:rsidRPr="00892FF6" w:rsidRDefault="00294560" w:rsidP="00CB2585">
            <w:pPr>
              <w:spacing w:after="0" w:line="240" w:lineRule="auto"/>
              <w:jc w:val="center"/>
              <w:rPr>
                <w:rFonts w:ascii="Times New Roman" w:hAnsi="Times New Roman" w:cs="Times New Roman"/>
                <w:b/>
                <w:bCs/>
                <w:sz w:val="20"/>
                <w:szCs w:val="20"/>
                <w:lang w:val="en-GB"/>
              </w:rPr>
            </w:pPr>
          </w:p>
          <w:p w:rsidR="00294560" w:rsidRPr="00892FF6" w:rsidRDefault="00294560" w:rsidP="00CB2585">
            <w:pPr>
              <w:spacing w:after="0" w:line="240" w:lineRule="auto"/>
              <w:jc w:val="center"/>
              <w:rPr>
                <w:rFonts w:ascii="Times New Roman" w:hAnsi="Times New Roman" w:cs="Times New Roman"/>
                <w:b/>
                <w:bCs/>
                <w:sz w:val="20"/>
                <w:szCs w:val="20"/>
                <w:lang w:val="en-GB"/>
              </w:rPr>
            </w:pPr>
            <w:r w:rsidRPr="00892FF6">
              <w:rPr>
                <w:rFonts w:ascii="Times New Roman" w:hAnsi="Times New Roman" w:cs="Times New Roman"/>
                <w:noProof/>
              </w:rPr>
              <w:drawing>
                <wp:inline distT="0" distB="0" distL="0" distR="0" wp14:anchorId="71E00B1E" wp14:editId="3B176B5F">
                  <wp:extent cx="1854835" cy="1112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4835" cy="1112520"/>
                          </a:xfrm>
                          <a:prstGeom prst="rect">
                            <a:avLst/>
                          </a:prstGeom>
                          <a:noFill/>
                          <a:ln>
                            <a:noFill/>
                          </a:ln>
                        </pic:spPr>
                      </pic:pic>
                    </a:graphicData>
                  </a:graphic>
                </wp:inline>
              </w:drawing>
            </w:r>
          </w:p>
          <w:p w:rsidR="00294560" w:rsidRPr="00892FF6" w:rsidRDefault="00294560" w:rsidP="00CB2585">
            <w:pPr>
              <w:spacing w:after="0" w:line="240" w:lineRule="auto"/>
              <w:jc w:val="center"/>
              <w:rPr>
                <w:rFonts w:ascii="Times New Roman" w:hAnsi="Times New Roman" w:cs="Times New Roman"/>
                <w:b/>
                <w:bCs/>
                <w:sz w:val="20"/>
                <w:szCs w:val="20"/>
                <w:lang w:val="en-GB"/>
              </w:rPr>
            </w:pPr>
          </w:p>
          <w:p w:rsidR="00294560" w:rsidRPr="00892FF6" w:rsidRDefault="00294560" w:rsidP="00CB2585">
            <w:pPr>
              <w:spacing w:after="0" w:line="240" w:lineRule="auto"/>
              <w:jc w:val="center"/>
              <w:rPr>
                <w:rFonts w:ascii="Times New Roman" w:hAnsi="Times New Roman" w:cs="Times New Roman"/>
                <w:sz w:val="20"/>
                <w:szCs w:val="20"/>
                <w:lang w:val="en-GB"/>
              </w:rPr>
            </w:pPr>
            <w:r w:rsidRPr="00892FF6">
              <w:rPr>
                <w:rFonts w:ascii="Times New Roman" w:hAnsi="Times New Roman" w:cs="Times New Roman"/>
                <w:b/>
                <w:bCs/>
                <w:sz w:val="18"/>
                <w:szCs w:val="18"/>
                <w:lang w:val="en-GB"/>
              </w:rPr>
              <w:t>ORGANIZATION OF THE BLACK SEA ECONOMIC COOPERATION</w:t>
            </w:r>
          </w:p>
        </w:tc>
      </w:tr>
    </w:tbl>
    <w:p w:rsidR="00294560" w:rsidRPr="00892FF6" w:rsidRDefault="00294560" w:rsidP="00294560">
      <w:pPr>
        <w:rPr>
          <w:rFonts w:ascii="Times New Roman" w:hAnsi="Times New Roman" w:cs="Times New Roman"/>
          <w:b/>
          <w:sz w:val="16"/>
          <w:szCs w:val="16"/>
          <w:lang w:val="pt-PT"/>
        </w:rPr>
      </w:pPr>
    </w:p>
    <w:p w:rsidR="00294560" w:rsidRPr="00892FF6" w:rsidRDefault="00294560" w:rsidP="00294560">
      <w:pPr>
        <w:jc w:val="center"/>
        <w:rPr>
          <w:rFonts w:ascii="Times New Roman" w:hAnsi="Times New Roman" w:cs="Times New Roman"/>
          <w:b/>
          <w:color w:val="323E4F" w:themeColor="text2" w:themeShade="BF"/>
          <w:sz w:val="32"/>
          <w:szCs w:val="32"/>
        </w:rPr>
      </w:pPr>
      <w:r w:rsidRPr="00892FF6">
        <w:rPr>
          <w:rFonts w:ascii="Times New Roman" w:hAnsi="Times New Roman" w:cs="Times New Roman"/>
          <w:b/>
          <w:color w:val="323E4F" w:themeColor="text2" w:themeShade="BF"/>
          <w:sz w:val="32"/>
          <w:szCs w:val="32"/>
        </w:rPr>
        <w:t>Recommendations from the</w:t>
      </w:r>
    </w:p>
    <w:p w:rsidR="00294560" w:rsidRPr="00892FF6" w:rsidRDefault="00294560" w:rsidP="00294560">
      <w:pPr>
        <w:jc w:val="center"/>
        <w:rPr>
          <w:rFonts w:ascii="Times New Roman" w:hAnsi="Times New Roman" w:cs="Times New Roman"/>
          <w:b/>
          <w:color w:val="323E4F" w:themeColor="text2" w:themeShade="BF"/>
          <w:sz w:val="32"/>
          <w:szCs w:val="32"/>
        </w:rPr>
      </w:pPr>
      <w:r w:rsidRPr="00892FF6">
        <w:rPr>
          <w:rFonts w:ascii="Times New Roman" w:hAnsi="Times New Roman" w:cs="Times New Roman"/>
          <w:b/>
          <w:color w:val="323E4F" w:themeColor="text2" w:themeShade="BF"/>
          <w:sz w:val="32"/>
          <w:szCs w:val="32"/>
        </w:rPr>
        <w:t>Joint UNECE - BSEC Seminar on Trade Facilitation and Single Window Interoperability</w:t>
      </w:r>
    </w:p>
    <w:p w:rsidR="003A5995" w:rsidRPr="00892FF6" w:rsidRDefault="003A5995" w:rsidP="00294560">
      <w:pPr>
        <w:jc w:val="center"/>
        <w:rPr>
          <w:rFonts w:ascii="Times New Roman" w:hAnsi="Times New Roman" w:cs="Times New Roman"/>
          <w:b/>
          <w:color w:val="323E4F" w:themeColor="text2" w:themeShade="BF"/>
          <w:sz w:val="32"/>
          <w:szCs w:val="32"/>
        </w:rPr>
      </w:pPr>
      <w:r w:rsidRPr="00892FF6">
        <w:rPr>
          <w:rFonts w:ascii="Times New Roman" w:hAnsi="Times New Roman" w:cs="Times New Roman"/>
          <w:b/>
          <w:color w:val="323E4F" w:themeColor="text2" w:themeShade="BF"/>
          <w:sz w:val="32"/>
          <w:szCs w:val="32"/>
        </w:rPr>
        <w:t>(21 September 2017)</w:t>
      </w:r>
    </w:p>
    <w:p w:rsidR="00294560" w:rsidRPr="00892FF6" w:rsidRDefault="00294560" w:rsidP="00294560">
      <w:pPr>
        <w:jc w:val="center"/>
        <w:rPr>
          <w:rFonts w:ascii="Times New Roman" w:hAnsi="Times New Roman" w:cs="Times New Roman"/>
        </w:rPr>
      </w:pPr>
    </w:p>
    <w:p w:rsidR="00294560" w:rsidRPr="00892FF6" w:rsidRDefault="00294560" w:rsidP="00795704">
      <w:pPr>
        <w:rPr>
          <w:rFonts w:ascii="Times New Roman" w:hAnsi="Times New Roman" w:cs="Times New Roman"/>
          <w:b/>
          <w:bCs/>
          <w:lang w:val="en-GB"/>
        </w:rPr>
      </w:pPr>
    </w:p>
    <w:p w:rsidR="00C8463D" w:rsidRPr="005011D3" w:rsidRDefault="00C8463D" w:rsidP="00851249">
      <w:pPr>
        <w:jc w:val="both"/>
        <w:rPr>
          <w:rFonts w:ascii="Times New Roman" w:hAnsi="Times New Roman" w:cs="Times New Roman"/>
          <w:bCs/>
          <w:color w:val="000000" w:themeColor="text1"/>
          <w:sz w:val="24"/>
          <w:szCs w:val="24"/>
          <w:lang w:val="en-GB"/>
        </w:rPr>
      </w:pPr>
      <w:bookmarkStart w:id="0" w:name="_GoBack"/>
      <w:r w:rsidRPr="005011D3">
        <w:rPr>
          <w:rFonts w:ascii="Times New Roman" w:hAnsi="Times New Roman" w:cs="Times New Roman"/>
          <w:bCs/>
          <w:color w:val="000000" w:themeColor="text1"/>
          <w:sz w:val="24"/>
          <w:szCs w:val="24"/>
          <w:lang w:val="en-GB"/>
        </w:rPr>
        <w:t xml:space="preserve">The participants in the joint UNECE-BSEC seminar on Single Window Interoperability, which took place at the headquarters of Black Sea Economic Cooperation Organization (BSEC) in Istanbul on 21 September deliberated on the implementation of projects on the establishment of Single Window systems for export, import and transit clearance. Within the framework of adopting and implementing a regional BSEC Trade Facilitation Strategy, the participants agreed on the following recommendations to BSEC member State </w:t>
      </w:r>
      <w:r w:rsidR="00795704" w:rsidRPr="005011D3">
        <w:rPr>
          <w:rFonts w:ascii="Times New Roman" w:hAnsi="Times New Roman" w:cs="Times New Roman"/>
          <w:bCs/>
          <w:color w:val="000000" w:themeColor="text1"/>
          <w:sz w:val="24"/>
          <w:szCs w:val="24"/>
          <w:lang w:val="en-GB"/>
        </w:rPr>
        <w:t>Governments, the business community and the BSEC Permanent Secretariat</w:t>
      </w:r>
      <w:r w:rsidRPr="005011D3">
        <w:rPr>
          <w:rFonts w:ascii="Times New Roman" w:hAnsi="Times New Roman" w:cs="Times New Roman"/>
          <w:bCs/>
          <w:color w:val="000000" w:themeColor="text1"/>
          <w:sz w:val="24"/>
          <w:szCs w:val="24"/>
          <w:lang w:val="en-GB"/>
        </w:rPr>
        <w:t xml:space="preserve">: </w:t>
      </w:r>
    </w:p>
    <w:p w:rsidR="0003184B" w:rsidRPr="005011D3" w:rsidRDefault="0003184B" w:rsidP="00A92FFD">
      <w:pPr>
        <w:numPr>
          <w:ilvl w:val="0"/>
          <w:numId w:val="3"/>
        </w:numPr>
        <w:jc w:val="both"/>
        <w:rPr>
          <w:rFonts w:ascii="Times New Roman" w:hAnsi="Times New Roman" w:cs="Times New Roman"/>
          <w:color w:val="000000" w:themeColor="text1"/>
          <w:sz w:val="24"/>
          <w:szCs w:val="24"/>
        </w:rPr>
      </w:pPr>
      <w:r w:rsidRPr="005011D3">
        <w:rPr>
          <w:rFonts w:ascii="Times New Roman" w:hAnsi="Times New Roman" w:cs="Times New Roman"/>
          <w:color w:val="000000" w:themeColor="text1"/>
          <w:sz w:val="24"/>
          <w:szCs w:val="24"/>
        </w:rPr>
        <w:t xml:space="preserve">Carry out a survey on the stage of development of a Single Window system in each BSEC Member State and what is done in terms of achieving Single Window interoperability with similar systems in the other countries. </w:t>
      </w:r>
    </w:p>
    <w:p w:rsidR="00C8463D" w:rsidRPr="005011D3" w:rsidRDefault="00C8463D" w:rsidP="00A92FFD">
      <w:pPr>
        <w:numPr>
          <w:ilvl w:val="0"/>
          <w:numId w:val="3"/>
        </w:numPr>
        <w:jc w:val="both"/>
        <w:rPr>
          <w:rFonts w:ascii="Times New Roman" w:hAnsi="Times New Roman" w:cs="Times New Roman"/>
          <w:color w:val="000000" w:themeColor="text1"/>
          <w:sz w:val="24"/>
          <w:szCs w:val="24"/>
        </w:rPr>
      </w:pPr>
      <w:r w:rsidRPr="005011D3">
        <w:rPr>
          <w:rFonts w:ascii="Times New Roman" w:hAnsi="Times New Roman" w:cs="Times New Roman"/>
          <w:color w:val="000000" w:themeColor="text1"/>
          <w:sz w:val="24"/>
          <w:szCs w:val="24"/>
        </w:rPr>
        <w:t xml:space="preserve">Continue </w:t>
      </w:r>
      <w:r w:rsidR="0003184B" w:rsidRPr="005011D3">
        <w:rPr>
          <w:rFonts w:ascii="Times New Roman" w:hAnsi="Times New Roman" w:cs="Times New Roman"/>
          <w:color w:val="000000" w:themeColor="text1"/>
          <w:sz w:val="24"/>
          <w:szCs w:val="24"/>
        </w:rPr>
        <w:t>the exchange of experience and mutual assistance in the development of national Single Window systems, learning from other countries lessons, w</w:t>
      </w:r>
      <w:r w:rsidRPr="005011D3">
        <w:rPr>
          <w:rFonts w:ascii="Times New Roman" w:hAnsi="Times New Roman" w:cs="Times New Roman"/>
          <w:color w:val="000000" w:themeColor="text1"/>
          <w:sz w:val="24"/>
          <w:szCs w:val="24"/>
        </w:rPr>
        <w:t xml:space="preserve">orking on step-by-step implementation of national and sectorial </w:t>
      </w:r>
      <w:r w:rsidR="00892FF6" w:rsidRPr="005011D3">
        <w:rPr>
          <w:rFonts w:ascii="Times New Roman" w:hAnsi="Times New Roman" w:cs="Times New Roman"/>
          <w:color w:val="000000" w:themeColor="text1"/>
          <w:sz w:val="24"/>
          <w:szCs w:val="24"/>
        </w:rPr>
        <w:t xml:space="preserve">(e.g. maritime) </w:t>
      </w:r>
      <w:r w:rsidRPr="005011D3">
        <w:rPr>
          <w:rFonts w:ascii="Times New Roman" w:hAnsi="Times New Roman" w:cs="Times New Roman"/>
          <w:color w:val="000000" w:themeColor="text1"/>
          <w:sz w:val="24"/>
          <w:szCs w:val="24"/>
        </w:rPr>
        <w:t>Single Window systems, as well as Port Community Systems in the BSEC region</w:t>
      </w:r>
      <w:r w:rsidR="0003184B" w:rsidRPr="005011D3">
        <w:rPr>
          <w:rFonts w:ascii="Times New Roman" w:hAnsi="Times New Roman" w:cs="Times New Roman"/>
          <w:color w:val="000000" w:themeColor="text1"/>
          <w:sz w:val="24"/>
          <w:szCs w:val="24"/>
        </w:rPr>
        <w:t>. T</w:t>
      </w:r>
      <w:r w:rsidRPr="005011D3">
        <w:rPr>
          <w:rFonts w:ascii="Times New Roman" w:hAnsi="Times New Roman" w:cs="Times New Roman"/>
          <w:color w:val="000000" w:themeColor="text1"/>
          <w:sz w:val="24"/>
          <w:szCs w:val="24"/>
        </w:rPr>
        <w:t>ak</w:t>
      </w:r>
      <w:r w:rsidR="00765586" w:rsidRPr="005011D3">
        <w:rPr>
          <w:rFonts w:ascii="Times New Roman" w:hAnsi="Times New Roman" w:cs="Times New Roman"/>
          <w:color w:val="000000" w:themeColor="text1"/>
          <w:sz w:val="24"/>
          <w:szCs w:val="24"/>
        </w:rPr>
        <w:t xml:space="preserve">e </w:t>
      </w:r>
      <w:r w:rsidRPr="005011D3">
        <w:rPr>
          <w:rFonts w:ascii="Times New Roman" w:hAnsi="Times New Roman" w:cs="Times New Roman"/>
          <w:color w:val="000000" w:themeColor="text1"/>
          <w:sz w:val="24"/>
          <w:szCs w:val="24"/>
        </w:rPr>
        <w:t xml:space="preserve">into account the need to create conditions enabling interoperability among the </w:t>
      </w:r>
      <w:r w:rsidR="00A92FFD" w:rsidRPr="005011D3">
        <w:rPr>
          <w:rFonts w:ascii="Times New Roman" w:hAnsi="Times New Roman" w:cs="Times New Roman"/>
          <w:color w:val="000000" w:themeColor="text1"/>
          <w:sz w:val="24"/>
          <w:szCs w:val="24"/>
        </w:rPr>
        <w:t xml:space="preserve">National </w:t>
      </w:r>
      <w:r w:rsidRPr="005011D3">
        <w:rPr>
          <w:rFonts w:ascii="Times New Roman" w:hAnsi="Times New Roman" w:cs="Times New Roman"/>
          <w:color w:val="000000" w:themeColor="text1"/>
          <w:sz w:val="24"/>
          <w:szCs w:val="24"/>
        </w:rPr>
        <w:t>Single Window systems in the region.</w:t>
      </w:r>
    </w:p>
    <w:p w:rsidR="00791F19" w:rsidRPr="005011D3" w:rsidRDefault="00791F19" w:rsidP="00A92FFD">
      <w:pPr>
        <w:numPr>
          <w:ilvl w:val="0"/>
          <w:numId w:val="3"/>
        </w:numPr>
        <w:jc w:val="both"/>
        <w:rPr>
          <w:rFonts w:ascii="Times New Roman" w:hAnsi="Times New Roman" w:cs="Times New Roman"/>
          <w:color w:val="000000" w:themeColor="text1"/>
          <w:sz w:val="24"/>
          <w:szCs w:val="24"/>
        </w:rPr>
      </w:pPr>
      <w:r w:rsidRPr="005011D3">
        <w:rPr>
          <w:rFonts w:ascii="Times New Roman" w:hAnsi="Times New Roman" w:cs="Times New Roman"/>
          <w:color w:val="000000" w:themeColor="text1"/>
          <w:sz w:val="24"/>
          <w:szCs w:val="24"/>
        </w:rPr>
        <w:t xml:space="preserve">Further implement the recommendations of the first UNECE-BSEC seminar </w:t>
      </w:r>
      <w:r w:rsidR="003C7B01" w:rsidRPr="005011D3">
        <w:rPr>
          <w:rFonts w:ascii="Times New Roman" w:hAnsi="Times New Roman" w:cs="Times New Roman"/>
          <w:color w:val="000000" w:themeColor="text1"/>
          <w:sz w:val="24"/>
          <w:szCs w:val="24"/>
        </w:rPr>
        <w:t xml:space="preserve">from 25 September 2014 </w:t>
      </w:r>
      <w:r w:rsidRPr="005011D3">
        <w:rPr>
          <w:rFonts w:ascii="Times New Roman" w:hAnsi="Times New Roman" w:cs="Times New Roman"/>
          <w:color w:val="000000" w:themeColor="text1"/>
          <w:sz w:val="24"/>
          <w:szCs w:val="24"/>
        </w:rPr>
        <w:t>on trade facilitation and the Single Window as regards the development of Single Window and Port Community Systems.</w:t>
      </w:r>
      <w:r w:rsidR="00A92FFD" w:rsidRPr="005011D3">
        <w:rPr>
          <w:rFonts w:ascii="Times New Roman" w:hAnsi="Times New Roman" w:cs="Times New Roman"/>
          <w:color w:val="000000" w:themeColor="text1"/>
          <w:sz w:val="24"/>
          <w:szCs w:val="24"/>
        </w:rPr>
        <w:t xml:space="preserve"> Make use of new instrument</w:t>
      </w:r>
      <w:r w:rsidR="00F35C73" w:rsidRPr="005011D3">
        <w:rPr>
          <w:rFonts w:ascii="Times New Roman" w:hAnsi="Times New Roman" w:cs="Times New Roman"/>
          <w:color w:val="000000" w:themeColor="text1"/>
          <w:sz w:val="24"/>
          <w:szCs w:val="24"/>
        </w:rPr>
        <w:t>s</w:t>
      </w:r>
      <w:r w:rsidR="00A92FFD" w:rsidRPr="005011D3">
        <w:rPr>
          <w:rFonts w:ascii="Times New Roman" w:hAnsi="Times New Roman" w:cs="Times New Roman"/>
          <w:color w:val="000000" w:themeColor="text1"/>
          <w:sz w:val="24"/>
          <w:szCs w:val="24"/>
        </w:rPr>
        <w:t xml:space="preserve"> supporting Single Window implementation such as UNECE Recommendation 36, </w:t>
      </w:r>
      <w:r w:rsidR="00A92FFD" w:rsidRPr="005011D3">
        <w:rPr>
          <w:rFonts w:ascii="Times New Roman" w:hAnsi="Times New Roman" w:cs="Times New Roman"/>
          <w:color w:val="000000" w:themeColor="text1"/>
          <w:sz w:val="24"/>
          <w:szCs w:val="24"/>
        </w:rPr>
        <w:lastRenderedPageBreak/>
        <w:t>UNCEFACT</w:t>
      </w:r>
      <w:r w:rsidR="00F35C73" w:rsidRPr="005011D3">
        <w:rPr>
          <w:rFonts w:ascii="Times New Roman" w:hAnsi="Times New Roman" w:cs="Times New Roman"/>
          <w:color w:val="000000" w:themeColor="text1"/>
          <w:sz w:val="24"/>
          <w:szCs w:val="24"/>
        </w:rPr>
        <w:t xml:space="preserve"> Technical Note on </w:t>
      </w:r>
      <w:r w:rsidR="00A92FFD" w:rsidRPr="005011D3">
        <w:rPr>
          <w:rFonts w:ascii="Times New Roman" w:hAnsi="Times New Roman" w:cs="Times New Roman"/>
          <w:color w:val="000000" w:themeColor="text1"/>
          <w:sz w:val="24"/>
          <w:szCs w:val="24"/>
        </w:rPr>
        <w:t xml:space="preserve">Terminology </w:t>
      </w:r>
      <w:r w:rsidR="00F35C73" w:rsidRPr="005011D3">
        <w:rPr>
          <w:rFonts w:ascii="Times New Roman" w:hAnsi="Times New Roman" w:cs="Times New Roman"/>
          <w:color w:val="000000" w:themeColor="text1"/>
          <w:sz w:val="24"/>
          <w:szCs w:val="24"/>
        </w:rPr>
        <w:t xml:space="preserve">for Single Window and other electronic platforms, </w:t>
      </w:r>
      <w:r w:rsidR="00A92FFD" w:rsidRPr="005011D3">
        <w:rPr>
          <w:rFonts w:ascii="Times New Roman" w:hAnsi="Times New Roman" w:cs="Times New Roman"/>
          <w:color w:val="000000" w:themeColor="text1"/>
          <w:sz w:val="24"/>
          <w:szCs w:val="24"/>
        </w:rPr>
        <w:t>and the WCO Compendium on Building Single Window Environment.</w:t>
      </w:r>
      <w:r w:rsidRPr="005011D3">
        <w:rPr>
          <w:rFonts w:ascii="Times New Roman" w:hAnsi="Times New Roman" w:cs="Times New Roman"/>
          <w:color w:val="000000" w:themeColor="text1"/>
          <w:sz w:val="24"/>
          <w:szCs w:val="24"/>
        </w:rPr>
        <w:t xml:space="preserve"> </w:t>
      </w:r>
    </w:p>
    <w:p w:rsidR="00EC0F66" w:rsidRPr="005011D3" w:rsidRDefault="003A5995" w:rsidP="00A92FFD">
      <w:pPr>
        <w:numPr>
          <w:ilvl w:val="0"/>
          <w:numId w:val="3"/>
        </w:numPr>
        <w:jc w:val="both"/>
        <w:rPr>
          <w:rFonts w:ascii="Times New Roman" w:hAnsi="Times New Roman" w:cs="Times New Roman"/>
          <w:color w:val="000000" w:themeColor="text1"/>
          <w:sz w:val="24"/>
          <w:szCs w:val="24"/>
        </w:rPr>
      </w:pPr>
      <w:r w:rsidRPr="005011D3">
        <w:rPr>
          <w:rFonts w:ascii="Times New Roman" w:hAnsi="Times New Roman" w:cs="Times New Roman"/>
          <w:color w:val="000000" w:themeColor="text1"/>
          <w:sz w:val="24"/>
          <w:szCs w:val="24"/>
          <w:lang w:val="en-GB"/>
        </w:rPr>
        <w:t>Identify and analyse the primary drivers and needs for Single Window Interoperability in the BSEC region</w:t>
      </w:r>
      <w:r w:rsidR="00C8463D" w:rsidRPr="005011D3">
        <w:rPr>
          <w:rFonts w:ascii="Times New Roman" w:hAnsi="Times New Roman" w:cs="Times New Roman"/>
          <w:color w:val="000000" w:themeColor="text1"/>
          <w:sz w:val="24"/>
          <w:szCs w:val="24"/>
          <w:lang w:val="en-GB"/>
        </w:rPr>
        <w:t xml:space="preserve">, e.g. </w:t>
      </w:r>
      <w:r w:rsidR="00892FF6" w:rsidRPr="005011D3">
        <w:rPr>
          <w:rFonts w:ascii="Times New Roman" w:hAnsi="Times New Roman" w:cs="Times New Roman"/>
          <w:color w:val="000000" w:themeColor="text1"/>
          <w:sz w:val="24"/>
          <w:szCs w:val="24"/>
          <w:lang w:val="en-GB"/>
        </w:rPr>
        <w:t>significant trade volumes, ongoing Single Window projects in the countries and within broader economic and political unions</w:t>
      </w:r>
      <w:r w:rsidRPr="005011D3">
        <w:rPr>
          <w:rFonts w:ascii="Times New Roman" w:hAnsi="Times New Roman" w:cs="Times New Roman"/>
          <w:color w:val="000000" w:themeColor="text1"/>
          <w:sz w:val="24"/>
          <w:szCs w:val="24"/>
          <w:lang w:val="en-GB"/>
        </w:rPr>
        <w:t xml:space="preserve">; </w:t>
      </w:r>
    </w:p>
    <w:p w:rsidR="0003184B" w:rsidRPr="005011D3" w:rsidRDefault="0003184B" w:rsidP="001628A0">
      <w:pPr>
        <w:numPr>
          <w:ilvl w:val="0"/>
          <w:numId w:val="3"/>
        </w:numPr>
        <w:rPr>
          <w:rFonts w:ascii="Times New Roman" w:hAnsi="Times New Roman" w:cs="Times New Roman"/>
          <w:color w:val="000000" w:themeColor="text1"/>
          <w:sz w:val="24"/>
          <w:szCs w:val="24"/>
        </w:rPr>
      </w:pPr>
      <w:r w:rsidRPr="005011D3">
        <w:rPr>
          <w:rFonts w:ascii="Times New Roman" w:hAnsi="Times New Roman" w:cs="Times New Roman"/>
          <w:color w:val="000000" w:themeColor="text1"/>
          <w:sz w:val="24"/>
          <w:szCs w:val="24"/>
          <w:lang w:val="en-GB"/>
        </w:rPr>
        <w:t xml:space="preserve">Promote bilateral initiatives facilitating information exchange as building blocks for regional interoperability among Single Window systems, promote mutual recognition </w:t>
      </w:r>
      <w:r w:rsidR="00BF5443" w:rsidRPr="005011D3">
        <w:rPr>
          <w:rFonts w:ascii="Times New Roman" w:hAnsi="Times New Roman" w:cs="Times New Roman"/>
          <w:color w:val="000000" w:themeColor="text1"/>
          <w:sz w:val="24"/>
          <w:szCs w:val="24"/>
          <w:lang w:val="en-GB"/>
        </w:rPr>
        <w:t xml:space="preserve">of trust services, </w:t>
      </w:r>
      <w:proofErr w:type="gramStart"/>
      <w:r w:rsidR="00BF5443" w:rsidRPr="005011D3">
        <w:rPr>
          <w:rFonts w:ascii="Times New Roman" w:hAnsi="Times New Roman" w:cs="Times New Roman"/>
          <w:color w:val="000000" w:themeColor="text1"/>
          <w:sz w:val="24"/>
          <w:szCs w:val="24"/>
          <w:lang w:val="en-GB"/>
        </w:rPr>
        <w:t>draft</w:t>
      </w:r>
      <w:proofErr w:type="gramEnd"/>
      <w:r w:rsidR="00BF5443" w:rsidRPr="005011D3">
        <w:rPr>
          <w:rFonts w:ascii="Times New Roman" w:hAnsi="Times New Roman" w:cs="Times New Roman"/>
          <w:color w:val="000000" w:themeColor="text1"/>
          <w:sz w:val="24"/>
          <w:szCs w:val="24"/>
          <w:lang w:val="en-GB"/>
        </w:rPr>
        <w:t xml:space="preserve"> a model Memorandum of Understanding on Single Window interoperability. </w:t>
      </w:r>
    </w:p>
    <w:p w:rsidR="00892FF6" w:rsidRPr="005011D3" w:rsidRDefault="00892FF6" w:rsidP="001628A0">
      <w:pPr>
        <w:numPr>
          <w:ilvl w:val="0"/>
          <w:numId w:val="3"/>
        </w:numPr>
        <w:rPr>
          <w:rFonts w:ascii="Times New Roman" w:hAnsi="Times New Roman" w:cs="Times New Roman"/>
          <w:color w:val="000000" w:themeColor="text1"/>
          <w:sz w:val="24"/>
          <w:szCs w:val="24"/>
        </w:rPr>
      </w:pPr>
      <w:r w:rsidRPr="005011D3">
        <w:rPr>
          <w:rFonts w:ascii="Times New Roman" w:hAnsi="Times New Roman" w:cs="Times New Roman"/>
          <w:color w:val="000000" w:themeColor="text1"/>
          <w:sz w:val="24"/>
          <w:szCs w:val="24"/>
        </w:rPr>
        <w:t xml:space="preserve">Focus Single Window interoperability on the four pillars defined in UN/CEFACT Recommendation 36: (a) align data and document exchange with international standards; (b) develop interoperability on several levels – semantic, business processes, data harmonization; (c) develop the legal basis for trust and interoperability; and (d) elaborate on forms of governance of Single Window interoperability in the BSEC region. </w:t>
      </w:r>
    </w:p>
    <w:p w:rsidR="00EC0F66" w:rsidRPr="005011D3" w:rsidRDefault="003A5995" w:rsidP="005365A7">
      <w:pPr>
        <w:numPr>
          <w:ilvl w:val="0"/>
          <w:numId w:val="3"/>
        </w:numPr>
        <w:jc w:val="both"/>
        <w:rPr>
          <w:rFonts w:ascii="Times New Roman" w:hAnsi="Times New Roman" w:cs="Times New Roman"/>
          <w:color w:val="000000" w:themeColor="text1"/>
          <w:sz w:val="24"/>
          <w:szCs w:val="24"/>
        </w:rPr>
      </w:pPr>
      <w:r w:rsidRPr="005011D3">
        <w:rPr>
          <w:rFonts w:ascii="Times New Roman" w:hAnsi="Times New Roman" w:cs="Times New Roman"/>
          <w:color w:val="000000" w:themeColor="text1"/>
          <w:sz w:val="24"/>
          <w:szCs w:val="24"/>
          <w:lang w:val="en-GB"/>
        </w:rPr>
        <w:t>Examine the type of business processes and information to be exchanged between SWs; existing semantic frameworks, and possible areas for improvement (e.g. through harmonization of processes</w:t>
      </w:r>
      <w:r w:rsidR="00892FF6" w:rsidRPr="005011D3">
        <w:rPr>
          <w:rFonts w:ascii="Times New Roman" w:hAnsi="Times New Roman" w:cs="Times New Roman"/>
          <w:color w:val="000000" w:themeColor="text1"/>
          <w:sz w:val="24"/>
          <w:szCs w:val="24"/>
          <w:lang w:val="en-GB"/>
        </w:rPr>
        <w:t>, data, etc.</w:t>
      </w:r>
      <w:r w:rsidRPr="005011D3">
        <w:rPr>
          <w:rFonts w:ascii="Times New Roman" w:hAnsi="Times New Roman" w:cs="Times New Roman"/>
          <w:color w:val="000000" w:themeColor="text1"/>
          <w:sz w:val="24"/>
          <w:szCs w:val="24"/>
          <w:lang w:val="en-GB"/>
        </w:rPr>
        <w:t>);</w:t>
      </w:r>
    </w:p>
    <w:p w:rsidR="00892FF6" w:rsidRPr="005011D3" w:rsidRDefault="00892FF6" w:rsidP="005365A7">
      <w:pPr>
        <w:numPr>
          <w:ilvl w:val="0"/>
          <w:numId w:val="3"/>
        </w:numPr>
        <w:jc w:val="both"/>
        <w:rPr>
          <w:rFonts w:ascii="Times New Roman" w:hAnsi="Times New Roman" w:cs="Times New Roman"/>
          <w:color w:val="000000" w:themeColor="text1"/>
          <w:sz w:val="24"/>
          <w:szCs w:val="24"/>
        </w:rPr>
      </w:pPr>
      <w:r w:rsidRPr="005011D3">
        <w:rPr>
          <w:rFonts w:ascii="Times New Roman" w:hAnsi="Times New Roman" w:cs="Times New Roman"/>
          <w:color w:val="000000" w:themeColor="text1"/>
          <w:sz w:val="24"/>
          <w:szCs w:val="24"/>
          <w:lang w:val="en-GB"/>
        </w:rPr>
        <w:t xml:space="preserve">If not already existing, develop agreements/arrangements that address organizational, legal, technical and semantic issues related to SW interoperability. Bilateral and </w:t>
      </w:r>
      <w:proofErr w:type="spellStart"/>
      <w:r w:rsidRPr="005011D3">
        <w:rPr>
          <w:rFonts w:ascii="Times New Roman" w:hAnsi="Times New Roman" w:cs="Times New Roman"/>
          <w:color w:val="000000" w:themeColor="text1"/>
          <w:sz w:val="24"/>
          <w:szCs w:val="24"/>
          <w:lang w:val="en-GB"/>
        </w:rPr>
        <w:t>plurilateral</w:t>
      </w:r>
      <w:proofErr w:type="spellEnd"/>
      <w:r w:rsidRPr="005011D3">
        <w:rPr>
          <w:rFonts w:ascii="Times New Roman" w:hAnsi="Times New Roman" w:cs="Times New Roman"/>
          <w:color w:val="000000" w:themeColor="text1"/>
          <w:sz w:val="24"/>
          <w:szCs w:val="24"/>
          <w:lang w:val="en-GB"/>
        </w:rPr>
        <w:t xml:space="preserve"> agreements on information exchange involving Single Window systems in the region should be inclusive, allowing for as easy as possible involvement of other countries in the region. </w:t>
      </w:r>
    </w:p>
    <w:p w:rsidR="00EC0F66" w:rsidRPr="005011D3" w:rsidRDefault="006B4118" w:rsidP="005365A7">
      <w:pPr>
        <w:numPr>
          <w:ilvl w:val="0"/>
          <w:numId w:val="3"/>
        </w:numPr>
        <w:jc w:val="both"/>
        <w:rPr>
          <w:rFonts w:ascii="Times New Roman" w:hAnsi="Times New Roman" w:cs="Times New Roman"/>
          <w:color w:val="000000" w:themeColor="text1"/>
          <w:sz w:val="24"/>
          <w:szCs w:val="24"/>
          <w:lang w:val="en-GB"/>
        </w:rPr>
      </w:pPr>
      <w:r w:rsidRPr="005011D3">
        <w:rPr>
          <w:rFonts w:ascii="Times New Roman" w:hAnsi="Times New Roman" w:cs="Times New Roman"/>
          <w:color w:val="000000" w:themeColor="text1"/>
          <w:sz w:val="24"/>
          <w:szCs w:val="24"/>
        </w:rPr>
        <w:t>Further bui</w:t>
      </w:r>
      <w:r w:rsidR="00E547A1" w:rsidRPr="005011D3">
        <w:rPr>
          <w:rFonts w:ascii="Times New Roman" w:hAnsi="Times New Roman" w:cs="Times New Roman"/>
          <w:color w:val="000000" w:themeColor="text1"/>
          <w:sz w:val="24"/>
          <w:szCs w:val="24"/>
        </w:rPr>
        <w:t>l</w:t>
      </w:r>
      <w:r w:rsidRPr="005011D3">
        <w:rPr>
          <w:rFonts w:ascii="Times New Roman" w:hAnsi="Times New Roman" w:cs="Times New Roman"/>
          <w:color w:val="000000" w:themeColor="text1"/>
          <w:sz w:val="24"/>
          <w:szCs w:val="24"/>
        </w:rPr>
        <w:t>d</w:t>
      </w:r>
      <w:r w:rsidR="00BC40A5" w:rsidRPr="005011D3">
        <w:rPr>
          <w:rFonts w:ascii="Times New Roman" w:hAnsi="Times New Roman" w:cs="Times New Roman"/>
          <w:color w:val="000000" w:themeColor="text1"/>
          <w:sz w:val="24"/>
          <w:szCs w:val="24"/>
        </w:rPr>
        <w:t xml:space="preserve"> political will for Single Window </w:t>
      </w:r>
      <w:r w:rsidRPr="005011D3">
        <w:rPr>
          <w:rFonts w:ascii="Times New Roman" w:hAnsi="Times New Roman" w:cs="Times New Roman"/>
          <w:color w:val="000000" w:themeColor="text1"/>
          <w:sz w:val="24"/>
          <w:szCs w:val="24"/>
        </w:rPr>
        <w:t>interoperability;</w:t>
      </w:r>
      <w:r w:rsidR="00BC40A5" w:rsidRPr="005011D3">
        <w:rPr>
          <w:rFonts w:ascii="Times New Roman" w:hAnsi="Times New Roman" w:cs="Times New Roman"/>
          <w:color w:val="000000" w:themeColor="text1"/>
          <w:sz w:val="24"/>
          <w:szCs w:val="24"/>
        </w:rPr>
        <w:t xml:space="preserve"> notably clarify </w:t>
      </w:r>
      <w:r w:rsidRPr="005011D3">
        <w:rPr>
          <w:rFonts w:ascii="Times New Roman" w:hAnsi="Times New Roman" w:cs="Times New Roman"/>
          <w:color w:val="000000" w:themeColor="text1"/>
          <w:sz w:val="24"/>
          <w:szCs w:val="24"/>
        </w:rPr>
        <w:t xml:space="preserve">in each country </w:t>
      </w:r>
      <w:r w:rsidR="00BC40A5" w:rsidRPr="005011D3">
        <w:rPr>
          <w:rFonts w:ascii="Times New Roman" w:hAnsi="Times New Roman" w:cs="Times New Roman"/>
          <w:color w:val="000000" w:themeColor="text1"/>
          <w:sz w:val="24"/>
          <w:szCs w:val="24"/>
        </w:rPr>
        <w:t>which agency would be involved in ma</w:t>
      </w:r>
      <w:r w:rsidRPr="005011D3">
        <w:rPr>
          <w:rFonts w:ascii="Times New Roman" w:hAnsi="Times New Roman" w:cs="Times New Roman"/>
          <w:color w:val="000000" w:themeColor="text1"/>
          <w:sz w:val="24"/>
          <w:szCs w:val="24"/>
        </w:rPr>
        <w:t xml:space="preserve">naging this SW interoperability. </w:t>
      </w:r>
    </w:p>
    <w:p w:rsidR="00BC40A5" w:rsidRPr="005011D3" w:rsidRDefault="00BC40A5" w:rsidP="005365A7">
      <w:pPr>
        <w:numPr>
          <w:ilvl w:val="0"/>
          <w:numId w:val="3"/>
        </w:numPr>
        <w:jc w:val="both"/>
        <w:rPr>
          <w:rFonts w:ascii="Times New Roman" w:hAnsi="Times New Roman" w:cs="Times New Roman"/>
          <w:color w:val="000000" w:themeColor="text1"/>
          <w:sz w:val="24"/>
          <w:szCs w:val="24"/>
          <w:lang w:val="en-GB"/>
        </w:rPr>
      </w:pPr>
      <w:r w:rsidRPr="005011D3">
        <w:rPr>
          <w:rFonts w:ascii="Times New Roman" w:hAnsi="Times New Roman" w:cs="Times New Roman"/>
          <w:color w:val="000000" w:themeColor="text1"/>
          <w:sz w:val="24"/>
          <w:szCs w:val="24"/>
          <w:lang w:val="en-GB"/>
        </w:rPr>
        <w:t xml:space="preserve">Promote Business Process </w:t>
      </w:r>
      <w:r w:rsidR="0027632B" w:rsidRPr="005011D3">
        <w:rPr>
          <w:rFonts w:ascii="Times New Roman" w:hAnsi="Times New Roman" w:cs="Times New Roman"/>
          <w:color w:val="000000" w:themeColor="text1"/>
          <w:sz w:val="24"/>
          <w:szCs w:val="24"/>
          <w:lang w:val="en-GB"/>
        </w:rPr>
        <w:t>a</w:t>
      </w:r>
      <w:r w:rsidRPr="005011D3">
        <w:rPr>
          <w:rFonts w:ascii="Times New Roman" w:hAnsi="Times New Roman" w:cs="Times New Roman"/>
          <w:color w:val="000000" w:themeColor="text1"/>
          <w:sz w:val="24"/>
          <w:szCs w:val="24"/>
          <w:lang w:val="en-GB"/>
        </w:rPr>
        <w:t>nalysis</w:t>
      </w:r>
      <w:r w:rsidR="0027632B" w:rsidRPr="005011D3">
        <w:rPr>
          <w:rFonts w:ascii="Times New Roman" w:hAnsi="Times New Roman" w:cs="Times New Roman"/>
          <w:color w:val="000000" w:themeColor="text1"/>
          <w:sz w:val="24"/>
          <w:szCs w:val="24"/>
          <w:lang w:val="en-GB"/>
        </w:rPr>
        <w:t>,</w:t>
      </w:r>
      <w:r w:rsidRPr="005011D3">
        <w:rPr>
          <w:rFonts w:ascii="Times New Roman" w:hAnsi="Times New Roman" w:cs="Times New Roman"/>
          <w:color w:val="000000" w:themeColor="text1"/>
          <w:sz w:val="24"/>
          <w:szCs w:val="24"/>
          <w:lang w:val="en-GB"/>
        </w:rPr>
        <w:t xml:space="preserve"> </w:t>
      </w:r>
      <w:r w:rsidR="0027632B" w:rsidRPr="005011D3">
        <w:rPr>
          <w:rFonts w:ascii="Times New Roman" w:hAnsi="Times New Roman" w:cs="Times New Roman"/>
          <w:color w:val="000000" w:themeColor="text1"/>
          <w:sz w:val="24"/>
          <w:szCs w:val="24"/>
          <w:lang w:val="en-GB"/>
        </w:rPr>
        <w:t>m</w:t>
      </w:r>
      <w:r w:rsidRPr="005011D3">
        <w:rPr>
          <w:rFonts w:ascii="Times New Roman" w:hAnsi="Times New Roman" w:cs="Times New Roman"/>
          <w:color w:val="000000" w:themeColor="text1"/>
          <w:sz w:val="24"/>
          <w:szCs w:val="24"/>
          <w:lang w:val="en-GB"/>
        </w:rPr>
        <w:t xml:space="preserve">odelling </w:t>
      </w:r>
      <w:r w:rsidR="0027632B" w:rsidRPr="005011D3">
        <w:rPr>
          <w:rFonts w:ascii="Times New Roman" w:hAnsi="Times New Roman" w:cs="Times New Roman"/>
          <w:color w:val="000000" w:themeColor="text1"/>
          <w:sz w:val="24"/>
          <w:szCs w:val="24"/>
          <w:lang w:val="en-GB"/>
        </w:rPr>
        <w:t xml:space="preserve">and re-engineering as a basis for building the interagency exchange in the Single Window systems, as well as the interoperability among these systems. </w:t>
      </w:r>
    </w:p>
    <w:p w:rsidR="00BC40A5" w:rsidRPr="005011D3" w:rsidRDefault="00BC40A5" w:rsidP="005365A7">
      <w:pPr>
        <w:numPr>
          <w:ilvl w:val="0"/>
          <w:numId w:val="3"/>
        </w:numPr>
        <w:jc w:val="both"/>
        <w:rPr>
          <w:rFonts w:ascii="Times New Roman" w:hAnsi="Times New Roman" w:cs="Times New Roman"/>
          <w:color w:val="000000" w:themeColor="text1"/>
          <w:sz w:val="24"/>
          <w:szCs w:val="24"/>
          <w:lang w:val="en-GB"/>
        </w:rPr>
      </w:pPr>
      <w:r w:rsidRPr="005011D3">
        <w:rPr>
          <w:rFonts w:ascii="Times New Roman" w:hAnsi="Times New Roman" w:cs="Times New Roman"/>
          <w:color w:val="000000" w:themeColor="text1"/>
          <w:sz w:val="24"/>
          <w:szCs w:val="24"/>
        </w:rPr>
        <w:t xml:space="preserve">Set a scope for establishing the legal background for SW interoperability. </w:t>
      </w:r>
    </w:p>
    <w:p w:rsidR="0027632B" w:rsidRPr="005011D3" w:rsidRDefault="0027632B" w:rsidP="005365A7">
      <w:pPr>
        <w:numPr>
          <w:ilvl w:val="0"/>
          <w:numId w:val="3"/>
        </w:numPr>
        <w:jc w:val="both"/>
        <w:rPr>
          <w:rFonts w:ascii="Times New Roman" w:hAnsi="Times New Roman" w:cs="Times New Roman"/>
          <w:color w:val="000000" w:themeColor="text1"/>
          <w:sz w:val="24"/>
          <w:szCs w:val="24"/>
          <w:lang w:val="en-GB"/>
        </w:rPr>
      </w:pPr>
      <w:r w:rsidRPr="005011D3">
        <w:rPr>
          <w:rFonts w:ascii="Times New Roman" w:hAnsi="Times New Roman" w:cs="Times New Roman"/>
          <w:color w:val="000000" w:themeColor="text1"/>
          <w:sz w:val="24"/>
          <w:szCs w:val="24"/>
          <w:lang w:val="en-GB"/>
        </w:rPr>
        <w:t>In the strategic planning for national Single Window projects and</w:t>
      </w:r>
      <w:r w:rsidR="008E6716" w:rsidRPr="005011D3">
        <w:rPr>
          <w:rFonts w:ascii="Times New Roman" w:hAnsi="Times New Roman" w:cs="Times New Roman"/>
          <w:color w:val="000000" w:themeColor="text1"/>
          <w:sz w:val="24"/>
          <w:szCs w:val="24"/>
          <w:lang w:val="en-GB"/>
        </w:rPr>
        <w:t xml:space="preserve"> Single Window interoperability, focus on priority areas, e.g. electronic Customs declaration and cross-border information exchange, specific licenses and certificates, and then build progressively</w:t>
      </w:r>
      <w:r w:rsidR="005365A7" w:rsidRPr="005011D3">
        <w:rPr>
          <w:rFonts w:ascii="Times New Roman" w:hAnsi="Times New Roman" w:cs="Times New Roman"/>
          <w:color w:val="000000" w:themeColor="text1"/>
          <w:sz w:val="24"/>
          <w:szCs w:val="24"/>
          <w:lang w:val="en-GB"/>
        </w:rPr>
        <w:t>.</w:t>
      </w:r>
      <w:r w:rsidRPr="005011D3">
        <w:rPr>
          <w:rFonts w:ascii="Times New Roman" w:hAnsi="Times New Roman" w:cs="Times New Roman"/>
          <w:color w:val="000000" w:themeColor="text1"/>
          <w:sz w:val="24"/>
          <w:szCs w:val="24"/>
          <w:lang w:val="en-GB"/>
        </w:rPr>
        <w:t xml:space="preserve"> </w:t>
      </w:r>
    </w:p>
    <w:p w:rsidR="004B4480" w:rsidRPr="005011D3" w:rsidRDefault="004B4480" w:rsidP="005365A7">
      <w:pPr>
        <w:numPr>
          <w:ilvl w:val="0"/>
          <w:numId w:val="3"/>
        </w:numPr>
        <w:jc w:val="both"/>
        <w:rPr>
          <w:rFonts w:ascii="Times New Roman" w:hAnsi="Times New Roman" w:cs="Times New Roman"/>
          <w:color w:val="000000" w:themeColor="text1"/>
          <w:sz w:val="24"/>
          <w:szCs w:val="24"/>
          <w:lang w:val="en-GB"/>
        </w:rPr>
      </w:pPr>
      <w:r w:rsidRPr="005011D3">
        <w:rPr>
          <w:rFonts w:ascii="Times New Roman" w:hAnsi="Times New Roman" w:cs="Times New Roman"/>
          <w:color w:val="000000" w:themeColor="text1"/>
          <w:sz w:val="24"/>
          <w:szCs w:val="24"/>
          <w:lang w:val="en-GB"/>
        </w:rPr>
        <w:t>Utilize experience and achievements in the exchange of information among Customs services in the countries in the process of building SW interoperability</w:t>
      </w:r>
      <w:r w:rsidR="005365A7" w:rsidRPr="005011D3">
        <w:rPr>
          <w:rFonts w:ascii="Times New Roman" w:hAnsi="Times New Roman" w:cs="Times New Roman"/>
          <w:color w:val="000000" w:themeColor="text1"/>
          <w:sz w:val="24"/>
          <w:szCs w:val="24"/>
          <w:lang w:val="en-GB"/>
        </w:rPr>
        <w:t>.</w:t>
      </w:r>
    </w:p>
    <w:p w:rsidR="00BC40A5" w:rsidRPr="005011D3" w:rsidRDefault="004B4480" w:rsidP="005365A7">
      <w:pPr>
        <w:numPr>
          <w:ilvl w:val="0"/>
          <w:numId w:val="3"/>
        </w:numPr>
        <w:jc w:val="both"/>
        <w:rPr>
          <w:rFonts w:ascii="Times New Roman" w:hAnsi="Times New Roman" w:cs="Times New Roman"/>
          <w:color w:val="000000" w:themeColor="text1"/>
          <w:sz w:val="24"/>
          <w:szCs w:val="24"/>
          <w:lang w:val="en-GB"/>
        </w:rPr>
      </w:pPr>
      <w:r w:rsidRPr="005011D3">
        <w:rPr>
          <w:rFonts w:ascii="Times New Roman" w:hAnsi="Times New Roman" w:cs="Times New Roman"/>
          <w:color w:val="000000" w:themeColor="text1"/>
          <w:sz w:val="24"/>
          <w:szCs w:val="24"/>
          <w:lang w:val="en-GB"/>
        </w:rPr>
        <w:t xml:space="preserve">Engage authorities other than Customs; integrate interfaces between Customs and other agencies </w:t>
      </w:r>
      <w:r w:rsidR="008E6716" w:rsidRPr="005011D3">
        <w:rPr>
          <w:rFonts w:ascii="Times New Roman" w:hAnsi="Times New Roman" w:cs="Times New Roman"/>
          <w:color w:val="000000" w:themeColor="text1"/>
          <w:sz w:val="24"/>
          <w:szCs w:val="24"/>
          <w:lang w:val="en-GB"/>
        </w:rPr>
        <w:t>in the countries and across borders</w:t>
      </w:r>
    </w:p>
    <w:p w:rsidR="00BC40A5" w:rsidRPr="005011D3" w:rsidRDefault="00BC40A5" w:rsidP="005365A7">
      <w:pPr>
        <w:numPr>
          <w:ilvl w:val="0"/>
          <w:numId w:val="3"/>
        </w:numPr>
        <w:jc w:val="both"/>
        <w:rPr>
          <w:rFonts w:ascii="Times New Roman" w:hAnsi="Times New Roman" w:cs="Times New Roman"/>
          <w:color w:val="000000" w:themeColor="text1"/>
          <w:sz w:val="24"/>
          <w:szCs w:val="24"/>
          <w:lang w:val="en-GB"/>
        </w:rPr>
      </w:pPr>
      <w:r w:rsidRPr="005011D3">
        <w:rPr>
          <w:rFonts w:ascii="Times New Roman" w:hAnsi="Times New Roman" w:cs="Times New Roman"/>
          <w:color w:val="000000" w:themeColor="text1"/>
          <w:sz w:val="24"/>
          <w:szCs w:val="24"/>
        </w:rPr>
        <w:t>Possible approaches to S</w:t>
      </w:r>
      <w:r w:rsidR="005365A7" w:rsidRPr="005011D3">
        <w:rPr>
          <w:rFonts w:ascii="Times New Roman" w:hAnsi="Times New Roman" w:cs="Times New Roman"/>
          <w:color w:val="000000" w:themeColor="text1"/>
          <w:sz w:val="24"/>
          <w:szCs w:val="24"/>
        </w:rPr>
        <w:t>W</w:t>
      </w:r>
      <w:r w:rsidRPr="005011D3">
        <w:rPr>
          <w:rFonts w:ascii="Times New Roman" w:hAnsi="Times New Roman" w:cs="Times New Roman"/>
          <w:color w:val="000000" w:themeColor="text1"/>
          <w:sz w:val="24"/>
          <w:szCs w:val="24"/>
        </w:rPr>
        <w:t xml:space="preserve"> interoperability may include</w:t>
      </w:r>
      <w:r w:rsidR="004B4480" w:rsidRPr="005011D3">
        <w:rPr>
          <w:rFonts w:ascii="Times New Roman" w:hAnsi="Times New Roman" w:cs="Times New Roman"/>
          <w:color w:val="000000" w:themeColor="text1"/>
          <w:sz w:val="24"/>
          <w:szCs w:val="24"/>
        </w:rPr>
        <w:t xml:space="preserve"> work on mutual recognition of electronic signatures, admissibility of electronic documents in courts, etc. </w:t>
      </w:r>
    </w:p>
    <w:p w:rsidR="00BC40A5" w:rsidRPr="005011D3" w:rsidRDefault="00BC40A5" w:rsidP="005365A7">
      <w:pPr>
        <w:numPr>
          <w:ilvl w:val="0"/>
          <w:numId w:val="3"/>
        </w:numPr>
        <w:jc w:val="both"/>
        <w:rPr>
          <w:rFonts w:ascii="Times New Roman" w:hAnsi="Times New Roman" w:cs="Times New Roman"/>
          <w:color w:val="000000" w:themeColor="text1"/>
          <w:sz w:val="24"/>
          <w:szCs w:val="24"/>
          <w:lang w:val="en-GB"/>
        </w:rPr>
      </w:pPr>
      <w:r w:rsidRPr="005011D3">
        <w:rPr>
          <w:rFonts w:ascii="Times New Roman" w:hAnsi="Times New Roman" w:cs="Times New Roman"/>
          <w:color w:val="000000" w:themeColor="text1"/>
          <w:sz w:val="24"/>
          <w:szCs w:val="24"/>
        </w:rPr>
        <w:t xml:space="preserve"> </w:t>
      </w:r>
      <w:r w:rsidR="00897A24" w:rsidRPr="005011D3">
        <w:rPr>
          <w:rFonts w:ascii="Times New Roman" w:hAnsi="Times New Roman" w:cs="Times New Roman"/>
          <w:color w:val="000000" w:themeColor="text1"/>
          <w:sz w:val="24"/>
          <w:szCs w:val="24"/>
        </w:rPr>
        <w:t xml:space="preserve">The participants invited the Governments of the BSEC Member States to consider financing work on the technical aspects of SW interoperability as well as on the development of the legal basis </w:t>
      </w:r>
      <w:r w:rsidR="0027632B" w:rsidRPr="005011D3">
        <w:rPr>
          <w:rFonts w:ascii="Times New Roman" w:hAnsi="Times New Roman" w:cs="Times New Roman"/>
          <w:color w:val="000000" w:themeColor="text1"/>
          <w:sz w:val="24"/>
          <w:szCs w:val="24"/>
        </w:rPr>
        <w:t xml:space="preserve">(agreements) </w:t>
      </w:r>
      <w:r w:rsidR="00897A24" w:rsidRPr="005011D3">
        <w:rPr>
          <w:rFonts w:ascii="Times New Roman" w:hAnsi="Times New Roman" w:cs="Times New Roman"/>
          <w:color w:val="000000" w:themeColor="text1"/>
          <w:sz w:val="24"/>
          <w:szCs w:val="24"/>
        </w:rPr>
        <w:t xml:space="preserve">of mutual recognition of </w:t>
      </w:r>
      <w:r w:rsidR="0027632B" w:rsidRPr="005011D3">
        <w:rPr>
          <w:rFonts w:ascii="Times New Roman" w:hAnsi="Times New Roman" w:cs="Times New Roman"/>
          <w:color w:val="000000" w:themeColor="text1"/>
          <w:sz w:val="24"/>
          <w:szCs w:val="24"/>
        </w:rPr>
        <w:t xml:space="preserve">electronic signatures and documents, as well as their admissibility in courts in the jurisdictions of the countries. </w:t>
      </w:r>
      <w:r w:rsidR="00BF5443" w:rsidRPr="005011D3">
        <w:rPr>
          <w:rFonts w:ascii="Times New Roman" w:hAnsi="Times New Roman" w:cs="Times New Roman"/>
          <w:color w:val="000000" w:themeColor="text1"/>
          <w:sz w:val="24"/>
          <w:szCs w:val="24"/>
        </w:rPr>
        <w:t xml:space="preserve">Invite financial institutions in the region, such as the </w:t>
      </w:r>
      <w:r w:rsidR="004E76F1" w:rsidRPr="005011D3">
        <w:rPr>
          <w:rFonts w:ascii="Times New Roman" w:hAnsi="Times New Roman" w:cs="Times New Roman"/>
          <w:color w:val="000000" w:themeColor="text1"/>
          <w:sz w:val="24"/>
          <w:szCs w:val="24"/>
        </w:rPr>
        <w:t>Black Sea Trade and Development Bank (BSTDB)</w:t>
      </w:r>
      <w:r w:rsidR="00BF5443" w:rsidRPr="005011D3">
        <w:rPr>
          <w:rFonts w:ascii="Times New Roman" w:hAnsi="Times New Roman" w:cs="Times New Roman"/>
          <w:color w:val="000000" w:themeColor="text1"/>
          <w:sz w:val="24"/>
          <w:szCs w:val="24"/>
        </w:rPr>
        <w:t xml:space="preserve">, to engage in the Single Window initiatives on national and regional levels. </w:t>
      </w:r>
    </w:p>
    <w:p w:rsidR="00282FEA" w:rsidRPr="005011D3" w:rsidRDefault="00282FEA" w:rsidP="004E76F1">
      <w:pPr>
        <w:numPr>
          <w:ilvl w:val="0"/>
          <w:numId w:val="3"/>
        </w:numPr>
        <w:jc w:val="both"/>
        <w:rPr>
          <w:rFonts w:ascii="Times New Roman" w:hAnsi="Times New Roman" w:cs="Times New Roman"/>
          <w:color w:val="000000" w:themeColor="text1"/>
          <w:sz w:val="24"/>
          <w:szCs w:val="24"/>
          <w:lang w:val="en-GB"/>
        </w:rPr>
      </w:pPr>
      <w:r w:rsidRPr="005011D3">
        <w:rPr>
          <w:rFonts w:ascii="Times New Roman" w:hAnsi="Times New Roman" w:cs="Times New Roman"/>
          <w:color w:val="000000" w:themeColor="text1"/>
          <w:sz w:val="24"/>
          <w:szCs w:val="24"/>
        </w:rPr>
        <w:t>Explore further possibilities and models of public-private collaborative solutions supporting Single Window systems in the region</w:t>
      </w:r>
      <w:r w:rsidR="00BF5443" w:rsidRPr="005011D3">
        <w:rPr>
          <w:rFonts w:ascii="Times New Roman" w:hAnsi="Times New Roman" w:cs="Times New Roman"/>
          <w:color w:val="000000" w:themeColor="text1"/>
          <w:sz w:val="24"/>
          <w:szCs w:val="24"/>
        </w:rPr>
        <w:t>.</w:t>
      </w:r>
    </w:p>
    <w:p w:rsidR="00E547A1" w:rsidRPr="005011D3" w:rsidRDefault="00E547A1" w:rsidP="004E76F1">
      <w:pPr>
        <w:numPr>
          <w:ilvl w:val="0"/>
          <w:numId w:val="3"/>
        </w:numPr>
        <w:jc w:val="both"/>
        <w:rPr>
          <w:rFonts w:ascii="Times New Roman" w:hAnsi="Times New Roman" w:cs="Times New Roman"/>
          <w:color w:val="000000" w:themeColor="text1"/>
          <w:sz w:val="24"/>
          <w:szCs w:val="24"/>
        </w:rPr>
      </w:pPr>
      <w:r w:rsidRPr="005011D3">
        <w:rPr>
          <w:rFonts w:ascii="Times New Roman" w:hAnsi="Times New Roman" w:cs="Times New Roman"/>
          <w:color w:val="000000" w:themeColor="text1"/>
          <w:sz w:val="24"/>
          <w:szCs w:val="24"/>
          <w:lang w:val="en-GB"/>
        </w:rPr>
        <w:t>Consider the most appropriate model(s) of governance for the proposed interoperability, at the various stages of planning, implementation and ongoing operations, which would be financially and administratively sustainable;</w:t>
      </w:r>
    </w:p>
    <w:p w:rsidR="008E6716" w:rsidRPr="005011D3" w:rsidRDefault="007E464C" w:rsidP="004E76F1">
      <w:pPr>
        <w:numPr>
          <w:ilvl w:val="0"/>
          <w:numId w:val="3"/>
        </w:numPr>
        <w:jc w:val="both"/>
        <w:rPr>
          <w:rFonts w:ascii="Times New Roman" w:hAnsi="Times New Roman" w:cs="Times New Roman"/>
          <w:color w:val="000000" w:themeColor="text1"/>
          <w:sz w:val="24"/>
          <w:szCs w:val="24"/>
          <w:lang w:val="en-GB"/>
        </w:rPr>
      </w:pPr>
      <w:r w:rsidRPr="005011D3">
        <w:rPr>
          <w:rFonts w:ascii="Times New Roman" w:hAnsi="Times New Roman" w:cs="Times New Roman"/>
          <w:color w:val="000000" w:themeColor="text1"/>
          <w:sz w:val="24"/>
          <w:szCs w:val="24"/>
        </w:rPr>
        <w:t xml:space="preserve">Explore ways of measuring </w:t>
      </w:r>
      <w:r w:rsidR="008E6716" w:rsidRPr="005011D3">
        <w:rPr>
          <w:rFonts w:ascii="Times New Roman" w:hAnsi="Times New Roman" w:cs="Times New Roman"/>
          <w:color w:val="000000" w:themeColor="text1"/>
          <w:sz w:val="24"/>
          <w:szCs w:val="24"/>
        </w:rPr>
        <w:t>progress and report</w:t>
      </w:r>
      <w:r w:rsidRPr="005011D3">
        <w:rPr>
          <w:rFonts w:ascii="Times New Roman" w:hAnsi="Times New Roman" w:cs="Times New Roman"/>
          <w:color w:val="000000" w:themeColor="text1"/>
          <w:sz w:val="24"/>
          <w:szCs w:val="24"/>
        </w:rPr>
        <w:t>ing</w:t>
      </w:r>
      <w:r w:rsidR="008E6716" w:rsidRPr="005011D3">
        <w:rPr>
          <w:rFonts w:ascii="Times New Roman" w:hAnsi="Times New Roman" w:cs="Times New Roman"/>
          <w:color w:val="000000" w:themeColor="text1"/>
          <w:sz w:val="24"/>
          <w:szCs w:val="24"/>
        </w:rPr>
        <w:t xml:space="preserve"> to the BSEC working group</w:t>
      </w:r>
      <w:r w:rsidRPr="005011D3">
        <w:rPr>
          <w:rFonts w:ascii="Times New Roman" w:hAnsi="Times New Roman" w:cs="Times New Roman"/>
          <w:color w:val="000000" w:themeColor="text1"/>
          <w:sz w:val="24"/>
          <w:szCs w:val="24"/>
        </w:rPr>
        <w:t>s</w:t>
      </w:r>
      <w:r w:rsidR="008E6716" w:rsidRPr="005011D3">
        <w:rPr>
          <w:rFonts w:ascii="Times New Roman" w:hAnsi="Times New Roman" w:cs="Times New Roman"/>
          <w:color w:val="000000" w:themeColor="text1"/>
          <w:sz w:val="24"/>
          <w:szCs w:val="24"/>
        </w:rPr>
        <w:t xml:space="preserve"> </w:t>
      </w:r>
      <w:r w:rsidRPr="005011D3">
        <w:rPr>
          <w:rFonts w:ascii="Times New Roman" w:hAnsi="Times New Roman" w:cs="Times New Roman"/>
          <w:color w:val="000000" w:themeColor="text1"/>
          <w:sz w:val="24"/>
          <w:szCs w:val="24"/>
        </w:rPr>
        <w:t xml:space="preserve">on </w:t>
      </w:r>
      <w:r w:rsidR="008E6716" w:rsidRPr="005011D3">
        <w:rPr>
          <w:rFonts w:ascii="Times New Roman" w:hAnsi="Times New Roman" w:cs="Times New Roman"/>
          <w:color w:val="000000" w:themeColor="text1"/>
          <w:sz w:val="24"/>
          <w:szCs w:val="24"/>
        </w:rPr>
        <w:t>Single Window development and Single Window interoperability</w:t>
      </w:r>
      <w:r w:rsidRPr="005011D3">
        <w:rPr>
          <w:rFonts w:ascii="Times New Roman" w:hAnsi="Times New Roman" w:cs="Times New Roman"/>
          <w:color w:val="000000" w:themeColor="text1"/>
          <w:sz w:val="24"/>
          <w:szCs w:val="24"/>
        </w:rPr>
        <w:t>, using such instruments as UNECE Recommendation 42</w:t>
      </w:r>
      <w:r w:rsidR="008E6716" w:rsidRPr="005011D3">
        <w:rPr>
          <w:rFonts w:ascii="Times New Roman" w:hAnsi="Times New Roman" w:cs="Times New Roman"/>
          <w:color w:val="000000" w:themeColor="text1"/>
          <w:sz w:val="24"/>
          <w:szCs w:val="24"/>
        </w:rPr>
        <w:t xml:space="preserve">. </w:t>
      </w:r>
    </w:p>
    <w:bookmarkEnd w:id="0"/>
    <w:p w:rsidR="009E1C68" w:rsidRPr="005011D3" w:rsidRDefault="009E1C68">
      <w:pPr>
        <w:rPr>
          <w:rFonts w:ascii="Times New Roman" w:hAnsi="Times New Roman" w:cs="Times New Roman"/>
          <w:color w:val="000000" w:themeColor="text1"/>
          <w:sz w:val="24"/>
          <w:szCs w:val="24"/>
        </w:rPr>
      </w:pPr>
    </w:p>
    <w:sectPr w:rsidR="009E1C68" w:rsidRPr="00501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358BD"/>
    <w:multiLevelType w:val="hybridMultilevel"/>
    <w:tmpl w:val="EF7025D8"/>
    <w:lvl w:ilvl="0" w:tplc="23688EC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3C302D"/>
    <w:multiLevelType w:val="hybridMultilevel"/>
    <w:tmpl w:val="C6A4029C"/>
    <w:lvl w:ilvl="0" w:tplc="0409000F">
      <w:start w:val="1"/>
      <w:numFmt w:val="decimal"/>
      <w:lvlText w:val="%1."/>
      <w:lvlJc w:val="left"/>
      <w:pPr>
        <w:tabs>
          <w:tab w:val="num" w:pos="720"/>
        </w:tabs>
        <w:ind w:left="720" w:hanging="360"/>
      </w:pPr>
      <w:rPr>
        <w:rFonts w:hint="default"/>
      </w:rPr>
    </w:lvl>
    <w:lvl w:ilvl="1" w:tplc="D79620EA" w:tentative="1">
      <w:start w:val="1"/>
      <w:numFmt w:val="bullet"/>
      <w:lvlText w:val="•"/>
      <w:lvlJc w:val="left"/>
      <w:pPr>
        <w:tabs>
          <w:tab w:val="num" w:pos="1440"/>
        </w:tabs>
        <w:ind w:left="1440" w:hanging="360"/>
      </w:pPr>
      <w:rPr>
        <w:rFonts w:ascii="Arial" w:hAnsi="Arial" w:hint="default"/>
      </w:rPr>
    </w:lvl>
    <w:lvl w:ilvl="2" w:tplc="F454FE3E" w:tentative="1">
      <w:start w:val="1"/>
      <w:numFmt w:val="bullet"/>
      <w:lvlText w:val="•"/>
      <w:lvlJc w:val="left"/>
      <w:pPr>
        <w:tabs>
          <w:tab w:val="num" w:pos="2160"/>
        </w:tabs>
        <w:ind w:left="2160" w:hanging="360"/>
      </w:pPr>
      <w:rPr>
        <w:rFonts w:ascii="Arial" w:hAnsi="Arial" w:hint="default"/>
      </w:rPr>
    </w:lvl>
    <w:lvl w:ilvl="3" w:tplc="16A05BEC" w:tentative="1">
      <w:start w:val="1"/>
      <w:numFmt w:val="bullet"/>
      <w:lvlText w:val="•"/>
      <w:lvlJc w:val="left"/>
      <w:pPr>
        <w:tabs>
          <w:tab w:val="num" w:pos="2880"/>
        </w:tabs>
        <w:ind w:left="2880" w:hanging="360"/>
      </w:pPr>
      <w:rPr>
        <w:rFonts w:ascii="Arial" w:hAnsi="Arial" w:hint="default"/>
      </w:rPr>
    </w:lvl>
    <w:lvl w:ilvl="4" w:tplc="E758D568" w:tentative="1">
      <w:start w:val="1"/>
      <w:numFmt w:val="bullet"/>
      <w:lvlText w:val="•"/>
      <w:lvlJc w:val="left"/>
      <w:pPr>
        <w:tabs>
          <w:tab w:val="num" w:pos="3600"/>
        </w:tabs>
        <w:ind w:left="3600" w:hanging="360"/>
      </w:pPr>
      <w:rPr>
        <w:rFonts w:ascii="Arial" w:hAnsi="Arial" w:hint="default"/>
      </w:rPr>
    </w:lvl>
    <w:lvl w:ilvl="5" w:tplc="7A349EDE" w:tentative="1">
      <w:start w:val="1"/>
      <w:numFmt w:val="bullet"/>
      <w:lvlText w:val="•"/>
      <w:lvlJc w:val="left"/>
      <w:pPr>
        <w:tabs>
          <w:tab w:val="num" w:pos="4320"/>
        </w:tabs>
        <w:ind w:left="4320" w:hanging="360"/>
      </w:pPr>
      <w:rPr>
        <w:rFonts w:ascii="Arial" w:hAnsi="Arial" w:hint="default"/>
      </w:rPr>
    </w:lvl>
    <w:lvl w:ilvl="6" w:tplc="2BF4AD0C" w:tentative="1">
      <w:start w:val="1"/>
      <w:numFmt w:val="bullet"/>
      <w:lvlText w:val="•"/>
      <w:lvlJc w:val="left"/>
      <w:pPr>
        <w:tabs>
          <w:tab w:val="num" w:pos="5040"/>
        </w:tabs>
        <w:ind w:left="5040" w:hanging="360"/>
      </w:pPr>
      <w:rPr>
        <w:rFonts w:ascii="Arial" w:hAnsi="Arial" w:hint="default"/>
      </w:rPr>
    </w:lvl>
    <w:lvl w:ilvl="7" w:tplc="5482509A" w:tentative="1">
      <w:start w:val="1"/>
      <w:numFmt w:val="bullet"/>
      <w:lvlText w:val="•"/>
      <w:lvlJc w:val="left"/>
      <w:pPr>
        <w:tabs>
          <w:tab w:val="num" w:pos="5760"/>
        </w:tabs>
        <w:ind w:left="5760" w:hanging="360"/>
      </w:pPr>
      <w:rPr>
        <w:rFonts w:ascii="Arial" w:hAnsi="Arial" w:hint="default"/>
      </w:rPr>
    </w:lvl>
    <w:lvl w:ilvl="8" w:tplc="B46656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9A909A9"/>
    <w:multiLevelType w:val="hybridMultilevel"/>
    <w:tmpl w:val="77D46B68"/>
    <w:lvl w:ilvl="0" w:tplc="CDE0AEAE">
      <w:start w:val="1"/>
      <w:numFmt w:val="bullet"/>
      <w:lvlText w:val="•"/>
      <w:lvlJc w:val="left"/>
      <w:pPr>
        <w:tabs>
          <w:tab w:val="num" w:pos="720"/>
        </w:tabs>
        <w:ind w:left="720" w:hanging="360"/>
      </w:pPr>
      <w:rPr>
        <w:rFonts w:ascii="Arial" w:hAnsi="Arial" w:hint="default"/>
      </w:rPr>
    </w:lvl>
    <w:lvl w:ilvl="1" w:tplc="D79620EA" w:tentative="1">
      <w:start w:val="1"/>
      <w:numFmt w:val="bullet"/>
      <w:lvlText w:val="•"/>
      <w:lvlJc w:val="left"/>
      <w:pPr>
        <w:tabs>
          <w:tab w:val="num" w:pos="1440"/>
        </w:tabs>
        <w:ind w:left="1440" w:hanging="360"/>
      </w:pPr>
      <w:rPr>
        <w:rFonts w:ascii="Arial" w:hAnsi="Arial" w:hint="default"/>
      </w:rPr>
    </w:lvl>
    <w:lvl w:ilvl="2" w:tplc="F454FE3E" w:tentative="1">
      <w:start w:val="1"/>
      <w:numFmt w:val="bullet"/>
      <w:lvlText w:val="•"/>
      <w:lvlJc w:val="left"/>
      <w:pPr>
        <w:tabs>
          <w:tab w:val="num" w:pos="2160"/>
        </w:tabs>
        <w:ind w:left="2160" w:hanging="360"/>
      </w:pPr>
      <w:rPr>
        <w:rFonts w:ascii="Arial" w:hAnsi="Arial" w:hint="default"/>
      </w:rPr>
    </w:lvl>
    <w:lvl w:ilvl="3" w:tplc="16A05BEC" w:tentative="1">
      <w:start w:val="1"/>
      <w:numFmt w:val="bullet"/>
      <w:lvlText w:val="•"/>
      <w:lvlJc w:val="left"/>
      <w:pPr>
        <w:tabs>
          <w:tab w:val="num" w:pos="2880"/>
        </w:tabs>
        <w:ind w:left="2880" w:hanging="360"/>
      </w:pPr>
      <w:rPr>
        <w:rFonts w:ascii="Arial" w:hAnsi="Arial" w:hint="default"/>
      </w:rPr>
    </w:lvl>
    <w:lvl w:ilvl="4" w:tplc="E758D568" w:tentative="1">
      <w:start w:val="1"/>
      <w:numFmt w:val="bullet"/>
      <w:lvlText w:val="•"/>
      <w:lvlJc w:val="left"/>
      <w:pPr>
        <w:tabs>
          <w:tab w:val="num" w:pos="3600"/>
        </w:tabs>
        <w:ind w:left="3600" w:hanging="360"/>
      </w:pPr>
      <w:rPr>
        <w:rFonts w:ascii="Arial" w:hAnsi="Arial" w:hint="default"/>
      </w:rPr>
    </w:lvl>
    <w:lvl w:ilvl="5" w:tplc="7A349EDE" w:tentative="1">
      <w:start w:val="1"/>
      <w:numFmt w:val="bullet"/>
      <w:lvlText w:val="•"/>
      <w:lvlJc w:val="left"/>
      <w:pPr>
        <w:tabs>
          <w:tab w:val="num" w:pos="4320"/>
        </w:tabs>
        <w:ind w:left="4320" w:hanging="360"/>
      </w:pPr>
      <w:rPr>
        <w:rFonts w:ascii="Arial" w:hAnsi="Arial" w:hint="default"/>
      </w:rPr>
    </w:lvl>
    <w:lvl w:ilvl="6" w:tplc="2BF4AD0C" w:tentative="1">
      <w:start w:val="1"/>
      <w:numFmt w:val="bullet"/>
      <w:lvlText w:val="•"/>
      <w:lvlJc w:val="left"/>
      <w:pPr>
        <w:tabs>
          <w:tab w:val="num" w:pos="5040"/>
        </w:tabs>
        <w:ind w:left="5040" w:hanging="360"/>
      </w:pPr>
      <w:rPr>
        <w:rFonts w:ascii="Arial" w:hAnsi="Arial" w:hint="default"/>
      </w:rPr>
    </w:lvl>
    <w:lvl w:ilvl="7" w:tplc="5482509A" w:tentative="1">
      <w:start w:val="1"/>
      <w:numFmt w:val="bullet"/>
      <w:lvlText w:val="•"/>
      <w:lvlJc w:val="left"/>
      <w:pPr>
        <w:tabs>
          <w:tab w:val="num" w:pos="5760"/>
        </w:tabs>
        <w:ind w:left="5760" w:hanging="360"/>
      </w:pPr>
      <w:rPr>
        <w:rFonts w:ascii="Arial" w:hAnsi="Arial" w:hint="default"/>
      </w:rPr>
    </w:lvl>
    <w:lvl w:ilvl="8" w:tplc="B46656A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04"/>
    <w:rsid w:val="0003184B"/>
    <w:rsid w:val="001628A0"/>
    <w:rsid w:val="0027632B"/>
    <w:rsid w:val="00282FEA"/>
    <w:rsid w:val="00294560"/>
    <w:rsid w:val="002C6F8E"/>
    <w:rsid w:val="003A5995"/>
    <w:rsid w:val="003C7B01"/>
    <w:rsid w:val="004B4480"/>
    <w:rsid w:val="004E76F1"/>
    <w:rsid w:val="005011D3"/>
    <w:rsid w:val="005365A7"/>
    <w:rsid w:val="006B4118"/>
    <w:rsid w:val="00765586"/>
    <w:rsid w:val="00791F19"/>
    <w:rsid w:val="00795704"/>
    <w:rsid w:val="007E29DF"/>
    <w:rsid w:val="007E464C"/>
    <w:rsid w:val="00851249"/>
    <w:rsid w:val="00892FF6"/>
    <w:rsid w:val="00897A24"/>
    <w:rsid w:val="008E1AC1"/>
    <w:rsid w:val="008E6716"/>
    <w:rsid w:val="009E1C68"/>
    <w:rsid w:val="00A92FFD"/>
    <w:rsid w:val="00AA2957"/>
    <w:rsid w:val="00BC40A5"/>
    <w:rsid w:val="00BF5443"/>
    <w:rsid w:val="00C8463D"/>
    <w:rsid w:val="00C86A8B"/>
    <w:rsid w:val="00E547A1"/>
    <w:rsid w:val="00EC0F66"/>
    <w:rsid w:val="00F35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5114B-EF03-4CEF-84D2-1DA539CC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94560"/>
    <w:rPr>
      <w:color w:val="0000FF"/>
      <w:u w:val="single"/>
    </w:rPr>
  </w:style>
  <w:style w:type="paragraph" w:styleId="BalloonText">
    <w:name w:val="Balloon Text"/>
    <w:basedOn w:val="Normal"/>
    <w:link w:val="BalloonTextChar"/>
    <w:uiPriority w:val="99"/>
    <w:semiHidden/>
    <w:unhideWhenUsed/>
    <w:rsid w:val="00AA2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870312">
      <w:bodyDiv w:val="1"/>
      <w:marLeft w:val="0"/>
      <w:marRight w:val="0"/>
      <w:marTop w:val="0"/>
      <w:marBottom w:val="0"/>
      <w:divBdr>
        <w:top w:val="none" w:sz="0" w:space="0" w:color="auto"/>
        <w:left w:val="none" w:sz="0" w:space="0" w:color="auto"/>
        <w:bottom w:val="none" w:sz="0" w:space="0" w:color="auto"/>
        <w:right w:val="none" w:sz="0" w:space="0" w:color="auto"/>
      </w:divBdr>
      <w:divsChild>
        <w:div w:id="577713900">
          <w:marLeft w:val="274"/>
          <w:marRight w:val="0"/>
          <w:marTop w:val="0"/>
          <w:marBottom w:val="0"/>
          <w:divBdr>
            <w:top w:val="none" w:sz="0" w:space="0" w:color="auto"/>
            <w:left w:val="none" w:sz="0" w:space="0" w:color="auto"/>
            <w:bottom w:val="none" w:sz="0" w:space="0" w:color="auto"/>
            <w:right w:val="none" w:sz="0" w:space="0" w:color="auto"/>
          </w:divBdr>
        </w:div>
        <w:div w:id="675763549">
          <w:marLeft w:val="274"/>
          <w:marRight w:val="0"/>
          <w:marTop w:val="0"/>
          <w:marBottom w:val="0"/>
          <w:divBdr>
            <w:top w:val="none" w:sz="0" w:space="0" w:color="auto"/>
            <w:left w:val="none" w:sz="0" w:space="0" w:color="auto"/>
            <w:bottom w:val="none" w:sz="0" w:space="0" w:color="auto"/>
            <w:right w:val="none" w:sz="0" w:space="0" w:color="auto"/>
          </w:divBdr>
        </w:div>
        <w:div w:id="367531105">
          <w:marLeft w:val="274"/>
          <w:marRight w:val="0"/>
          <w:marTop w:val="0"/>
          <w:marBottom w:val="0"/>
          <w:divBdr>
            <w:top w:val="none" w:sz="0" w:space="0" w:color="auto"/>
            <w:left w:val="none" w:sz="0" w:space="0" w:color="auto"/>
            <w:bottom w:val="none" w:sz="0" w:space="0" w:color="auto"/>
            <w:right w:val="none" w:sz="0" w:space="0" w:color="auto"/>
          </w:divBdr>
        </w:div>
        <w:div w:id="166982391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UNECE</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Apostolov</dc:creator>
  <cp:lastModifiedBy>Mario Apostolov</cp:lastModifiedBy>
  <cp:revision>2</cp:revision>
  <dcterms:created xsi:type="dcterms:W3CDTF">2017-10-20T18:28:00Z</dcterms:created>
  <dcterms:modified xsi:type="dcterms:W3CDTF">2017-10-20T18:28:00Z</dcterms:modified>
</cp:coreProperties>
</file>