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4678"/>
      </w:tblGrid>
      <w:tr w:rsidR="00A33CB0" w:rsidRPr="00477EC8" w:rsidTr="00590076">
        <w:trPr>
          <w:trHeight w:val="2690"/>
        </w:trPr>
        <w:tc>
          <w:tcPr>
            <w:tcW w:w="5218" w:type="dxa"/>
          </w:tcPr>
          <w:p w:rsidR="00A33CB0" w:rsidRDefault="00A33CB0" w:rsidP="00A85FB2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8D4744">
              <w:rPr>
                <w:rFonts w:ascii="TimesType" w:hAnsi="TimesType"/>
                <w:noProof/>
                <w:lang w:val="en-US" w:eastAsia="en-US"/>
              </w:rPr>
              <w:drawing>
                <wp:inline distT="0" distB="0" distL="0" distR="0" wp14:anchorId="1CFBA60F" wp14:editId="7D1E3DED">
                  <wp:extent cx="1343771" cy="1169872"/>
                  <wp:effectExtent l="0" t="0" r="8890" b="0"/>
                  <wp:docPr id="2" name="Picture 2" descr="UN logo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55" cy="116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CB0" w:rsidRPr="003B1261" w:rsidRDefault="00A33CB0" w:rsidP="00A85FB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B126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UNITED NATIONS ECONOMIC COMMISSION FOR EUROPE</w:t>
            </w:r>
          </w:p>
        </w:tc>
        <w:tc>
          <w:tcPr>
            <w:tcW w:w="4678" w:type="dxa"/>
          </w:tcPr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Default="00590076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C3A9AF2" wp14:editId="3F56F47B">
                  <wp:extent cx="1854835" cy="1112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CB0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33CB0" w:rsidRPr="00996CE8" w:rsidRDefault="00590076" w:rsidP="00A33CB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ORGANIZATION OF THE BLACK SEA ECONOMIC COOPERATION</w:t>
            </w:r>
          </w:p>
        </w:tc>
      </w:tr>
      <w:tr w:rsidR="00A33CB0" w:rsidRPr="00477EC8" w:rsidTr="00A85FB2">
        <w:trPr>
          <w:trHeight w:val="1251"/>
        </w:trPr>
        <w:tc>
          <w:tcPr>
            <w:tcW w:w="5218" w:type="dxa"/>
            <w:vAlign w:val="center"/>
          </w:tcPr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B1261">
              <w:rPr>
                <w:rFonts w:ascii="Arial" w:hAnsi="Arial" w:cs="Arial"/>
                <w:sz w:val="18"/>
                <w:szCs w:val="18"/>
                <w:lang w:val="fr-FR"/>
              </w:rPr>
              <w:t>Palais des Nations, Office 431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B1261">
              <w:rPr>
                <w:rFonts w:ascii="Arial" w:hAnsi="Arial" w:cs="Arial"/>
                <w:sz w:val="18"/>
                <w:szCs w:val="18"/>
                <w:lang w:val="fr-FR"/>
              </w:rPr>
              <w:t xml:space="preserve">CH-1211 Geneva 10, </w:t>
            </w:r>
            <w:proofErr w:type="spellStart"/>
            <w:r w:rsidRPr="003B1261">
              <w:rPr>
                <w:rFonts w:ascii="Arial" w:hAnsi="Arial" w:cs="Arial"/>
                <w:sz w:val="18"/>
                <w:szCs w:val="18"/>
                <w:lang w:val="fr-FR"/>
              </w:rPr>
              <w:t>Switzerland</w:t>
            </w:r>
            <w:proofErr w:type="spellEnd"/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261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3B1261">
              <w:rPr>
                <w:rFonts w:ascii="Arial" w:hAnsi="Arial" w:cs="Arial"/>
                <w:sz w:val="18"/>
                <w:szCs w:val="18"/>
              </w:rPr>
              <w:t>: +41-22 9171134/1234</w:t>
            </w:r>
          </w:p>
          <w:p w:rsidR="00A33CB0" w:rsidRPr="003B1261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261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3B1261">
              <w:rPr>
                <w:rFonts w:ascii="Arial" w:hAnsi="Arial" w:cs="Arial"/>
                <w:sz w:val="18"/>
                <w:szCs w:val="18"/>
              </w:rPr>
              <w:t>: +41 22-917 0037</w:t>
            </w:r>
          </w:p>
          <w:p w:rsidR="00A33CB0" w:rsidRPr="00C43BCF" w:rsidRDefault="00A33CB0" w:rsidP="00A33CB0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C43BCF">
              <w:rPr>
                <w:rFonts w:ascii="Arial" w:hAnsi="Arial" w:cs="Arial"/>
                <w:sz w:val="18"/>
                <w:szCs w:val="18"/>
                <w:lang w:val="pt-PT"/>
              </w:rPr>
              <w:t xml:space="preserve">e-mail: </w:t>
            </w:r>
            <w:r w:rsidR="002E72BE">
              <w:fldChar w:fldCharType="begin"/>
            </w:r>
            <w:r w:rsidR="002E72BE" w:rsidRPr="007E001B">
              <w:rPr>
                <w:lang w:val="fr-CH"/>
              </w:rPr>
              <w:instrText xml:space="preserve"> HYPERLINK "mailto:mario.apostolov@unece.org%20" </w:instrText>
            </w:r>
            <w:r w:rsidR="002E72BE">
              <w:fldChar w:fldCharType="separate"/>
            </w:r>
            <w:r w:rsidRPr="00C43BCF">
              <w:rPr>
                <w:rStyle w:val="Hyperlink"/>
                <w:rFonts w:ascii="Arial" w:hAnsi="Arial" w:cs="Arial"/>
                <w:sz w:val="18"/>
                <w:szCs w:val="18"/>
                <w:lang w:val="pt-PT"/>
              </w:rPr>
              <w:t>mario.apostolov@unece.org</w:t>
            </w:r>
            <w:r w:rsidRPr="00C43BCF">
              <w:rPr>
                <w:rStyle w:val="Hyperlink"/>
                <w:sz w:val="18"/>
                <w:szCs w:val="18"/>
                <w:lang w:val="pt-PT"/>
              </w:rPr>
              <w:t xml:space="preserve"> </w:t>
            </w:r>
            <w:r w:rsidR="002E72BE">
              <w:rPr>
                <w:rStyle w:val="Hyperlink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477EC8" w:rsidRDefault="00477EC8" w:rsidP="003B12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477EC8">
              <w:rPr>
                <w:rFonts w:ascii="Arial" w:hAnsi="Arial" w:cs="Arial"/>
                <w:sz w:val="18"/>
                <w:szCs w:val="18"/>
                <w:lang w:val="fr-FR"/>
              </w:rPr>
              <w:t>Darüşşafaka</w:t>
            </w:r>
            <w:proofErr w:type="spellEnd"/>
            <w:r w:rsidRPr="00477EC8">
              <w:rPr>
                <w:rFonts w:ascii="Arial" w:hAnsi="Arial" w:cs="Arial"/>
                <w:sz w:val="18"/>
                <w:szCs w:val="18"/>
                <w:lang w:val="fr-FR"/>
              </w:rPr>
              <w:t xml:space="preserve"> Cad.  </w:t>
            </w:r>
            <w:proofErr w:type="spellStart"/>
            <w:r w:rsidRPr="00477EC8">
              <w:rPr>
                <w:rFonts w:ascii="Arial" w:hAnsi="Arial" w:cs="Arial"/>
                <w:sz w:val="18"/>
                <w:szCs w:val="18"/>
                <w:lang w:val="fr-FR"/>
              </w:rPr>
              <w:t>Seba</w:t>
            </w:r>
            <w:proofErr w:type="spellEnd"/>
            <w:r w:rsidRPr="00477EC8">
              <w:rPr>
                <w:rFonts w:ascii="Arial" w:hAnsi="Arial" w:cs="Arial"/>
                <w:sz w:val="18"/>
                <w:szCs w:val="18"/>
                <w:lang w:val="fr-FR"/>
              </w:rPr>
              <w:t xml:space="preserve"> Center </w:t>
            </w:r>
            <w:proofErr w:type="spellStart"/>
            <w:r w:rsidRPr="00477EC8">
              <w:rPr>
                <w:rFonts w:ascii="Arial" w:hAnsi="Arial" w:cs="Arial"/>
                <w:sz w:val="18"/>
                <w:szCs w:val="18"/>
                <w:lang w:val="fr-FR"/>
              </w:rPr>
              <w:t>İş</w:t>
            </w:r>
            <w:proofErr w:type="spellEnd"/>
            <w:r w:rsidRPr="00477EC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477EC8">
              <w:rPr>
                <w:rFonts w:ascii="Arial" w:hAnsi="Arial" w:cs="Arial"/>
                <w:sz w:val="18"/>
                <w:szCs w:val="18"/>
                <w:lang w:val="fr-FR"/>
              </w:rPr>
              <w:t>Merkezi</w:t>
            </w:r>
            <w:proofErr w:type="spellEnd"/>
            <w:r w:rsidRPr="00477EC8">
              <w:rPr>
                <w:rFonts w:ascii="Arial" w:hAnsi="Arial" w:cs="Arial"/>
                <w:sz w:val="18"/>
                <w:szCs w:val="18"/>
                <w:lang w:val="fr-FR"/>
              </w:rPr>
              <w:t>,  No</w:t>
            </w:r>
            <w:proofErr w:type="gramEnd"/>
            <w:r w:rsidRPr="00477EC8">
              <w:rPr>
                <w:rFonts w:ascii="Arial" w:hAnsi="Arial" w:cs="Arial"/>
                <w:sz w:val="18"/>
                <w:szCs w:val="18"/>
                <w:lang w:val="fr-FR"/>
              </w:rPr>
              <w:t xml:space="preserve">:45 </w:t>
            </w:r>
          </w:p>
          <w:p w:rsidR="00590076" w:rsidRPr="00477EC8" w:rsidRDefault="00477EC8" w:rsidP="003B12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 xml:space="preserve">Kat 3,  </w:t>
            </w:r>
            <w:proofErr w:type="spellStart"/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Istinye</w:t>
            </w:r>
            <w:proofErr w:type="spellEnd"/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 xml:space="preserve">  34460  </w:t>
            </w:r>
            <w:proofErr w:type="spellStart"/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Sarıyer-Istanbul,Turkey</w:t>
            </w:r>
            <w:proofErr w:type="spellEnd"/>
          </w:p>
          <w:p w:rsidR="00B07BAC" w:rsidRPr="00477EC8" w:rsidRDefault="00B07BAC" w:rsidP="00B07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Tel: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90(212)229 6330-35(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xt.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17)</w:t>
            </w:r>
          </w:p>
          <w:p w:rsidR="00B07BAC" w:rsidRPr="00B07BAC" w:rsidRDefault="00B07BAC" w:rsidP="00B07BAC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sz w:val="18"/>
                <w:szCs w:val="18"/>
                <w:lang w:val="pt-PT"/>
              </w:rPr>
            </w:pPr>
            <w:r w:rsidRPr="00C43BCF">
              <w:rPr>
                <w:rFonts w:ascii="Arial" w:hAnsi="Arial" w:cs="Arial"/>
                <w:sz w:val="18"/>
                <w:szCs w:val="18"/>
                <w:lang w:val="pt-PT"/>
              </w:rPr>
              <w:t>e-mail: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hyperlink r:id="rId10" w:history="1">
              <w:r w:rsidR="00477EC8" w:rsidRPr="00477EC8"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kmurtuzov@bsec-organization.org</w:t>
              </w:r>
            </w:hyperlink>
          </w:p>
          <w:p w:rsidR="00A33CB0" w:rsidRPr="00C43BCF" w:rsidRDefault="00A33CB0" w:rsidP="00A33C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992572" w:rsidRPr="00C43BCF" w:rsidRDefault="00992572" w:rsidP="00CD3E47">
      <w:pPr>
        <w:rPr>
          <w:rFonts w:ascii="Georgia" w:hAnsi="Georgia" w:cs="Arial"/>
          <w:b/>
          <w:sz w:val="16"/>
          <w:szCs w:val="16"/>
          <w:lang w:val="pt-PT"/>
        </w:rPr>
      </w:pPr>
    </w:p>
    <w:p w:rsidR="00CD3E47" w:rsidRPr="00C43BCF" w:rsidRDefault="00CD3E47" w:rsidP="00CD3E47">
      <w:pPr>
        <w:rPr>
          <w:rFonts w:ascii="Georgia" w:hAnsi="Georgia" w:cs="Arial"/>
          <w:b/>
          <w:sz w:val="16"/>
          <w:szCs w:val="16"/>
          <w:lang w:val="pt-PT"/>
        </w:rPr>
      </w:pPr>
    </w:p>
    <w:p w:rsidR="00CD3E47" w:rsidRPr="00C43BCF" w:rsidRDefault="00CD3E47" w:rsidP="00CD3E47">
      <w:pPr>
        <w:rPr>
          <w:rFonts w:ascii="Georgia" w:hAnsi="Georgia" w:cs="Arial"/>
          <w:b/>
          <w:sz w:val="16"/>
          <w:szCs w:val="16"/>
          <w:lang w:val="pt-PT"/>
        </w:rPr>
      </w:pPr>
    </w:p>
    <w:p w:rsidR="00A650B7" w:rsidRPr="0036675C" w:rsidRDefault="006C63D0" w:rsidP="00A54899">
      <w:pPr>
        <w:jc w:val="center"/>
        <w:rPr>
          <w:rFonts w:ascii="Georgia" w:hAnsi="Georgia" w:cs="Arial"/>
          <w:b/>
          <w:color w:val="17365D" w:themeColor="text2" w:themeShade="BF"/>
          <w:sz w:val="40"/>
          <w:szCs w:val="40"/>
          <w:lang w:val="en-GB"/>
        </w:rPr>
      </w:pPr>
      <w:r w:rsidRPr="0036675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Joint UNECE</w:t>
      </w:r>
      <w:r w:rsidR="00A54899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Pr="0036675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-</w:t>
      </w:r>
      <w:r w:rsidR="00A54899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Pr="0036675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BSEC </w:t>
      </w:r>
      <w:r w:rsidR="007B1862" w:rsidRPr="0036675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S</w:t>
      </w:r>
      <w:r w:rsidRPr="0036675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eminar on</w:t>
      </w:r>
      <w:r w:rsidR="00A54899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</w:t>
      </w:r>
      <w:r w:rsidR="00771FBF" w:rsidRPr="0036675C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>Trade Facilitation and Single Window</w:t>
      </w:r>
      <w:r w:rsidR="00A54899">
        <w:rPr>
          <w:rFonts w:ascii="Georgia" w:hAnsi="Georgia" w:cs="Arial"/>
          <w:b/>
          <w:color w:val="17365D" w:themeColor="text2" w:themeShade="BF"/>
          <w:sz w:val="40"/>
          <w:szCs w:val="40"/>
          <w:lang w:val="en-US"/>
        </w:rPr>
        <w:t xml:space="preserve"> Interoperability</w:t>
      </w:r>
    </w:p>
    <w:p w:rsidR="00FA616D" w:rsidRPr="0036675C" w:rsidRDefault="00FA616D" w:rsidP="00A85FB2">
      <w:pPr>
        <w:jc w:val="center"/>
        <w:rPr>
          <w:rFonts w:ascii="Georgia" w:hAnsi="Georgia" w:cs="Arial"/>
          <w:lang w:val="en-US"/>
        </w:rPr>
      </w:pPr>
    </w:p>
    <w:p w:rsidR="003F7178" w:rsidRPr="0036675C" w:rsidRDefault="003F7178" w:rsidP="00A85FB2">
      <w:pPr>
        <w:jc w:val="center"/>
        <w:rPr>
          <w:rFonts w:ascii="Georgia" w:hAnsi="Georgia" w:cs="Arial"/>
          <w:lang w:val="en-US"/>
        </w:rPr>
      </w:pPr>
    </w:p>
    <w:p w:rsidR="00A85FB2" w:rsidRPr="0036675C" w:rsidRDefault="00402714" w:rsidP="00B94CD3">
      <w:pPr>
        <w:jc w:val="center"/>
        <w:rPr>
          <w:rFonts w:ascii="Georgia" w:hAnsi="Georgia" w:cs="Arial"/>
          <w:sz w:val="28"/>
          <w:szCs w:val="28"/>
          <w:lang w:val="en-US"/>
        </w:rPr>
      </w:pPr>
      <w:r>
        <w:rPr>
          <w:rFonts w:ascii="Georgia" w:hAnsi="Georgia" w:cs="Arial"/>
          <w:sz w:val="28"/>
          <w:szCs w:val="28"/>
          <w:lang w:val="en-US"/>
        </w:rPr>
        <w:t>21</w:t>
      </w:r>
      <w:r w:rsidR="009B06DE" w:rsidRPr="0036675C">
        <w:rPr>
          <w:rFonts w:ascii="Georgia" w:hAnsi="Georgia" w:cs="Arial"/>
          <w:sz w:val="28"/>
          <w:szCs w:val="28"/>
          <w:lang w:val="en-US"/>
        </w:rPr>
        <w:t xml:space="preserve"> September</w:t>
      </w:r>
      <w:r w:rsidR="000E6809" w:rsidRPr="0036675C">
        <w:rPr>
          <w:rFonts w:ascii="Georgia" w:hAnsi="Georgia" w:cs="Arial"/>
          <w:sz w:val="28"/>
          <w:szCs w:val="28"/>
          <w:lang w:val="en-US"/>
        </w:rPr>
        <w:t xml:space="preserve"> 201</w:t>
      </w:r>
      <w:r w:rsidR="00B94CD3">
        <w:rPr>
          <w:rFonts w:ascii="Georgia" w:hAnsi="Georgia" w:cs="Arial"/>
          <w:sz w:val="28"/>
          <w:szCs w:val="28"/>
          <w:lang w:val="en-US"/>
        </w:rPr>
        <w:t>7</w:t>
      </w:r>
    </w:p>
    <w:p w:rsidR="003F7178" w:rsidRDefault="00C676BA" w:rsidP="005A439E">
      <w:pPr>
        <w:jc w:val="center"/>
        <w:rPr>
          <w:rFonts w:ascii="Georgia" w:hAnsi="Georgia" w:cs="Arial"/>
          <w:sz w:val="28"/>
          <w:szCs w:val="28"/>
          <w:lang w:val="en-US"/>
        </w:rPr>
      </w:pPr>
      <w:r>
        <w:rPr>
          <w:rFonts w:ascii="Georgia" w:hAnsi="Georgia" w:cs="Arial"/>
          <w:sz w:val="28"/>
          <w:szCs w:val="28"/>
          <w:lang w:val="en-US"/>
        </w:rPr>
        <w:t>Venue:</w:t>
      </w:r>
      <w:r w:rsidR="006C63D0">
        <w:rPr>
          <w:rFonts w:ascii="Georgia" w:hAnsi="Georgia" w:cs="Arial"/>
          <w:sz w:val="28"/>
          <w:szCs w:val="28"/>
          <w:lang w:val="en-US"/>
        </w:rPr>
        <w:t xml:space="preserve"> </w:t>
      </w:r>
      <w:r w:rsidR="007B1862">
        <w:rPr>
          <w:rFonts w:ascii="Georgia" w:hAnsi="Georgia" w:cs="Arial"/>
          <w:sz w:val="28"/>
          <w:szCs w:val="28"/>
          <w:lang w:val="en-US"/>
        </w:rPr>
        <w:t xml:space="preserve">Headquarters </w:t>
      </w:r>
      <w:r w:rsidR="009B06DE">
        <w:rPr>
          <w:rFonts w:ascii="Georgia" w:hAnsi="Georgia" w:cs="Arial"/>
          <w:sz w:val="28"/>
          <w:szCs w:val="28"/>
          <w:lang w:val="en-US"/>
        </w:rPr>
        <w:t>of BSEC, Istanbul</w:t>
      </w:r>
    </w:p>
    <w:p w:rsidR="002B5383" w:rsidRPr="0036675C" w:rsidRDefault="002B5383" w:rsidP="00402714">
      <w:pPr>
        <w:pStyle w:val="Header"/>
        <w:tabs>
          <w:tab w:val="clear" w:pos="4153"/>
          <w:tab w:val="clear" w:pos="8306"/>
          <w:tab w:val="left" w:pos="2835"/>
        </w:tabs>
        <w:rPr>
          <w:rFonts w:cs="Times New Roman"/>
          <w:lang w:val="en-US"/>
        </w:rPr>
      </w:pPr>
      <w:r w:rsidRPr="0036675C">
        <w:rPr>
          <w:rFonts w:cs="Times New Roman"/>
          <w:lang w:val="en-US"/>
        </w:rPr>
        <w:tab/>
      </w:r>
    </w:p>
    <w:p w:rsidR="002B5383" w:rsidRDefault="002B5383" w:rsidP="005A439E">
      <w:pPr>
        <w:jc w:val="center"/>
        <w:rPr>
          <w:rFonts w:ascii="Georgia" w:hAnsi="Georgia" w:cs="Arial"/>
          <w:sz w:val="28"/>
          <w:szCs w:val="28"/>
          <w:lang w:val="en-US"/>
        </w:rPr>
      </w:pPr>
    </w:p>
    <w:p w:rsidR="003F7178" w:rsidRDefault="003F7178" w:rsidP="005A439E">
      <w:pPr>
        <w:jc w:val="center"/>
        <w:rPr>
          <w:rFonts w:ascii="Georgia" w:hAnsi="Georgia" w:cs="Arial"/>
          <w:sz w:val="28"/>
          <w:szCs w:val="28"/>
          <w:lang w:val="en-US"/>
        </w:rPr>
      </w:pPr>
    </w:p>
    <w:p w:rsidR="005A439E" w:rsidRPr="005A439E" w:rsidRDefault="005A439E" w:rsidP="005A439E">
      <w:pPr>
        <w:jc w:val="center"/>
        <w:rPr>
          <w:rFonts w:eastAsia="Batang" w:cs="Times New Roman"/>
          <w:color w:val="000000"/>
          <w:sz w:val="20"/>
          <w:szCs w:val="20"/>
          <w:lang w:val="en-US" w:eastAsia="ko-KR"/>
        </w:rPr>
      </w:pPr>
    </w:p>
    <w:p w:rsidR="00631849" w:rsidRPr="00D844A1" w:rsidRDefault="0033001B" w:rsidP="00631849">
      <w:pPr>
        <w:jc w:val="center"/>
        <w:rPr>
          <w:rFonts w:ascii="Georgia" w:hAnsi="Georgia" w:cs="Arial"/>
          <w:b/>
          <w:smallCaps/>
          <w:sz w:val="32"/>
          <w:szCs w:val="32"/>
          <w:lang w:val="en-US"/>
        </w:rPr>
      </w:pPr>
      <w:r w:rsidRPr="00D844A1">
        <w:rPr>
          <w:rFonts w:ascii="Georgia" w:hAnsi="Georgia" w:cs="Arial"/>
          <w:b/>
          <w:smallCaps/>
          <w:sz w:val="32"/>
          <w:szCs w:val="32"/>
          <w:lang w:val="en-US"/>
        </w:rPr>
        <w:t>agenda</w:t>
      </w:r>
    </w:p>
    <w:p w:rsidR="00631849" w:rsidRPr="001B164C" w:rsidRDefault="00631849" w:rsidP="00631849">
      <w:pPr>
        <w:jc w:val="center"/>
        <w:rPr>
          <w:rFonts w:ascii="Georgia" w:hAnsi="Georgia" w:cs="Arial"/>
          <w:b/>
          <w:sz w:val="28"/>
          <w:szCs w:val="28"/>
          <w:u w:val="single"/>
          <w:lang w:val="en-US"/>
        </w:rPr>
      </w:pPr>
    </w:p>
    <w:p w:rsidR="00631849" w:rsidRPr="001B164C" w:rsidRDefault="00631849" w:rsidP="00631849">
      <w:pPr>
        <w:jc w:val="center"/>
        <w:rPr>
          <w:rFonts w:ascii="Georgia" w:hAnsi="Georgia" w:cs="Arial"/>
          <w:b/>
          <w:sz w:val="28"/>
          <w:szCs w:val="28"/>
          <w:u w:val="single"/>
          <w:lang w:val="en-US"/>
        </w:rPr>
      </w:pPr>
    </w:p>
    <w:p w:rsidR="002318F7" w:rsidRDefault="002318F7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br w:type="page"/>
      </w:r>
    </w:p>
    <w:p w:rsidR="00810EB5" w:rsidRPr="002318F7" w:rsidRDefault="00402714" w:rsidP="0040271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</w:t>
      </w:r>
      <w:r w:rsidR="00AC4589"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5804" w:rsidRPr="002318F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810D2"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64C" w:rsidRPr="002318F7">
        <w:rPr>
          <w:rFonts w:ascii="Times New Roman" w:hAnsi="Times New Roman" w:cs="Times New Roman"/>
          <w:sz w:val="24"/>
          <w:szCs w:val="24"/>
          <w:lang w:val="en-US"/>
        </w:rPr>
        <w:t>Registration</w:t>
      </w:r>
    </w:p>
    <w:p w:rsidR="00803758" w:rsidRPr="002318F7" w:rsidRDefault="00803758" w:rsidP="00D651A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E76D5" w:rsidRDefault="005936EB" w:rsidP="00402714">
      <w:pPr>
        <w:pStyle w:val="NoSpacing"/>
        <w:ind w:left="851" w:hanging="851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71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03758"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02714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815804"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3246C"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71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03758"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0271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318F7" w:rsidRPr="002318F7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BB66BF"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64C" w:rsidRPr="002318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Welcome address</w:t>
      </w:r>
      <w:r w:rsidR="003E76D5" w:rsidRPr="003E76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402714" w:rsidRDefault="00B649A4" w:rsidP="00402714">
      <w:pPr>
        <w:pStyle w:val="NoSpacing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E76D5" w:rsidRPr="00A430D8">
        <w:rPr>
          <w:rFonts w:ascii="Times New Roman" w:hAnsi="Times New Roman" w:cs="Times New Roman"/>
          <w:sz w:val="24"/>
          <w:szCs w:val="24"/>
          <w:lang w:val="en-US"/>
        </w:rPr>
        <w:t>Traian</w:t>
      </w:r>
      <w:proofErr w:type="spellEnd"/>
      <w:r w:rsidR="003E76D5" w:rsidRPr="00A43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6D5" w:rsidRPr="00A430D8">
        <w:rPr>
          <w:rFonts w:ascii="Times New Roman" w:hAnsi="Times New Roman" w:cs="Times New Roman"/>
          <w:sz w:val="24"/>
          <w:szCs w:val="24"/>
          <w:lang w:val="en-US"/>
        </w:rPr>
        <w:t>Chebeleu</w:t>
      </w:r>
      <w:proofErr w:type="spellEnd"/>
      <w:r w:rsidR="003E76D5" w:rsidRPr="00A430D8">
        <w:rPr>
          <w:rFonts w:ascii="Times New Roman" w:hAnsi="Times New Roman" w:cs="Times New Roman"/>
          <w:sz w:val="24"/>
          <w:szCs w:val="24"/>
          <w:lang w:val="en-US"/>
        </w:rPr>
        <w:t>, Deputy Secretary General, BSEC</w:t>
      </w:r>
      <w:r w:rsidR="003E76D5">
        <w:rPr>
          <w:rFonts w:ascii="Times New Roman" w:hAnsi="Times New Roman" w:cs="Times New Roman"/>
          <w:sz w:val="24"/>
          <w:szCs w:val="24"/>
          <w:lang w:val="en-US"/>
        </w:rPr>
        <w:t xml:space="preserve"> Permanent International Secretariat</w:t>
      </w:r>
      <w:r w:rsidRPr="00A430D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18F7" w:rsidRPr="00A87BD5" w:rsidRDefault="00B649A4" w:rsidP="00A87BD5">
      <w:pPr>
        <w:pStyle w:val="NoSpacing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A430D8">
        <w:rPr>
          <w:rFonts w:ascii="Times New Roman" w:hAnsi="Times New Roman" w:cs="Times New Roman"/>
          <w:sz w:val="24"/>
          <w:szCs w:val="24"/>
          <w:lang w:val="en-US"/>
        </w:rPr>
        <w:t>Mario Apostolov, Regional Adviser, UNECE</w:t>
      </w:r>
    </w:p>
    <w:p w:rsidR="00CD3E47" w:rsidRDefault="00CD3E47" w:rsidP="003F1311">
      <w:pPr>
        <w:pStyle w:val="NoSpacing"/>
        <w:spacing w:before="120" w:after="120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2318F7">
        <w:rPr>
          <w:rFonts w:ascii="Times New Roman" w:hAnsi="Times New Roman" w:cs="Times New Roman"/>
          <w:sz w:val="24"/>
          <w:szCs w:val="24"/>
          <w:u w:val="single"/>
          <w:lang w:val="en-US"/>
        </w:rPr>
        <w:t>Moderator</w:t>
      </w:r>
      <w:r w:rsidR="00A430D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18F7" w:rsidRPr="002318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1311">
        <w:rPr>
          <w:rFonts w:ascii="Times New Roman" w:hAnsi="Times New Roman" w:cs="Times New Roman"/>
          <w:sz w:val="24"/>
          <w:szCs w:val="24"/>
          <w:lang w:val="en-GB"/>
        </w:rPr>
        <w:t>Amb</w:t>
      </w:r>
      <w:proofErr w:type="spellEnd"/>
      <w:r w:rsidR="003F13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A430D8" w:rsidRPr="00A430D8">
        <w:rPr>
          <w:rFonts w:ascii="Times New Roman" w:hAnsi="Times New Roman" w:cs="Times New Roman"/>
          <w:sz w:val="24"/>
          <w:szCs w:val="24"/>
          <w:lang w:val="en-US"/>
        </w:rPr>
        <w:t>Traian</w:t>
      </w:r>
      <w:proofErr w:type="spellEnd"/>
      <w:r w:rsidR="00A430D8" w:rsidRPr="00A43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0D8" w:rsidRPr="00A430D8">
        <w:rPr>
          <w:rFonts w:ascii="Times New Roman" w:hAnsi="Times New Roman" w:cs="Times New Roman"/>
          <w:sz w:val="24"/>
          <w:szCs w:val="24"/>
          <w:lang w:val="en-US"/>
        </w:rPr>
        <w:t>Chebeleu</w:t>
      </w:r>
      <w:proofErr w:type="spellEnd"/>
      <w:r w:rsidR="00A430D8" w:rsidRPr="00A430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49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02714">
        <w:rPr>
          <w:rFonts w:ascii="Times New Roman" w:hAnsi="Times New Roman" w:cs="Times New Roman"/>
          <w:sz w:val="24"/>
          <w:szCs w:val="24"/>
          <w:lang w:val="en-US"/>
        </w:rPr>
        <w:t xml:space="preserve"> Mario Apostolov, </w:t>
      </w:r>
      <w:r w:rsidR="00A430D8" w:rsidRPr="00A430D8">
        <w:rPr>
          <w:rFonts w:ascii="Times New Roman" w:hAnsi="Times New Roman" w:cs="Times New Roman"/>
          <w:sz w:val="24"/>
          <w:szCs w:val="24"/>
          <w:lang w:val="en-US"/>
        </w:rPr>
        <w:t>ECE</w:t>
      </w:r>
    </w:p>
    <w:p w:rsidR="003F1311" w:rsidRDefault="003F1311" w:rsidP="00A21CC6">
      <w:pPr>
        <w:pStyle w:val="NoSpacing"/>
        <w:tabs>
          <w:tab w:val="left" w:pos="1418"/>
        </w:tabs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318F7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1CC6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18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1</w:t>
      </w:r>
      <w:r w:rsidRPr="002318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Trade Facilitation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Single Window Projects in the BSEC Region</w:t>
      </w:r>
    </w:p>
    <w:p w:rsidR="00C61803" w:rsidRPr="002318F7" w:rsidRDefault="00C61803" w:rsidP="00A21CC6">
      <w:pPr>
        <w:pStyle w:val="NoSpacing"/>
        <w:tabs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074" w:type="dxa"/>
        <w:tblInd w:w="108" w:type="dxa"/>
        <w:tblLook w:val="04A0" w:firstRow="1" w:lastRow="0" w:firstColumn="1" w:lastColumn="0" w:noHBand="0" w:noVBand="1"/>
      </w:tblPr>
      <w:tblGrid>
        <w:gridCol w:w="9074"/>
      </w:tblGrid>
      <w:tr w:rsidR="002C49FB" w:rsidRPr="00477EC8" w:rsidTr="00F67F8A">
        <w:trPr>
          <w:trHeight w:val="950"/>
        </w:trPr>
        <w:tc>
          <w:tcPr>
            <w:tcW w:w="9074" w:type="dxa"/>
          </w:tcPr>
          <w:p w:rsidR="001E01E9" w:rsidRPr="001E01E9" w:rsidRDefault="0057140D" w:rsidP="00C61803">
            <w:pPr>
              <w:pStyle w:val="NoSpacing"/>
              <w:spacing w:before="120" w:after="120"/>
              <w:ind w:left="34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session will </w:t>
            </w:r>
            <w:r w:rsidR="00402714" w:rsidRPr="004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</w:t>
            </w:r>
            <w:r w:rsidR="003F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02714" w:rsidRPr="004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3F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 of Single Window as a key instrument for </w:t>
            </w:r>
            <w:r w:rsidR="00402714" w:rsidRPr="004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trade facilitation, notably </w:t>
            </w:r>
            <w:r w:rsidR="003F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light of the </w:t>
            </w:r>
            <w:r w:rsidR="00402714" w:rsidRPr="004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entry into force of the WTO Trade Facilitation Agreement on 22.02.2017</w:t>
            </w:r>
            <w:r w:rsidR="00C61803" w:rsidRPr="00C6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 well as the </w:t>
            </w:r>
            <w:r w:rsidR="00C6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objectives of the seminar in promoting interoperability of Single Window already in the </w:t>
            </w:r>
            <w:r w:rsidR="004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steps </w:t>
            </w:r>
            <w:r w:rsidR="00C6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02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 Single Window mechanism</w:t>
            </w:r>
            <w:r w:rsidR="00C6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in the BSEC region</w:t>
            </w:r>
            <w:r w:rsidR="00EC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31401A" w:rsidRPr="002318F7" w:rsidRDefault="00781C70" w:rsidP="00F67F8A">
      <w:pPr>
        <w:pStyle w:val="NoSpacing"/>
        <w:spacing w:before="120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2318F7">
        <w:rPr>
          <w:rFonts w:ascii="Times New Roman" w:hAnsi="Times New Roman" w:cs="Times New Roman"/>
          <w:sz w:val="24"/>
          <w:szCs w:val="24"/>
          <w:u w:val="single"/>
          <w:lang w:val="en-US"/>
        </w:rPr>
        <w:t>Speakers</w:t>
      </w:r>
      <w:r w:rsidR="00D8799D"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2F9B" w:rsidRPr="00122F9B" w:rsidRDefault="00B74D68" w:rsidP="00EC76F0">
      <w:pPr>
        <w:pStyle w:val="NoSpacing"/>
        <w:numPr>
          <w:ilvl w:val="0"/>
          <w:numId w:val="7"/>
        </w:numPr>
        <w:spacing w:before="120"/>
        <w:ind w:left="419" w:hanging="357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9F5C6B">
        <w:rPr>
          <w:rFonts w:ascii="Times New Roman" w:hAnsi="Times New Roman" w:cs="Times New Roman"/>
          <w:sz w:val="24"/>
          <w:szCs w:val="24"/>
          <w:lang w:val="en-GB"/>
        </w:rPr>
        <w:t xml:space="preserve">Mario Apostolov, </w:t>
      </w:r>
      <w:r w:rsidR="00DF63BE">
        <w:rPr>
          <w:rFonts w:ascii="Times New Roman" w:hAnsi="Times New Roman" w:cs="Times New Roman"/>
          <w:sz w:val="24"/>
          <w:szCs w:val="24"/>
          <w:lang w:val="en-GB"/>
        </w:rPr>
        <w:t xml:space="preserve">Regional Adviser, </w:t>
      </w:r>
      <w:r w:rsidR="009F5C6B" w:rsidRPr="009F5C6B">
        <w:rPr>
          <w:rFonts w:ascii="Times New Roman" w:hAnsi="Times New Roman" w:cs="Times New Roman"/>
          <w:sz w:val="24"/>
          <w:szCs w:val="24"/>
          <w:lang w:val="en-GB"/>
        </w:rPr>
        <w:t>UNECE</w:t>
      </w:r>
      <w:r w:rsidR="00DF63B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C76F0" w:rsidRPr="00122F9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Single Window concept in the WTO Trade Facilitation Agreement; </w:t>
      </w:r>
      <w:r w:rsidR="00122F9B" w:rsidRPr="00122F9B">
        <w:rPr>
          <w:rFonts w:ascii="Times New Roman" w:hAnsi="Times New Roman" w:cs="Times New Roman"/>
          <w:i/>
          <w:iCs/>
          <w:sz w:val="24"/>
          <w:szCs w:val="24"/>
          <w:lang w:val="en-GB"/>
        </w:rPr>
        <w:t>Step-by-step development of a Single Window</w:t>
      </w:r>
    </w:p>
    <w:p w:rsidR="00C676BA" w:rsidRPr="00ED6BD3" w:rsidRDefault="00B74D68" w:rsidP="00C676BA">
      <w:pPr>
        <w:pStyle w:val="NoSpacing"/>
        <w:numPr>
          <w:ilvl w:val="0"/>
          <w:numId w:val="7"/>
        </w:numPr>
        <w:spacing w:before="120"/>
        <w:ind w:left="419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proofErr w:type="spellStart"/>
      <w:r w:rsidR="00122F9B">
        <w:rPr>
          <w:rFonts w:ascii="Times New Roman" w:hAnsi="Times New Roman" w:cs="Times New Roman"/>
          <w:sz w:val="24"/>
          <w:szCs w:val="24"/>
          <w:lang w:val="en-GB"/>
        </w:rPr>
        <w:t>Kanan</w:t>
      </w:r>
      <w:proofErr w:type="spellEnd"/>
      <w:r w:rsidR="00122F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F9B">
        <w:rPr>
          <w:rFonts w:ascii="Times New Roman" w:hAnsi="Times New Roman" w:cs="Times New Roman"/>
          <w:sz w:val="24"/>
          <w:szCs w:val="24"/>
          <w:lang w:val="en-GB"/>
        </w:rPr>
        <w:t>Mutuz</w:t>
      </w:r>
      <w:r w:rsidR="003E76D5" w:rsidRPr="00ED6BD3">
        <w:rPr>
          <w:rFonts w:ascii="Times New Roman" w:hAnsi="Times New Roman" w:cs="Times New Roman"/>
          <w:sz w:val="24"/>
          <w:szCs w:val="24"/>
          <w:lang w:val="en-GB"/>
        </w:rPr>
        <w:t>ov</w:t>
      </w:r>
      <w:proofErr w:type="spellEnd"/>
      <w:r w:rsidR="003E76D5" w:rsidRPr="00ED6B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B4749" w:rsidRPr="00ED6BD3">
        <w:rPr>
          <w:rFonts w:ascii="Times New Roman" w:hAnsi="Times New Roman" w:cs="Times New Roman"/>
          <w:sz w:val="24"/>
          <w:szCs w:val="24"/>
          <w:lang w:val="en-GB"/>
        </w:rPr>
        <w:t>Executive Manager</w:t>
      </w:r>
      <w:r w:rsidR="00ED6BD3" w:rsidRPr="00ED6B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B4749" w:rsidRPr="00ED6BD3">
        <w:rPr>
          <w:rFonts w:ascii="Times New Roman" w:hAnsi="Times New Roman" w:cs="Times New Roman"/>
          <w:sz w:val="24"/>
          <w:szCs w:val="24"/>
          <w:lang w:val="en-GB"/>
        </w:rPr>
        <w:t>Organization of the Black Sea Economic Cooperation</w:t>
      </w:r>
      <w:r w:rsidR="00ED6BD3" w:rsidRPr="00ED6B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B4749" w:rsidRPr="00ED6BD3">
        <w:rPr>
          <w:rFonts w:ascii="Times New Roman" w:hAnsi="Times New Roman" w:cs="Times New Roman"/>
          <w:sz w:val="24"/>
          <w:szCs w:val="24"/>
          <w:lang w:val="en-GB"/>
        </w:rPr>
        <w:t>Permanent International Secretariat</w:t>
      </w:r>
      <w:r w:rsidR="00ED6BD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D6BD3" w:rsidRPr="00ED6B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76D5" w:rsidRPr="00ED6BD3">
        <w:rPr>
          <w:rFonts w:ascii="Times New Roman" w:hAnsi="Times New Roman" w:cs="Times New Roman"/>
          <w:i/>
          <w:sz w:val="24"/>
          <w:szCs w:val="24"/>
          <w:lang w:val="en-GB"/>
        </w:rPr>
        <w:t>Expected outcome and recommendations from the seminar</w:t>
      </w:r>
    </w:p>
    <w:p w:rsidR="003E76D5" w:rsidRPr="002E72BE" w:rsidRDefault="00B74D68" w:rsidP="002E72BE">
      <w:pPr>
        <w:numPr>
          <w:ilvl w:val="0"/>
          <w:numId w:val="7"/>
        </w:numPr>
        <w:spacing w:before="120" w:after="0" w:line="240" w:lineRule="auto"/>
        <w:ind w:left="419" w:hanging="357"/>
        <w:rPr>
          <w:rFonts w:ascii="Georgia" w:eastAsia="Times New Roman" w:hAnsi="Georgia" w:cs="Times New Roman"/>
          <w:i/>
          <w:iCs/>
          <w:lang w:val="en-US" w:eastAsia="en-GB"/>
        </w:rPr>
      </w:pPr>
      <w:r>
        <w:rPr>
          <w:rFonts w:ascii="Georgia" w:eastAsia="Times New Roman" w:hAnsi="Georgia" w:cs="Times New Roman"/>
          <w:iCs/>
          <w:lang w:val="en-US" w:eastAsia="en-GB"/>
        </w:rPr>
        <w:t xml:space="preserve">Mr. </w:t>
      </w:r>
      <w:proofErr w:type="spellStart"/>
      <w:r w:rsidR="00F40D3D">
        <w:rPr>
          <w:rFonts w:ascii="Georgia" w:eastAsia="Times New Roman" w:hAnsi="Georgia" w:cs="Times New Roman"/>
          <w:iCs/>
          <w:lang w:val="en-US" w:eastAsia="en-GB"/>
        </w:rPr>
        <w:t>Lokman</w:t>
      </w:r>
      <w:proofErr w:type="spellEnd"/>
      <w:r w:rsidR="00F40D3D">
        <w:rPr>
          <w:rFonts w:ascii="Georgia" w:eastAsia="Times New Roman" w:hAnsi="Georgia" w:cs="Times New Roman"/>
          <w:iCs/>
          <w:lang w:val="en-US" w:eastAsia="en-GB"/>
        </w:rPr>
        <w:t xml:space="preserve"> </w:t>
      </w:r>
      <w:proofErr w:type="spellStart"/>
      <w:r w:rsidR="00F40D3D">
        <w:rPr>
          <w:rFonts w:ascii="Georgia" w:eastAsia="Times New Roman" w:hAnsi="Georgia" w:cs="Times New Roman"/>
          <w:iCs/>
          <w:lang w:val="en-US" w:eastAsia="en-GB"/>
        </w:rPr>
        <w:t>Comart</w:t>
      </w:r>
      <w:proofErr w:type="spellEnd"/>
      <w:r w:rsidR="00F40D3D">
        <w:rPr>
          <w:rFonts w:ascii="Georgia" w:eastAsia="Times New Roman" w:hAnsi="Georgia" w:cs="Times New Roman"/>
          <w:iCs/>
          <w:lang w:val="en-US" w:eastAsia="en-GB"/>
        </w:rPr>
        <w:t xml:space="preserve">, </w:t>
      </w:r>
      <w:r w:rsidR="00F40D3D" w:rsidRPr="00B74D68">
        <w:rPr>
          <w:rFonts w:ascii="Georgia" w:eastAsia="Times New Roman" w:hAnsi="Georgia" w:cs="Times New Roman"/>
          <w:iCs/>
          <w:lang w:val="en-US" w:eastAsia="en-GB"/>
        </w:rPr>
        <w:t>Assistant Expert, DG of Risk Management and Control,</w:t>
      </w:r>
      <w:r w:rsidR="00F40D3D">
        <w:rPr>
          <w:rFonts w:ascii="Georgia" w:eastAsia="Times New Roman" w:hAnsi="Georgia" w:cs="Times New Roman"/>
          <w:iCs/>
          <w:lang w:val="en-US" w:eastAsia="en-GB"/>
        </w:rPr>
        <w:t xml:space="preserve"> </w:t>
      </w:r>
      <w:r w:rsidR="00122F9B" w:rsidRPr="0036675C">
        <w:rPr>
          <w:rFonts w:ascii="Georgia" w:eastAsia="Times New Roman" w:hAnsi="Georgia" w:cs="Times New Roman"/>
          <w:iCs/>
          <w:lang w:val="en-US" w:eastAsia="en-GB"/>
        </w:rPr>
        <w:t>Ministry of Customs and Trade, Directorate General for the EU and External Relations</w:t>
      </w:r>
      <w:r w:rsidR="00122F9B">
        <w:rPr>
          <w:rFonts w:ascii="Georgia" w:eastAsia="Times New Roman" w:hAnsi="Georgia" w:cs="Times New Roman"/>
          <w:iCs/>
          <w:lang w:val="en-US" w:eastAsia="en-GB"/>
        </w:rPr>
        <w:t>:</w:t>
      </w:r>
      <w:r w:rsidR="00122F9B" w:rsidRPr="0036675C">
        <w:rPr>
          <w:rFonts w:ascii="Georgia" w:eastAsia="Times New Roman" w:hAnsi="Georgia" w:cs="Times New Roman"/>
          <w:iCs/>
          <w:lang w:val="en-US" w:eastAsia="en-GB"/>
        </w:rPr>
        <w:t xml:space="preserve"> </w:t>
      </w:r>
      <w:r w:rsidR="00122F9B" w:rsidRPr="00013D8A">
        <w:rPr>
          <w:rFonts w:ascii="Georgia" w:eastAsia="Times New Roman" w:hAnsi="Georgia" w:cs="Times New Roman"/>
          <w:i/>
          <w:iCs/>
          <w:lang w:val="en-US" w:eastAsia="en-GB"/>
        </w:rPr>
        <w:t xml:space="preserve">Turkey’s Experience in Implementation of the </w:t>
      </w:r>
      <w:r w:rsidR="00122F9B">
        <w:rPr>
          <w:rFonts w:ascii="Georgia" w:eastAsia="Times New Roman" w:hAnsi="Georgia" w:cs="Times New Roman"/>
          <w:i/>
          <w:iCs/>
          <w:lang w:val="en-US" w:eastAsia="en-GB"/>
        </w:rPr>
        <w:t>Single Window</w:t>
      </w:r>
    </w:p>
    <w:p w:rsidR="003E76D5" w:rsidRPr="003E76D5" w:rsidRDefault="003E76D5" w:rsidP="003E76D5">
      <w:pPr>
        <w:pStyle w:val="NoSpacing"/>
        <w:ind w:left="4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E76D5" w:rsidRPr="00B94CD3" w:rsidRDefault="003E76D5" w:rsidP="00A21CC6">
      <w:pPr>
        <w:pStyle w:val="NoSpacing"/>
        <w:ind w:left="42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18F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21C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1CC6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A21C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1CC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318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Coffee break </w:t>
      </w:r>
    </w:p>
    <w:p w:rsidR="00122F9B" w:rsidRPr="00122F9B" w:rsidRDefault="00122F9B" w:rsidP="00122F9B">
      <w:pPr>
        <w:spacing w:after="0" w:line="240" w:lineRule="auto"/>
        <w:rPr>
          <w:rFonts w:ascii="Georgia" w:eastAsia="Times New Roman" w:hAnsi="Georgia" w:cs="Times New Roman"/>
          <w:i/>
          <w:iCs/>
          <w:lang w:val="en-US" w:eastAsia="en-GB"/>
        </w:rPr>
      </w:pPr>
    </w:p>
    <w:p w:rsidR="003E76D5" w:rsidRPr="00122F9B" w:rsidRDefault="00122F9B" w:rsidP="002E72BE">
      <w:pPr>
        <w:spacing w:after="0" w:line="240" w:lineRule="auto"/>
        <w:ind w:left="1276" w:hanging="1276"/>
        <w:rPr>
          <w:rFonts w:ascii="Georgia" w:eastAsia="Times New Roman" w:hAnsi="Georgia" w:cs="Times New Roman"/>
          <w:i/>
          <w:iCs/>
          <w:lang w:val="en-US" w:eastAsia="en-GB"/>
        </w:rPr>
      </w:pPr>
      <w:r w:rsidRPr="00122F9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E72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22F9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72B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22F9B">
        <w:rPr>
          <w:rFonts w:ascii="Times New Roman" w:hAnsi="Times New Roman" w:cs="Times New Roman"/>
          <w:sz w:val="24"/>
          <w:szCs w:val="24"/>
          <w:lang w:val="en-US"/>
        </w:rPr>
        <w:t>0 – 1</w:t>
      </w:r>
      <w:r w:rsidR="002E72B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22F9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72B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22F9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122F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2</w:t>
      </w:r>
      <w:r w:rsidRPr="00122F9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22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F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nteroperability of </w:t>
      </w:r>
      <w:r w:rsidRPr="00122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Single Window mechanisms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122F9B">
        <w:rPr>
          <w:rFonts w:ascii="Times New Roman" w:hAnsi="Times New Roman" w:cs="Times New Roman"/>
          <w:b/>
          <w:sz w:val="24"/>
          <w:szCs w:val="24"/>
          <w:lang w:val="en-US"/>
        </w:rPr>
        <w:t>Port Community Systems in the Black Sea region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; Principles of Data Harmonization</w:t>
      </w:r>
    </w:p>
    <w:p w:rsidR="00A21CC6" w:rsidRPr="002318F7" w:rsidRDefault="00A21CC6" w:rsidP="00A21CC6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21CC6" w:rsidRPr="00477EC8" w:rsidTr="00A87BD5">
        <w:trPr>
          <w:trHeight w:val="620"/>
        </w:trPr>
        <w:tc>
          <w:tcPr>
            <w:tcW w:w="9072" w:type="dxa"/>
          </w:tcPr>
          <w:p w:rsidR="00A21CC6" w:rsidRPr="00A21CC6" w:rsidRDefault="00A21CC6" w:rsidP="005C6745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21CC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This session will review: </w:t>
            </w:r>
          </w:p>
          <w:p w:rsidR="00A21CC6" w:rsidRPr="00A21CC6" w:rsidRDefault="00A21CC6" w:rsidP="005C6745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21CC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Interoperability </w:t>
            </w:r>
            <w:r w:rsidRPr="00A21C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of Single Window mechanisms in the BSEC region:</w:t>
            </w:r>
          </w:p>
          <w:p w:rsidR="00A21CC6" w:rsidRPr="00A21CC6" w:rsidRDefault="00A21CC6" w:rsidP="005C6745">
            <w:pPr>
              <w:pStyle w:val="ListParagraph"/>
              <w:numPr>
                <w:ilvl w:val="0"/>
                <w:numId w:val="22"/>
              </w:numPr>
              <w:ind w:left="425" w:hanging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21C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Principles of interoperability: use of international standards; governance; and legal issues to be taken into account,</w:t>
            </w:r>
          </w:p>
          <w:p w:rsidR="00A21CC6" w:rsidRPr="00A21CC6" w:rsidRDefault="00A21CC6" w:rsidP="005C6745">
            <w:pPr>
              <w:pStyle w:val="ListParagraph"/>
              <w:numPr>
                <w:ilvl w:val="0"/>
                <w:numId w:val="22"/>
              </w:numPr>
              <w:spacing w:after="120"/>
              <w:ind w:left="425" w:hanging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21C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Data harmonization</w:t>
            </w:r>
            <w:r w:rsidRPr="00A21C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A21CC6" w:rsidRPr="00A21CC6" w:rsidRDefault="00A21CC6" w:rsidP="005C6745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21CC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International best practice recommendations, norms and standards:</w:t>
            </w:r>
          </w:p>
          <w:p w:rsidR="00A21CC6" w:rsidRPr="00A21CC6" w:rsidRDefault="00A21CC6" w:rsidP="00A21CC6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21C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BSEC, UNECE,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etc. </w:t>
            </w:r>
            <w:r w:rsidRPr="00A21C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WCO </w:t>
            </w:r>
          </w:p>
          <w:p w:rsidR="00A21CC6" w:rsidRPr="00A21CC6" w:rsidRDefault="00A21CC6" w:rsidP="005C6745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21C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A21CC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results of this session</w:t>
            </w:r>
            <w:r w:rsidRPr="00A21C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will include:</w:t>
            </w:r>
          </w:p>
          <w:p w:rsidR="00A21CC6" w:rsidRPr="00A21CC6" w:rsidRDefault="00A21CC6" w:rsidP="005C6745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76" w:right="176" w:hanging="17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21C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Recommendations for the implementation of Port Community and Single Window Systems in the region;</w:t>
            </w:r>
          </w:p>
          <w:p w:rsidR="00A21CC6" w:rsidRPr="00C61803" w:rsidRDefault="00A21CC6" w:rsidP="005C6745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76" w:righ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C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Approaches to ensure coordination of efforts among all stakeholders for the implementation of a Single Window.</w:t>
            </w:r>
          </w:p>
          <w:p w:rsidR="00C61803" w:rsidRDefault="00C61803" w:rsidP="00C61803">
            <w:pPr>
              <w:pStyle w:val="ListParagraph"/>
              <w:spacing w:before="120" w:after="120"/>
              <w:ind w:left="176" w:righ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61803" w:rsidRDefault="00C61803" w:rsidP="00C61803">
            <w:pPr>
              <w:pStyle w:val="ListParagraph"/>
              <w:spacing w:before="120" w:after="120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Objective</w:t>
            </w:r>
            <w:r w:rsidRPr="0023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experiences among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tates and regional economic unions in the BSEC region on the state of play in the implementation of trade facilitation and Single Window projects. Exchange experiences on the steps that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taken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various projects, with a view to learn from each other.  </w:t>
            </w:r>
          </w:p>
          <w:p w:rsidR="00C61803" w:rsidRPr="002318F7" w:rsidRDefault="00C61803" w:rsidP="00C61803">
            <w:pPr>
              <w:pStyle w:val="ListParagraph"/>
              <w:spacing w:before="120" w:after="120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A21CC6" w:rsidRPr="002318F7" w:rsidRDefault="00A21CC6" w:rsidP="00A21CC6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F7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Speakers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2F9B" w:rsidRPr="00D93535" w:rsidRDefault="00C52C02" w:rsidP="003F1311">
      <w:pPr>
        <w:pStyle w:val="NoSpacing"/>
        <w:numPr>
          <w:ilvl w:val="0"/>
          <w:numId w:val="7"/>
        </w:numPr>
        <w:spacing w:before="120"/>
        <w:ind w:left="419" w:hanging="357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 </w:t>
      </w:r>
      <w:r w:rsidR="003F1311">
        <w:rPr>
          <w:rFonts w:ascii="Times New Roman" w:hAnsi="Times New Roman" w:cs="Times New Roman"/>
          <w:sz w:val="24"/>
          <w:szCs w:val="24"/>
          <w:lang w:val="en-GB"/>
        </w:rPr>
        <w:t>Lance Thompson</w:t>
      </w:r>
      <w:r w:rsidR="00122F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1311">
        <w:rPr>
          <w:rFonts w:ascii="Times New Roman" w:hAnsi="Times New Roman" w:cs="Times New Roman"/>
          <w:sz w:val="24"/>
          <w:szCs w:val="24"/>
          <w:lang w:val="en-GB"/>
        </w:rPr>
        <w:t>Economic Affairs Officer</w:t>
      </w:r>
      <w:r w:rsidR="00122F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22F9B" w:rsidRPr="009F5C6B">
        <w:rPr>
          <w:rFonts w:ascii="Times New Roman" w:hAnsi="Times New Roman" w:cs="Times New Roman"/>
          <w:sz w:val="24"/>
          <w:szCs w:val="24"/>
          <w:lang w:val="en-GB"/>
        </w:rPr>
        <w:t>UNECE</w:t>
      </w:r>
      <w:r w:rsidR="00122F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22F9B" w:rsidRPr="00765DDF">
        <w:rPr>
          <w:rFonts w:ascii="Times New Roman" w:hAnsi="Times New Roman" w:cs="Times New Roman"/>
          <w:i/>
          <w:iCs/>
          <w:sz w:val="24"/>
          <w:szCs w:val="24"/>
          <w:lang w:val="en-GB"/>
        </w:rPr>
        <w:t>UNCEFACT Recommendation 36: Single Window Interoperability</w:t>
      </w:r>
      <w:r w:rsidR="003F131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- </w:t>
      </w:r>
      <w:r w:rsidR="00122F9B" w:rsidRPr="00765DDF">
        <w:rPr>
          <w:rFonts w:ascii="Times New Roman" w:hAnsi="Times New Roman" w:cs="Times New Roman"/>
          <w:i/>
          <w:iCs/>
          <w:sz w:val="24"/>
          <w:szCs w:val="24"/>
          <w:lang w:val="en-GB"/>
        </w:rPr>
        <w:t>main principles</w:t>
      </w:r>
      <w:r w:rsidR="003F1311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122F9B" w:rsidRPr="00765D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use of international standards, governance and legal issues in the BSEC context.</w:t>
      </w:r>
      <w:r w:rsidR="00122F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93535" w:rsidRPr="00D93535" w:rsidRDefault="00C52C02" w:rsidP="0079292E">
      <w:pPr>
        <w:pStyle w:val="NoSpacing"/>
        <w:numPr>
          <w:ilvl w:val="0"/>
          <w:numId w:val="7"/>
        </w:numPr>
        <w:spacing w:before="120"/>
        <w:ind w:left="419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 </w:t>
      </w:r>
      <w:r w:rsidR="00D93535" w:rsidRPr="00D93535">
        <w:rPr>
          <w:rFonts w:ascii="Times New Roman" w:hAnsi="Times New Roman" w:cs="Times New Roman"/>
          <w:sz w:val="24"/>
          <w:szCs w:val="24"/>
          <w:lang w:val="en-GB"/>
        </w:rPr>
        <w:t xml:space="preserve">Armen </w:t>
      </w:r>
      <w:proofErr w:type="spellStart"/>
      <w:r w:rsidR="00D93535" w:rsidRPr="00D93535">
        <w:rPr>
          <w:rFonts w:ascii="Times New Roman" w:hAnsi="Times New Roman" w:cs="Times New Roman"/>
          <w:sz w:val="24"/>
          <w:szCs w:val="24"/>
          <w:lang w:val="en-GB"/>
        </w:rPr>
        <w:t>Manukyan</w:t>
      </w:r>
      <w:proofErr w:type="spellEnd"/>
      <w:r w:rsidR="00D93535" w:rsidRPr="00D93535">
        <w:rPr>
          <w:rFonts w:ascii="Times New Roman" w:hAnsi="Times New Roman" w:cs="Times New Roman"/>
          <w:sz w:val="24"/>
          <w:szCs w:val="24"/>
          <w:lang w:val="en-GB"/>
        </w:rPr>
        <w:t>, Technical Attaché, Compliance and Facilitation Directorate, World Customs Organization</w:t>
      </w:r>
      <w:r w:rsidR="00D9353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93535">
        <w:rPr>
          <w:rFonts w:ascii="Times New Roman" w:hAnsi="Times New Roman" w:cs="Times New Roman"/>
          <w:i/>
          <w:iCs/>
          <w:sz w:val="24"/>
          <w:szCs w:val="24"/>
          <w:lang w:val="en-GB"/>
        </w:rPr>
        <w:t>WCO standards for data exchange and Single Window interoperability</w:t>
      </w:r>
    </w:p>
    <w:p w:rsidR="00A21CC6" w:rsidRPr="00A21CC6" w:rsidRDefault="00A21CC6" w:rsidP="00A21CC6">
      <w:pPr>
        <w:numPr>
          <w:ilvl w:val="0"/>
          <w:numId w:val="7"/>
        </w:numPr>
        <w:spacing w:before="120" w:after="0" w:line="240" w:lineRule="auto"/>
        <w:ind w:left="419" w:hanging="357"/>
        <w:rPr>
          <w:rFonts w:ascii="Georgia" w:eastAsia="Times New Roman" w:hAnsi="Georgia" w:cs="Times New Roman"/>
          <w:i/>
          <w:iCs/>
          <w:lang w:val="en-US" w:eastAsia="en-GB"/>
        </w:rPr>
      </w:pPr>
      <w:proofErr w:type="spellStart"/>
      <w:r>
        <w:rPr>
          <w:rFonts w:ascii="Georgia" w:eastAsia="Times New Roman" w:hAnsi="Georgia" w:cs="Times New Roman"/>
          <w:iCs/>
          <w:lang w:val="en-US" w:eastAsia="en-GB"/>
        </w:rPr>
        <w:t>Mr</w:t>
      </w:r>
      <w:proofErr w:type="spellEnd"/>
      <w:r>
        <w:rPr>
          <w:rFonts w:ascii="Georgia" w:eastAsia="Times New Roman" w:hAnsi="Georgia" w:cs="Times New Roman"/>
          <w:iCs/>
          <w:lang w:val="en-US"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lang w:val="en-US" w:eastAsia="en-GB"/>
        </w:rPr>
        <w:t>Zahouani</w:t>
      </w:r>
      <w:proofErr w:type="spellEnd"/>
      <w:r>
        <w:rPr>
          <w:rFonts w:ascii="Georgia" w:eastAsia="Times New Roman" w:hAnsi="Georgia" w:cs="Times New Roman"/>
          <w:iCs/>
          <w:lang w:val="en-US"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lang w:val="en-US" w:eastAsia="en-GB"/>
        </w:rPr>
        <w:t>Saadaoui</w:t>
      </w:r>
      <w:proofErr w:type="spellEnd"/>
      <w:r>
        <w:rPr>
          <w:rFonts w:ascii="Georgia" w:eastAsia="Times New Roman" w:hAnsi="Georgia" w:cs="Times New Roman"/>
          <w:iCs/>
          <w:lang w:val="en-US" w:eastAsia="en-GB"/>
        </w:rPr>
        <w:t xml:space="preserve">, DG TAXUD, European Commission: Outline of the European Commission’s work </w:t>
      </w:r>
      <w:r w:rsidR="00D93535">
        <w:rPr>
          <w:rFonts w:ascii="Georgia" w:eastAsia="Times New Roman" w:hAnsi="Georgia" w:cs="Times New Roman"/>
          <w:iCs/>
          <w:lang w:val="en-US" w:eastAsia="en-GB"/>
        </w:rPr>
        <w:t>on the Single Window and data h</w:t>
      </w:r>
      <w:r>
        <w:rPr>
          <w:rFonts w:ascii="Georgia" w:eastAsia="Times New Roman" w:hAnsi="Georgia" w:cs="Times New Roman"/>
          <w:iCs/>
          <w:lang w:val="en-US" w:eastAsia="en-GB"/>
        </w:rPr>
        <w:t>armonization</w:t>
      </w:r>
    </w:p>
    <w:p w:rsidR="00A21CC6" w:rsidRPr="00C52C02" w:rsidRDefault="00C52C02" w:rsidP="009C7039">
      <w:pPr>
        <w:pStyle w:val="NoSpacing"/>
        <w:numPr>
          <w:ilvl w:val="0"/>
          <w:numId w:val="7"/>
        </w:numPr>
        <w:spacing w:before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 </w:t>
      </w:r>
      <w:proofErr w:type="spellStart"/>
      <w:r w:rsidR="00A21CC6" w:rsidRPr="00A21CC6">
        <w:rPr>
          <w:rFonts w:ascii="Times New Roman" w:hAnsi="Times New Roman" w:cs="Times New Roman"/>
          <w:sz w:val="24"/>
          <w:szCs w:val="24"/>
          <w:lang w:val="en-GB"/>
        </w:rPr>
        <w:t>Igbal</w:t>
      </w:r>
      <w:proofErr w:type="spellEnd"/>
      <w:r w:rsidR="00A21CC6" w:rsidRPr="00A21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1CC6" w:rsidRPr="00A21CC6">
        <w:rPr>
          <w:rFonts w:ascii="Times New Roman" w:hAnsi="Times New Roman" w:cs="Times New Roman"/>
          <w:sz w:val="24"/>
          <w:szCs w:val="24"/>
          <w:lang w:val="en-GB"/>
        </w:rPr>
        <w:t>Babayev</w:t>
      </w:r>
      <w:proofErr w:type="spellEnd"/>
      <w:r w:rsidR="00A21CC6" w:rsidRPr="00A21CC6">
        <w:rPr>
          <w:rFonts w:ascii="Times New Roman" w:hAnsi="Times New Roman" w:cs="Times New Roman"/>
          <w:sz w:val="24"/>
          <w:szCs w:val="24"/>
          <w:lang w:val="en-GB"/>
        </w:rPr>
        <w:t xml:space="preserve">, Chief of Department for Statistics and IT, State Customs Committee of Azerbaijan, </w:t>
      </w:r>
      <w:r w:rsidR="00A21CC6" w:rsidRPr="00C52C02">
        <w:rPr>
          <w:rFonts w:ascii="Times New Roman" w:hAnsi="Times New Roman" w:cs="Times New Roman"/>
          <w:i/>
          <w:sz w:val="24"/>
          <w:szCs w:val="24"/>
          <w:lang w:val="en-GB"/>
        </w:rPr>
        <w:t>Single Window system in Azerbaijan, use of international standards for data exchange</w:t>
      </w:r>
    </w:p>
    <w:p w:rsidR="00F22D12" w:rsidRDefault="00C52C02" w:rsidP="0068058A">
      <w:pPr>
        <w:pStyle w:val="NoSpacing"/>
        <w:numPr>
          <w:ilvl w:val="0"/>
          <w:numId w:val="7"/>
        </w:numPr>
        <w:spacing w:before="120"/>
        <w:ind w:left="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D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2D12" w:rsidRPr="00180849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F22D12">
        <w:rPr>
          <w:rFonts w:ascii="Times New Roman" w:hAnsi="Times New Roman" w:cs="Times New Roman"/>
          <w:sz w:val="24"/>
          <w:szCs w:val="24"/>
          <w:lang w:val="en-US"/>
        </w:rPr>
        <w:t>xandr</w:t>
      </w:r>
      <w:proofErr w:type="spellEnd"/>
      <w:r w:rsidR="00F22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D12">
        <w:rPr>
          <w:rFonts w:ascii="Times New Roman" w:hAnsi="Times New Roman" w:cs="Times New Roman"/>
          <w:sz w:val="24"/>
          <w:szCs w:val="24"/>
          <w:lang w:val="en-US"/>
        </w:rPr>
        <w:t>Fedorov</w:t>
      </w:r>
      <w:proofErr w:type="spellEnd"/>
      <w:r w:rsidR="00F22D12" w:rsidRPr="001808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2D12">
        <w:rPr>
          <w:rFonts w:ascii="Times New Roman" w:hAnsi="Times New Roman" w:cs="Times New Roman"/>
          <w:sz w:val="24"/>
          <w:szCs w:val="24"/>
          <w:lang w:val="en-US"/>
        </w:rPr>
        <w:t xml:space="preserve">Director General PPL 33-35, Ukraine, </w:t>
      </w:r>
      <w:r w:rsidR="00F22D12">
        <w:rPr>
          <w:rFonts w:ascii="Times New Roman" w:hAnsi="Times New Roman" w:cs="Times New Roman"/>
          <w:i/>
          <w:sz w:val="24"/>
          <w:szCs w:val="24"/>
          <w:lang w:val="en-US"/>
        </w:rPr>
        <w:t>The Port Community System in Odessa: A pilot project and best-practice example for the Black Sea Region</w:t>
      </w:r>
      <w:r w:rsidR="00F22D12" w:rsidRPr="00180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0D3D" w:rsidRPr="00F40D3D" w:rsidRDefault="00F40D3D" w:rsidP="00DF63BE">
      <w:pPr>
        <w:pStyle w:val="NoSpacing"/>
        <w:numPr>
          <w:ilvl w:val="0"/>
          <w:numId w:val="7"/>
        </w:numPr>
        <w:spacing w:before="120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68058A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Pr="0068058A">
        <w:rPr>
          <w:rFonts w:ascii="Times New Roman" w:hAnsi="Times New Roman" w:cs="Times New Roman"/>
          <w:sz w:val="24"/>
          <w:szCs w:val="24"/>
          <w:lang w:val="en-US"/>
        </w:rPr>
        <w:t>Vladislav</w:t>
      </w:r>
      <w:proofErr w:type="spellEnd"/>
      <w:r w:rsidRPr="00680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58A">
        <w:rPr>
          <w:rFonts w:ascii="Times New Roman" w:hAnsi="Times New Roman" w:cs="Times New Roman"/>
          <w:sz w:val="24"/>
          <w:szCs w:val="24"/>
          <w:lang w:val="en-US"/>
        </w:rPr>
        <w:t>Svet</w:t>
      </w:r>
      <w:proofErr w:type="spellEnd"/>
      <w:r w:rsidRPr="0068058A">
        <w:rPr>
          <w:rFonts w:ascii="Times New Roman" w:hAnsi="Times New Roman" w:cs="Times New Roman"/>
          <w:sz w:val="24"/>
          <w:szCs w:val="24"/>
          <w:lang w:val="en-US"/>
        </w:rPr>
        <w:t xml:space="preserve"> Head of Organization of Customs Control and Trade Facilitation Division,</w:t>
      </w:r>
      <w:r w:rsidR="00ED0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58A" w:rsidRPr="0068058A">
        <w:rPr>
          <w:rFonts w:ascii="Times New Roman" w:hAnsi="Times New Roman" w:cs="Times New Roman"/>
          <w:sz w:val="24"/>
          <w:szCs w:val="24"/>
          <w:lang w:val="en-US"/>
        </w:rPr>
        <w:t>Customs, Republic of Moldova.</w:t>
      </w:r>
      <w:r w:rsidR="0068058A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  <w:r w:rsidR="0068058A" w:rsidRPr="0068058A">
        <w:rPr>
          <w:rFonts w:ascii="Times New Roman" w:hAnsi="Times New Roman" w:cs="Times New Roman"/>
          <w:i/>
          <w:sz w:val="24"/>
          <w:szCs w:val="24"/>
          <w:lang w:val="en-GB"/>
        </w:rPr>
        <w:t>On the Single Window project in Moldova and Single Window Interoperability</w:t>
      </w:r>
      <w:r w:rsidRPr="00477EC8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F40D3D" w:rsidRDefault="00F40D3D" w:rsidP="00BF7D7C">
      <w:pPr>
        <w:pStyle w:val="NoSpacing"/>
        <w:spacing w:before="120"/>
        <w:ind w:left="6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Discussion</w:t>
      </w:r>
    </w:p>
    <w:p w:rsidR="0068058A" w:rsidRDefault="0068058A" w:rsidP="00BF7D7C">
      <w:pPr>
        <w:pStyle w:val="NoSpacing"/>
        <w:spacing w:before="120"/>
        <w:ind w:left="6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7D7C" w:rsidRPr="003611CD" w:rsidRDefault="00BF7D7C" w:rsidP="00BF7D7C">
      <w:pPr>
        <w:pStyle w:val="NoSpacing"/>
        <w:spacing w:before="120"/>
        <w:ind w:left="60"/>
        <w:rPr>
          <w:bCs/>
          <w:i/>
          <w:sz w:val="24"/>
          <w:szCs w:val="24"/>
          <w:lang w:val="en-US"/>
        </w:rPr>
      </w:pPr>
      <w:r w:rsidRPr="00BF7D7C">
        <w:rPr>
          <w:rFonts w:ascii="Times New Roman" w:hAnsi="Times New Roman" w:cs="Times New Roman"/>
          <w:bCs/>
          <w:sz w:val="24"/>
          <w:szCs w:val="24"/>
          <w:lang w:val="en-US"/>
        </w:rPr>
        <w:t>13:30 – 14:30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4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Closing Session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Recommendations</w:t>
      </w:r>
      <w:r>
        <w:rPr>
          <w:bCs/>
          <w:i/>
          <w:sz w:val="24"/>
          <w:szCs w:val="24"/>
          <w:lang w:val="en-US"/>
        </w:rPr>
        <w:t xml:space="preserve">: </w:t>
      </w:r>
    </w:p>
    <w:p w:rsidR="00BF7D7C" w:rsidRDefault="00BF7D7C" w:rsidP="00BF7D7C">
      <w:pPr>
        <w:pStyle w:val="ListParagraph"/>
        <w:spacing w:after="0" w:line="240" w:lineRule="auto"/>
        <w:ind w:left="425"/>
        <w:jc w:val="both"/>
        <w:rPr>
          <w:i/>
          <w:sz w:val="24"/>
          <w:szCs w:val="24"/>
          <w:lang w:val="en-US"/>
        </w:rPr>
      </w:pPr>
    </w:p>
    <w:p w:rsidR="00BF7D7C" w:rsidRPr="003875C9" w:rsidRDefault="00BF7D7C" w:rsidP="00BF7D7C">
      <w:pPr>
        <w:pStyle w:val="ListParagraph"/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75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Establish dialogue in the BSEC framework on interoperability of Single Window mechanisms </w:t>
      </w:r>
    </w:p>
    <w:p w:rsidR="00BF7D7C" w:rsidRPr="003875C9" w:rsidRDefault="00BF7D7C" w:rsidP="00BF7D7C">
      <w:pPr>
        <w:pStyle w:val="ListParagraph"/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75C9">
        <w:rPr>
          <w:rFonts w:ascii="Times New Roman" w:hAnsi="Times New Roman" w:cs="Times New Roman"/>
          <w:i/>
          <w:sz w:val="24"/>
          <w:szCs w:val="24"/>
          <w:lang w:val="en-US"/>
        </w:rPr>
        <w:t>Further exchange information on standards used for document and data exchange; Single Window planning and implementation; business process analysis; streamlining documentary formalities; and creating an enabling legal environment for Single Window</w:t>
      </w:r>
    </w:p>
    <w:p w:rsidR="00BF7D7C" w:rsidRPr="003875C9" w:rsidRDefault="00BF7D7C" w:rsidP="00BF7D7C">
      <w:pPr>
        <w:pStyle w:val="ListParagraph"/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75C9">
        <w:rPr>
          <w:rFonts w:ascii="Times New Roman" w:hAnsi="Times New Roman" w:cs="Times New Roman"/>
          <w:i/>
          <w:sz w:val="24"/>
          <w:szCs w:val="24"/>
          <w:lang w:val="en-US"/>
        </w:rPr>
        <w:t>If needed, plan developing technical recommendations for Single Window interoperability</w:t>
      </w:r>
    </w:p>
    <w:p w:rsidR="00BF7D7C" w:rsidRDefault="00BF7D7C" w:rsidP="003E76D5">
      <w:pPr>
        <w:pStyle w:val="NoSpacing"/>
        <w:spacing w:before="120"/>
        <w:ind w:left="419"/>
        <w:rPr>
          <w:rFonts w:ascii="Times New Roman" w:hAnsi="Times New Roman" w:cs="Times New Roman"/>
          <w:sz w:val="24"/>
          <w:szCs w:val="24"/>
          <w:lang w:val="en-GB"/>
        </w:rPr>
      </w:pPr>
    </w:p>
    <w:p w:rsidR="00C676BA" w:rsidRDefault="00C676BA" w:rsidP="00BF7D7C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18F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7D7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F7D7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BF7D7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318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Lunch</w:t>
      </w:r>
      <w:r w:rsidRPr="002318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break </w:t>
      </w:r>
    </w:p>
    <w:p w:rsidR="00615149" w:rsidRPr="002318F7" w:rsidRDefault="00615149" w:rsidP="00D651A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676BA" w:rsidRPr="00B649A4" w:rsidRDefault="006C63D0" w:rsidP="004C415E">
      <w:pPr>
        <w:pStyle w:val="NoSpacing"/>
        <w:spacing w:before="120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2318F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C415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C415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4C415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C415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231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15E">
        <w:rPr>
          <w:rFonts w:ascii="Times New Roman" w:hAnsi="Times New Roman" w:cs="Times New Roman"/>
          <w:sz w:val="24"/>
          <w:szCs w:val="24"/>
          <w:lang w:val="en-US"/>
        </w:rPr>
        <w:t xml:space="preserve">Joint meeting of the BSEC Working Groups on Trade and Development and Customs, to discuss the BSEC regional trade facilitation strategy. </w:t>
      </w:r>
    </w:p>
    <w:p w:rsidR="00C05B9B" w:rsidRPr="00302CED" w:rsidRDefault="00C05B9B" w:rsidP="00B54F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05B9B" w:rsidRPr="00302CED" w:rsidSect="006C63D0">
      <w:headerReference w:type="even" r:id="rId11"/>
      <w:footerReference w:type="first" r:id="rId12"/>
      <w:pgSz w:w="11906" w:h="16838"/>
      <w:pgMar w:top="1140" w:right="1133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05" w:rsidRDefault="001A7505" w:rsidP="0099344A">
      <w:pPr>
        <w:spacing w:after="0" w:line="240" w:lineRule="auto"/>
      </w:pPr>
      <w:r>
        <w:separator/>
      </w:r>
    </w:p>
  </w:endnote>
  <w:endnote w:type="continuationSeparator" w:id="0">
    <w:p w:rsidR="001A7505" w:rsidRDefault="001A7505" w:rsidP="0099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yp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05" w:rsidRDefault="001A7505">
    <w:pPr>
      <w:pStyle w:val="Footer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D844A1">
      <w:rPr>
        <w:noProof/>
        <w:lang w:val="en-GB"/>
      </w:rPr>
      <w:t>15 September 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05" w:rsidRDefault="001A7505" w:rsidP="0099344A">
      <w:pPr>
        <w:spacing w:after="0" w:line="240" w:lineRule="auto"/>
      </w:pPr>
      <w:r>
        <w:separator/>
      </w:r>
    </w:p>
  </w:footnote>
  <w:footnote w:type="continuationSeparator" w:id="0">
    <w:p w:rsidR="001A7505" w:rsidRDefault="001A7505" w:rsidP="0099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665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7505" w:rsidRDefault="001A75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505" w:rsidRDefault="001A7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1CA"/>
    <w:multiLevelType w:val="hybridMultilevel"/>
    <w:tmpl w:val="5046DFA2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6E4"/>
    <w:multiLevelType w:val="hybridMultilevel"/>
    <w:tmpl w:val="ABD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1D0"/>
    <w:multiLevelType w:val="hybridMultilevel"/>
    <w:tmpl w:val="4D9A6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C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410"/>
    <w:multiLevelType w:val="hybridMultilevel"/>
    <w:tmpl w:val="6070FC88"/>
    <w:lvl w:ilvl="0" w:tplc="28D268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018"/>
    <w:multiLevelType w:val="hybridMultilevel"/>
    <w:tmpl w:val="A0405CC0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4832"/>
    <w:multiLevelType w:val="hybridMultilevel"/>
    <w:tmpl w:val="6A2EF9E4"/>
    <w:lvl w:ilvl="0" w:tplc="7436A0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E3"/>
    <w:multiLevelType w:val="hybridMultilevel"/>
    <w:tmpl w:val="37087708"/>
    <w:lvl w:ilvl="0" w:tplc="D8969C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C56A7"/>
    <w:multiLevelType w:val="hybridMultilevel"/>
    <w:tmpl w:val="062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64EE"/>
    <w:multiLevelType w:val="hybridMultilevel"/>
    <w:tmpl w:val="BBDEE91E"/>
    <w:lvl w:ilvl="0" w:tplc="A64AD484">
      <w:start w:val="1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FF47017"/>
    <w:multiLevelType w:val="hybridMultilevel"/>
    <w:tmpl w:val="EB4EA6E6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7927"/>
    <w:multiLevelType w:val="hybridMultilevel"/>
    <w:tmpl w:val="95A8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012CC"/>
    <w:multiLevelType w:val="hybridMultilevel"/>
    <w:tmpl w:val="8D9E65D4"/>
    <w:lvl w:ilvl="0" w:tplc="EE70F594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1687D5E"/>
    <w:multiLevelType w:val="hybridMultilevel"/>
    <w:tmpl w:val="B622E328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66842"/>
    <w:multiLevelType w:val="hybridMultilevel"/>
    <w:tmpl w:val="07FA5206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3D89"/>
    <w:multiLevelType w:val="hybridMultilevel"/>
    <w:tmpl w:val="C314713C"/>
    <w:lvl w:ilvl="0" w:tplc="5F468E6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5CD06D8"/>
    <w:multiLevelType w:val="hybridMultilevel"/>
    <w:tmpl w:val="761C77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9096C39"/>
    <w:multiLevelType w:val="hybridMultilevel"/>
    <w:tmpl w:val="81541864"/>
    <w:lvl w:ilvl="0" w:tplc="C602C9C0">
      <w:start w:val="5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ED300D1"/>
    <w:multiLevelType w:val="hybridMultilevel"/>
    <w:tmpl w:val="E19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356A7"/>
    <w:multiLevelType w:val="hybridMultilevel"/>
    <w:tmpl w:val="A0D48A78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90A00FB"/>
    <w:multiLevelType w:val="hybridMultilevel"/>
    <w:tmpl w:val="6DA832D0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4182B"/>
    <w:multiLevelType w:val="hybridMultilevel"/>
    <w:tmpl w:val="C0CE5578"/>
    <w:lvl w:ilvl="0" w:tplc="DE2854EE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2642D84"/>
    <w:multiLevelType w:val="hybridMultilevel"/>
    <w:tmpl w:val="BDFCE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8"/>
  </w:num>
  <w:num w:numId="6">
    <w:abstractNumId w:val="14"/>
  </w:num>
  <w:num w:numId="7">
    <w:abstractNumId w:val="11"/>
  </w:num>
  <w:num w:numId="8">
    <w:abstractNumId w:val="17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6"/>
  </w:num>
  <w:num w:numId="14">
    <w:abstractNumId w:val="13"/>
  </w:num>
  <w:num w:numId="15">
    <w:abstractNumId w:val="9"/>
  </w:num>
  <w:num w:numId="16">
    <w:abstractNumId w:val="6"/>
  </w:num>
  <w:num w:numId="17">
    <w:abstractNumId w:val="21"/>
  </w:num>
  <w:num w:numId="18">
    <w:abstractNumId w:val="0"/>
  </w:num>
  <w:num w:numId="19">
    <w:abstractNumId w:val="4"/>
  </w:num>
  <w:num w:numId="20">
    <w:abstractNumId w:val="15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4"/>
    <w:rsid w:val="00001719"/>
    <w:rsid w:val="0000408E"/>
    <w:rsid w:val="00006EE5"/>
    <w:rsid w:val="00013856"/>
    <w:rsid w:val="00014900"/>
    <w:rsid w:val="000333F8"/>
    <w:rsid w:val="00041825"/>
    <w:rsid w:val="00043816"/>
    <w:rsid w:val="00050DEC"/>
    <w:rsid w:val="0005310E"/>
    <w:rsid w:val="00055BF7"/>
    <w:rsid w:val="00057EA6"/>
    <w:rsid w:val="00064177"/>
    <w:rsid w:val="00067DF2"/>
    <w:rsid w:val="0007007A"/>
    <w:rsid w:val="00070ECB"/>
    <w:rsid w:val="000722CF"/>
    <w:rsid w:val="000727FB"/>
    <w:rsid w:val="00080C75"/>
    <w:rsid w:val="00085E0A"/>
    <w:rsid w:val="0009402B"/>
    <w:rsid w:val="00094962"/>
    <w:rsid w:val="000963A4"/>
    <w:rsid w:val="00097ED0"/>
    <w:rsid w:val="000A61F4"/>
    <w:rsid w:val="000B5604"/>
    <w:rsid w:val="000C2A53"/>
    <w:rsid w:val="000C60E5"/>
    <w:rsid w:val="000C78F6"/>
    <w:rsid w:val="000E0C40"/>
    <w:rsid w:val="000E6809"/>
    <w:rsid w:val="000F01D0"/>
    <w:rsid w:val="000F3A29"/>
    <w:rsid w:val="00103321"/>
    <w:rsid w:val="0011300E"/>
    <w:rsid w:val="00114294"/>
    <w:rsid w:val="00121FA3"/>
    <w:rsid w:val="00122F9B"/>
    <w:rsid w:val="0013433D"/>
    <w:rsid w:val="00134EF7"/>
    <w:rsid w:val="001374E2"/>
    <w:rsid w:val="001401CD"/>
    <w:rsid w:val="001450DD"/>
    <w:rsid w:val="001716A5"/>
    <w:rsid w:val="00173D63"/>
    <w:rsid w:val="00174664"/>
    <w:rsid w:val="00180849"/>
    <w:rsid w:val="0018505E"/>
    <w:rsid w:val="001863D8"/>
    <w:rsid w:val="0019100E"/>
    <w:rsid w:val="001937E8"/>
    <w:rsid w:val="00193D5D"/>
    <w:rsid w:val="00196F6F"/>
    <w:rsid w:val="001A4A63"/>
    <w:rsid w:val="001A7505"/>
    <w:rsid w:val="001B164C"/>
    <w:rsid w:val="001B320F"/>
    <w:rsid w:val="001B46EB"/>
    <w:rsid w:val="001B6783"/>
    <w:rsid w:val="001D09AA"/>
    <w:rsid w:val="001D2FFF"/>
    <w:rsid w:val="001E01E9"/>
    <w:rsid w:val="001E1ED9"/>
    <w:rsid w:val="001E2E70"/>
    <w:rsid w:val="001E4398"/>
    <w:rsid w:val="001E55F5"/>
    <w:rsid w:val="001F3888"/>
    <w:rsid w:val="001F77F5"/>
    <w:rsid w:val="002022C9"/>
    <w:rsid w:val="00204D2E"/>
    <w:rsid w:val="00210FCE"/>
    <w:rsid w:val="0021648C"/>
    <w:rsid w:val="00216630"/>
    <w:rsid w:val="00217E8C"/>
    <w:rsid w:val="00220B16"/>
    <w:rsid w:val="00223F0B"/>
    <w:rsid w:val="00226344"/>
    <w:rsid w:val="002318F7"/>
    <w:rsid w:val="002336F5"/>
    <w:rsid w:val="00237EE9"/>
    <w:rsid w:val="002402CA"/>
    <w:rsid w:val="00244937"/>
    <w:rsid w:val="002559B6"/>
    <w:rsid w:val="002669DB"/>
    <w:rsid w:val="0027016B"/>
    <w:rsid w:val="0027554F"/>
    <w:rsid w:val="00275F82"/>
    <w:rsid w:val="00280158"/>
    <w:rsid w:val="002810D2"/>
    <w:rsid w:val="00293DD3"/>
    <w:rsid w:val="0029557D"/>
    <w:rsid w:val="002967ED"/>
    <w:rsid w:val="002A4D96"/>
    <w:rsid w:val="002B5383"/>
    <w:rsid w:val="002B6331"/>
    <w:rsid w:val="002C49FB"/>
    <w:rsid w:val="002C4AB6"/>
    <w:rsid w:val="002C5E4D"/>
    <w:rsid w:val="002E4CAE"/>
    <w:rsid w:val="002E6617"/>
    <w:rsid w:val="002E72BE"/>
    <w:rsid w:val="002F2436"/>
    <w:rsid w:val="00302CED"/>
    <w:rsid w:val="003068FE"/>
    <w:rsid w:val="00307D8D"/>
    <w:rsid w:val="00311DE0"/>
    <w:rsid w:val="0031401A"/>
    <w:rsid w:val="00327B16"/>
    <w:rsid w:val="0033001B"/>
    <w:rsid w:val="003422EE"/>
    <w:rsid w:val="0034484E"/>
    <w:rsid w:val="003502D8"/>
    <w:rsid w:val="003521F2"/>
    <w:rsid w:val="00352F94"/>
    <w:rsid w:val="0035586D"/>
    <w:rsid w:val="00361C1D"/>
    <w:rsid w:val="0036675C"/>
    <w:rsid w:val="00384246"/>
    <w:rsid w:val="00385A85"/>
    <w:rsid w:val="003862A2"/>
    <w:rsid w:val="003875C9"/>
    <w:rsid w:val="00387851"/>
    <w:rsid w:val="00397C2E"/>
    <w:rsid w:val="003A512A"/>
    <w:rsid w:val="003A73EC"/>
    <w:rsid w:val="003B0140"/>
    <w:rsid w:val="003B1261"/>
    <w:rsid w:val="003B1689"/>
    <w:rsid w:val="003B3607"/>
    <w:rsid w:val="003B521B"/>
    <w:rsid w:val="003B6BE5"/>
    <w:rsid w:val="003E1C3F"/>
    <w:rsid w:val="003E2D46"/>
    <w:rsid w:val="003E5C88"/>
    <w:rsid w:val="003E762C"/>
    <w:rsid w:val="003E76D5"/>
    <w:rsid w:val="003F1311"/>
    <w:rsid w:val="003F7178"/>
    <w:rsid w:val="0040118C"/>
    <w:rsid w:val="00402714"/>
    <w:rsid w:val="0041037B"/>
    <w:rsid w:val="00412299"/>
    <w:rsid w:val="004203C8"/>
    <w:rsid w:val="00426AD3"/>
    <w:rsid w:val="00435BBF"/>
    <w:rsid w:val="0044043B"/>
    <w:rsid w:val="0044137E"/>
    <w:rsid w:val="00444CF6"/>
    <w:rsid w:val="0045487A"/>
    <w:rsid w:val="00460CE4"/>
    <w:rsid w:val="00470941"/>
    <w:rsid w:val="00470B34"/>
    <w:rsid w:val="004723CC"/>
    <w:rsid w:val="00475203"/>
    <w:rsid w:val="00477EC8"/>
    <w:rsid w:val="004814D3"/>
    <w:rsid w:val="00486D0F"/>
    <w:rsid w:val="004962E9"/>
    <w:rsid w:val="004B3A62"/>
    <w:rsid w:val="004B5D22"/>
    <w:rsid w:val="004C2E07"/>
    <w:rsid w:val="004C415E"/>
    <w:rsid w:val="004C79CF"/>
    <w:rsid w:val="004D53B0"/>
    <w:rsid w:val="004E2439"/>
    <w:rsid w:val="004E73DE"/>
    <w:rsid w:val="004F13AD"/>
    <w:rsid w:val="00500F7E"/>
    <w:rsid w:val="005069DD"/>
    <w:rsid w:val="0050790B"/>
    <w:rsid w:val="00510606"/>
    <w:rsid w:val="00517BAB"/>
    <w:rsid w:val="00520E4B"/>
    <w:rsid w:val="005217C2"/>
    <w:rsid w:val="00521E31"/>
    <w:rsid w:val="00526A46"/>
    <w:rsid w:val="005275C5"/>
    <w:rsid w:val="005434F2"/>
    <w:rsid w:val="00544155"/>
    <w:rsid w:val="00545CA9"/>
    <w:rsid w:val="00556B77"/>
    <w:rsid w:val="005611CF"/>
    <w:rsid w:val="00562025"/>
    <w:rsid w:val="00562A28"/>
    <w:rsid w:val="0057140D"/>
    <w:rsid w:val="00572ABB"/>
    <w:rsid w:val="00573757"/>
    <w:rsid w:val="00576AAC"/>
    <w:rsid w:val="00587AC0"/>
    <w:rsid w:val="00590076"/>
    <w:rsid w:val="0059189F"/>
    <w:rsid w:val="005936EB"/>
    <w:rsid w:val="0059493D"/>
    <w:rsid w:val="00594A09"/>
    <w:rsid w:val="00595731"/>
    <w:rsid w:val="005A0D81"/>
    <w:rsid w:val="005A1447"/>
    <w:rsid w:val="005A3F6D"/>
    <w:rsid w:val="005A439E"/>
    <w:rsid w:val="005A5564"/>
    <w:rsid w:val="005B0DE3"/>
    <w:rsid w:val="005B1176"/>
    <w:rsid w:val="005C1909"/>
    <w:rsid w:val="005C28D2"/>
    <w:rsid w:val="005C5F55"/>
    <w:rsid w:val="005C69F5"/>
    <w:rsid w:val="005D4D21"/>
    <w:rsid w:val="005D6498"/>
    <w:rsid w:val="005E510D"/>
    <w:rsid w:val="005E69ED"/>
    <w:rsid w:val="005F1BFB"/>
    <w:rsid w:val="005F20F5"/>
    <w:rsid w:val="005F318D"/>
    <w:rsid w:val="005F3B04"/>
    <w:rsid w:val="006009A9"/>
    <w:rsid w:val="00600EE7"/>
    <w:rsid w:val="00611386"/>
    <w:rsid w:val="006116FC"/>
    <w:rsid w:val="00613D78"/>
    <w:rsid w:val="00615149"/>
    <w:rsid w:val="00625779"/>
    <w:rsid w:val="006304A3"/>
    <w:rsid w:val="00631849"/>
    <w:rsid w:val="006321DF"/>
    <w:rsid w:val="006347BF"/>
    <w:rsid w:val="0063588F"/>
    <w:rsid w:val="0063709B"/>
    <w:rsid w:val="0064312A"/>
    <w:rsid w:val="00644BFE"/>
    <w:rsid w:val="0064515A"/>
    <w:rsid w:val="006506D0"/>
    <w:rsid w:val="00654ABE"/>
    <w:rsid w:val="006667CD"/>
    <w:rsid w:val="00670A6C"/>
    <w:rsid w:val="0067196C"/>
    <w:rsid w:val="0068058A"/>
    <w:rsid w:val="006A7083"/>
    <w:rsid w:val="006B6C49"/>
    <w:rsid w:val="006B7442"/>
    <w:rsid w:val="006C39F4"/>
    <w:rsid w:val="006C63D0"/>
    <w:rsid w:val="006C6A9E"/>
    <w:rsid w:val="006D434D"/>
    <w:rsid w:val="006D72B4"/>
    <w:rsid w:val="006E05D0"/>
    <w:rsid w:val="006E22D7"/>
    <w:rsid w:val="006E57FD"/>
    <w:rsid w:val="006F0B57"/>
    <w:rsid w:val="006F2E86"/>
    <w:rsid w:val="006F685D"/>
    <w:rsid w:val="007020DF"/>
    <w:rsid w:val="00715EC7"/>
    <w:rsid w:val="00717A29"/>
    <w:rsid w:val="00732CA7"/>
    <w:rsid w:val="00736078"/>
    <w:rsid w:val="007415DF"/>
    <w:rsid w:val="00746AC5"/>
    <w:rsid w:val="00751919"/>
    <w:rsid w:val="00752F23"/>
    <w:rsid w:val="00754820"/>
    <w:rsid w:val="00755326"/>
    <w:rsid w:val="0075766E"/>
    <w:rsid w:val="00761DA8"/>
    <w:rsid w:val="007657BC"/>
    <w:rsid w:val="00765DDF"/>
    <w:rsid w:val="007717E1"/>
    <w:rsid w:val="00771FBF"/>
    <w:rsid w:val="0077752D"/>
    <w:rsid w:val="00781C70"/>
    <w:rsid w:val="0078789F"/>
    <w:rsid w:val="007A4495"/>
    <w:rsid w:val="007A6831"/>
    <w:rsid w:val="007A7CBC"/>
    <w:rsid w:val="007B001A"/>
    <w:rsid w:val="007B1862"/>
    <w:rsid w:val="007B1E12"/>
    <w:rsid w:val="007B7FDC"/>
    <w:rsid w:val="007C1211"/>
    <w:rsid w:val="007C5619"/>
    <w:rsid w:val="007D0328"/>
    <w:rsid w:val="007D2456"/>
    <w:rsid w:val="007D2646"/>
    <w:rsid w:val="007D5010"/>
    <w:rsid w:val="007E001B"/>
    <w:rsid w:val="007F56FA"/>
    <w:rsid w:val="007F7A27"/>
    <w:rsid w:val="008020B2"/>
    <w:rsid w:val="00803057"/>
    <w:rsid w:val="00803758"/>
    <w:rsid w:val="00810EB5"/>
    <w:rsid w:val="008138F6"/>
    <w:rsid w:val="00815804"/>
    <w:rsid w:val="00840FDD"/>
    <w:rsid w:val="008460E2"/>
    <w:rsid w:val="00847803"/>
    <w:rsid w:val="00851EB6"/>
    <w:rsid w:val="00872470"/>
    <w:rsid w:val="00872A50"/>
    <w:rsid w:val="00872F84"/>
    <w:rsid w:val="0087392D"/>
    <w:rsid w:val="00874922"/>
    <w:rsid w:val="00874F62"/>
    <w:rsid w:val="0087616F"/>
    <w:rsid w:val="008775BD"/>
    <w:rsid w:val="00881D39"/>
    <w:rsid w:val="008828E5"/>
    <w:rsid w:val="00887811"/>
    <w:rsid w:val="00891F2C"/>
    <w:rsid w:val="00893A1C"/>
    <w:rsid w:val="0089499E"/>
    <w:rsid w:val="008979B3"/>
    <w:rsid w:val="008A0377"/>
    <w:rsid w:val="008A4638"/>
    <w:rsid w:val="008A4A99"/>
    <w:rsid w:val="008B1F33"/>
    <w:rsid w:val="008B2BA2"/>
    <w:rsid w:val="008C6FD2"/>
    <w:rsid w:val="008D4503"/>
    <w:rsid w:val="008E00D2"/>
    <w:rsid w:val="008E1A8D"/>
    <w:rsid w:val="008E35F5"/>
    <w:rsid w:val="008F0DA0"/>
    <w:rsid w:val="008F70A7"/>
    <w:rsid w:val="009034AE"/>
    <w:rsid w:val="0090501C"/>
    <w:rsid w:val="00905C3D"/>
    <w:rsid w:val="009173A3"/>
    <w:rsid w:val="009210EE"/>
    <w:rsid w:val="00921BC1"/>
    <w:rsid w:val="00930AA5"/>
    <w:rsid w:val="00930E88"/>
    <w:rsid w:val="0093246C"/>
    <w:rsid w:val="009337F4"/>
    <w:rsid w:val="00940EBB"/>
    <w:rsid w:val="0094484D"/>
    <w:rsid w:val="00951DFC"/>
    <w:rsid w:val="00952B25"/>
    <w:rsid w:val="009550A3"/>
    <w:rsid w:val="00956B27"/>
    <w:rsid w:val="00962C86"/>
    <w:rsid w:val="00963CCB"/>
    <w:rsid w:val="009649AB"/>
    <w:rsid w:val="009708AA"/>
    <w:rsid w:val="00973DA7"/>
    <w:rsid w:val="00973FEE"/>
    <w:rsid w:val="009750C0"/>
    <w:rsid w:val="00980A4C"/>
    <w:rsid w:val="0098661A"/>
    <w:rsid w:val="0098698E"/>
    <w:rsid w:val="009910B0"/>
    <w:rsid w:val="00992572"/>
    <w:rsid w:val="0099344A"/>
    <w:rsid w:val="009A0F26"/>
    <w:rsid w:val="009A120F"/>
    <w:rsid w:val="009A1F76"/>
    <w:rsid w:val="009A5BAC"/>
    <w:rsid w:val="009A6FA2"/>
    <w:rsid w:val="009A7DFB"/>
    <w:rsid w:val="009A7EA0"/>
    <w:rsid w:val="009B06DE"/>
    <w:rsid w:val="009B1143"/>
    <w:rsid w:val="009B5161"/>
    <w:rsid w:val="009B59BE"/>
    <w:rsid w:val="009C0AE3"/>
    <w:rsid w:val="009C5A8C"/>
    <w:rsid w:val="009C5BC4"/>
    <w:rsid w:val="009D0E58"/>
    <w:rsid w:val="009D2BB4"/>
    <w:rsid w:val="009D3373"/>
    <w:rsid w:val="009F07EA"/>
    <w:rsid w:val="009F0F9A"/>
    <w:rsid w:val="009F13DA"/>
    <w:rsid w:val="009F5C6B"/>
    <w:rsid w:val="00A03D8A"/>
    <w:rsid w:val="00A11030"/>
    <w:rsid w:val="00A12056"/>
    <w:rsid w:val="00A21CC6"/>
    <w:rsid w:val="00A21FDB"/>
    <w:rsid w:val="00A22554"/>
    <w:rsid w:val="00A33CB0"/>
    <w:rsid w:val="00A41FFC"/>
    <w:rsid w:val="00A430D8"/>
    <w:rsid w:val="00A53C6D"/>
    <w:rsid w:val="00A54899"/>
    <w:rsid w:val="00A6224D"/>
    <w:rsid w:val="00A63F0F"/>
    <w:rsid w:val="00A64BFA"/>
    <w:rsid w:val="00A650B7"/>
    <w:rsid w:val="00A7099C"/>
    <w:rsid w:val="00A742F4"/>
    <w:rsid w:val="00A74C7F"/>
    <w:rsid w:val="00A761C1"/>
    <w:rsid w:val="00A82619"/>
    <w:rsid w:val="00A85FB2"/>
    <w:rsid w:val="00A87BD5"/>
    <w:rsid w:val="00A92DD8"/>
    <w:rsid w:val="00A93DAF"/>
    <w:rsid w:val="00AA0B86"/>
    <w:rsid w:val="00AA42BA"/>
    <w:rsid w:val="00AB3681"/>
    <w:rsid w:val="00AB4347"/>
    <w:rsid w:val="00AC12AF"/>
    <w:rsid w:val="00AC4589"/>
    <w:rsid w:val="00AC7F6B"/>
    <w:rsid w:val="00AD061D"/>
    <w:rsid w:val="00AD65E5"/>
    <w:rsid w:val="00AE107B"/>
    <w:rsid w:val="00AF2641"/>
    <w:rsid w:val="00AF3477"/>
    <w:rsid w:val="00AF5236"/>
    <w:rsid w:val="00AF7A29"/>
    <w:rsid w:val="00B0067F"/>
    <w:rsid w:val="00B07BAC"/>
    <w:rsid w:val="00B12C1B"/>
    <w:rsid w:val="00B234E6"/>
    <w:rsid w:val="00B25E58"/>
    <w:rsid w:val="00B27A92"/>
    <w:rsid w:val="00B34638"/>
    <w:rsid w:val="00B36467"/>
    <w:rsid w:val="00B402D0"/>
    <w:rsid w:val="00B4184F"/>
    <w:rsid w:val="00B43B87"/>
    <w:rsid w:val="00B451E7"/>
    <w:rsid w:val="00B50896"/>
    <w:rsid w:val="00B54F96"/>
    <w:rsid w:val="00B62A24"/>
    <w:rsid w:val="00B636C3"/>
    <w:rsid w:val="00B649A4"/>
    <w:rsid w:val="00B74D68"/>
    <w:rsid w:val="00B93BC7"/>
    <w:rsid w:val="00B94467"/>
    <w:rsid w:val="00B94CD3"/>
    <w:rsid w:val="00B965CB"/>
    <w:rsid w:val="00BB4F9A"/>
    <w:rsid w:val="00BB66BF"/>
    <w:rsid w:val="00BB7549"/>
    <w:rsid w:val="00BC0751"/>
    <w:rsid w:val="00BC226E"/>
    <w:rsid w:val="00BE0E65"/>
    <w:rsid w:val="00BE3995"/>
    <w:rsid w:val="00BF31F4"/>
    <w:rsid w:val="00BF5115"/>
    <w:rsid w:val="00BF7D7C"/>
    <w:rsid w:val="00C05B9B"/>
    <w:rsid w:val="00C16CDF"/>
    <w:rsid w:val="00C20E2A"/>
    <w:rsid w:val="00C24CA8"/>
    <w:rsid w:val="00C27A82"/>
    <w:rsid w:val="00C32BDF"/>
    <w:rsid w:val="00C32D48"/>
    <w:rsid w:val="00C351B5"/>
    <w:rsid w:val="00C358BB"/>
    <w:rsid w:val="00C3635F"/>
    <w:rsid w:val="00C43BCF"/>
    <w:rsid w:val="00C44B35"/>
    <w:rsid w:val="00C51A78"/>
    <w:rsid w:val="00C52C02"/>
    <w:rsid w:val="00C61803"/>
    <w:rsid w:val="00C676BA"/>
    <w:rsid w:val="00C74F95"/>
    <w:rsid w:val="00C81C4F"/>
    <w:rsid w:val="00C84D68"/>
    <w:rsid w:val="00C85355"/>
    <w:rsid w:val="00C90A54"/>
    <w:rsid w:val="00C93C7E"/>
    <w:rsid w:val="00C941FC"/>
    <w:rsid w:val="00CC244F"/>
    <w:rsid w:val="00CC2BC4"/>
    <w:rsid w:val="00CC37B6"/>
    <w:rsid w:val="00CD3D36"/>
    <w:rsid w:val="00CD3E47"/>
    <w:rsid w:val="00CD5787"/>
    <w:rsid w:val="00CE0608"/>
    <w:rsid w:val="00CE70E1"/>
    <w:rsid w:val="00CF7877"/>
    <w:rsid w:val="00D0062C"/>
    <w:rsid w:val="00D01987"/>
    <w:rsid w:val="00D0690D"/>
    <w:rsid w:val="00D147BF"/>
    <w:rsid w:val="00D17D13"/>
    <w:rsid w:val="00D20261"/>
    <w:rsid w:val="00D21F73"/>
    <w:rsid w:val="00D2215A"/>
    <w:rsid w:val="00D30019"/>
    <w:rsid w:val="00D31D9B"/>
    <w:rsid w:val="00D32A14"/>
    <w:rsid w:val="00D33F49"/>
    <w:rsid w:val="00D443FD"/>
    <w:rsid w:val="00D45874"/>
    <w:rsid w:val="00D546E6"/>
    <w:rsid w:val="00D57D6F"/>
    <w:rsid w:val="00D62087"/>
    <w:rsid w:val="00D63C0B"/>
    <w:rsid w:val="00D651AA"/>
    <w:rsid w:val="00D775A0"/>
    <w:rsid w:val="00D77996"/>
    <w:rsid w:val="00D844A1"/>
    <w:rsid w:val="00D852A0"/>
    <w:rsid w:val="00D8799D"/>
    <w:rsid w:val="00D90DA9"/>
    <w:rsid w:val="00D93535"/>
    <w:rsid w:val="00DB14FE"/>
    <w:rsid w:val="00DB1E19"/>
    <w:rsid w:val="00DB2282"/>
    <w:rsid w:val="00DE122F"/>
    <w:rsid w:val="00DE7041"/>
    <w:rsid w:val="00DF320B"/>
    <w:rsid w:val="00DF462E"/>
    <w:rsid w:val="00DF4EC9"/>
    <w:rsid w:val="00DF63BE"/>
    <w:rsid w:val="00E02C0A"/>
    <w:rsid w:val="00E03C28"/>
    <w:rsid w:val="00E060F5"/>
    <w:rsid w:val="00E071DB"/>
    <w:rsid w:val="00E1200F"/>
    <w:rsid w:val="00E13B5D"/>
    <w:rsid w:val="00E148D0"/>
    <w:rsid w:val="00E335C7"/>
    <w:rsid w:val="00E340A3"/>
    <w:rsid w:val="00E34D94"/>
    <w:rsid w:val="00E37CFF"/>
    <w:rsid w:val="00E4326D"/>
    <w:rsid w:val="00E45DA5"/>
    <w:rsid w:val="00E54AEA"/>
    <w:rsid w:val="00E56B78"/>
    <w:rsid w:val="00E63FB3"/>
    <w:rsid w:val="00E67A3F"/>
    <w:rsid w:val="00E760D3"/>
    <w:rsid w:val="00E7620A"/>
    <w:rsid w:val="00E84360"/>
    <w:rsid w:val="00E8487F"/>
    <w:rsid w:val="00E946F0"/>
    <w:rsid w:val="00EA0B27"/>
    <w:rsid w:val="00EA1846"/>
    <w:rsid w:val="00EB41FC"/>
    <w:rsid w:val="00EB6D57"/>
    <w:rsid w:val="00EC0876"/>
    <w:rsid w:val="00EC2995"/>
    <w:rsid w:val="00EC6C87"/>
    <w:rsid w:val="00EC76F0"/>
    <w:rsid w:val="00ED0FA1"/>
    <w:rsid w:val="00ED4AF7"/>
    <w:rsid w:val="00ED5B37"/>
    <w:rsid w:val="00ED6BD3"/>
    <w:rsid w:val="00EE0847"/>
    <w:rsid w:val="00EE3376"/>
    <w:rsid w:val="00EF05F4"/>
    <w:rsid w:val="00EF22C6"/>
    <w:rsid w:val="00EF5E40"/>
    <w:rsid w:val="00F00B15"/>
    <w:rsid w:val="00F05709"/>
    <w:rsid w:val="00F0639F"/>
    <w:rsid w:val="00F07894"/>
    <w:rsid w:val="00F1065F"/>
    <w:rsid w:val="00F15907"/>
    <w:rsid w:val="00F22124"/>
    <w:rsid w:val="00F22D12"/>
    <w:rsid w:val="00F3240A"/>
    <w:rsid w:val="00F32C63"/>
    <w:rsid w:val="00F37D85"/>
    <w:rsid w:val="00F40101"/>
    <w:rsid w:val="00F40D3D"/>
    <w:rsid w:val="00F41971"/>
    <w:rsid w:val="00F439A6"/>
    <w:rsid w:val="00F46AA6"/>
    <w:rsid w:val="00F511F7"/>
    <w:rsid w:val="00F51A4E"/>
    <w:rsid w:val="00F543B4"/>
    <w:rsid w:val="00F617A6"/>
    <w:rsid w:val="00F65651"/>
    <w:rsid w:val="00F6778D"/>
    <w:rsid w:val="00F67F8A"/>
    <w:rsid w:val="00F70B26"/>
    <w:rsid w:val="00F73F08"/>
    <w:rsid w:val="00F741ED"/>
    <w:rsid w:val="00F77156"/>
    <w:rsid w:val="00F877FD"/>
    <w:rsid w:val="00F96436"/>
    <w:rsid w:val="00F97124"/>
    <w:rsid w:val="00FA2B44"/>
    <w:rsid w:val="00FA39F9"/>
    <w:rsid w:val="00FA616D"/>
    <w:rsid w:val="00FB2790"/>
    <w:rsid w:val="00FB32DE"/>
    <w:rsid w:val="00FB4749"/>
    <w:rsid w:val="00FB4A5A"/>
    <w:rsid w:val="00FB4AA1"/>
    <w:rsid w:val="00FC707B"/>
    <w:rsid w:val="00FD3A35"/>
    <w:rsid w:val="00FD6701"/>
    <w:rsid w:val="00FE1B32"/>
    <w:rsid w:val="00FE1D7B"/>
    <w:rsid w:val="00FF17F0"/>
    <w:rsid w:val="00FF4374"/>
    <w:rsid w:val="00FF65D3"/>
    <w:rsid w:val="00FF7784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3997879"/>
  <w15:docId w15:val="{71C47CD5-047D-46AB-A90B-4B1B685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apple-converted-space">
    <w:name w:val="apple-converted-space"/>
    <w:basedOn w:val="DefaultParagraphFont"/>
    <w:rsid w:val="009750C0"/>
  </w:style>
  <w:style w:type="character" w:customStyle="1" w:styleId="hps">
    <w:name w:val="hps"/>
    <w:basedOn w:val="DefaultParagraphFont"/>
    <w:rsid w:val="00B636C3"/>
  </w:style>
  <w:style w:type="character" w:customStyle="1" w:styleId="shorttext">
    <w:name w:val="short_text"/>
    <w:basedOn w:val="DefaultParagraphFont"/>
    <w:rsid w:val="00FD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1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murtuzov@bsec-organiz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1B27-C9E8-40C2-9A70-9CCB6271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akinshina</dc:creator>
  <cp:lastModifiedBy>Mario Apostolov</cp:lastModifiedBy>
  <cp:revision>5</cp:revision>
  <cp:lastPrinted>2017-09-15T18:44:00Z</cp:lastPrinted>
  <dcterms:created xsi:type="dcterms:W3CDTF">2017-09-15T18:38:00Z</dcterms:created>
  <dcterms:modified xsi:type="dcterms:W3CDTF">2017-09-15T18:51:00Z</dcterms:modified>
</cp:coreProperties>
</file>