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E4" w:rsidRPr="00953049" w:rsidRDefault="00112EE4" w:rsidP="00112EE4">
      <w:pPr>
        <w:jc w:val="center"/>
        <w:rPr>
          <w:b/>
          <w:sz w:val="28"/>
          <w:szCs w:val="28"/>
        </w:rPr>
      </w:pPr>
      <w:r>
        <w:rPr>
          <w:b/>
          <w:sz w:val="28"/>
          <w:szCs w:val="28"/>
        </w:rPr>
        <w:t>PERU</w:t>
      </w:r>
    </w:p>
    <w:p w:rsidR="00112EE4" w:rsidRDefault="00D3093B" w:rsidP="00D3093B">
      <w:pPr>
        <w:spacing w:after="0" w:line="240" w:lineRule="auto"/>
        <w:rPr>
          <w:rFonts w:ascii="Calibri" w:eastAsia="Times New Roman" w:hAnsi="Calibri" w:cs="Times New Roman"/>
          <w:lang w:eastAsia="en-GB"/>
        </w:rPr>
      </w:pPr>
      <w:bookmarkStart w:id="0" w:name="_MailEndCompose"/>
      <w:r w:rsidRPr="00D3093B">
        <w:rPr>
          <w:rFonts w:ascii="Calibri" w:eastAsia="Times New Roman" w:hAnsi="Calibri" w:cs="Times New Roman"/>
          <w:lang w:eastAsia="en-GB"/>
        </w:rPr>
        <w:t xml:space="preserve">The following information was provided and approved by the authorities of the countries listed. The United Nations Economic Commission for Europe (UNECE) is not responsible or liable for the content provided and declines all legal implications related thereto. </w:t>
      </w:r>
      <w:bookmarkEnd w:id="0"/>
    </w:p>
    <w:p w:rsidR="00C86FFB" w:rsidRPr="00C86FFB" w:rsidRDefault="00C86FFB" w:rsidP="00C86FFB">
      <w:bookmarkStart w:id="1" w:name="_GoBack"/>
      <w:bookmarkEnd w:id="1"/>
      <w:r w:rsidRPr="008A0D52">
        <w:rPr>
          <w:b/>
        </w:rPr>
        <w:t>Date:</w:t>
      </w:r>
      <w:r>
        <w:t xml:space="preserve"> January 2018</w:t>
      </w:r>
    </w:p>
    <w:tbl>
      <w:tblPr>
        <w:tblStyle w:val="TableGrid"/>
        <w:tblW w:w="0" w:type="auto"/>
        <w:tblLayout w:type="fixed"/>
        <w:tblLook w:val="04A0" w:firstRow="1" w:lastRow="0" w:firstColumn="1" w:lastColumn="0" w:noHBand="0" w:noVBand="1"/>
      </w:tblPr>
      <w:tblGrid>
        <w:gridCol w:w="2235"/>
        <w:gridCol w:w="5670"/>
        <w:gridCol w:w="5528"/>
      </w:tblGrid>
      <w:tr w:rsidR="00112EE4" w:rsidRPr="00D515CE" w:rsidTr="00B21809">
        <w:tc>
          <w:tcPr>
            <w:tcW w:w="2235" w:type="dxa"/>
          </w:tcPr>
          <w:p w:rsidR="00112EE4" w:rsidRPr="00D515CE" w:rsidRDefault="00112EE4" w:rsidP="00251F72">
            <w:pPr>
              <w:jc w:val="center"/>
              <w:rPr>
                <w:b/>
              </w:rPr>
            </w:pPr>
            <w:r w:rsidRPr="00D515CE">
              <w:rPr>
                <w:b/>
              </w:rPr>
              <w:t>COMPETENT AUTHORITY</w:t>
            </w:r>
          </w:p>
        </w:tc>
        <w:tc>
          <w:tcPr>
            <w:tcW w:w="5670" w:type="dxa"/>
          </w:tcPr>
          <w:p w:rsidR="00112EE4" w:rsidRPr="00D515CE" w:rsidRDefault="00112EE4" w:rsidP="00251F72">
            <w:pPr>
              <w:jc w:val="center"/>
              <w:rPr>
                <w:b/>
              </w:rPr>
            </w:pPr>
            <w:r w:rsidRPr="00D515CE">
              <w:rPr>
                <w:b/>
              </w:rPr>
              <w:t>EXPLANATIONS</w:t>
            </w:r>
          </w:p>
        </w:tc>
        <w:tc>
          <w:tcPr>
            <w:tcW w:w="5528" w:type="dxa"/>
          </w:tcPr>
          <w:p w:rsidR="00112EE4" w:rsidRDefault="00112EE4" w:rsidP="00251F72">
            <w:pPr>
              <w:jc w:val="center"/>
              <w:rPr>
                <w:b/>
              </w:rPr>
            </w:pPr>
            <w:r w:rsidRPr="00383EF1">
              <w:rPr>
                <w:b/>
              </w:rPr>
              <w:t>NORMATIVE DOCUMENT</w:t>
            </w:r>
            <w:r w:rsidRPr="00D515CE">
              <w:rPr>
                <w:b/>
              </w:rPr>
              <w:t xml:space="preserve"> </w:t>
            </w:r>
          </w:p>
          <w:p w:rsidR="00112EE4" w:rsidRPr="00D515CE" w:rsidRDefault="00112EE4" w:rsidP="00BB1579">
            <w:pPr>
              <w:jc w:val="center"/>
              <w:rPr>
                <w:b/>
              </w:rPr>
            </w:pPr>
            <w:r w:rsidRPr="00D515CE">
              <w:rPr>
                <w:b/>
              </w:rPr>
              <w:t>PHOTO EXAMPLE (IF AVAILABLE)</w:t>
            </w:r>
          </w:p>
        </w:tc>
      </w:tr>
      <w:tr w:rsidR="00112EE4" w:rsidRPr="00D5277E" w:rsidTr="00B21809">
        <w:tc>
          <w:tcPr>
            <w:tcW w:w="2235" w:type="dxa"/>
          </w:tcPr>
          <w:p w:rsidR="00112EE4" w:rsidRPr="00A66F4E" w:rsidRDefault="00112EE4" w:rsidP="009A08EC">
            <w:pPr>
              <w:autoSpaceDE w:val="0"/>
              <w:autoSpaceDN w:val="0"/>
              <w:adjustRightInd w:val="0"/>
              <w:jc w:val="both"/>
              <w:rPr>
                <w:b/>
                <w:sz w:val="20"/>
                <w:szCs w:val="20"/>
                <w:lang w:val="es-PE"/>
              </w:rPr>
            </w:pPr>
            <w:r w:rsidRPr="00A66F4E">
              <w:rPr>
                <w:b/>
                <w:sz w:val="20"/>
                <w:szCs w:val="20"/>
                <w:lang w:val="es-PE"/>
              </w:rPr>
              <w:t>Servicio Nacional de Sanidad Agraria (SENASA)</w:t>
            </w:r>
          </w:p>
          <w:p w:rsidR="00112EE4" w:rsidRPr="00A66F4E" w:rsidRDefault="00112EE4" w:rsidP="009A08EC">
            <w:pPr>
              <w:autoSpaceDE w:val="0"/>
              <w:autoSpaceDN w:val="0"/>
              <w:adjustRightInd w:val="0"/>
              <w:jc w:val="both"/>
              <w:rPr>
                <w:b/>
                <w:sz w:val="20"/>
                <w:szCs w:val="20"/>
              </w:rPr>
            </w:pPr>
            <w:r w:rsidRPr="00A66F4E">
              <w:rPr>
                <w:b/>
                <w:sz w:val="20"/>
                <w:szCs w:val="20"/>
              </w:rPr>
              <w:t xml:space="preserve">Directorate General for Agricultural Inputs and </w:t>
            </w:r>
            <w:proofErr w:type="spellStart"/>
            <w:r w:rsidRPr="00A66F4E">
              <w:rPr>
                <w:b/>
                <w:sz w:val="20"/>
                <w:szCs w:val="20"/>
              </w:rPr>
              <w:t>AgriFood</w:t>
            </w:r>
            <w:proofErr w:type="spellEnd"/>
            <w:r w:rsidRPr="00A66F4E">
              <w:rPr>
                <w:b/>
                <w:sz w:val="20"/>
                <w:szCs w:val="20"/>
              </w:rPr>
              <w:t xml:space="preserve"> Safety </w:t>
            </w:r>
          </w:p>
          <w:p w:rsidR="00112EE4" w:rsidRPr="00A66F4E" w:rsidRDefault="00112EE4" w:rsidP="009A08EC">
            <w:pPr>
              <w:autoSpaceDE w:val="0"/>
              <w:autoSpaceDN w:val="0"/>
              <w:adjustRightInd w:val="0"/>
              <w:jc w:val="both"/>
              <w:rPr>
                <w:b/>
                <w:sz w:val="20"/>
                <w:szCs w:val="20"/>
              </w:rPr>
            </w:pPr>
          </w:p>
          <w:p w:rsidR="00112EE4" w:rsidRPr="00A66F4E" w:rsidRDefault="00112EE4" w:rsidP="009A08EC">
            <w:pPr>
              <w:autoSpaceDE w:val="0"/>
              <w:autoSpaceDN w:val="0"/>
              <w:adjustRightInd w:val="0"/>
              <w:jc w:val="both"/>
              <w:rPr>
                <w:rFonts w:cs="Calibri Light"/>
                <w:sz w:val="20"/>
                <w:szCs w:val="20"/>
                <w:lang w:val="es-PE"/>
              </w:rPr>
            </w:pPr>
            <w:proofErr w:type="spellStart"/>
            <w:r w:rsidRPr="00A66F4E">
              <w:rPr>
                <w:rFonts w:cs="Calibri Light"/>
                <w:b/>
                <w:sz w:val="20"/>
                <w:szCs w:val="20"/>
                <w:lang w:val="es-PE"/>
              </w:rPr>
              <w:t>Addresse</w:t>
            </w:r>
            <w:proofErr w:type="spellEnd"/>
            <w:r w:rsidRPr="00A66F4E">
              <w:rPr>
                <w:rFonts w:cs="Calibri Light"/>
                <w:b/>
                <w:sz w:val="20"/>
                <w:szCs w:val="20"/>
                <w:lang w:val="es-PE"/>
              </w:rPr>
              <w:t xml:space="preserve">: </w:t>
            </w:r>
            <w:r w:rsidRPr="00A66F4E">
              <w:rPr>
                <w:rFonts w:cs="Calibri Light"/>
                <w:sz w:val="20"/>
                <w:szCs w:val="20"/>
                <w:lang w:val="es-PE"/>
              </w:rPr>
              <w:t xml:space="preserve">Av. La Molina No. 1915, La Molina Lima 12, </w:t>
            </w:r>
            <w:proofErr w:type="spellStart"/>
            <w:r w:rsidRPr="00A66F4E">
              <w:rPr>
                <w:rFonts w:cs="Calibri Light"/>
                <w:sz w:val="20"/>
                <w:szCs w:val="20"/>
                <w:lang w:val="es-PE"/>
              </w:rPr>
              <w:t>Peru</w:t>
            </w:r>
            <w:proofErr w:type="spellEnd"/>
          </w:p>
          <w:p w:rsidR="00B21809" w:rsidRPr="00A66F4E" w:rsidRDefault="00B21809" w:rsidP="009A08EC">
            <w:pPr>
              <w:autoSpaceDE w:val="0"/>
              <w:autoSpaceDN w:val="0"/>
              <w:adjustRightInd w:val="0"/>
              <w:jc w:val="both"/>
              <w:rPr>
                <w:rFonts w:cs="Calibri Light"/>
                <w:b/>
                <w:sz w:val="20"/>
                <w:szCs w:val="20"/>
                <w:lang w:val="es-ES"/>
              </w:rPr>
            </w:pPr>
          </w:p>
          <w:p w:rsidR="00112EE4" w:rsidRPr="00A66F4E" w:rsidRDefault="00112EE4" w:rsidP="009A08EC">
            <w:pPr>
              <w:autoSpaceDE w:val="0"/>
              <w:autoSpaceDN w:val="0"/>
              <w:adjustRightInd w:val="0"/>
              <w:jc w:val="both"/>
              <w:rPr>
                <w:rFonts w:cs="Calibri Light"/>
                <w:b/>
                <w:sz w:val="20"/>
                <w:szCs w:val="20"/>
              </w:rPr>
            </w:pPr>
            <w:r w:rsidRPr="00A66F4E">
              <w:rPr>
                <w:rFonts w:cs="Calibri Light"/>
                <w:b/>
                <w:sz w:val="20"/>
                <w:szCs w:val="20"/>
              </w:rPr>
              <w:t xml:space="preserve">Web: </w:t>
            </w:r>
            <w:r w:rsidRPr="00A66F4E">
              <w:rPr>
                <w:rFonts w:cs="Calibri Light"/>
                <w:color w:val="0000CC"/>
                <w:sz w:val="20"/>
                <w:szCs w:val="20"/>
                <w:u w:val="single"/>
              </w:rPr>
              <w:t>www.senasa.gob.pe</w:t>
            </w:r>
          </w:p>
          <w:p w:rsidR="00B21809" w:rsidRPr="00A66F4E" w:rsidRDefault="00B21809" w:rsidP="009A08EC">
            <w:pPr>
              <w:jc w:val="both"/>
              <w:rPr>
                <w:b/>
                <w:sz w:val="20"/>
                <w:szCs w:val="20"/>
              </w:rPr>
            </w:pPr>
          </w:p>
          <w:p w:rsidR="00112EE4" w:rsidRPr="00A66F4E" w:rsidRDefault="00112EE4" w:rsidP="009A08EC">
            <w:pPr>
              <w:jc w:val="both"/>
              <w:rPr>
                <w:sz w:val="20"/>
                <w:szCs w:val="20"/>
              </w:rPr>
            </w:pPr>
            <w:r w:rsidRPr="00A66F4E">
              <w:rPr>
                <w:b/>
                <w:sz w:val="20"/>
                <w:szCs w:val="20"/>
              </w:rPr>
              <w:t>Email:</w:t>
            </w:r>
            <w:r w:rsidRPr="00A66F4E">
              <w:rPr>
                <w:sz w:val="20"/>
                <w:szCs w:val="20"/>
              </w:rPr>
              <w:t xml:space="preserve">  </w:t>
            </w:r>
            <w:r w:rsidRPr="00A66F4E">
              <w:rPr>
                <w:rFonts w:cs="Calibri Light"/>
                <w:color w:val="0000CC"/>
                <w:sz w:val="20"/>
                <w:szCs w:val="20"/>
                <w:u w:val="single"/>
              </w:rPr>
              <w:t xml:space="preserve">pmolina@senasa.gob.pe </w:t>
            </w:r>
            <w:hyperlink r:id="rId8" w:history="1"/>
          </w:p>
          <w:p w:rsidR="00B21809" w:rsidRPr="00A66F4E" w:rsidRDefault="00B21809" w:rsidP="009A08EC">
            <w:pPr>
              <w:jc w:val="both"/>
              <w:rPr>
                <w:b/>
                <w:sz w:val="20"/>
                <w:szCs w:val="20"/>
              </w:rPr>
            </w:pPr>
          </w:p>
          <w:p w:rsidR="00112EE4" w:rsidRPr="00A66F4E" w:rsidRDefault="00112EE4" w:rsidP="009A08EC">
            <w:pPr>
              <w:jc w:val="both"/>
              <w:rPr>
                <w:sz w:val="20"/>
                <w:szCs w:val="20"/>
              </w:rPr>
            </w:pPr>
            <w:r w:rsidRPr="00A66F4E">
              <w:rPr>
                <w:b/>
                <w:sz w:val="20"/>
                <w:szCs w:val="20"/>
              </w:rPr>
              <w:t>Phone:</w:t>
            </w:r>
            <w:r w:rsidRPr="00A66F4E">
              <w:rPr>
                <w:sz w:val="20"/>
                <w:szCs w:val="20"/>
              </w:rPr>
              <w:t xml:space="preserve"> (511) 313 3300 – Annex: 1405</w:t>
            </w:r>
          </w:p>
          <w:p w:rsidR="00112EE4" w:rsidRPr="00A66F4E" w:rsidRDefault="00112EE4" w:rsidP="00C12FEE">
            <w:pPr>
              <w:rPr>
                <w:sz w:val="20"/>
                <w:szCs w:val="20"/>
              </w:rPr>
            </w:pPr>
            <w:r w:rsidRPr="00A66F4E">
              <w:rPr>
                <w:rFonts w:eastAsia="Times New Roman" w:cs="Arial"/>
                <w:color w:val="222222"/>
                <w:sz w:val="20"/>
                <w:szCs w:val="20"/>
                <w:lang w:eastAsia="en-GB"/>
              </w:rPr>
              <w:br/>
            </w:r>
          </w:p>
        </w:tc>
        <w:tc>
          <w:tcPr>
            <w:tcW w:w="5670" w:type="dxa"/>
          </w:tcPr>
          <w:p w:rsidR="00112EE4" w:rsidRPr="00A66F4E" w:rsidRDefault="00112EE4" w:rsidP="00BE30B6">
            <w:pPr>
              <w:jc w:val="both"/>
              <w:rPr>
                <w:rFonts w:cs="Calibri Light"/>
                <w:sz w:val="20"/>
                <w:szCs w:val="20"/>
                <w:lang w:val="es-PE"/>
              </w:rPr>
            </w:pPr>
            <w:r w:rsidRPr="00A66F4E">
              <w:rPr>
                <w:rFonts w:cs="Calibri Light"/>
                <w:sz w:val="20"/>
                <w:szCs w:val="20"/>
                <w:lang w:val="es-PE"/>
              </w:rPr>
              <w:t xml:space="preserve">El Servicio Nacional de Sanidad Agraria – SENASA; en </w:t>
            </w:r>
            <w:proofErr w:type="spellStart"/>
            <w:r w:rsidRPr="00A66F4E">
              <w:rPr>
                <w:rFonts w:cs="Calibri Light"/>
                <w:sz w:val="20"/>
                <w:szCs w:val="20"/>
                <w:lang w:val="es-PE"/>
              </w:rPr>
              <w:t>atencion</w:t>
            </w:r>
            <w:proofErr w:type="spellEnd"/>
            <w:r w:rsidRPr="00A66F4E">
              <w:rPr>
                <w:rFonts w:cs="Calibri Light"/>
                <w:sz w:val="20"/>
                <w:szCs w:val="20"/>
                <w:lang w:val="es-PE"/>
              </w:rPr>
              <w:t xml:space="preserve"> al Reglamento de Inocuidad Agroalimentaria aprobado con Decreto Supremo N°004-2011-AG, modificado y complementado con Decreto Supremo N°006-2016-MINAGRI (adjuntos al presente); tiene competencia sobre alimentos agropecuarios primarios y piensos, los cuales para su comercialización, ya sea para el consumo nacional, exportación e importación, deben contar con </w:t>
            </w:r>
            <w:proofErr w:type="spellStart"/>
            <w:r w:rsidRPr="00A66F4E">
              <w:rPr>
                <w:rFonts w:cs="Calibri Light"/>
                <w:sz w:val="20"/>
                <w:szCs w:val="20"/>
                <w:lang w:val="es-PE"/>
              </w:rPr>
              <w:t>Autorizacion</w:t>
            </w:r>
            <w:proofErr w:type="spellEnd"/>
            <w:r w:rsidRPr="00A66F4E">
              <w:rPr>
                <w:rFonts w:cs="Calibri Light"/>
                <w:sz w:val="20"/>
                <w:szCs w:val="20"/>
                <w:lang w:val="es-PE"/>
              </w:rPr>
              <w:t xml:space="preserve"> Sanitaria otorgada por el SENASA, asimismo deben cumplir con la implementación de un Plan Interno de Rastreabilidad y estar Identificados para facilitar su rastreabilidad mediante etiquetado o información pertinente, según lo indicado en los Artículos 16°, 26° y 27° del D. S. N°004-2011-AG (revisar).  </w:t>
            </w:r>
          </w:p>
          <w:p w:rsidR="00112EE4" w:rsidRPr="00A66F4E" w:rsidRDefault="00112EE4" w:rsidP="00D515CE">
            <w:pPr>
              <w:pStyle w:val="ListParagraph"/>
              <w:ind w:left="175"/>
              <w:rPr>
                <w:rFonts w:cs="Calibri Light"/>
                <w:sz w:val="20"/>
                <w:szCs w:val="20"/>
                <w:lang w:val="es-PE"/>
              </w:rPr>
            </w:pPr>
            <w:r w:rsidRPr="00A66F4E">
              <w:rPr>
                <w:rFonts w:cs="Calibri Light"/>
                <w:sz w:val="20"/>
                <w:szCs w:val="20"/>
                <w:lang w:val="es-PE"/>
              </w:rPr>
              <w:t xml:space="preserve"> </w:t>
            </w:r>
          </w:p>
          <w:p w:rsidR="00112EE4" w:rsidRPr="00A66F4E" w:rsidRDefault="00112EE4" w:rsidP="00A40674">
            <w:pPr>
              <w:rPr>
                <w:rFonts w:cs="Calibri Light"/>
                <w:sz w:val="20"/>
                <w:szCs w:val="20"/>
                <w:lang w:val="es-ES"/>
              </w:rPr>
            </w:pPr>
            <w:r w:rsidRPr="00A66F4E">
              <w:rPr>
                <w:rFonts w:cs="Calibri Light"/>
                <w:sz w:val="20"/>
                <w:szCs w:val="20"/>
                <w:lang w:val="es-ES"/>
              </w:rPr>
              <w:t>Ejemplo</w:t>
            </w:r>
            <w:r w:rsidRPr="00A66F4E">
              <w:rPr>
                <w:sz w:val="20"/>
                <w:szCs w:val="20"/>
                <w:lang w:val="es-PE"/>
              </w:rPr>
              <w:t xml:space="preserve"> </w:t>
            </w:r>
            <w:r w:rsidRPr="00A66F4E">
              <w:rPr>
                <w:rFonts w:cs="Calibri Light"/>
                <w:sz w:val="20"/>
                <w:szCs w:val="20"/>
                <w:lang w:val="es-ES"/>
              </w:rPr>
              <w:t>del código de</w:t>
            </w:r>
            <w:r w:rsidRPr="00A66F4E">
              <w:rPr>
                <w:sz w:val="20"/>
                <w:szCs w:val="20"/>
                <w:lang w:val="es-PE"/>
              </w:rPr>
              <w:t xml:space="preserve"> </w:t>
            </w:r>
            <w:r w:rsidRPr="00A66F4E">
              <w:rPr>
                <w:rFonts w:cs="Calibri Light"/>
                <w:sz w:val="20"/>
                <w:szCs w:val="20"/>
                <w:lang w:val="es-ES"/>
              </w:rPr>
              <w:t>trazabilidad y etiquetado:</w:t>
            </w:r>
          </w:p>
          <w:p w:rsidR="00112EE4" w:rsidRPr="00A66F4E" w:rsidRDefault="00112EE4" w:rsidP="00A40674">
            <w:pPr>
              <w:rPr>
                <w:rFonts w:cs="Calibri Light"/>
                <w:sz w:val="20"/>
                <w:szCs w:val="20"/>
                <w:lang w:val="es-ES"/>
              </w:rPr>
            </w:pPr>
          </w:p>
          <w:p w:rsidR="00112EE4" w:rsidRPr="00A66F4E" w:rsidRDefault="00112EE4" w:rsidP="00A40674">
            <w:pPr>
              <w:rPr>
                <w:rFonts w:cs="Calibri Light"/>
                <w:sz w:val="20"/>
                <w:szCs w:val="20"/>
                <w:lang w:val="es-ES"/>
              </w:rPr>
            </w:pPr>
            <w:r w:rsidRPr="00A66F4E">
              <w:rPr>
                <w:rFonts w:cs="Calibri Light"/>
                <w:sz w:val="20"/>
                <w:szCs w:val="20"/>
                <w:lang w:val="es-ES"/>
              </w:rPr>
              <w:t xml:space="preserve">Uva - </w:t>
            </w:r>
            <w:proofErr w:type="spellStart"/>
            <w:r w:rsidRPr="00A66F4E">
              <w:rPr>
                <w:rFonts w:cs="Calibri Light"/>
                <w:b/>
                <w:i/>
                <w:sz w:val="20"/>
                <w:szCs w:val="20"/>
                <w:lang w:val="es-ES"/>
              </w:rPr>
              <w:t>vitis</w:t>
            </w:r>
            <w:proofErr w:type="spellEnd"/>
            <w:r w:rsidRPr="00A66F4E">
              <w:rPr>
                <w:rFonts w:cs="Calibri Light"/>
                <w:b/>
                <w:i/>
                <w:sz w:val="20"/>
                <w:szCs w:val="20"/>
                <w:lang w:val="es-ES"/>
              </w:rPr>
              <w:t xml:space="preserve"> vinífera</w:t>
            </w:r>
          </w:p>
          <w:p w:rsidR="00112EE4" w:rsidRPr="00A66F4E" w:rsidRDefault="00112EE4" w:rsidP="00BE30B6">
            <w:pPr>
              <w:jc w:val="both"/>
              <w:rPr>
                <w:rFonts w:cs="Calibri Light"/>
                <w:sz w:val="20"/>
                <w:szCs w:val="20"/>
                <w:lang w:val="es-ES"/>
              </w:rPr>
            </w:pPr>
          </w:p>
          <w:p w:rsidR="00112EE4" w:rsidRPr="00A66F4E" w:rsidRDefault="00112EE4" w:rsidP="00BE30B6">
            <w:pPr>
              <w:jc w:val="both"/>
              <w:rPr>
                <w:rFonts w:cs="Calibri Light"/>
                <w:sz w:val="20"/>
                <w:szCs w:val="20"/>
                <w:lang w:val="es-ES"/>
              </w:rPr>
            </w:pPr>
            <w:proofErr w:type="spellStart"/>
            <w:r w:rsidRPr="00A66F4E">
              <w:rPr>
                <w:rFonts w:cs="Calibri Light"/>
                <w:sz w:val="20"/>
                <w:szCs w:val="20"/>
                <w:lang w:val="es-ES"/>
              </w:rPr>
              <w:t>Autorizacion</w:t>
            </w:r>
            <w:proofErr w:type="spellEnd"/>
            <w:r w:rsidRPr="00A66F4E">
              <w:rPr>
                <w:rFonts w:cs="Calibri Light"/>
                <w:sz w:val="20"/>
                <w:szCs w:val="20"/>
                <w:lang w:val="es-ES"/>
              </w:rPr>
              <w:t xml:space="preserve"> Sanitaria N° 000046-MINAGRI-SENASA-PIRA o </w:t>
            </w:r>
            <w:proofErr w:type="spellStart"/>
            <w:r w:rsidRPr="00A66F4E">
              <w:rPr>
                <w:rFonts w:cs="Calibri Light"/>
                <w:sz w:val="20"/>
                <w:szCs w:val="20"/>
                <w:lang w:val="es-ES"/>
              </w:rPr>
              <w:t>Autorizacion</w:t>
            </w:r>
            <w:proofErr w:type="spellEnd"/>
            <w:r w:rsidRPr="00A66F4E">
              <w:rPr>
                <w:rFonts w:cs="Calibri Light"/>
                <w:sz w:val="20"/>
                <w:szCs w:val="20"/>
                <w:lang w:val="es-ES"/>
              </w:rPr>
              <w:t xml:space="preserve"> Sanitaria N° 000046-AG-SENASA-PIRA (número o código otorgado por el SENASA, publicado en el portal) </w:t>
            </w:r>
            <w:hyperlink r:id="rId9" w:history="1">
              <w:r w:rsidRPr="00A66F4E">
                <w:rPr>
                  <w:rFonts w:cs="Calibri Light"/>
                  <w:color w:val="0000CC"/>
                  <w:sz w:val="20"/>
                  <w:szCs w:val="20"/>
                  <w:u w:val="single"/>
                  <w:lang w:val="es-ES"/>
                </w:rPr>
                <w:t>http://200.60.104.77/SIGIAWeb/ino_establecimientosproceso.html</w:t>
              </w:r>
            </w:hyperlink>
          </w:p>
          <w:p w:rsidR="00112EE4" w:rsidRPr="00A66F4E" w:rsidRDefault="00112EE4" w:rsidP="00BE30B6">
            <w:pPr>
              <w:jc w:val="both"/>
              <w:rPr>
                <w:rFonts w:cs="Calibri Light"/>
                <w:sz w:val="20"/>
                <w:szCs w:val="20"/>
                <w:lang w:val="es-ES"/>
              </w:rPr>
            </w:pPr>
            <w:r w:rsidRPr="00A66F4E">
              <w:rPr>
                <w:rFonts w:cs="Calibri Light"/>
                <w:sz w:val="20"/>
                <w:szCs w:val="20"/>
                <w:lang w:val="es-ES"/>
              </w:rPr>
              <w:t>Código de rastreabilidad o Lote de producción: V118012-402A3T5SU3 (implementado por el procesador de alimentos, resultado del plan interno de rastreabilidad)</w:t>
            </w:r>
          </w:p>
          <w:p w:rsidR="00112EE4" w:rsidRPr="00A66F4E" w:rsidRDefault="00112EE4" w:rsidP="00CC3AAE">
            <w:pPr>
              <w:pStyle w:val="ListParagraph"/>
              <w:ind w:left="175"/>
              <w:rPr>
                <w:rFonts w:cs="Calibri Light"/>
                <w:sz w:val="20"/>
                <w:szCs w:val="20"/>
                <w:lang w:val="es-ES"/>
              </w:rPr>
            </w:pPr>
          </w:p>
          <w:p w:rsidR="00112EE4" w:rsidRPr="00A66F4E" w:rsidRDefault="00112EE4" w:rsidP="00CC3AAE">
            <w:pPr>
              <w:pStyle w:val="ListParagraph"/>
              <w:ind w:left="175"/>
              <w:rPr>
                <w:rFonts w:cs="Calibri Light"/>
                <w:sz w:val="20"/>
                <w:szCs w:val="20"/>
                <w:lang w:val="es-ES"/>
              </w:rPr>
            </w:pPr>
          </w:p>
          <w:p w:rsidR="00112EE4" w:rsidRPr="00A66F4E" w:rsidRDefault="00112EE4" w:rsidP="002A518D">
            <w:pPr>
              <w:rPr>
                <w:rFonts w:cs="Calibri Light"/>
                <w:b/>
                <w:sz w:val="20"/>
                <w:szCs w:val="20"/>
              </w:rPr>
            </w:pPr>
            <w:r w:rsidRPr="00A66F4E">
              <w:rPr>
                <w:rFonts w:cs="Calibri Light"/>
                <w:b/>
                <w:sz w:val="20"/>
                <w:szCs w:val="20"/>
              </w:rPr>
              <w:t>Unofficial Translation:</w:t>
            </w:r>
          </w:p>
          <w:p w:rsidR="00112EE4" w:rsidRPr="00A66F4E" w:rsidRDefault="00112EE4" w:rsidP="002A518D">
            <w:pPr>
              <w:rPr>
                <w:rFonts w:cs="Calibri Light"/>
                <w:sz w:val="20"/>
                <w:szCs w:val="20"/>
              </w:rPr>
            </w:pPr>
          </w:p>
          <w:p w:rsidR="00112EE4" w:rsidRPr="00A66F4E" w:rsidRDefault="00112EE4" w:rsidP="009A08EC">
            <w:pPr>
              <w:jc w:val="both"/>
              <w:rPr>
                <w:rFonts w:cs="Calibri Light"/>
                <w:sz w:val="20"/>
                <w:szCs w:val="20"/>
              </w:rPr>
            </w:pPr>
            <w:r w:rsidRPr="00A66F4E">
              <w:rPr>
                <w:rFonts w:cs="Calibri Light"/>
                <w:sz w:val="20"/>
                <w:szCs w:val="20"/>
              </w:rPr>
              <w:t xml:space="preserve">SENASA in compliance with the </w:t>
            </w:r>
            <w:proofErr w:type="spellStart"/>
            <w:r w:rsidRPr="00A66F4E">
              <w:rPr>
                <w:rFonts w:cs="Calibri Light"/>
                <w:sz w:val="20"/>
                <w:szCs w:val="20"/>
              </w:rPr>
              <w:t>Agrifood</w:t>
            </w:r>
            <w:proofErr w:type="spellEnd"/>
            <w:r w:rsidRPr="00A66F4E">
              <w:rPr>
                <w:rFonts w:cs="Calibri Light"/>
                <w:sz w:val="20"/>
                <w:szCs w:val="20"/>
              </w:rPr>
              <w:t xml:space="preserve"> Safety Regulation </w:t>
            </w:r>
            <w:r w:rsidRPr="00A66F4E">
              <w:rPr>
                <w:rFonts w:cs="Calibri Light"/>
                <w:sz w:val="20"/>
                <w:szCs w:val="20"/>
              </w:rPr>
              <w:lastRenderedPageBreak/>
              <w:t>approved with Supreme Decree No. 004-2011-AG, modified and supplemented with Supreme Decree No. 006-2016-MINAGRI; has competence over primary agricultural food and feed for marketing, whether for domestic consumption, export and import, which must have a Sanitary Authorization granted by SENASA. They must also comply with the implementation of an Internal Traceability Plan and be identified to facilitate traceability through labelling or pertinent information, as indicated in Articles 16, 26 and 27 of DS No. 004-2011-AG (revise).</w:t>
            </w:r>
            <w:r w:rsidRPr="00A66F4E">
              <w:rPr>
                <w:rFonts w:cs="Calibri Light"/>
                <w:sz w:val="20"/>
                <w:szCs w:val="20"/>
              </w:rPr>
              <w:br/>
              <w:t> </w:t>
            </w:r>
          </w:p>
          <w:p w:rsidR="00112EE4" w:rsidRPr="00A66F4E" w:rsidRDefault="00112EE4" w:rsidP="009A08EC">
            <w:pPr>
              <w:jc w:val="both"/>
              <w:rPr>
                <w:rFonts w:cs="Calibri Light"/>
                <w:sz w:val="20"/>
                <w:szCs w:val="20"/>
              </w:rPr>
            </w:pPr>
            <w:r w:rsidRPr="00A66F4E">
              <w:rPr>
                <w:rFonts w:cs="Calibri Light"/>
                <w:sz w:val="20"/>
                <w:szCs w:val="20"/>
              </w:rPr>
              <w:t xml:space="preserve">Example of the traceability and </w:t>
            </w:r>
            <w:proofErr w:type="spellStart"/>
            <w:r w:rsidRPr="00A66F4E">
              <w:rPr>
                <w:rFonts w:cs="Calibri Light"/>
                <w:sz w:val="20"/>
                <w:szCs w:val="20"/>
              </w:rPr>
              <w:t>labeling</w:t>
            </w:r>
            <w:proofErr w:type="spellEnd"/>
            <w:r w:rsidRPr="00A66F4E">
              <w:rPr>
                <w:rFonts w:cs="Calibri Light"/>
                <w:sz w:val="20"/>
                <w:szCs w:val="20"/>
              </w:rPr>
              <w:t xml:space="preserve"> code:</w:t>
            </w:r>
          </w:p>
          <w:p w:rsidR="00112EE4" w:rsidRPr="00A66F4E" w:rsidRDefault="00112EE4" w:rsidP="009A08EC">
            <w:pPr>
              <w:jc w:val="both"/>
              <w:rPr>
                <w:rFonts w:cs="Calibri Light"/>
                <w:sz w:val="20"/>
                <w:szCs w:val="20"/>
              </w:rPr>
            </w:pPr>
          </w:p>
          <w:p w:rsidR="00112EE4" w:rsidRPr="00A66F4E" w:rsidRDefault="00112EE4" w:rsidP="009A08EC">
            <w:pPr>
              <w:jc w:val="both"/>
              <w:rPr>
                <w:rFonts w:cs="Calibri Light"/>
                <w:b/>
                <w:i/>
                <w:sz w:val="20"/>
                <w:szCs w:val="20"/>
              </w:rPr>
            </w:pPr>
            <w:r w:rsidRPr="00A66F4E">
              <w:rPr>
                <w:rFonts w:cs="Calibri Light"/>
                <w:sz w:val="20"/>
                <w:szCs w:val="20"/>
              </w:rPr>
              <w:t xml:space="preserve">Grape - </w:t>
            </w:r>
            <w:proofErr w:type="spellStart"/>
            <w:r w:rsidRPr="00A66F4E">
              <w:rPr>
                <w:rFonts w:cs="Calibri Light"/>
                <w:b/>
                <w:i/>
                <w:sz w:val="20"/>
                <w:szCs w:val="20"/>
              </w:rPr>
              <w:t>vitis</w:t>
            </w:r>
            <w:proofErr w:type="spellEnd"/>
            <w:r w:rsidRPr="00A66F4E">
              <w:rPr>
                <w:rFonts w:cs="Calibri Light"/>
                <w:b/>
                <w:i/>
                <w:sz w:val="20"/>
                <w:szCs w:val="20"/>
              </w:rPr>
              <w:t xml:space="preserve"> </w:t>
            </w:r>
            <w:proofErr w:type="spellStart"/>
            <w:r w:rsidRPr="00A66F4E">
              <w:rPr>
                <w:rFonts w:cs="Calibri Light"/>
                <w:b/>
                <w:i/>
                <w:sz w:val="20"/>
                <w:szCs w:val="20"/>
              </w:rPr>
              <w:t>vinifera</w:t>
            </w:r>
            <w:proofErr w:type="spellEnd"/>
          </w:p>
          <w:p w:rsidR="00112EE4" w:rsidRPr="00A66F4E" w:rsidRDefault="00112EE4" w:rsidP="009A08EC">
            <w:pPr>
              <w:jc w:val="both"/>
              <w:rPr>
                <w:rFonts w:cs="Calibri Light"/>
                <w:b/>
                <w:i/>
                <w:sz w:val="20"/>
                <w:szCs w:val="20"/>
              </w:rPr>
            </w:pPr>
            <w:r w:rsidRPr="00A66F4E">
              <w:rPr>
                <w:rFonts w:cs="Calibri Light"/>
                <w:sz w:val="20"/>
                <w:szCs w:val="20"/>
              </w:rPr>
              <w:br/>
              <w:t xml:space="preserve">Sanitary Authorization N ° 000046-MINAGRI-SENASA-PIRA or Sanitary Authorization N ° 000046-AG-SENASA-PIRA (number or code granted by SENASA, published in the portal </w:t>
            </w:r>
            <w:r w:rsidRPr="00A66F4E">
              <w:rPr>
                <w:rFonts w:cs="Calibri Light"/>
                <w:color w:val="0000CC"/>
                <w:sz w:val="20"/>
                <w:szCs w:val="20"/>
                <w:u w:val="single"/>
              </w:rPr>
              <w:t>http://200.60.104.77/SIGIAWeb/ino_establecimientosproceso.html</w:t>
            </w:r>
            <w:r w:rsidRPr="00A66F4E">
              <w:rPr>
                <w:rFonts w:cs="Calibri Light"/>
                <w:sz w:val="20"/>
                <w:szCs w:val="20"/>
              </w:rPr>
              <w:br/>
              <w:t>Traceability Code or Production Lot: V118012-402A3T5SU3 (implemented by the food processor, as a result of the internal traceability plan)</w:t>
            </w:r>
          </w:p>
        </w:tc>
        <w:tc>
          <w:tcPr>
            <w:tcW w:w="5528" w:type="dxa"/>
          </w:tcPr>
          <w:p w:rsidR="00112EE4" w:rsidRPr="00A66F4E" w:rsidRDefault="00C86FFB" w:rsidP="009A08EC">
            <w:pPr>
              <w:jc w:val="both"/>
              <w:rPr>
                <w:color w:val="0000CC"/>
                <w:sz w:val="20"/>
                <w:szCs w:val="20"/>
                <w:lang w:val="es-PE"/>
              </w:rPr>
            </w:pPr>
            <w:hyperlink r:id="rId10" w:tgtFrame="_blank" w:history="1">
              <w:r w:rsidR="00112EE4" w:rsidRPr="00A66F4E">
                <w:rPr>
                  <w:rStyle w:val="Hyperlink"/>
                  <w:rFonts w:cs="Helvetica"/>
                  <w:color w:val="0000CC"/>
                  <w:sz w:val="20"/>
                  <w:szCs w:val="20"/>
                  <w:shd w:val="clear" w:color="auto" w:fill="FFFFFF"/>
                  <w:lang w:val="es-PE"/>
                </w:rPr>
                <w:t>Decreto Supremo Nº 006-2016-MINAGRI que modifica y complementa normas del Reglamento de Inocuidad Agroalimentaria, aprobado por Decreto Supremo N° 004-2011-AG</w:t>
              </w:r>
            </w:hyperlink>
            <w:r w:rsidR="00112EE4" w:rsidRPr="00A66F4E">
              <w:rPr>
                <w:color w:val="0000CC"/>
                <w:sz w:val="20"/>
                <w:szCs w:val="20"/>
                <w:lang w:val="es-PE"/>
              </w:rPr>
              <w:t xml:space="preserve"> (</w:t>
            </w:r>
            <w:r w:rsidR="00112EE4" w:rsidRPr="00A66F4E">
              <w:rPr>
                <w:rFonts w:cs="Helvetica"/>
                <w:color w:val="0000CC"/>
                <w:sz w:val="20"/>
                <w:szCs w:val="20"/>
                <w:shd w:val="clear" w:color="auto" w:fill="FFFFFF"/>
                <w:lang w:val="es-PE"/>
              </w:rPr>
              <w:t>04/06/2016)</w:t>
            </w:r>
          </w:p>
          <w:p w:rsidR="00112EE4" w:rsidRPr="00A66F4E" w:rsidRDefault="00112EE4" w:rsidP="009A08EC">
            <w:pPr>
              <w:jc w:val="both"/>
              <w:rPr>
                <w:color w:val="0000CC"/>
                <w:sz w:val="20"/>
                <w:szCs w:val="20"/>
                <w:lang w:val="es-PE"/>
              </w:rPr>
            </w:pPr>
          </w:p>
          <w:p w:rsidR="00112EE4" w:rsidRPr="00A66F4E" w:rsidRDefault="00C86FFB" w:rsidP="009A08EC">
            <w:pPr>
              <w:pStyle w:val="NormalWeb"/>
              <w:shd w:val="clear" w:color="auto" w:fill="FFFFFF"/>
              <w:spacing w:before="0" w:beforeAutospacing="0" w:after="0" w:afterAutospacing="0"/>
              <w:jc w:val="both"/>
              <w:rPr>
                <w:rFonts w:asciiTheme="minorHAnsi" w:hAnsiTheme="minorHAnsi" w:cs="Helvetica"/>
                <w:color w:val="0000CC"/>
                <w:sz w:val="20"/>
                <w:szCs w:val="20"/>
              </w:rPr>
            </w:pPr>
            <w:hyperlink r:id="rId11" w:history="1">
              <w:r w:rsidR="00112EE4" w:rsidRPr="00A66F4E">
                <w:rPr>
                  <w:rStyle w:val="Hyperlink"/>
                  <w:rFonts w:asciiTheme="minorHAnsi" w:hAnsiTheme="minorHAnsi" w:cs="Helvetica"/>
                  <w:color w:val="0000CC"/>
                  <w:sz w:val="20"/>
                  <w:szCs w:val="20"/>
                </w:rPr>
                <w:t>Decreto Supremo Nº 004-2011-AG.- Aprueban Reglamento de Inocuidad Agroalimentaria</w:t>
              </w:r>
            </w:hyperlink>
            <w:r w:rsidR="00112EE4" w:rsidRPr="00A66F4E">
              <w:rPr>
                <w:rFonts w:asciiTheme="minorHAnsi" w:hAnsiTheme="minorHAnsi" w:cs="Helvetica"/>
                <w:color w:val="0000CC"/>
                <w:sz w:val="20"/>
                <w:szCs w:val="20"/>
              </w:rPr>
              <w:t xml:space="preserve"> </w:t>
            </w:r>
            <w:r w:rsidR="00112EE4" w:rsidRPr="00A66F4E">
              <w:rPr>
                <w:rFonts w:asciiTheme="minorHAnsi" w:hAnsiTheme="minorHAnsi" w:cs="Helvetica"/>
                <w:color w:val="0000CC"/>
                <w:sz w:val="20"/>
                <w:szCs w:val="20"/>
                <w:shd w:val="clear" w:color="auto" w:fill="FFFFFF"/>
              </w:rPr>
              <w:t>(27/04/2011)</w:t>
            </w:r>
            <w:r w:rsidR="00112EE4" w:rsidRPr="00A66F4E">
              <w:rPr>
                <w:rFonts w:asciiTheme="minorHAnsi" w:hAnsiTheme="minorHAnsi" w:cs="Helvetica"/>
                <w:color w:val="0000CC"/>
                <w:sz w:val="20"/>
                <w:szCs w:val="20"/>
              </w:rPr>
              <w:t>*</w:t>
            </w:r>
          </w:p>
          <w:p w:rsidR="00112EE4" w:rsidRPr="00A66F4E" w:rsidRDefault="00112EE4" w:rsidP="009A08EC">
            <w:pPr>
              <w:pStyle w:val="NormalWeb"/>
              <w:shd w:val="clear" w:color="auto" w:fill="FFFFFF"/>
              <w:spacing w:before="0" w:beforeAutospacing="0" w:after="0" w:afterAutospacing="0"/>
              <w:jc w:val="both"/>
              <w:rPr>
                <w:rFonts w:asciiTheme="minorHAnsi" w:hAnsiTheme="minorHAnsi" w:cs="Arial"/>
                <w:color w:val="0000CC"/>
                <w:sz w:val="20"/>
                <w:szCs w:val="20"/>
              </w:rPr>
            </w:pPr>
          </w:p>
          <w:p w:rsidR="00112EE4" w:rsidRPr="00A66F4E" w:rsidRDefault="00112EE4" w:rsidP="009A08EC">
            <w:pPr>
              <w:pStyle w:val="NormalWeb"/>
              <w:shd w:val="clear" w:color="auto" w:fill="FFFFFF"/>
              <w:spacing w:before="0" w:beforeAutospacing="0" w:after="0" w:afterAutospacing="0"/>
              <w:jc w:val="both"/>
              <w:rPr>
                <w:rFonts w:asciiTheme="minorHAnsi" w:hAnsiTheme="minorHAnsi" w:cs="Helvetica"/>
                <w:color w:val="0000CC"/>
                <w:sz w:val="20"/>
                <w:szCs w:val="20"/>
              </w:rPr>
            </w:pPr>
            <w:r w:rsidRPr="00A66F4E">
              <w:rPr>
                <w:rFonts w:asciiTheme="minorHAnsi" w:hAnsiTheme="minorHAnsi" w:cs="Helvetica"/>
                <w:color w:val="0000CC"/>
                <w:sz w:val="20"/>
                <w:szCs w:val="20"/>
              </w:rPr>
              <w:t>*</w:t>
            </w:r>
            <w:hyperlink r:id="rId12" w:history="1">
              <w:r w:rsidRPr="00A66F4E">
                <w:rPr>
                  <w:rStyle w:val="Hyperlink"/>
                  <w:rFonts w:asciiTheme="minorHAnsi" w:hAnsiTheme="minorHAnsi" w:cs="Helvetica"/>
                  <w:color w:val="0000CC"/>
                  <w:sz w:val="20"/>
                  <w:szCs w:val="20"/>
                </w:rPr>
                <w:t>Fe de erratas Decreto Supremo Nº 004-2011-AG</w:t>
              </w:r>
            </w:hyperlink>
            <w:r w:rsidRPr="00A66F4E">
              <w:rPr>
                <w:rFonts w:asciiTheme="minorHAnsi" w:hAnsiTheme="minorHAnsi" w:cs="Helvetica"/>
                <w:color w:val="0000CC"/>
                <w:sz w:val="20"/>
                <w:szCs w:val="20"/>
              </w:rPr>
              <w:t> (6/05/2011)</w:t>
            </w:r>
          </w:p>
          <w:p w:rsidR="00112EE4" w:rsidRPr="00A66F4E" w:rsidRDefault="00112EE4" w:rsidP="009A08EC">
            <w:pPr>
              <w:pStyle w:val="NormalWeb"/>
              <w:shd w:val="clear" w:color="auto" w:fill="FFFFFF"/>
              <w:spacing w:before="0" w:beforeAutospacing="0" w:after="0" w:afterAutospacing="0"/>
              <w:jc w:val="both"/>
              <w:rPr>
                <w:rFonts w:asciiTheme="minorHAnsi" w:hAnsiTheme="minorHAnsi" w:cs="Helvetica"/>
                <w:color w:val="0000CC"/>
                <w:sz w:val="20"/>
                <w:szCs w:val="20"/>
              </w:rPr>
            </w:pPr>
          </w:p>
          <w:p w:rsidR="00112EE4" w:rsidRPr="00A66F4E" w:rsidRDefault="00112EE4" w:rsidP="009A08EC">
            <w:pPr>
              <w:pStyle w:val="NormalWeb"/>
              <w:shd w:val="clear" w:color="auto" w:fill="FFFFFF"/>
              <w:spacing w:before="0" w:beforeAutospacing="0" w:after="0" w:afterAutospacing="0"/>
              <w:jc w:val="both"/>
              <w:rPr>
                <w:rFonts w:asciiTheme="minorHAnsi" w:hAnsiTheme="minorHAnsi" w:cs="Helvetica"/>
                <w:color w:val="0000CC"/>
                <w:sz w:val="20"/>
                <w:szCs w:val="20"/>
              </w:rPr>
            </w:pPr>
          </w:p>
          <w:p w:rsidR="00112EE4" w:rsidRPr="00A66F4E" w:rsidRDefault="00112EE4" w:rsidP="009A08EC">
            <w:pPr>
              <w:pStyle w:val="NormalWeb"/>
              <w:shd w:val="clear" w:color="auto" w:fill="FFFFFF"/>
              <w:spacing w:before="0" w:beforeAutospacing="0" w:after="0" w:afterAutospacing="0"/>
              <w:jc w:val="both"/>
              <w:rPr>
                <w:rFonts w:asciiTheme="minorHAnsi" w:hAnsiTheme="minorHAnsi" w:cs="Helvetica"/>
                <w:color w:val="0000CC"/>
                <w:sz w:val="20"/>
                <w:szCs w:val="20"/>
              </w:rPr>
            </w:pPr>
            <w:r w:rsidRPr="00A66F4E">
              <w:rPr>
                <w:rFonts w:asciiTheme="minorHAnsi" w:hAnsiTheme="minorHAnsi" w:cs="Helvetica"/>
                <w:noProof/>
                <w:color w:val="0000CC"/>
                <w:sz w:val="20"/>
                <w:szCs w:val="20"/>
                <w:lang w:val="en-GB" w:eastAsia="en-GB"/>
              </w:rPr>
              <w:drawing>
                <wp:inline distT="0" distB="0" distL="0" distR="0" wp14:anchorId="39EE88D8" wp14:editId="0F04A9AD">
                  <wp:extent cx="3538846" cy="2535918"/>
                  <wp:effectExtent l="0" t="0" r="5080" b="0"/>
                  <wp:docPr id="5" name="Imagen 5" descr="C:\Users\sdioses\Documents\Inocuidad Agroalimentaria\REGLAMENTO\Europa 2018\foto\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ioses\Documents\Inocuidad Agroalimentaria\REGLAMENTO\Europa 2018\foto\Diapositiva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983" t="4621" r="5529" b="9923"/>
                          <a:stretch/>
                        </pic:blipFill>
                        <pic:spPr bwMode="auto">
                          <a:xfrm>
                            <a:off x="0" y="0"/>
                            <a:ext cx="3571302" cy="2559176"/>
                          </a:xfrm>
                          <a:prstGeom prst="rect">
                            <a:avLst/>
                          </a:prstGeom>
                          <a:noFill/>
                          <a:ln>
                            <a:noFill/>
                          </a:ln>
                          <a:extLst>
                            <a:ext uri="{53640926-AAD7-44D8-BBD7-CCE9431645EC}">
                              <a14:shadowObscured xmlns:a14="http://schemas.microsoft.com/office/drawing/2010/main"/>
                            </a:ext>
                          </a:extLst>
                        </pic:spPr>
                      </pic:pic>
                    </a:graphicData>
                  </a:graphic>
                </wp:inline>
              </w:drawing>
            </w:r>
          </w:p>
          <w:p w:rsidR="00112EE4" w:rsidRPr="00A66F4E" w:rsidRDefault="00112EE4" w:rsidP="009A08EC">
            <w:pPr>
              <w:pStyle w:val="NormalWeb"/>
              <w:shd w:val="clear" w:color="auto" w:fill="FFFFFF"/>
              <w:spacing w:before="0" w:beforeAutospacing="0" w:after="0" w:afterAutospacing="0"/>
              <w:jc w:val="both"/>
              <w:rPr>
                <w:rFonts w:asciiTheme="minorHAnsi" w:hAnsiTheme="minorHAnsi" w:cs="Helvetica"/>
                <w:color w:val="0000CC"/>
                <w:sz w:val="20"/>
                <w:szCs w:val="20"/>
              </w:rPr>
            </w:pPr>
          </w:p>
          <w:p w:rsidR="00112EE4" w:rsidRPr="00A66F4E" w:rsidRDefault="00112EE4" w:rsidP="00112EE4">
            <w:pPr>
              <w:rPr>
                <w:rFonts w:cs="Calibri Light"/>
                <w:sz w:val="20"/>
                <w:szCs w:val="20"/>
                <w:lang w:val="es-ES"/>
              </w:rPr>
            </w:pPr>
          </w:p>
          <w:p w:rsidR="00112EE4" w:rsidRPr="00A66F4E" w:rsidRDefault="00112EE4" w:rsidP="00D5277E">
            <w:pPr>
              <w:jc w:val="center"/>
              <w:rPr>
                <w:rFonts w:cs="Calibri Light"/>
                <w:sz w:val="20"/>
                <w:szCs w:val="20"/>
                <w:lang w:val="es-ES"/>
              </w:rPr>
            </w:pPr>
          </w:p>
          <w:p w:rsidR="00112EE4" w:rsidRPr="00A66F4E" w:rsidRDefault="00112EE4" w:rsidP="00D5277E">
            <w:pPr>
              <w:jc w:val="center"/>
              <w:rPr>
                <w:rFonts w:cs="Calibri Light"/>
                <w:sz w:val="20"/>
                <w:szCs w:val="20"/>
                <w:lang w:val="es-ES"/>
              </w:rPr>
            </w:pPr>
          </w:p>
          <w:p w:rsidR="00112EE4" w:rsidRPr="00A66F4E" w:rsidRDefault="00112EE4" w:rsidP="00D5277E">
            <w:pPr>
              <w:jc w:val="center"/>
              <w:rPr>
                <w:rFonts w:cs="Calibri Light"/>
                <w:sz w:val="20"/>
                <w:szCs w:val="20"/>
                <w:lang w:val="es-ES"/>
              </w:rPr>
            </w:pPr>
            <w:proofErr w:type="spellStart"/>
            <w:r w:rsidRPr="00A66F4E">
              <w:rPr>
                <w:rFonts w:cs="Calibri Light"/>
                <w:sz w:val="20"/>
                <w:szCs w:val="20"/>
                <w:lang w:val="es-ES"/>
              </w:rPr>
              <w:t>Autorizacion</w:t>
            </w:r>
            <w:proofErr w:type="spellEnd"/>
            <w:r w:rsidRPr="00A66F4E">
              <w:rPr>
                <w:rFonts w:cs="Calibri Light"/>
                <w:sz w:val="20"/>
                <w:szCs w:val="20"/>
                <w:lang w:val="es-ES"/>
              </w:rPr>
              <w:t xml:space="preserve"> Sanitaria N° 000018-AG-SENASA-ICA</w:t>
            </w:r>
          </w:p>
          <w:p w:rsidR="00112EE4" w:rsidRPr="00A66F4E" w:rsidRDefault="00112EE4" w:rsidP="00251F72">
            <w:pPr>
              <w:rPr>
                <w:sz w:val="20"/>
                <w:szCs w:val="20"/>
                <w:lang w:val="es-PE"/>
              </w:rPr>
            </w:pPr>
            <w:r w:rsidRPr="00A66F4E">
              <w:rPr>
                <w:noProof/>
                <w:sz w:val="20"/>
                <w:szCs w:val="20"/>
                <w:lang w:eastAsia="en-GB"/>
              </w:rPr>
              <mc:AlternateContent>
                <mc:Choice Requires="wps">
                  <w:drawing>
                    <wp:anchor distT="0" distB="0" distL="114300" distR="114300" simplePos="0" relativeHeight="251669504" behindDoc="0" locked="0" layoutInCell="1" allowOverlap="1" wp14:anchorId="40EE1835" wp14:editId="0923723D">
                      <wp:simplePos x="0" y="0"/>
                      <wp:positionH relativeFrom="column">
                        <wp:posOffset>2009775</wp:posOffset>
                      </wp:positionH>
                      <wp:positionV relativeFrom="paragraph">
                        <wp:posOffset>53035</wp:posOffset>
                      </wp:positionV>
                      <wp:extent cx="606425" cy="328295"/>
                      <wp:effectExtent l="19050" t="19050" r="41275" b="52705"/>
                      <wp:wrapNone/>
                      <wp:docPr id="2" name="Conector recto de flecha 2"/>
                      <wp:cNvGraphicFramePr/>
                      <a:graphic xmlns:a="http://schemas.openxmlformats.org/drawingml/2006/main">
                        <a:graphicData uri="http://schemas.microsoft.com/office/word/2010/wordprocessingShape">
                          <wps:wsp>
                            <wps:cNvCnPr/>
                            <wps:spPr>
                              <a:xfrm>
                                <a:off x="0" y="0"/>
                                <a:ext cx="606425" cy="32829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0FF95" id="_x0000_t32" coordsize="21600,21600" o:spt="32" o:oned="t" path="m,l21600,21600e" filled="f">
                      <v:path arrowok="t" fillok="f" o:connecttype="none"/>
                      <o:lock v:ext="edit" shapetype="t"/>
                    </v:shapetype>
                    <v:shape id="Conector recto de flecha 2" o:spid="_x0000_s1026" type="#_x0000_t32" style="position:absolute;margin-left:158.25pt;margin-top:4.2pt;width:47.75pt;height: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" strokecolor="red" strokeweight="2.25pt">
                      <v:stroke endarrow="block"/>
                    </v:shape>
                  </w:pict>
                </mc:Fallback>
              </mc:AlternateContent>
            </w:r>
          </w:p>
          <w:p w:rsidR="00112EE4" w:rsidRPr="00A66F4E" w:rsidRDefault="00112EE4" w:rsidP="00251F72">
            <w:pPr>
              <w:rPr>
                <w:sz w:val="20"/>
                <w:szCs w:val="20"/>
                <w:lang w:val="es-PE"/>
              </w:rPr>
            </w:pPr>
            <w:r w:rsidRPr="00A66F4E">
              <w:rPr>
                <w:noProof/>
                <w:sz w:val="20"/>
                <w:szCs w:val="20"/>
                <w:lang w:eastAsia="en-GB"/>
              </w:rPr>
              <mc:AlternateContent>
                <mc:Choice Requires="wps">
                  <w:drawing>
                    <wp:anchor distT="0" distB="0" distL="114300" distR="114300" simplePos="0" relativeHeight="251670528" behindDoc="0" locked="0" layoutInCell="1" allowOverlap="1" wp14:anchorId="2FE23E7D" wp14:editId="15842152">
                      <wp:simplePos x="0" y="0"/>
                      <wp:positionH relativeFrom="column">
                        <wp:posOffset>1780159</wp:posOffset>
                      </wp:positionH>
                      <wp:positionV relativeFrom="paragraph">
                        <wp:posOffset>2470658</wp:posOffset>
                      </wp:positionV>
                      <wp:extent cx="497408" cy="307238"/>
                      <wp:effectExtent l="19050" t="38100" r="36195" b="17145"/>
                      <wp:wrapNone/>
                      <wp:docPr id="4" name="Conector recto de flecha 4"/>
                      <wp:cNvGraphicFramePr/>
                      <a:graphic xmlns:a="http://schemas.openxmlformats.org/drawingml/2006/main">
                        <a:graphicData uri="http://schemas.microsoft.com/office/word/2010/wordprocessingShape">
                          <wps:wsp>
                            <wps:cNvCnPr/>
                            <wps:spPr>
                              <a:xfrm flipV="1">
                                <a:off x="0" y="0"/>
                                <a:ext cx="497408" cy="307238"/>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BE3EC" id="Conector recto de flecha 4" o:spid="_x0000_s1026" type="#_x0000_t32" style="position:absolute;margin-left:140.15pt;margin-top:194.55pt;width:39.15pt;height:2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" strokecolor="red" strokeweight="2.25pt">
                      <v:stroke endarrow="block"/>
                    </v:shape>
                  </w:pict>
                </mc:Fallback>
              </mc:AlternateContent>
            </w:r>
            <w:r w:rsidRPr="00A66F4E">
              <w:rPr>
                <w:noProof/>
                <w:sz w:val="20"/>
                <w:szCs w:val="20"/>
                <w:lang w:eastAsia="en-GB"/>
              </w:rPr>
              <w:drawing>
                <wp:inline distT="0" distB="0" distL="0" distR="0" wp14:anchorId="08FF0D73" wp14:editId="3BB3B345">
                  <wp:extent cx="3606394" cy="2646317"/>
                  <wp:effectExtent l="0" t="0" r="0" b="1905"/>
                  <wp:docPr id="1" name="Imagen 1" descr="C:\Users\sdioses\Documents\Inocuidad Agroalimentaria\REGLAMENTO\Europa 2018\20160206_10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ioses\Documents\Inocuidad Agroalimentaria\REGLAMENTO\Europa 2018\20160206_10193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204" r="7103"/>
                          <a:stretch/>
                        </pic:blipFill>
                        <pic:spPr bwMode="auto">
                          <a:xfrm>
                            <a:off x="0" y="0"/>
                            <a:ext cx="3615513" cy="2653009"/>
                          </a:xfrm>
                          <a:prstGeom prst="rect">
                            <a:avLst/>
                          </a:prstGeom>
                          <a:noFill/>
                          <a:ln>
                            <a:noFill/>
                          </a:ln>
                          <a:extLst>
                            <a:ext uri="{53640926-AAD7-44D8-BBD7-CCE9431645EC}">
                              <a14:shadowObscured xmlns:a14="http://schemas.microsoft.com/office/drawing/2010/main"/>
                            </a:ext>
                          </a:extLst>
                        </pic:spPr>
                      </pic:pic>
                    </a:graphicData>
                  </a:graphic>
                </wp:inline>
              </w:drawing>
            </w:r>
          </w:p>
          <w:p w:rsidR="00112EE4" w:rsidRPr="00A66F4E" w:rsidRDefault="00112EE4" w:rsidP="00251F72">
            <w:pPr>
              <w:rPr>
                <w:sz w:val="20"/>
                <w:szCs w:val="20"/>
                <w:lang w:val="es-PE"/>
              </w:rPr>
            </w:pPr>
          </w:p>
          <w:p w:rsidR="00112EE4" w:rsidRPr="00A66F4E" w:rsidRDefault="00112EE4" w:rsidP="00D5277E">
            <w:pPr>
              <w:jc w:val="center"/>
              <w:rPr>
                <w:rFonts w:cs="Calibri Light"/>
                <w:sz w:val="20"/>
                <w:szCs w:val="20"/>
                <w:lang w:val="es-ES"/>
              </w:rPr>
            </w:pPr>
            <w:r w:rsidRPr="00A66F4E">
              <w:rPr>
                <w:rFonts w:cs="Calibri Light"/>
                <w:sz w:val="20"/>
                <w:szCs w:val="20"/>
                <w:lang w:val="es-ES"/>
              </w:rPr>
              <w:t>Código de rastreabilidad BRG1910300354800</w:t>
            </w:r>
          </w:p>
          <w:p w:rsidR="00112EE4" w:rsidRPr="00A66F4E" w:rsidRDefault="00112EE4" w:rsidP="00D5277E">
            <w:pPr>
              <w:jc w:val="center"/>
              <w:rPr>
                <w:rFonts w:cs="Calibri Light"/>
                <w:sz w:val="20"/>
                <w:szCs w:val="20"/>
                <w:lang w:val="es-ES"/>
              </w:rPr>
            </w:pPr>
          </w:p>
          <w:p w:rsidR="00112EE4" w:rsidRPr="00A66F4E" w:rsidRDefault="00112EE4" w:rsidP="00D5277E">
            <w:pPr>
              <w:jc w:val="center"/>
              <w:rPr>
                <w:rFonts w:cs="Calibri Light"/>
                <w:sz w:val="20"/>
                <w:szCs w:val="20"/>
                <w:lang w:val="es-ES"/>
              </w:rPr>
            </w:pPr>
          </w:p>
          <w:p w:rsidR="00112EE4" w:rsidRPr="00A66F4E" w:rsidRDefault="00112EE4" w:rsidP="00D5277E">
            <w:pPr>
              <w:jc w:val="center"/>
              <w:rPr>
                <w:sz w:val="20"/>
                <w:szCs w:val="20"/>
                <w:lang w:val="es-PE"/>
              </w:rPr>
            </w:pPr>
          </w:p>
        </w:tc>
      </w:tr>
    </w:tbl>
    <w:p w:rsidR="001E4C0C" w:rsidRDefault="001E4C0C" w:rsidP="00491B93">
      <w:pPr>
        <w:rPr>
          <w:lang w:val="es-PE"/>
        </w:rPr>
      </w:pPr>
    </w:p>
    <w:p w:rsidR="00D3093B" w:rsidRPr="00A66F4E" w:rsidRDefault="00D3093B" w:rsidP="00491B93">
      <w:pPr>
        <w:rPr>
          <w:sz w:val="16"/>
          <w:szCs w:val="16"/>
        </w:rPr>
      </w:pPr>
      <w:r w:rsidRPr="00A66F4E">
        <w:rPr>
          <w:sz w:val="16"/>
          <w:szCs w:val="16"/>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001C30FF" w:rsidRPr="00A66F4E" w:rsidRDefault="001C30FF" w:rsidP="00491B93"/>
    <w:sectPr w:rsidR="001C30FF" w:rsidRPr="00A66F4E" w:rsidSect="00A66F4E">
      <w:pgSz w:w="16838" w:h="11906" w:orient="landscape"/>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B9" w:rsidRDefault="00DB66B9" w:rsidP="00D515CE">
      <w:pPr>
        <w:spacing w:after="0" w:line="240" w:lineRule="auto"/>
      </w:pPr>
      <w:r>
        <w:separator/>
      </w:r>
    </w:p>
  </w:endnote>
  <w:endnote w:type="continuationSeparator" w:id="0">
    <w:p w:rsidR="00DB66B9" w:rsidRDefault="00DB66B9" w:rsidP="00D5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B9" w:rsidRDefault="00DB66B9" w:rsidP="00D515CE">
      <w:pPr>
        <w:spacing w:after="0" w:line="240" w:lineRule="auto"/>
      </w:pPr>
      <w:r>
        <w:separator/>
      </w:r>
    </w:p>
  </w:footnote>
  <w:footnote w:type="continuationSeparator" w:id="0">
    <w:p w:rsidR="00DB66B9" w:rsidRDefault="00DB66B9" w:rsidP="00D51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78"/>
    <w:multiLevelType w:val="hybridMultilevel"/>
    <w:tmpl w:val="4664EBCC"/>
    <w:lvl w:ilvl="0" w:tplc="B49C7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A4C7D"/>
    <w:multiLevelType w:val="hybridMultilevel"/>
    <w:tmpl w:val="9BDCE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1B6D97"/>
    <w:multiLevelType w:val="hybridMultilevel"/>
    <w:tmpl w:val="F968AC84"/>
    <w:lvl w:ilvl="0" w:tplc="A156F93C">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3">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394CF7"/>
    <w:multiLevelType w:val="hybridMultilevel"/>
    <w:tmpl w:val="4664EBCC"/>
    <w:lvl w:ilvl="0" w:tplc="B49C7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13581"/>
    <w:rsid w:val="0002636E"/>
    <w:rsid w:val="00065DDD"/>
    <w:rsid w:val="000C6E1C"/>
    <w:rsid w:val="00112EE4"/>
    <w:rsid w:val="00180FA6"/>
    <w:rsid w:val="001C30FF"/>
    <w:rsid w:val="001E4C0C"/>
    <w:rsid w:val="002076C8"/>
    <w:rsid w:val="002225CD"/>
    <w:rsid w:val="00253248"/>
    <w:rsid w:val="002A518D"/>
    <w:rsid w:val="002B54C9"/>
    <w:rsid w:val="002C28A3"/>
    <w:rsid w:val="00383EF1"/>
    <w:rsid w:val="003A6E77"/>
    <w:rsid w:val="003D7A4E"/>
    <w:rsid w:val="00426232"/>
    <w:rsid w:val="00456055"/>
    <w:rsid w:val="00491B93"/>
    <w:rsid w:val="0050035A"/>
    <w:rsid w:val="00544C96"/>
    <w:rsid w:val="005E1560"/>
    <w:rsid w:val="00666D87"/>
    <w:rsid w:val="006A5F77"/>
    <w:rsid w:val="006B573D"/>
    <w:rsid w:val="00711CD5"/>
    <w:rsid w:val="00767FF6"/>
    <w:rsid w:val="00797864"/>
    <w:rsid w:val="007C401C"/>
    <w:rsid w:val="008F217A"/>
    <w:rsid w:val="009243A4"/>
    <w:rsid w:val="00944918"/>
    <w:rsid w:val="009734B8"/>
    <w:rsid w:val="009808DC"/>
    <w:rsid w:val="009A08EC"/>
    <w:rsid w:val="009A49A1"/>
    <w:rsid w:val="00A40674"/>
    <w:rsid w:val="00A66F4E"/>
    <w:rsid w:val="00AB6D55"/>
    <w:rsid w:val="00AF2060"/>
    <w:rsid w:val="00B21809"/>
    <w:rsid w:val="00B51142"/>
    <w:rsid w:val="00B95D57"/>
    <w:rsid w:val="00BB1579"/>
    <w:rsid w:val="00BB3969"/>
    <w:rsid w:val="00BD4157"/>
    <w:rsid w:val="00BD45BF"/>
    <w:rsid w:val="00BE30B6"/>
    <w:rsid w:val="00C12FEE"/>
    <w:rsid w:val="00C8379F"/>
    <w:rsid w:val="00C86FFB"/>
    <w:rsid w:val="00CC3AAE"/>
    <w:rsid w:val="00D01343"/>
    <w:rsid w:val="00D3093B"/>
    <w:rsid w:val="00D515CE"/>
    <w:rsid w:val="00D5277E"/>
    <w:rsid w:val="00DB66B9"/>
    <w:rsid w:val="00E024A0"/>
    <w:rsid w:val="00E23B7B"/>
    <w:rsid w:val="00F365C9"/>
    <w:rsid w:val="00FA59B2"/>
    <w:rsid w:val="00FB3503"/>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D5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CE"/>
  </w:style>
  <w:style w:type="paragraph" w:styleId="Footer">
    <w:name w:val="footer"/>
    <w:basedOn w:val="Normal"/>
    <w:link w:val="FooterChar"/>
    <w:uiPriority w:val="99"/>
    <w:unhideWhenUsed/>
    <w:rsid w:val="00D5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CE"/>
  </w:style>
  <w:style w:type="paragraph" w:styleId="NormalWeb">
    <w:name w:val="Normal (Web)"/>
    <w:basedOn w:val="Normal"/>
    <w:uiPriority w:val="99"/>
    <w:semiHidden/>
    <w:unhideWhenUsed/>
    <w:rsid w:val="00BE30B6"/>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D5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5CE"/>
  </w:style>
  <w:style w:type="paragraph" w:styleId="Footer">
    <w:name w:val="footer"/>
    <w:basedOn w:val="Normal"/>
    <w:link w:val="FooterChar"/>
    <w:uiPriority w:val="99"/>
    <w:unhideWhenUsed/>
    <w:rsid w:val="00D5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5CE"/>
  </w:style>
  <w:style w:type="paragraph" w:styleId="NormalWeb">
    <w:name w:val="Normal (Web)"/>
    <w:basedOn w:val="Normal"/>
    <w:uiPriority w:val="99"/>
    <w:semiHidden/>
    <w:unhideWhenUsed/>
    <w:rsid w:val="00BE30B6"/>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8403">
      <w:bodyDiv w:val="1"/>
      <w:marLeft w:val="0"/>
      <w:marRight w:val="0"/>
      <w:marTop w:val="0"/>
      <w:marBottom w:val="0"/>
      <w:divBdr>
        <w:top w:val="none" w:sz="0" w:space="0" w:color="auto"/>
        <w:left w:val="none" w:sz="0" w:space="0" w:color="auto"/>
        <w:bottom w:val="none" w:sz="0" w:space="0" w:color="auto"/>
        <w:right w:val="none" w:sz="0" w:space="0" w:color="auto"/>
      </w:divBdr>
      <w:divsChild>
        <w:div w:id="97531178">
          <w:marLeft w:val="0"/>
          <w:marRight w:val="0"/>
          <w:marTop w:val="0"/>
          <w:marBottom w:val="0"/>
          <w:divBdr>
            <w:top w:val="none" w:sz="0" w:space="0" w:color="auto"/>
            <w:left w:val="none" w:sz="0" w:space="0" w:color="auto"/>
            <w:bottom w:val="none" w:sz="0" w:space="0" w:color="auto"/>
            <w:right w:val="none" w:sz="0" w:space="0" w:color="auto"/>
          </w:divBdr>
          <w:divsChild>
            <w:div w:id="653681704">
              <w:marLeft w:val="0"/>
              <w:marRight w:val="0"/>
              <w:marTop w:val="0"/>
              <w:marBottom w:val="0"/>
              <w:divBdr>
                <w:top w:val="none" w:sz="0" w:space="0" w:color="auto"/>
                <w:left w:val="none" w:sz="0" w:space="0" w:color="auto"/>
                <w:bottom w:val="none" w:sz="0" w:space="0" w:color="auto"/>
                <w:right w:val="none" w:sz="0" w:space="0" w:color="auto"/>
              </w:divBdr>
              <w:divsChild>
                <w:div w:id="1291595210">
                  <w:marLeft w:val="0"/>
                  <w:marRight w:val="0"/>
                  <w:marTop w:val="0"/>
                  <w:marBottom w:val="0"/>
                  <w:divBdr>
                    <w:top w:val="none" w:sz="0" w:space="0" w:color="auto"/>
                    <w:left w:val="none" w:sz="0" w:space="0" w:color="auto"/>
                    <w:bottom w:val="none" w:sz="0" w:space="0" w:color="auto"/>
                    <w:right w:val="none" w:sz="0" w:space="0" w:color="auto"/>
                  </w:divBdr>
                  <w:divsChild>
                    <w:div w:id="138815583">
                      <w:marLeft w:val="0"/>
                      <w:marRight w:val="0"/>
                      <w:marTop w:val="0"/>
                      <w:marBottom w:val="0"/>
                      <w:divBdr>
                        <w:top w:val="none" w:sz="0" w:space="0" w:color="auto"/>
                        <w:left w:val="none" w:sz="0" w:space="0" w:color="auto"/>
                        <w:bottom w:val="none" w:sz="0" w:space="0" w:color="auto"/>
                        <w:right w:val="none" w:sz="0" w:space="0" w:color="auto"/>
                      </w:divBdr>
                      <w:divsChild>
                        <w:div w:id="740756070">
                          <w:marLeft w:val="0"/>
                          <w:marRight w:val="0"/>
                          <w:marTop w:val="0"/>
                          <w:marBottom w:val="0"/>
                          <w:divBdr>
                            <w:top w:val="none" w:sz="0" w:space="0" w:color="auto"/>
                            <w:left w:val="none" w:sz="0" w:space="0" w:color="auto"/>
                            <w:bottom w:val="none" w:sz="0" w:space="0" w:color="auto"/>
                            <w:right w:val="none" w:sz="0" w:space="0" w:color="auto"/>
                          </w:divBdr>
                          <w:divsChild>
                            <w:div w:id="788933169">
                              <w:marLeft w:val="0"/>
                              <w:marRight w:val="0"/>
                              <w:marTop w:val="0"/>
                              <w:marBottom w:val="0"/>
                              <w:divBdr>
                                <w:top w:val="none" w:sz="0" w:space="0" w:color="auto"/>
                                <w:left w:val="none" w:sz="0" w:space="0" w:color="auto"/>
                                <w:bottom w:val="none" w:sz="0" w:space="0" w:color="auto"/>
                                <w:right w:val="none" w:sz="0" w:space="0" w:color="auto"/>
                              </w:divBdr>
                              <w:divsChild>
                                <w:div w:id="1632132434">
                                  <w:marLeft w:val="0"/>
                                  <w:marRight w:val="0"/>
                                  <w:marTop w:val="0"/>
                                  <w:marBottom w:val="0"/>
                                  <w:divBdr>
                                    <w:top w:val="none" w:sz="0" w:space="0" w:color="auto"/>
                                    <w:left w:val="none" w:sz="0" w:space="0" w:color="auto"/>
                                    <w:bottom w:val="none" w:sz="0" w:space="0" w:color="auto"/>
                                    <w:right w:val="none" w:sz="0" w:space="0" w:color="auto"/>
                                  </w:divBdr>
                                  <w:divsChild>
                                    <w:div w:id="1665547768">
                                      <w:marLeft w:val="60"/>
                                      <w:marRight w:val="0"/>
                                      <w:marTop w:val="0"/>
                                      <w:marBottom w:val="0"/>
                                      <w:divBdr>
                                        <w:top w:val="none" w:sz="0" w:space="0" w:color="auto"/>
                                        <w:left w:val="none" w:sz="0" w:space="0" w:color="auto"/>
                                        <w:bottom w:val="none" w:sz="0" w:space="0" w:color="auto"/>
                                        <w:right w:val="none" w:sz="0" w:space="0" w:color="auto"/>
                                      </w:divBdr>
                                      <w:divsChild>
                                        <w:div w:id="1663238256">
                                          <w:marLeft w:val="0"/>
                                          <w:marRight w:val="0"/>
                                          <w:marTop w:val="0"/>
                                          <w:marBottom w:val="0"/>
                                          <w:divBdr>
                                            <w:top w:val="none" w:sz="0" w:space="0" w:color="auto"/>
                                            <w:left w:val="none" w:sz="0" w:space="0" w:color="auto"/>
                                            <w:bottom w:val="none" w:sz="0" w:space="0" w:color="auto"/>
                                            <w:right w:val="none" w:sz="0" w:space="0" w:color="auto"/>
                                          </w:divBdr>
                                          <w:divsChild>
                                            <w:div w:id="2049911613">
                                              <w:marLeft w:val="0"/>
                                              <w:marRight w:val="0"/>
                                              <w:marTop w:val="0"/>
                                              <w:marBottom w:val="120"/>
                                              <w:divBdr>
                                                <w:top w:val="single" w:sz="6" w:space="0" w:color="F5F5F5"/>
                                                <w:left w:val="single" w:sz="6" w:space="0" w:color="F5F5F5"/>
                                                <w:bottom w:val="single" w:sz="6" w:space="0" w:color="F5F5F5"/>
                                                <w:right w:val="single" w:sz="6" w:space="0" w:color="F5F5F5"/>
                                              </w:divBdr>
                                              <w:divsChild>
                                                <w:div w:id="994258441">
                                                  <w:marLeft w:val="0"/>
                                                  <w:marRight w:val="0"/>
                                                  <w:marTop w:val="0"/>
                                                  <w:marBottom w:val="0"/>
                                                  <w:divBdr>
                                                    <w:top w:val="none" w:sz="0" w:space="0" w:color="auto"/>
                                                    <w:left w:val="none" w:sz="0" w:space="0" w:color="auto"/>
                                                    <w:bottom w:val="none" w:sz="0" w:space="0" w:color="auto"/>
                                                    <w:right w:val="none" w:sz="0" w:space="0" w:color="auto"/>
                                                  </w:divBdr>
                                                  <w:divsChild>
                                                    <w:div w:id="437144172">
                                                      <w:marLeft w:val="0"/>
                                                      <w:marRight w:val="0"/>
                                                      <w:marTop w:val="0"/>
                                                      <w:marBottom w:val="0"/>
                                                      <w:divBdr>
                                                        <w:top w:val="none" w:sz="0" w:space="0" w:color="auto"/>
                                                        <w:left w:val="none" w:sz="0" w:space="0" w:color="auto"/>
                                                        <w:bottom w:val="none" w:sz="0" w:space="0" w:color="auto"/>
                                                        <w:right w:val="none" w:sz="0" w:space="0" w:color="auto"/>
                                                      </w:divBdr>
                                                    </w:div>
                                                  </w:divsChild>
                                                </w:div>
                                                <w:div w:id="118109081">
                                                  <w:marLeft w:val="0"/>
                                                  <w:marRight w:val="0"/>
                                                  <w:marTop w:val="0"/>
                                                  <w:marBottom w:val="0"/>
                                                  <w:divBdr>
                                                    <w:top w:val="none" w:sz="0" w:space="0" w:color="auto"/>
                                                    <w:left w:val="none" w:sz="0" w:space="0" w:color="auto"/>
                                                    <w:bottom w:val="none" w:sz="0" w:space="0" w:color="auto"/>
                                                    <w:right w:val="none" w:sz="0" w:space="0" w:color="auto"/>
                                                  </w:divBdr>
                                                  <w:divsChild>
                                                    <w:div w:id="786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157935">
      <w:bodyDiv w:val="1"/>
      <w:marLeft w:val="0"/>
      <w:marRight w:val="0"/>
      <w:marTop w:val="0"/>
      <w:marBottom w:val="0"/>
      <w:divBdr>
        <w:top w:val="none" w:sz="0" w:space="0" w:color="auto"/>
        <w:left w:val="none" w:sz="0" w:space="0" w:color="auto"/>
        <w:bottom w:val="none" w:sz="0" w:space="0" w:color="auto"/>
        <w:right w:val="none" w:sz="0" w:space="0" w:color="auto"/>
      </w:divBdr>
    </w:div>
    <w:div w:id="10311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mi-tdc@rpa.gri.gov.uk"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nasa.gob.pe/senasa/wp-content/uploads/jer/SECCION_NOR_AGROA/Fe%20de%20erratas%20DS%20004-2011-A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enasa.gob.pe/senasa/wp-content/uploads/jer/SECCION_NOR_AGROA/DS%20004%202011%20AG%20Reglamento%20de%20Inocuidad%20Agroalimentari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nasa.gob.pe/senasa/wp-content/uploads/2014/11/D-S-006-2016-MINAGRI-modifica-y-complementa.pdf" TargetMode="External"/><Relationship Id="rId4" Type="http://schemas.openxmlformats.org/officeDocument/2006/relationships/settings" Target="settings.xml"/><Relationship Id="rId9" Type="http://schemas.openxmlformats.org/officeDocument/2006/relationships/hyperlink" Target="http://200.60.104.77/SIGIAWeb/ino_establecimientosproceso.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ECE-ISU</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Korkut Yavuz</dc:creator>
  <cp:lastModifiedBy>Korkut Yavuz</cp:lastModifiedBy>
  <cp:revision>22</cp:revision>
  <dcterms:created xsi:type="dcterms:W3CDTF">2018-01-16T19:53:00Z</dcterms:created>
  <dcterms:modified xsi:type="dcterms:W3CDTF">2018-02-22T14:00:00Z</dcterms:modified>
</cp:coreProperties>
</file>