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FD" w:rsidRPr="00953049" w:rsidRDefault="00A71AFD" w:rsidP="00A71AFD">
      <w:pPr>
        <w:jc w:val="center"/>
        <w:rPr>
          <w:b/>
          <w:sz w:val="28"/>
          <w:szCs w:val="28"/>
        </w:rPr>
      </w:pPr>
      <w:r>
        <w:rPr>
          <w:b/>
          <w:sz w:val="28"/>
          <w:szCs w:val="28"/>
        </w:rPr>
        <w:t>MOROCCO</w:t>
      </w:r>
    </w:p>
    <w:p w:rsidR="00245637" w:rsidRDefault="00245637">
      <w:bookmarkStart w:id="0" w:name="_MailEndCompose"/>
      <w:r>
        <w:t>The following information was provided and approved by the authorities of the countries listed. The United Nations Economic Commission for Europe (UNECE) is not responsible or liable for the content provided and declines all legal implications related thereto.</w:t>
      </w:r>
      <w:bookmarkEnd w:id="0"/>
    </w:p>
    <w:p w:rsidR="00822274" w:rsidRDefault="00822274">
      <w:r w:rsidRPr="008A0D52">
        <w:rPr>
          <w:b/>
        </w:rPr>
        <w:t>Date:</w:t>
      </w:r>
      <w:r>
        <w:t xml:space="preserve"> January 2018</w:t>
      </w:r>
      <w:bookmarkStart w:id="1" w:name="_GoBack"/>
      <w:bookmarkEnd w:id="1"/>
    </w:p>
    <w:tbl>
      <w:tblPr>
        <w:tblStyle w:val="TableGrid"/>
        <w:tblW w:w="0" w:type="auto"/>
        <w:tblLayout w:type="fixed"/>
        <w:tblLook w:val="04A0" w:firstRow="1" w:lastRow="0" w:firstColumn="1" w:lastColumn="0" w:noHBand="0" w:noVBand="1"/>
      </w:tblPr>
      <w:tblGrid>
        <w:gridCol w:w="2660"/>
        <w:gridCol w:w="4356"/>
        <w:gridCol w:w="5916"/>
      </w:tblGrid>
      <w:tr w:rsidR="00A71AFD" w:rsidRPr="00906627" w:rsidTr="00A71AFD">
        <w:tc>
          <w:tcPr>
            <w:tcW w:w="2660" w:type="dxa"/>
          </w:tcPr>
          <w:p w:rsidR="00A71AFD" w:rsidRPr="00906627" w:rsidRDefault="00A71AFD" w:rsidP="00251F72">
            <w:pPr>
              <w:jc w:val="center"/>
              <w:rPr>
                <w:b/>
              </w:rPr>
            </w:pPr>
            <w:r w:rsidRPr="00906627">
              <w:rPr>
                <w:b/>
              </w:rPr>
              <w:t>COMPETENT AUTHORITY</w:t>
            </w:r>
          </w:p>
        </w:tc>
        <w:tc>
          <w:tcPr>
            <w:tcW w:w="4356" w:type="dxa"/>
          </w:tcPr>
          <w:p w:rsidR="00A71AFD" w:rsidRPr="00906627" w:rsidRDefault="00A71AFD" w:rsidP="00251F72">
            <w:pPr>
              <w:jc w:val="center"/>
              <w:rPr>
                <w:b/>
              </w:rPr>
            </w:pPr>
            <w:r w:rsidRPr="00906627">
              <w:rPr>
                <w:b/>
              </w:rPr>
              <w:t>EXPLANATIONS</w:t>
            </w:r>
          </w:p>
        </w:tc>
        <w:tc>
          <w:tcPr>
            <w:tcW w:w="5916" w:type="dxa"/>
          </w:tcPr>
          <w:p w:rsidR="00A71AFD" w:rsidRPr="00906627" w:rsidRDefault="00A71AFD" w:rsidP="00251F72">
            <w:pPr>
              <w:jc w:val="center"/>
              <w:rPr>
                <w:b/>
              </w:rPr>
            </w:pPr>
            <w:r>
              <w:rPr>
                <w:b/>
              </w:rPr>
              <w:t xml:space="preserve">PHOTO </w:t>
            </w:r>
            <w:r w:rsidRPr="00906627">
              <w:rPr>
                <w:b/>
              </w:rPr>
              <w:t>EXAMPLE</w:t>
            </w:r>
            <w:r>
              <w:rPr>
                <w:b/>
              </w:rPr>
              <w:t xml:space="preserve"> (IF AVAILABLE)</w:t>
            </w:r>
          </w:p>
        </w:tc>
      </w:tr>
      <w:tr w:rsidR="00A71AFD" w:rsidRPr="00C6200B" w:rsidTr="00A71AFD">
        <w:trPr>
          <w:trHeight w:val="841"/>
        </w:trPr>
        <w:tc>
          <w:tcPr>
            <w:tcW w:w="2660" w:type="dxa"/>
          </w:tcPr>
          <w:p w:rsidR="00A71AFD" w:rsidRPr="00C45060" w:rsidRDefault="00A71AFD" w:rsidP="00251F72">
            <w:pPr>
              <w:rPr>
                <w:b/>
                <w:sz w:val="20"/>
                <w:szCs w:val="20"/>
                <w:lang w:val="fr-FR"/>
              </w:rPr>
            </w:pPr>
            <w:r w:rsidRPr="00C45060">
              <w:rPr>
                <w:b/>
                <w:sz w:val="20"/>
                <w:szCs w:val="20"/>
                <w:lang w:val="fr-FR"/>
              </w:rPr>
              <w:t>Etablissement Autonome de Contrôle et de Coordination des Exportations (EACCE)</w:t>
            </w:r>
          </w:p>
          <w:p w:rsidR="00A71AFD" w:rsidRPr="00C45060" w:rsidRDefault="00A71AFD" w:rsidP="00251F72">
            <w:pPr>
              <w:rPr>
                <w:b/>
                <w:sz w:val="20"/>
                <w:szCs w:val="20"/>
                <w:lang w:val="fr-FR"/>
              </w:rPr>
            </w:pPr>
          </w:p>
          <w:p w:rsidR="00A71AFD" w:rsidRPr="00C45060" w:rsidRDefault="00A71AFD" w:rsidP="00251F72">
            <w:pPr>
              <w:rPr>
                <w:sz w:val="20"/>
                <w:szCs w:val="20"/>
                <w:lang w:val="fr-FR"/>
              </w:rPr>
            </w:pPr>
            <w:proofErr w:type="spellStart"/>
            <w:r w:rsidRPr="00C45060">
              <w:rPr>
                <w:b/>
                <w:sz w:val="20"/>
                <w:szCs w:val="20"/>
                <w:lang w:val="fr-FR"/>
              </w:rPr>
              <w:t>Adress</w:t>
            </w:r>
            <w:proofErr w:type="spellEnd"/>
            <w:r w:rsidRPr="00C45060">
              <w:rPr>
                <w:b/>
                <w:sz w:val="20"/>
                <w:szCs w:val="20"/>
                <w:lang w:val="fr-FR"/>
              </w:rPr>
              <w:t xml:space="preserve"> :</w:t>
            </w:r>
            <w:r w:rsidRPr="00C45060">
              <w:rPr>
                <w:sz w:val="20"/>
                <w:szCs w:val="20"/>
                <w:lang w:val="fr-FR"/>
              </w:rPr>
              <w:t xml:space="preserve"> EACCE, Route El </w:t>
            </w:r>
            <w:proofErr w:type="spellStart"/>
            <w:r w:rsidRPr="00C45060">
              <w:rPr>
                <w:sz w:val="20"/>
                <w:szCs w:val="20"/>
                <w:lang w:val="fr-FR"/>
              </w:rPr>
              <w:t>jadida</w:t>
            </w:r>
            <w:proofErr w:type="spellEnd"/>
            <w:r w:rsidRPr="00C45060">
              <w:rPr>
                <w:sz w:val="20"/>
                <w:szCs w:val="20"/>
                <w:lang w:val="fr-FR"/>
              </w:rPr>
              <w:t xml:space="preserve">, </w:t>
            </w:r>
            <w:proofErr w:type="spellStart"/>
            <w:r w:rsidRPr="00C45060">
              <w:rPr>
                <w:sz w:val="20"/>
                <w:szCs w:val="20"/>
                <w:lang w:val="fr-FR"/>
              </w:rPr>
              <w:t>Lissassfa</w:t>
            </w:r>
            <w:proofErr w:type="spellEnd"/>
            <w:r w:rsidRPr="00C45060">
              <w:rPr>
                <w:sz w:val="20"/>
                <w:szCs w:val="20"/>
                <w:lang w:val="fr-FR"/>
              </w:rPr>
              <w:t xml:space="preserve"> Rond-point AZBANE à </w:t>
            </w:r>
            <w:proofErr w:type="spellStart"/>
            <w:r w:rsidRPr="00C45060">
              <w:rPr>
                <w:sz w:val="20"/>
                <w:szCs w:val="20"/>
                <w:lang w:val="fr-FR"/>
              </w:rPr>
              <w:t>proximitéde</w:t>
            </w:r>
            <w:proofErr w:type="spellEnd"/>
            <w:r w:rsidRPr="00C45060">
              <w:rPr>
                <w:sz w:val="20"/>
                <w:szCs w:val="20"/>
                <w:lang w:val="fr-FR"/>
              </w:rPr>
              <w:t xml:space="preserve"> l'</w:t>
            </w:r>
            <w:proofErr w:type="spellStart"/>
            <w:r w:rsidRPr="00C45060">
              <w:rPr>
                <w:sz w:val="20"/>
                <w:szCs w:val="20"/>
                <w:lang w:val="fr-FR"/>
              </w:rPr>
              <w:t>Hotel</w:t>
            </w:r>
            <w:proofErr w:type="spellEnd"/>
            <w:r w:rsidRPr="00C45060">
              <w:rPr>
                <w:sz w:val="20"/>
                <w:szCs w:val="20"/>
                <w:lang w:val="fr-FR"/>
              </w:rPr>
              <w:t xml:space="preserve"> ZENITH - Casablanca – Maroc</w:t>
            </w:r>
          </w:p>
          <w:p w:rsidR="00A71AFD" w:rsidRPr="00C45060" w:rsidRDefault="00A71AFD" w:rsidP="00251F72">
            <w:pPr>
              <w:rPr>
                <w:sz w:val="20"/>
                <w:szCs w:val="20"/>
                <w:lang w:val="fr-FR"/>
              </w:rPr>
            </w:pPr>
          </w:p>
          <w:p w:rsidR="00A71AFD" w:rsidRPr="00C45060" w:rsidRDefault="00A71AFD" w:rsidP="00251F72">
            <w:pPr>
              <w:rPr>
                <w:sz w:val="20"/>
                <w:szCs w:val="20"/>
                <w:lang w:val="fr-FR"/>
              </w:rPr>
            </w:pPr>
            <w:r w:rsidRPr="00C45060">
              <w:rPr>
                <w:b/>
                <w:sz w:val="20"/>
                <w:szCs w:val="20"/>
                <w:lang w:val="fr-FR"/>
              </w:rPr>
              <w:t>Phone:</w:t>
            </w:r>
            <w:r w:rsidRPr="00C45060">
              <w:rPr>
                <w:sz w:val="20"/>
                <w:szCs w:val="20"/>
                <w:lang w:val="fr-FR"/>
              </w:rPr>
              <w:t xml:space="preserve"> 00212 5 22 30.51.04/30.81.22 </w:t>
            </w:r>
          </w:p>
          <w:p w:rsidR="00A71AFD" w:rsidRPr="00C45060" w:rsidRDefault="00A71AFD" w:rsidP="00251F72">
            <w:pPr>
              <w:rPr>
                <w:sz w:val="20"/>
                <w:szCs w:val="20"/>
                <w:lang w:val="fr-FR"/>
              </w:rPr>
            </w:pPr>
          </w:p>
          <w:p w:rsidR="00A71AFD" w:rsidRPr="00C45060" w:rsidRDefault="00A71AFD" w:rsidP="00251F72">
            <w:pPr>
              <w:rPr>
                <w:sz w:val="20"/>
                <w:szCs w:val="20"/>
                <w:lang w:val="fr-FR"/>
              </w:rPr>
            </w:pPr>
            <w:proofErr w:type="spellStart"/>
            <w:r w:rsidRPr="00C45060">
              <w:rPr>
                <w:b/>
                <w:sz w:val="20"/>
                <w:szCs w:val="20"/>
                <w:lang w:val="fr-FR"/>
              </w:rPr>
              <w:t>Website:</w:t>
            </w:r>
            <w:r w:rsidRPr="00C45060">
              <w:rPr>
                <w:sz w:val="20"/>
                <w:szCs w:val="20"/>
                <w:lang w:val="fr-FR"/>
              </w:rPr>
              <w:t>http</w:t>
            </w:r>
            <w:proofErr w:type="spellEnd"/>
            <w:r w:rsidRPr="00C45060">
              <w:rPr>
                <w:sz w:val="20"/>
                <w:szCs w:val="20"/>
                <w:lang w:val="fr-FR"/>
              </w:rPr>
              <w:t xml:space="preserve">://www.eacce.org.ma </w:t>
            </w:r>
          </w:p>
          <w:p w:rsidR="00A71AFD" w:rsidRPr="00C45060" w:rsidRDefault="00A71AFD" w:rsidP="00251F72">
            <w:pPr>
              <w:rPr>
                <w:sz w:val="20"/>
                <w:szCs w:val="20"/>
                <w:lang w:val="fr-FR"/>
              </w:rPr>
            </w:pPr>
          </w:p>
          <w:p w:rsidR="00A71AFD" w:rsidRPr="00C45060" w:rsidRDefault="00A71AFD" w:rsidP="00251F72">
            <w:pPr>
              <w:rPr>
                <w:sz w:val="20"/>
                <w:szCs w:val="20"/>
                <w:lang w:val="fr-FR"/>
              </w:rPr>
            </w:pPr>
            <w:r w:rsidRPr="00C45060">
              <w:rPr>
                <w:b/>
                <w:sz w:val="20"/>
                <w:szCs w:val="20"/>
                <w:lang w:val="fr-FR"/>
              </w:rPr>
              <w:t>Email:</w:t>
            </w:r>
            <w:r w:rsidRPr="00C45060">
              <w:rPr>
                <w:sz w:val="20"/>
                <w:szCs w:val="20"/>
                <w:lang w:val="fr-FR"/>
              </w:rPr>
              <w:t xml:space="preserve"> eacce@eacce.org.ma</w:t>
            </w:r>
          </w:p>
        </w:tc>
        <w:tc>
          <w:tcPr>
            <w:tcW w:w="4356" w:type="dxa"/>
          </w:tcPr>
          <w:p w:rsidR="00A71AFD" w:rsidRPr="00C45060" w:rsidRDefault="00A71AFD" w:rsidP="00491B93">
            <w:pPr>
              <w:pStyle w:val="ListParagraph"/>
              <w:numPr>
                <w:ilvl w:val="0"/>
                <w:numId w:val="1"/>
              </w:numPr>
              <w:ind w:left="175" w:hanging="142"/>
              <w:rPr>
                <w:sz w:val="20"/>
                <w:szCs w:val="20"/>
              </w:rPr>
            </w:pPr>
            <w:r w:rsidRPr="00C45060">
              <w:rPr>
                <w:sz w:val="20"/>
                <w:szCs w:val="20"/>
              </w:rPr>
              <w:t>In EACCE, there are two central registers for the registration of exporters and packing houses.</w:t>
            </w:r>
          </w:p>
          <w:p w:rsidR="00A71AFD" w:rsidRPr="00C45060" w:rsidRDefault="00A71AFD" w:rsidP="00491B93">
            <w:pPr>
              <w:pStyle w:val="ListParagraph"/>
              <w:numPr>
                <w:ilvl w:val="0"/>
                <w:numId w:val="1"/>
              </w:numPr>
              <w:ind w:left="175" w:hanging="142"/>
              <w:rPr>
                <w:sz w:val="20"/>
                <w:szCs w:val="20"/>
              </w:rPr>
            </w:pPr>
            <w:r w:rsidRPr="00C45060">
              <w:rPr>
                <w:sz w:val="20"/>
                <w:szCs w:val="20"/>
              </w:rPr>
              <w:t xml:space="preserve">For packing houses, the registration number is a combination of an alphabet letter and a given number, which must be an even number for citrus products and an odd number for other fruits and vegetables. </w:t>
            </w:r>
          </w:p>
          <w:p w:rsidR="00A71AFD" w:rsidRPr="00C45060" w:rsidRDefault="00A71AFD" w:rsidP="00491B93">
            <w:pPr>
              <w:pStyle w:val="ListParagraph"/>
              <w:numPr>
                <w:ilvl w:val="0"/>
                <w:numId w:val="1"/>
              </w:numPr>
              <w:ind w:left="175" w:hanging="142"/>
              <w:rPr>
                <w:sz w:val="20"/>
                <w:szCs w:val="20"/>
              </w:rPr>
            </w:pPr>
            <w:r w:rsidRPr="00C45060">
              <w:rPr>
                <w:sz w:val="20"/>
                <w:szCs w:val="20"/>
              </w:rPr>
              <w:t xml:space="preserve">For exporters, the registration number is a four-digit code.  </w:t>
            </w:r>
          </w:p>
          <w:p w:rsidR="00A71AFD" w:rsidRPr="00C45060" w:rsidRDefault="00A71AFD" w:rsidP="00251F72">
            <w:pPr>
              <w:rPr>
                <w:sz w:val="20"/>
                <w:szCs w:val="20"/>
              </w:rPr>
            </w:pPr>
          </w:p>
        </w:tc>
        <w:tc>
          <w:tcPr>
            <w:tcW w:w="5916" w:type="dxa"/>
          </w:tcPr>
          <w:p w:rsidR="00A71AFD" w:rsidRDefault="00A71AFD" w:rsidP="00251F72">
            <w:pPr>
              <w:rPr>
                <w:sz w:val="18"/>
                <w:szCs w:val="18"/>
              </w:rPr>
            </w:pPr>
          </w:p>
          <w:p w:rsidR="00A71AFD" w:rsidRPr="00C6200B" w:rsidRDefault="00A71AFD" w:rsidP="00A71AFD">
            <w:pPr>
              <w:rPr>
                <w:sz w:val="18"/>
                <w:szCs w:val="18"/>
              </w:rPr>
            </w:pPr>
            <w:r w:rsidRPr="0030493D">
              <w:rPr>
                <w:noProof/>
                <w:lang w:eastAsia="en-GB"/>
              </w:rPr>
              <w:drawing>
                <wp:inline distT="0" distB="0" distL="0" distR="0" wp14:anchorId="66652F0A" wp14:editId="52CA8413">
                  <wp:extent cx="3612582" cy="2219473"/>
                  <wp:effectExtent l="19050" t="0" r="6918"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36128" cy="2233939"/>
                          </a:xfrm>
                          <a:prstGeom prst="rect">
                            <a:avLst/>
                          </a:prstGeom>
                          <a:noFill/>
                          <a:ln w="9525">
                            <a:noFill/>
                            <a:miter lim="800000"/>
                            <a:headEnd/>
                            <a:tailEnd/>
                          </a:ln>
                        </pic:spPr>
                      </pic:pic>
                    </a:graphicData>
                  </a:graphic>
                </wp:inline>
              </w:drawing>
            </w:r>
          </w:p>
        </w:tc>
      </w:tr>
    </w:tbl>
    <w:p w:rsidR="00245637" w:rsidRDefault="00245637" w:rsidP="00491B93"/>
    <w:p w:rsidR="001E4C0C" w:rsidRPr="00C45060" w:rsidRDefault="00245637" w:rsidP="00491B93">
      <w:pPr>
        <w:rPr>
          <w:sz w:val="18"/>
          <w:szCs w:val="18"/>
        </w:rPr>
      </w:pPr>
      <w:r w:rsidRPr="00C45060">
        <w:rPr>
          <w:sz w:val="18"/>
          <w:szCs w:val="18"/>
        </w:rPr>
        <w:t>The designations employed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w:rsidR="00245637" w:rsidRDefault="00245637" w:rsidP="00491B93"/>
    <w:sectPr w:rsidR="00245637" w:rsidSect="002225C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60" w:rsidRDefault="00C45060" w:rsidP="00C45060">
      <w:pPr>
        <w:spacing w:after="0" w:line="240" w:lineRule="auto"/>
      </w:pPr>
      <w:r>
        <w:separator/>
      </w:r>
    </w:p>
  </w:endnote>
  <w:endnote w:type="continuationSeparator" w:id="0">
    <w:p w:rsidR="00C45060" w:rsidRDefault="00C45060" w:rsidP="00C4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60" w:rsidRDefault="00C45060" w:rsidP="00C45060">
      <w:pPr>
        <w:spacing w:after="0" w:line="240" w:lineRule="auto"/>
      </w:pPr>
      <w:r>
        <w:separator/>
      </w:r>
    </w:p>
  </w:footnote>
  <w:footnote w:type="continuationSeparator" w:id="0">
    <w:p w:rsidR="00C45060" w:rsidRDefault="00C45060" w:rsidP="00C45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229F3"/>
    <w:multiLevelType w:val="hybridMultilevel"/>
    <w:tmpl w:val="ECB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D7A4E"/>
    <w:rsid w:val="001E4C0C"/>
    <w:rsid w:val="002225CD"/>
    <w:rsid w:val="00245637"/>
    <w:rsid w:val="002E1561"/>
    <w:rsid w:val="0030493D"/>
    <w:rsid w:val="003D7A4E"/>
    <w:rsid w:val="00491B93"/>
    <w:rsid w:val="00822274"/>
    <w:rsid w:val="00A71AFD"/>
    <w:rsid w:val="00C45060"/>
    <w:rsid w:val="00DC0E33"/>
    <w:rsid w:val="00E47008"/>
    <w:rsid w:val="00FA59B2"/>
    <w:rsid w:val="00FB3503"/>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paragraph" w:styleId="Header">
    <w:name w:val="header"/>
    <w:basedOn w:val="Normal"/>
    <w:link w:val="HeaderChar"/>
    <w:uiPriority w:val="99"/>
    <w:unhideWhenUsed/>
    <w:rsid w:val="00C45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060"/>
  </w:style>
  <w:style w:type="paragraph" w:styleId="Footer">
    <w:name w:val="footer"/>
    <w:basedOn w:val="Normal"/>
    <w:link w:val="FooterChar"/>
    <w:uiPriority w:val="99"/>
    <w:unhideWhenUsed/>
    <w:rsid w:val="00C45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Korkut Yavuz</dc:creator>
  <cp:lastModifiedBy>Korkut Yavuz</cp:lastModifiedBy>
  <cp:revision>6</cp:revision>
  <dcterms:created xsi:type="dcterms:W3CDTF">2018-01-12T11:27:00Z</dcterms:created>
  <dcterms:modified xsi:type="dcterms:W3CDTF">2018-02-22T13:59:00Z</dcterms:modified>
</cp:coreProperties>
</file>