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3F" w:rsidRPr="00953049" w:rsidRDefault="002F0E3F" w:rsidP="002F0E3F">
      <w:pPr>
        <w:jc w:val="center"/>
        <w:rPr>
          <w:b/>
          <w:sz w:val="28"/>
          <w:szCs w:val="28"/>
        </w:rPr>
      </w:pPr>
      <w:r>
        <w:rPr>
          <w:b/>
          <w:sz w:val="28"/>
          <w:szCs w:val="28"/>
        </w:rPr>
        <w:t>COSTA RICA</w:t>
      </w:r>
    </w:p>
    <w:p w:rsidR="008C0FFE" w:rsidRDefault="002F1D65" w:rsidP="008C0FFE">
      <w:pPr>
        <w:rPr>
          <w:b/>
        </w:rPr>
      </w:pPr>
      <w:bookmarkStart w:id="0" w:name="_MailEndCompose"/>
      <w:r>
        <w:t>The following information was provided and approved by the authorities of the countries listed. The United Nations Economic Commission for Europe (UNECE) is not responsible or liable for the content provided and declines all legal implications related thereto.</w:t>
      </w:r>
      <w:bookmarkEnd w:id="0"/>
      <w:r w:rsidR="008C0FFE" w:rsidRPr="008C0FFE">
        <w:rPr>
          <w:b/>
        </w:rPr>
        <w:t xml:space="preserve"> </w:t>
      </w:r>
    </w:p>
    <w:p w:rsidR="002F0E3F" w:rsidRDefault="008C0FFE">
      <w:r w:rsidRPr="008A0D52">
        <w:rPr>
          <w:b/>
        </w:rPr>
        <w:t>Date:</w:t>
      </w:r>
      <w:r>
        <w:t xml:space="preserve"> January 2018</w:t>
      </w:r>
      <w:bookmarkStart w:id="1" w:name="_GoBack"/>
      <w:bookmarkEnd w:id="1"/>
    </w:p>
    <w:tbl>
      <w:tblPr>
        <w:tblStyle w:val="TableGrid"/>
        <w:tblW w:w="0" w:type="auto"/>
        <w:tblLayout w:type="fixed"/>
        <w:tblLook w:val="04A0" w:firstRow="1" w:lastRow="0" w:firstColumn="1" w:lastColumn="0" w:noHBand="0" w:noVBand="1"/>
      </w:tblPr>
      <w:tblGrid>
        <w:gridCol w:w="1521"/>
        <w:gridCol w:w="5495"/>
        <w:gridCol w:w="5916"/>
      </w:tblGrid>
      <w:tr w:rsidR="002F0E3F" w:rsidRPr="00906627" w:rsidTr="00251F72">
        <w:tc>
          <w:tcPr>
            <w:tcW w:w="1521" w:type="dxa"/>
          </w:tcPr>
          <w:p w:rsidR="002F0E3F" w:rsidRPr="00906627" w:rsidRDefault="002F0E3F" w:rsidP="00251F72">
            <w:pPr>
              <w:jc w:val="center"/>
              <w:rPr>
                <w:b/>
              </w:rPr>
            </w:pPr>
            <w:r w:rsidRPr="00906627">
              <w:rPr>
                <w:b/>
              </w:rPr>
              <w:t>COMPETENT AUTHORITY</w:t>
            </w:r>
          </w:p>
        </w:tc>
        <w:tc>
          <w:tcPr>
            <w:tcW w:w="5495" w:type="dxa"/>
          </w:tcPr>
          <w:p w:rsidR="002F0E3F" w:rsidRPr="00906627" w:rsidRDefault="002F0E3F" w:rsidP="00251F72">
            <w:pPr>
              <w:jc w:val="center"/>
              <w:rPr>
                <w:b/>
              </w:rPr>
            </w:pPr>
            <w:r w:rsidRPr="00906627">
              <w:rPr>
                <w:b/>
              </w:rPr>
              <w:t>EXPLANATIONS</w:t>
            </w:r>
          </w:p>
        </w:tc>
        <w:tc>
          <w:tcPr>
            <w:tcW w:w="5916" w:type="dxa"/>
          </w:tcPr>
          <w:p w:rsidR="002F0E3F" w:rsidRPr="00906627" w:rsidRDefault="002F0E3F" w:rsidP="00251F72">
            <w:pPr>
              <w:jc w:val="center"/>
              <w:rPr>
                <w:b/>
              </w:rPr>
            </w:pPr>
            <w:r>
              <w:rPr>
                <w:b/>
              </w:rPr>
              <w:t xml:space="preserve">PHOTO </w:t>
            </w:r>
            <w:r w:rsidRPr="00906627">
              <w:rPr>
                <w:b/>
              </w:rPr>
              <w:t>EXAMPLE</w:t>
            </w:r>
            <w:r>
              <w:rPr>
                <w:b/>
              </w:rPr>
              <w:t xml:space="preserve"> (IF AVAILABLE)</w:t>
            </w:r>
          </w:p>
        </w:tc>
      </w:tr>
      <w:tr w:rsidR="002F0E3F" w:rsidRPr="006F298B" w:rsidTr="00251F72">
        <w:tc>
          <w:tcPr>
            <w:tcW w:w="1521" w:type="dxa"/>
          </w:tcPr>
          <w:p w:rsidR="002F0E3F" w:rsidRPr="00D3780B" w:rsidRDefault="002F0E3F" w:rsidP="00251F72">
            <w:pPr>
              <w:autoSpaceDE w:val="0"/>
              <w:autoSpaceDN w:val="0"/>
              <w:adjustRightInd w:val="0"/>
              <w:rPr>
                <w:b/>
                <w:sz w:val="20"/>
                <w:szCs w:val="20"/>
                <w:lang w:val="es-ES"/>
              </w:rPr>
            </w:pPr>
            <w:r w:rsidRPr="00D3780B">
              <w:rPr>
                <w:b/>
                <w:sz w:val="20"/>
                <w:szCs w:val="20"/>
                <w:lang w:val="es-ES"/>
              </w:rPr>
              <w:t>Servicio Fitosanitario del Estado</w:t>
            </w:r>
          </w:p>
          <w:p w:rsidR="00F0185F" w:rsidRPr="00D3780B" w:rsidRDefault="00F0185F" w:rsidP="00251F72">
            <w:pPr>
              <w:autoSpaceDE w:val="0"/>
              <w:autoSpaceDN w:val="0"/>
              <w:adjustRightInd w:val="0"/>
              <w:rPr>
                <w:b/>
                <w:sz w:val="20"/>
                <w:szCs w:val="20"/>
                <w:lang w:val="es-ES"/>
              </w:rPr>
            </w:pPr>
          </w:p>
          <w:p w:rsidR="002F0E3F" w:rsidRPr="00D3780B" w:rsidRDefault="002F0E3F" w:rsidP="00251F72">
            <w:pPr>
              <w:autoSpaceDE w:val="0"/>
              <w:autoSpaceDN w:val="0"/>
              <w:adjustRightInd w:val="0"/>
              <w:rPr>
                <w:sz w:val="20"/>
                <w:szCs w:val="20"/>
                <w:lang w:val="es-ES"/>
              </w:rPr>
            </w:pPr>
            <w:r w:rsidRPr="00D3780B">
              <w:rPr>
                <w:b/>
                <w:sz w:val="20"/>
                <w:szCs w:val="20"/>
                <w:lang w:val="es-ES"/>
              </w:rPr>
              <w:t xml:space="preserve">Address: </w:t>
            </w:r>
            <w:r w:rsidRPr="00D3780B">
              <w:rPr>
                <w:sz w:val="20"/>
                <w:szCs w:val="20"/>
                <w:lang w:val="es-ES"/>
              </w:rPr>
              <w:t>Sabana Sur, Apdo. Postal 1521-1200 SJ; CRI.</w:t>
            </w:r>
          </w:p>
          <w:p w:rsidR="00F0185F" w:rsidRPr="00D3780B" w:rsidRDefault="00F0185F" w:rsidP="00251F72">
            <w:pPr>
              <w:autoSpaceDE w:val="0"/>
              <w:autoSpaceDN w:val="0"/>
              <w:adjustRightInd w:val="0"/>
              <w:rPr>
                <w:sz w:val="20"/>
                <w:szCs w:val="20"/>
                <w:lang w:val="es-ES"/>
              </w:rPr>
            </w:pPr>
          </w:p>
          <w:p w:rsidR="002F0E3F" w:rsidRPr="00D3780B" w:rsidRDefault="002F0E3F" w:rsidP="00D15960">
            <w:pPr>
              <w:rPr>
                <w:sz w:val="20"/>
                <w:szCs w:val="20"/>
                <w:lang w:val="es-ES"/>
              </w:rPr>
            </w:pPr>
            <w:r w:rsidRPr="00D3780B">
              <w:rPr>
                <w:rFonts w:cs="Calibri Light"/>
                <w:b/>
                <w:sz w:val="20"/>
                <w:szCs w:val="20"/>
                <w:lang w:val="es-ES"/>
              </w:rPr>
              <w:t>W</w:t>
            </w:r>
            <w:r w:rsidRPr="00D3780B">
              <w:rPr>
                <w:b/>
                <w:sz w:val="20"/>
                <w:szCs w:val="20"/>
                <w:lang w:val="es-ES"/>
              </w:rPr>
              <w:t xml:space="preserve">eb:  </w:t>
            </w:r>
            <w:hyperlink r:id="rId6" w:history="1">
              <w:r w:rsidRPr="00D3780B">
                <w:rPr>
                  <w:sz w:val="20"/>
                  <w:szCs w:val="20"/>
                  <w:lang w:val="es-ES"/>
                </w:rPr>
                <w:t>www.sfe.go.cr</w:t>
              </w:r>
            </w:hyperlink>
            <w:r w:rsidRPr="00D3780B">
              <w:rPr>
                <w:sz w:val="20"/>
                <w:szCs w:val="20"/>
                <w:lang w:val="es-ES"/>
              </w:rPr>
              <w:t xml:space="preserve">, </w:t>
            </w:r>
            <w:hyperlink r:id="rId7" w:history="1">
              <w:r w:rsidRPr="00D3780B">
                <w:rPr>
                  <w:sz w:val="20"/>
                  <w:szCs w:val="20"/>
                  <w:lang w:val="es-ES"/>
                </w:rPr>
                <w:t>https://www.ippc.int/en/countries/costa-rica/</w:t>
              </w:r>
            </w:hyperlink>
          </w:p>
          <w:p w:rsidR="002F0E3F" w:rsidRPr="00D3780B" w:rsidRDefault="002F0E3F" w:rsidP="00D15960">
            <w:pPr>
              <w:rPr>
                <w:sz w:val="20"/>
                <w:szCs w:val="20"/>
                <w:lang w:val="es-ES"/>
              </w:rPr>
            </w:pPr>
          </w:p>
          <w:p w:rsidR="002F0E3F" w:rsidRPr="00D3780B" w:rsidRDefault="002F0E3F" w:rsidP="00D15960">
            <w:pPr>
              <w:rPr>
                <w:sz w:val="20"/>
                <w:szCs w:val="20"/>
                <w:lang w:val="es-ES"/>
              </w:rPr>
            </w:pPr>
            <w:r w:rsidRPr="00D3780B">
              <w:rPr>
                <w:b/>
                <w:sz w:val="20"/>
                <w:szCs w:val="20"/>
                <w:lang w:val="es-ES"/>
              </w:rPr>
              <w:t xml:space="preserve">Email: </w:t>
            </w:r>
            <w:hyperlink r:id="rId8" w:history="1">
              <w:r w:rsidRPr="00D3780B">
                <w:rPr>
                  <w:sz w:val="20"/>
                  <w:szCs w:val="20"/>
                  <w:lang w:val="es-ES"/>
                </w:rPr>
                <w:t>puntocontactoCIPF@sfe.go.cr</w:t>
              </w:r>
            </w:hyperlink>
            <w:r w:rsidRPr="00D3780B">
              <w:rPr>
                <w:sz w:val="20"/>
                <w:szCs w:val="20"/>
                <w:lang w:val="es-ES"/>
              </w:rPr>
              <w:t>,</w:t>
            </w:r>
          </w:p>
          <w:p w:rsidR="002F0E3F" w:rsidRPr="00D3780B" w:rsidRDefault="008C0FFE" w:rsidP="00D15960">
            <w:pPr>
              <w:rPr>
                <w:sz w:val="20"/>
                <w:szCs w:val="20"/>
                <w:lang w:val="es-ES"/>
              </w:rPr>
            </w:pPr>
            <w:hyperlink r:id="rId9" w:history="1">
              <w:r w:rsidR="002F0E3F" w:rsidRPr="00D3780B">
                <w:rPr>
                  <w:sz w:val="20"/>
                  <w:szCs w:val="20"/>
                  <w:lang w:val="es-ES"/>
                </w:rPr>
                <w:t>puntodecontactoOMC@sfe.go.cr</w:t>
              </w:r>
            </w:hyperlink>
          </w:p>
          <w:p w:rsidR="002F0E3F" w:rsidRPr="00D3780B" w:rsidRDefault="002F0E3F" w:rsidP="00251F72">
            <w:pPr>
              <w:rPr>
                <w:sz w:val="20"/>
                <w:szCs w:val="20"/>
                <w:lang w:val="es-ES"/>
              </w:rPr>
            </w:pPr>
          </w:p>
          <w:p w:rsidR="002F0E3F" w:rsidRPr="00D3780B" w:rsidRDefault="002F0E3F" w:rsidP="00F0185F">
            <w:pPr>
              <w:rPr>
                <w:sz w:val="20"/>
                <w:szCs w:val="20"/>
                <w:lang w:val="es-ES"/>
              </w:rPr>
            </w:pPr>
            <w:r w:rsidRPr="00D3780B">
              <w:rPr>
                <w:b/>
                <w:sz w:val="20"/>
                <w:szCs w:val="20"/>
                <w:lang w:val="es-ES"/>
              </w:rPr>
              <w:t>Phone:</w:t>
            </w:r>
            <w:r w:rsidRPr="00D3780B">
              <w:rPr>
                <w:sz w:val="20"/>
                <w:szCs w:val="20"/>
                <w:lang w:val="es-ES"/>
              </w:rPr>
              <w:t xml:space="preserve"> (506) 254 934</w:t>
            </w:r>
            <w:r w:rsidR="00F0185F" w:rsidRPr="00D3780B">
              <w:rPr>
                <w:sz w:val="20"/>
                <w:szCs w:val="20"/>
                <w:lang w:val="es-ES"/>
              </w:rPr>
              <w:t>00</w:t>
            </w:r>
          </w:p>
        </w:tc>
        <w:tc>
          <w:tcPr>
            <w:tcW w:w="5495" w:type="dxa"/>
          </w:tcPr>
          <w:p w:rsidR="002F0E3F" w:rsidRPr="00D3780B" w:rsidRDefault="002F0E3F" w:rsidP="00251F72">
            <w:pPr>
              <w:pStyle w:val="ListParagraph"/>
              <w:numPr>
                <w:ilvl w:val="0"/>
                <w:numId w:val="1"/>
              </w:numPr>
              <w:ind w:left="175" w:hanging="142"/>
              <w:rPr>
                <w:sz w:val="20"/>
                <w:szCs w:val="20"/>
              </w:rPr>
            </w:pPr>
            <w:r w:rsidRPr="00D3780B">
              <w:rPr>
                <w:rFonts w:cs="Calibri Light"/>
                <w:sz w:val="20"/>
                <w:szCs w:val="20"/>
              </w:rPr>
              <w:t xml:space="preserve">The registration number is granted consecutively. There are several options for the information that the exporters can put on their boxes. They can put their registered name or they can use acronyms. For example: </w:t>
            </w:r>
          </w:p>
          <w:p w:rsidR="002F0E3F" w:rsidRPr="00D3780B" w:rsidRDefault="002F0E3F" w:rsidP="00512CC1">
            <w:pPr>
              <w:pStyle w:val="ListParagraph"/>
              <w:numPr>
                <w:ilvl w:val="1"/>
                <w:numId w:val="1"/>
              </w:numPr>
              <w:rPr>
                <w:sz w:val="20"/>
                <w:szCs w:val="20"/>
              </w:rPr>
            </w:pPr>
            <w:r w:rsidRPr="00D3780B">
              <w:rPr>
                <w:rFonts w:cs="Calibri Light"/>
                <w:sz w:val="20"/>
                <w:szCs w:val="20"/>
              </w:rPr>
              <w:t>EXP-MAG-3783 is the record of Exporter 3783.</w:t>
            </w:r>
          </w:p>
          <w:p w:rsidR="002F0E3F" w:rsidRPr="00D3780B" w:rsidRDefault="002F0E3F" w:rsidP="00D15960">
            <w:pPr>
              <w:ind w:left="33"/>
              <w:rPr>
                <w:sz w:val="20"/>
                <w:szCs w:val="20"/>
              </w:rPr>
            </w:pPr>
          </w:p>
          <w:p w:rsidR="002F0E3F" w:rsidRPr="00D3780B" w:rsidRDefault="002F0E3F" w:rsidP="00D15960">
            <w:pPr>
              <w:ind w:left="33"/>
              <w:rPr>
                <w:b/>
                <w:bCs/>
                <w:sz w:val="20"/>
                <w:szCs w:val="20"/>
              </w:rPr>
            </w:pPr>
            <w:r w:rsidRPr="00D3780B">
              <w:rPr>
                <w:b/>
                <w:bCs/>
                <w:sz w:val="20"/>
                <w:szCs w:val="20"/>
              </w:rPr>
              <w:t>The categories and their corresponding codes are:</w:t>
            </w:r>
          </w:p>
          <w:p w:rsidR="002F0E3F" w:rsidRPr="00D3780B" w:rsidRDefault="002F0E3F" w:rsidP="00D15960">
            <w:pPr>
              <w:ind w:left="33"/>
              <w:rPr>
                <w:sz w:val="20"/>
                <w:szCs w:val="20"/>
              </w:rPr>
            </w:pPr>
          </w:p>
          <w:p w:rsidR="002F0E3F" w:rsidRPr="00D3780B" w:rsidRDefault="002F0E3F" w:rsidP="00D15960">
            <w:pPr>
              <w:ind w:left="33"/>
              <w:rPr>
                <w:b/>
                <w:bCs/>
                <w:sz w:val="20"/>
                <w:szCs w:val="20"/>
              </w:rPr>
            </w:pPr>
            <w:r w:rsidRPr="00D3780B">
              <w:rPr>
                <w:b/>
                <w:sz w:val="20"/>
                <w:szCs w:val="20"/>
              </w:rPr>
              <w:t>PACKAGER:</w:t>
            </w:r>
            <w:r w:rsidRPr="00D3780B">
              <w:rPr>
                <w:sz w:val="20"/>
                <w:szCs w:val="20"/>
              </w:rPr>
              <w:t xml:space="preserve"> This category is for those that own their own packer: </w:t>
            </w:r>
            <w:r w:rsidRPr="00D3780B">
              <w:rPr>
                <w:b/>
                <w:bCs/>
                <w:sz w:val="20"/>
                <w:szCs w:val="20"/>
              </w:rPr>
              <w:t>EMP-MAG-</w:t>
            </w:r>
          </w:p>
          <w:p w:rsidR="002F0E3F" w:rsidRPr="00D3780B" w:rsidRDefault="002F0E3F" w:rsidP="00D15960">
            <w:pPr>
              <w:ind w:left="33"/>
              <w:rPr>
                <w:b/>
                <w:sz w:val="20"/>
                <w:szCs w:val="20"/>
              </w:rPr>
            </w:pPr>
          </w:p>
          <w:p w:rsidR="002F0E3F" w:rsidRPr="00D3780B" w:rsidRDefault="002F0E3F" w:rsidP="00D15960">
            <w:pPr>
              <w:ind w:left="33"/>
              <w:rPr>
                <w:b/>
                <w:bCs/>
                <w:sz w:val="20"/>
                <w:szCs w:val="20"/>
              </w:rPr>
            </w:pPr>
            <w:r w:rsidRPr="00D3780B">
              <w:rPr>
                <w:b/>
                <w:sz w:val="20"/>
                <w:szCs w:val="20"/>
              </w:rPr>
              <w:t>MARKETER:</w:t>
            </w:r>
            <w:r w:rsidRPr="00D3780B">
              <w:rPr>
                <w:sz w:val="20"/>
                <w:szCs w:val="20"/>
              </w:rPr>
              <w:t xml:space="preserve"> In this category, the facility does not have its own packer and purchases them packaged. In this case two codes must appear, one for the packer and the other for the exporter: </w:t>
            </w:r>
            <w:r w:rsidRPr="00D3780B">
              <w:rPr>
                <w:b/>
                <w:bCs/>
                <w:sz w:val="20"/>
                <w:szCs w:val="20"/>
              </w:rPr>
              <w:t>EMP-MAG- and EXP-MAG-</w:t>
            </w:r>
          </w:p>
          <w:p w:rsidR="002F0E3F" w:rsidRPr="00D3780B" w:rsidRDefault="002F0E3F" w:rsidP="00D15960">
            <w:pPr>
              <w:ind w:left="33"/>
              <w:rPr>
                <w:b/>
                <w:sz w:val="20"/>
                <w:szCs w:val="20"/>
              </w:rPr>
            </w:pPr>
          </w:p>
          <w:p w:rsidR="002F0E3F" w:rsidRPr="00D3780B" w:rsidRDefault="002F0E3F" w:rsidP="00D15960">
            <w:pPr>
              <w:ind w:left="33"/>
              <w:rPr>
                <w:sz w:val="20"/>
                <w:szCs w:val="20"/>
              </w:rPr>
            </w:pPr>
            <w:r w:rsidRPr="00D3780B">
              <w:rPr>
                <w:b/>
                <w:sz w:val="20"/>
                <w:szCs w:val="20"/>
              </w:rPr>
              <w:t>BOTH:</w:t>
            </w:r>
            <w:r w:rsidRPr="00D3780B">
              <w:rPr>
                <w:sz w:val="20"/>
                <w:szCs w:val="20"/>
              </w:rPr>
              <w:t xml:space="preserve"> In this category, the facility owns its own packing house and buys packaged products (i.e. it has suppliers). In this case either one or two codes can be used: </w:t>
            </w:r>
            <w:r w:rsidRPr="00D3780B">
              <w:rPr>
                <w:b/>
                <w:bCs/>
                <w:sz w:val="20"/>
                <w:szCs w:val="20"/>
              </w:rPr>
              <w:t>EMP-MAG- and EMP-MAG-</w:t>
            </w:r>
          </w:p>
        </w:tc>
        <w:tc>
          <w:tcPr>
            <w:tcW w:w="5916" w:type="dxa"/>
          </w:tcPr>
          <w:p w:rsidR="002F0E3F" w:rsidRPr="006F298B" w:rsidRDefault="002F0E3F" w:rsidP="00251F72">
            <w:pPr>
              <w:rPr>
                <w:sz w:val="18"/>
                <w:szCs w:val="18"/>
              </w:rPr>
            </w:pPr>
          </w:p>
        </w:tc>
      </w:tr>
    </w:tbl>
    <w:p w:rsidR="002F1D65" w:rsidRDefault="002F1D65" w:rsidP="00D15960"/>
    <w:p w:rsidR="001E4C0C" w:rsidRDefault="00D3780B" w:rsidP="00871608">
      <w:r>
        <w:rPr>
          <w:sz w:val="16"/>
          <w:szCs w:val="16"/>
        </w:rPr>
        <w:lastRenderedPageBreak/>
        <w:t xml:space="preserve">Note: </w:t>
      </w:r>
      <w:r w:rsidR="002F1D65" w:rsidRPr="00D3780B">
        <w:rPr>
          <w:sz w:val="16"/>
          <w:szCs w:val="16"/>
        </w:rPr>
        <w:t>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sectPr w:rsidR="001E4C0C" w:rsidSect="002225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B3"/>
    <w:rsid w:val="000D1B50"/>
    <w:rsid w:val="001E4C0C"/>
    <w:rsid w:val="002F0E3F"/>
    <w:rsid w:val="002F1D65"/>
    <w:rsid w:val="00512CC1"/>
    <w:rsid w:val="00566B84"/>
    <w:rsid w:val="0063441B"/>
    <w:rsid w:val="006530B3"/>
    <w:rsid w:val="00871608"/>
    <w:rsid w:val="008C0FFE"/>
    <w:rsid w:val="00A350D5"/>
    <w:rsid w:val="00D15960"/>
    <w:rsid w:val="00D3780B"/>
    <w:rsid w:val="00F018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960"/>
    <w:pPr>
      <w:ind w:left="720"/>
      <w:contextualSpacing/>
    </w:pPr>
  </w:style>
  <w:style w:type="character" w:styleId="Hyperlink">
    <w:name w:val="Hyperlink"/>
    <w:basedOn w:val="DefaultParagraphFont"/>
    <w:uiPriority w:val="99"/>
    <w:unhideWhenUsed/>
    <w:rsid w:val="00D15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960"/>
    <w:pPr>
      <w:ind w:left="720"/>
      <w:contextualSpacing/>
    </w:pPr>
  </w:style>
  <w:style w:type="character" w:styleId="Hyperlink">
    <w:name w:val="Hyperlink"/>
    <w:basedOn w:val="DefaultParagraphFont"/>
    <w:uiPriority w:val="99"/>
    <w:unhideWhenUsed/>
    <w:rsid w:val="00D15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566741">
      <w:bodyDiv w:val="1"/>
      <w:marLeft w:val="0"/>
      <w:marRight w:val="0"/>
      <w:marTop w:val="0"/>
      <w:marBottom w:val="0"/>
      <w:divBdr>
        <w:top w:val="none" w:sz="0" w:space="0" w:color="auto"/>
        <w:left w:val="none" w:sz="0" w:space="0" w:color="auto"/>
        <w:bottom w:val="none" w:sz="0" w:space="0" w:color="auto"/>
        <w:right w:val="none" w:sz="0" w:space="0" w:color="auto"/>
      </w:divBdr>
      <w:divsChild>
        <w:div w:id="144008342">
          <w:marLeft w:val="0"/>
          <w:marRight w:val="0"/>
          <w:marTop w:val="0"/>
          <w:marBottom w:val="0"/>
          <w:divBdr>
            <w:top w:val="none" w:sz="0" w:space="0" w:color="auto"/>
            <w:left w:val="none" w:sz="0" w:space="0" w:color="auto"/>
            <w:bottom w:val="none" w:sz="0" w:space="0" w:color="auto"/>
            <w:right w:val="none" w:sz="0" w:space="0" w:color="auto"/>
          </w:divBdr>
          <w:divsChild>
            <w:div w:id="947081401">
              <w:marLeft w:val="0"/>
              <w:marRight w:val="0"/>
              <w:marTop w:val="0"/>
              <w:marBottom w:val="0"/>
              <w:divBdr>
                <w:top w:val="none" w:sz="0" w:space="0" w:color="auto"/>
                <w:left w:val="none" w:sz="0" w:space="0" w:color="auto"/>
                <w:bottom w:val="none" w:sz="0" w:space="0" w:color="auto"/>
                <w:right w:val="none" w:sz="0" w:space="0" w:color="auto"/>
              </w:divBdr>
            </w:div>
            <w:div w:id="2048290340">
              <w:marLeft w:val="0"/>
              <w:marRight w:val="0"/>
              <w:marTop w:val="0"/>
              <w:marBottom w:val="0"/>
              <w:divBdr>
                <w:top w:val="none" w:sz="0" w:space="0" w:color="auto"/>
                <w:left w:val="none" w:sz="0" w:space="0" w:color="auto"/>
                <w:bottom w:val="none" w:sz="0" w:space="0" w:color="auto"/>
                <w:right w:val="none" w:sz="0" w:space="0" w:color="auto"/>
              </w:divBdr>
            </w:div>
            <w:div w:id="21344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CIPF@sfe.go.cr" TargetMode="External"/><Relationship Id="rId3" Type="http://schemas.microsoft.com/office/2007/relationships/stylesWithEffects" Target="stylesWithEffects.xml"/><Relationship Id="rId7" Type="http://schemas.openxmlformats.org/officeDocument/2006/relationships/hyperlink" Target="https://www.ippc.int/en/countries/costa-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e.go.c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ntodecontactoOMC@sfe.g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 Yavuz</dc:creator>
  <cp:keywords/>
  <dc:description/>
  <cp:lastModifiedBy>Korkut Yavuz</cp:lastModifiedBy>
  <cp:revision>8</cp:revision>
  <dcterms:created xsi:type="dcterms:W3CDTF">2018-01-31T07:19:00Z</dcterms:created>
  <dcterms:modified xsi:type="dcterms:W3CDTF">2018-02-22T13:59:00Z</dcterms:modified>
</cp:coreProperties>
</file>