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CC" w:rsidRPr="00493C8F" w:rsidRDefault="00763ACC">
      <w:pPr>
        <w:jc w:val="center"/>
        <w:rPr>
          <w:rFonts w:ascii="Verdana" w:hAnsi="Verdana"/>
          <w:sz w:val="10"/>
          <w:szCs w:val="2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FB52F7" w:rsidTr="00493C8F">
        <w:trPr>
          <w:trHeight w:val="20"/>
        </w:trPr>
        <w:tc>
          <w:tcPr>
            <w:tcW w:w="9923" w:type="dxa"/>
            <w:gridSpan w:val="2"/>
            <w:vAlign w:val="center"/>
          </w:tcPr>
          <w:p w:rsidR="00FB52F7" w:rsidRDefault="001A7E9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Company profile, basic details</w:t>
            </w:r>
          </w:p>
        </w:tc>
      </w:tr>
      <w:tr w:rsidR="00FB52F7" w:rsidTr="00493C8F">
        <w:trPr>
          <w:trHeight w:val="20"/>
        </w:trPr>
        <w:tc>
          <w:tcPr>
            <w:tcW w:w="2552" w:type="dxa"/>
            <w:vAlign w:val="center"/>
          </w:tcPr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Point of contact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Position (Job Title)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Telephone Number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Fax Number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Ulrich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Wrage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and Dieter Spark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CEO (both)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+49 (040) 370 03 400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+49 (040) 370 03 370</w:t>
            </w:r>
          </w:p>
          <w:p w:rsidR="00FB52F7" w:rsidRDefault="00AB66C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hyperlink r:id="rId8" w:history="1">
              <w:r w:rsidR="00FB52F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spark@dakosy.de</w:t>
              </w:r>
            </w:hyperlink>
            <w:r w:rsidR="00FB52F7">
              <w:rPr>
                <w:rFonts w:ascii="Verdana" w:hAnsi="Verdana"/>
                <w:sz w:val="20"/>
                <w:szCs w:val="20"/>
                <w:lang w:val="en-US"/>
              </w:rPr>
              <w:t xml:space="preserve"> and </w:t>
            </w:r>
            <w:hyperlink r:id="rId9" w:history="1">
              <w:r w:rsidR="00FB52F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wrage@dakosy.de</w:t>
              </w:r>
            </w:hyperlink>
            <w:r w:rsidR="00FB52F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FB52F7" w:rsidRPr="00D84432" w:rsidTr="00493C8F">
        <w:trPr>
          <w:trHeight w:val="20"/>
        </w:trPr>
        <w:tc>
          <w:tcPr>
            <w:tcW w:w="2552" w:type="dxa"/>
            <w:vAlign w:val="center"/>
          </w:tcPr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Name of Company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Website Address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Pr="003161FF" w:rsidRDefault="00FB52F7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3161FF">
              <w:rPr>
                <w:rFonts w:ascii="Verdana" w:hAnsi="Verdana"/>
                <w:sz w:val="20"/>
                <w:szCs w:val="20"/>
                <w:lang w:val="de-DE"/>
              </w:rPr>
              <w:t>DAKOSY</w:t>
            </w:r>
          </w:p>
          <w:p w:rsidR="00FB52F7" w:rsidRPr="003161FF" w:rsidRDefault="00FB52F7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3161FF">
              <w:rPr>
                <w:rFonts w:ascii="Verdana" w:hAnsi="Verdana"/>
                <w:sz w:val="20"/>
                <w:szCs w:val="20"/>
                <w:lang w:val="de-DE"/>
              </w:rPr>
              <w:t>Datenkommunikationssystem AG</w:t>
            </w:r>
          </w:p>
          <w:p w:rsidR="00FB52F7" w:rsidRPr="003161FF" w:rsidRDefault="00FB52F7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3161FF">
              <w:rPr>
                <w:rFonts w:ascii="Verdana" w:hAnsi="Verdana"/>
                <w:sz w:val="20"/>
                <w:szCs w:val="20"/>
                <w:lang w:val="de-DE"/>
              </w:rPr>
              <w:t>Mattentwiete 2</w:t>
            </w:r>
          </w:p>
          <w:p w:rsidR="00FB52F7" w:rsidRPr="003161FF" w:rsidRDefault="00FB52F7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3161FF">
              <w:rPr>
                <w:rFonts w:ascii="Verdana" w:hAnsi="Verdana"/>
                <w:sz w:val="20"/>
                <w:szCs w:val="20"/>
                <w:lang w:val="de-DE"/>
              </w:rPr>
              <w:t>20457 Hamburg</w:t>
            </w:r>
          </w:p>
          <w:p w:rsidR="00FB52F7" w:rsidRPr="003161FF" w:rsidRDefault="00AB66C5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hyperlink r:id="rId10" w:history="1">
              <w:r w:rsidR="00FB52F7" w:rsidRPr="003161FF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http://www.dakosy.de</w:t>
              </w:r>
            </w:hyperlink>
            <w:r w:rsidR="00FB52F7" w:rsidRPr="003161FF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</w:tc>
      </w:tr>
      <w:tr w:rsidR="00FB52F7" w:rsidTr="00493C8F">
        <w:trPr>
          <w:trHeight w:val="20"/>
        </w:trPr>
        <w:tc>
          <w:tcPr>
            <w:tcW w:w="2552" w:type="dxa"/>
            <w:vAlign w:val="center"/>
          </w:tcPr>
          <w:p w:rsidR="00FB52F7" w:rsidRDefault="00FB52F7" w:rsidP="003161F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Type of organization 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FB52F7" w:rsidP="003161F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private company</w:t>
            </w:r>
          </w:p>
        </w:tc>
      </w:tr>
      <w:tr w:rsidR="00FB52F7" w:rsidTr="00493C8F">
        <w:trPr>
          <w:trHeight w:val="20"/>
        </w:trPr>
        <w:tc>
          <w:tcPr>
            <w:tcW w:w="2552" w:type="dxa"/>
            <w:vAlign w:val="center"/>
          </w:tcPr>
          <w:p w:rsidR="00FB52F7" w:rsidRDefault="00FB52F7" w:rsidP="003161F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Shareholder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FB52F7" w:rsidP="003161F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The port industry, represented by </w:t>
            </w:r>
            <w:r w:rsidR="001F130F">
              <w:rPr>
                <w:rFonts w:ascii="Verdana" w:hAnsi="Verdana"/>
                <w:sz w:val="20"/>
                <w:szCs w:val="20"/>
                <w:lang w:val="en-US"/>
              </w:rPr>
              <w:t>p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rofessional “associations”:</w:t>
            </w:r>
          </w:p>
          <w:p w:rsidR="00FB52F7" w:rsidRDefault="00FB52F7" w:rsidP="003161F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DIHLA: 33.3% (Association of Liner Agents and Carrier)</w:t>
            </w:r>
          </w:p>
          <w:p w:rsidR="00FB52F7" w:rsidRDefault="00FB52F7" w:rsidP="003161F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DIHS: 33.3% (Association of Forwarder)</w:t>
            </w:r>
          </w:p>
          <w:p w:rsidR="00FB52F7" w:rsidRDefault="00FB52F7" w:rsidP="003161F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DIHU:33.3% (Association of Quay Operators)</w:t>
            </w:r>
          </w:p>
        </w:tc>
      </w:tr>
      <w:tr w:rsidR="00FB52F7" w:rsidTr="00493C8F">
        <w:trPr>
          <w:trHeight w:val="20"/>
        </w:trPr>
        <w:tc>
          <w:tcPr>
            <w:tcW w:w="2552" w:type="dxa"/>
            <w:vAlign w:val="center"/>
          </w:tcPr>
          <w:p w:rsidR="00FB52F7" w:rsidRDefault="00FB52F7" w:rsidP="003516E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Established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FB52F7" w:rsidP="003161F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1982 </w:t>
            </w:r>
          </w:p>
        </w:tc>
      </w:tr>
      <w:tr w:rsidR="00871942" w:rsidTr="00493C8F">
        <w:trPr>
          <w:trHeight w:val="20"/>
        </w:trPr>
        <w:tc>
          <w:tcPr>
            <w:tcW w:w="2552" w:type="dxa"/>
            <w:vAlign w:val="center"/>
          </w:tcPr>
          <w:p w:rsidR="00871942" w:rsidRDefault="00871942" w:rsidP="003516E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Employees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871942" w:rsidRDefault="00871942" w:rsidP="003161F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71942">
              <w:rPr>
                <w:rFonts w:ascii="Verdana" w:hAnsi="Verdana"/>
                <w:bCs/>
                <w:sz w:val="20"/>
                <w:szCs w:val="20"/>
              </w:rPr>
              <w:t>220</w:t>
            </w:r>
            <w:r w:rsidRPr="0087194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871942">
              <w:rPr>
                <w:rFonts w:ascii="Verdana" w:hAnsi="Verdana"/>
                <w:sz w:val="20"/>
                <w:szCs w:val="20"/>
              </w:rPr>
              <w:t xml:space="preserve">(incl. Subsidiary </w:t>
            </w:r>
            <w:proofErr w:type="spellStart"/>
            <w:r w:rsidRPr="00871942">
              <w:rPr>
                <w:rFonts w:ascii="Verdana" w:hAnsi="Verdana"/>
                <w:sz w:val="20"/>
                <w:szCs w:val="20"/>
              </w:rPr>
              <w:t>CargoSoft</w:t>
            </w:r>
            <w:proofErr w:type="spellEnd"/>
            <w:r w:rsidRPr="00871942">
              <w:rPr>
                <w:rFonts w:ascii="Verdana" w:hAnsi="Verdana"/>
                <w:sz w:val="20"/>
                <w:szCs w:val="20"/>
              </w:rPr>
              <w:t xml:space="preserve"> GmbH Bremen)</w:t>
            </w:r>
          </w:p>
        </w:tc>
      </w:tr>
      <w:tr w:rsidR="00FB52F7" w:rsidTr="00493C8F">
        <w:trPr>
          <w:trHeight w:val="20"/>
        </w:trPr>
        <w:tc>
          <w:tcPr>
            <w:tcW w:w="2552" w:type="dxa"/>
            <w:vAlign w:val="center"/>
          </w:tcPr>
          <w:p w:rsidR="00FB52F7" w:rsidRDefault="00FB52F7" w:rsidP="003516E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Turnover 2012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871942" w:rsidP="003161F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26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mio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Euro</w:t>
            </w:r>
          </w:p>
        </w:tc>
      </w:tr>
      <w:tr w:rsidR="00871942" w:rsidTr="00493C8F">
        <w:trPr>
          <w:trHeight w:val="20"/>
        </w:trPr>
        <w:tc>
          <w:tcPr>
            <w:tcW w:w="2552" w:type="dxa"/>
            <w:vAlign w:val="center"/>
          </w:tcPr>
          <w:p w:rsidR="00871942" w:rsidRDefault="00871942" w:rsidP="003516E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Service times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871942" w:rsidRDefault="00871942" w:rsidP="003161F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24/7</w:t>
            </w:r>
          </w:p>
        </w:tc>
      </w:tr>
      <w:tr w:rsidR="00FB52F7" w:rsidTr="00493C8F">
        <w:trPr>
          <w:trHeight w:val="20"/>
        </w:trPr>
        <w:tc>
          <w:tcPr>
            <w:tcW w:w="2552" w:type="dxa"/>
            <w:vAlign w:val="center"/>
          </w:tcPr>
          <w:p w:rsidR="00FB52F7" w:rsidRDefault="00871942" w:rsidP="008719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Key features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Full-extent support of Import- and Export-processes 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EDI management, </w:t>
            </w:r>
            <w:r>
              <w:rPr>
                <w:rFonts w:ascii="Verdana" w:hAnsi="Verdana"/>
                <w:sz w:val="20"/>
              </w:rPr>
              <w:t xml:space="preserve">providing EDI-Services alongside the whole chain. </w:t>
            </w:r>
            <w:proofErr w:type="spellStart"/>
            <w:r>
              <w:rPr>
                <w:rFonts w:ascii="Verdana" w:hAnsi="Verdana"/>
                <w:sz w:val="20"/>
              </w:rPr>
              <w:t>Finetuning</w:t>
            </w:r>
            <w:proofErr w:type="spellEnd"/>
            <w:r>
              <w:rPr>
                <w:rFonts w:ascii="Verdana" w:hAnsi="Verdana"/>
                <w:sz w:val="20"/>
              </w:rPr>
              <w:t xml:space="preserve"> of existing processes</w:t>
            </w:r>
          </w:p>
          <w:p w:rsidR="00FB52F7" w:rsidRDefault="00871942">
            <w:pPr>
              <w:tabs>
                <w:tab w:val="left" w:pos="1833"/>
              </w:tabs>
              <w:ind w:left="1833" w:hanging="183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Main platforms:</w:t>
            </w:r>
          </w:p>
          <w:p w:rsidR="00871942" w:rsidRDefault="00871942">
            <w:pPr>
              <w:tabs>
                <w:tab w:val="left" w:pos="1833"/>
              </w:tabs>
              <w:ind w:left="1833" w:hanging="183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IMP: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  <w:t>Import Message Platform</w:t>
            </w:r>
          </w:p>
          <w:p w:rsidR="00871942" w:rsidRDefault="00871942">
            <w:pPr>
              <w:tabs>
                <w:tab w:val="left" w:pos="1833"/>
              </w:tabs>
              <w:ind w:left="1833" w:hanging="183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EMP: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  <w:t>Export Message Platform</w:t>
            </w:r>
          </w:p>
          <w:p w:rsidR="00871942" w:rsidRDefault="00871942">
            <w:pPr>
              <w:tabs>
                <w:tab w:val="left" w:pos="1833"/>
              </w:tabs>
              <w:ind w:left="1833" w:hanging="183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The following services/platforms are all integrated into EMP and IMP:</w:t>
            </w:r>
          </w:p>
          <w:p w:rsidR="00FB52F7" w:rsidRDefault="00FB52F7">
            <w:pPr>
              <w:tabs>
                <w:tab w:val="left" w:pos="1833"/>
              </w:tabs>
              <w:ind w:left="1833" w:hanging="1833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Prise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  <w:t xml:space="preserve">Port River Information System Elbe, optimizing information flow for ship movements </w:t>
            </w:r>
          </w:p>
          <w:p w:rsidR="00FB52F7" w:rsidRDefault="00FB52F7">
            <w:pPr>
              <w:tabs>
                <w:tab w:val="left" w:pos="1833"/>
              </w:tabs>
              <w:ind w:left="1833" w:hanging="183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ZODIAK: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  <w:t>customs management</w:t>
            </w:r>
          </w:p>
          <w:p w:rsidR="00FB52F7" w:rsidRDefault="00FB52F7">
            <w:pPr>
              <w:tabs>
                <w:tab w:val="left" w:pos="1833"/>
              </w:tabs>
              <w:ind w:left="1833" w:hanging="1833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CargoSoft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  <w:t>international freight air and sea</w:t>
            </w:r>
          </w:p>
          <w:p w:rsidR="00FB52F7" w:rsidRDefault="00FB52F7">
            <w:pPr>
              <w:tabs>
                <w:tab w:val="left" w:pos="1833"/>
              </w:tabs>
              <w:ind w:left="1833" w:hanging="183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GEGIS: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  <w:t>dangerous good management</w:t>
            </w:r>
          </w:p>
          <w:p w:rsidR="00FB52F7" w:rsidRDefault="00FB52F7">
            <w:pPr>
              <w:tabs>
                <w:tab w:val="left" w:pos="1833"/>
              </w:tabs>
              <w:ind w:left="1833" w:hanging="183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UNIKAT: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Transportmanagement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Containerhinterland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disposition for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Railoperator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and their clients</w:t>
            </w:r>
          </w:p>
          <w:p w:rsidR="00FB52F7" w:rsidRDefault="00FB52F7">
            <w:pPr>
              <w:tabs>
                <w:tab w:val="left" w:pos="1833"/>
              </w:tabs>
              <w:ind w:left="1833" w:hanging="1833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TRUCKSTATION: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Transportmanagement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for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Truckoperator</w:t>
            </w:r>
            <w:proofErr w:type="spellEnd"/>
          </w:p>
        </w:tc>
      </w:tr>
      <w:tr w:rsidR="00FB52F7" w:rsidTr="00493C8F">
        <w:trPr>
          <w:trHeight w:val="20"/>
        </w:trPr>
        <w:tc>
          <w:tcPr>
            <w:tcW w:w="2552" w:type="dxa"/>
            <w:vAlign w:val="center"/>
          </w:tcPr>
          <w:p w:rsidR="00FB52F7" w:rsidRDefault="00FB52F7" w:rsidP="0087194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services and transactions </w:t>
            </w:r>
            <w:r w:rsidR="00871942">
              <w:rPr>
                <w:rFonts w:ascii="Verdana" w:hAnsi="Verdana"/>
                <w:sz w:val="20"/>
                <w:szCs w:val="20"/>
                <w:lang w:val="en-US"/>
              </w:rPr>
              <w:t>provided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Bill of Lading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Booking/ Booking Confirmation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Codes (Master Data etc.)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Consignment Data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Damage/Repair Report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Dangerous Goods Declaration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Free Formatted Data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Gate-In</w:t>
            </w:r>
            <w:r w:rsidR="00871942">
              <w:rPr>
                <w:rFonts w:ascii="Verdana" w:hAnsi="Verdana"/>
                <w:sz w:val="20"/>
                <w:szCs w:val="20"/>
                <w:lang w:val="en-US"/>
              </w:rPr>
              <w:t xml:space="preserve"> Report/ Gate-Out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Report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Import-Announcement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Invoices</w:t>
            </w:r>
          </w:p>
          <w:p w:rsidR="00FB52F7" w:rsidRPr="00493C8F" w:rsidRDefault="003E6259" w:rsidP="003E6259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493C8F">
              <w:rPr>
                <w:rFonts w:ascii="Verdana" w:hAnsi="Verdana"/>
                <w:sz w:val="20"/>
                <w:szCs w:val="20"/>
                <w:lang w:val="en-US"/>
              </w:rPr>
              <w:t>Railrelated</w:t>
            </w:r>
            <w:proofErr w:type="spellEnd"/>
            <w:r w:rsidRPr="00493C8F">
              <w:rPr>
                <w:rFonts w:ascii="Verdana" w:hAnsi="Verdana"/>
                <w:sz w:val="20"/>
                <w:szCs w:val="20"/>
                <w:lang w:val="en-US"/>
              </w:rPr>
              <w:t xml:space="preserve"> messages like: </w:t>
            </w:r>
            <w:r w:rsidR="00FB52F7" w:rsidRPr="00493C8F">
              <w:rPr>
                <w:rFonts w:ascii="Verdana" w:hAnsi="Verdana"/>
                <w:sz w:val="20"/>
                <w:szCs w:val="20"/>
                <w:lang w:val="en-US"/>
              </w:rPr>
              <w:t>Load Order</w:t>
            </w:r>
            <w:r w:rsidRPr="00493C8F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="00FB52F7" w:rsidRPr="00493C8F">
              <w:rPr>
                <w:rFonts w:ascii="Verdana" w:hAnsi="Verdana"/>
                <w:sz w:val="20"/>
                <w:szCs w:val="20"/>
                <w:lang w:val="en-US"/>
              </w:rPr>
              <w:t>Load Status</w:t>
            </w:r>
            <w:r w:rsidRPr="00493C8F">
              <w:rPr>
                <w:rFonts w:ascii="Verdana" w:hAnsi="Verdana"/>
                <w:sz w:val="20"/>
                <w:szCs w:val="20"/>
                <w:lang w:val="en-US"/>
              </w:rPr>
              <w:t>, Wagon Sequence Rail</w:t>
            </w:r>
            <w:r w:rsidR="00493C8F" w:rsidRPr="00493C8F">
              <w:rPr>
                <w:rFonts w:ascii="Verdana" w:hAnsi="Verdana"/>
                <w:sz w:val="20"/>
                <w:szCs w:val="20"/>
                <w:lang w:val="en-US"/>
              </w:rPr>
              <w:t xml:space="preserve">, Rail Customs Declaration </w:t>
            </w:r>
            <w:r w:rsidRPr="00493C8F">
              <w:rPr>
                <w:rFonts w:ascii="Verdana" w:hAnsi="Verdana"/>
                <w:sz w:val="20"/>
                <w:szCs w:val="20"/>
                <w:lang w:val="en-US"/>
              </w:rPr>
              <w:t>etc.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Load-/Discharge Report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Manifest Data</w:t>
            </w:r>
          </w:p>
          <w:p w:rsidR="00FB52F7" w:rsidRDefault="003E6259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customs declaration </w:t>
            </w:r>
            <w:r w:rsidR="00493C8F">
              <w:rPr>
                <w:rFonts w:ascii="Verdana" w:hAnsi="Verdana"/>
                <w:sz w:val="20"/>
                <w:szCs w:val="20"/>
                <w:lang w:val="en-US"/>
              </w:rPr>
              <w:t>of Germany, Switzerland, Austria and Netherlands</w:t>
            </w:r>
          </w:p>
          <w:p w:rsidR="00493C8F" w:rsidRDefault="00493C8F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Advance filing declaration incl. ICS for whole Europe as well as the systems of USA, Canada, Israel and Japan</w:t>
            </w:r>
          </w:p>
          <w:p w:rsidR="00493C8F" w:rsidRPr="00493C8F" w:rsidRDefault="00493C8F" w:rsidP="00493C8F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Exp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Decs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Rotterdam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Port Order Bremen</w:t>
            </w:r>
            <w:r w:rsidR="003E6259">
              <w:rPr>
                <w:rFonts w:ascii="Verdana" w:hAnsi="Verdana"/>
                <w:sz w:val="20"/>
                <w:szCs w:val="20"/>
                <w:lang w:val="en-US"/>
              </w:rPr>
              <w:t xml:space="preserve"> and Hamburg as well as Rotterdam, </w:t>
            </w:r>
            <w:proofErr w:type="spellStart"/>
            <w:r w:rsidR="003E6259">
              <w:rPr>
                <w:rFonts w:ascii="Verdana" w:hAnsi="Verdana"/>
                <w:sz w:val="20"/>
                <w:szCs w:val="20"/>
                <w:lang w:val="en-US"/>
              </w:rPr>
              <w:t>Antwerpen</w:t>
            </w:r>
            <w:proofErr w:type="spellEnd"/>
            <w:r w:rsidR="003E6259">
              <w:rPr>
                <w:rFonts w:ascii="Verdana" w:hAnsi="Verdana"/>
                <w:sz w:val="20"/>
                <w:szCs w:val="20"/>
                <w:lang w:val="en-US"/>
              </w:rPr>
              <w:t xml:space="preserve"> and Amsterdam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Pre-Announcement Truck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Release of Goods</w:t>
            </w:r>
          </w:p>
          <w:p w:rsidR="00493C8F" w:rsidRDefault="00493C8F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Gate Pass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Sailing Schedules</w:t>
            </w:r>
          </w:p>
          <w:p w:rsidR="00FB52F7" w:rsidRPr="003E6259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3E6259">
              <w:rPr>
                <w:rFonts w:ascii="Verdana" w:hAnsi="Verdana"/>
                <w:sz w:val="20"/>
                <w:szCs w:val="20"/>
                <w:lang w:val="en-US"/>
              </w:rPr>
              <w:t>Ships Arrivals</w:t>
            </w:r>
            <w:r w:rsidR="003E6259" w:rsidRPr="003E6259">
              <w:rPr>
                <w:rFonts w:ascii="Verdana" w:hAnsi="Verdana"/>
                <w:sz w:val="20"/>
                <w:szCs w:val="20"/>
                <w:lang w:val="en-US"/>
              </w:rPr>
              <w:t xml:space="preserve"> and </w:t>
            </w:r>
            <w:r w:rsidRPr="003E6259">
              <w:rPr>
                <w:rFonts w:ascii="Verdana" w:hAnsi="Verdana"/>
                <w:sz w:val="20"/>
                <w:szCs w:val="20"/>
                <w:lang w:val="en-US"/>
              </w:rPr>
              <w:t>Departures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Statistical Data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Status Messages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Stowage Plans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Transport Orders (Rail, Truck, Ship, Barge)</w:t>
            </w:r>
          </w:p>
          <w:p w:rsidR="00FB52F7" w:rsidRDefault="00FB52F7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Declarations for Authorities according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Anlaufbedingungsverordnung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(Directive 2010/65)</w:t>
            </w:r>
          </w:p>
          <w:p w:rsidR="00493C8F" w:rsidRDefault="00493C8F" w:rsidP="0036347E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All messages listed in EPCSA message guide</w:t>
            </w:r>
          </w:p>
        </w:tc>
      </w:tr>
      <w:tr w:rsidR="00FB52F7" w:rsidTr="00493C8F">
        <w:trPr>
          <w:trHeight w:val="20"/>
        </w:trPr>
        <w:tc>
          <w:tcPr>
            <w:tcW w:w="2552" w:type="dxa"/>
            <w:vAlign w:val="center"/>
          </w:tcPr>
          <w:p w:rsidR="00FB52F7" w:rsidRDefault="00FB52F7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processes/procedures </w:t>
            </w:r>
            <w:r w:rsidR="00BB12CD">
              <w:rPr>
                <w:rFonts w:ascii="Verdana" w:hAnsi="Verdana"/>
                <w:sz w:val="20"/>
                <w:szCs w:val="20"/>
                <w:lang w:val="en-US"/>
              </w:rPr>
              <w:t>covered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Based on a set of systems: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Eportprocedures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: EMP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Exportplatform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Importprocedures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: IMP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Importplatform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Customs handling (ATLAS, Europe): ZODIAK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Customs export procedures: ZAPP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International freight forwarding: </w:t>
            </w:r>
            <w:proofErr w:type="spellStart"/>
            <w:r w:rsidR="00493C8F">
              <w:rPr>
                <w:rFonts w:ascii="Verdana" w:hAnsi="Verdana"/>
                <w:sz w:val="20"/>
                <w:szCs w:val="20"/>
                <w:lang w:val="en-US"/>
              </w:rPr>
              <w:t>CargoSoft</w:t>
            </w:r>
            <w:proofErr w:type="spellEnd"/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Electronic data Interchange: EDI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Dangerous goods information system: GEGIS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Scheduling for Rail Operator</w:t>
            </w:r>
            <w:r w:rsidR="003E6259">
              <w:rPr>
                <w:rFonts w:ascii="Verdana" w:hAnsi="Verdana"/>
                <w:sz w:val="20"/>
                <w:szCs w:val="20"/>
                <w:lang w:val="en-US"/>
              </w:rPr>
              <w:t xml:space="preserve"> and container hinterland transport scheduling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: UNIKAT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Truck scheduling: TRUCK</w:t>
            </w:r>
          </w:p>
        </w:tc>
      </w:tr>
      <w:tr w:rsidR="00FB52F7" w:rsidTr="00493C8F">
        <w:trPr>
          <w:trHeight w:val="20"/>
        </w:trPr>
        <w:tc>
          <w:tcPr>
            <w:tcW w:w="2552" w:type="dxa"/>
            <w:vAlign w:val="center"/>
          </w:tcPr>
          <w:p w:rsidR="003E6259" w:rsidRDefault="00FB52F7" w:rsidP="003E625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transactions per day 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FB52F7">
            <w:pPr>
              <w:rPr>
                <w:rFonts w:ascii="Verdana" w:hAnsi="Verdana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Between 75,000 and 100,000 per day</w:t>
            </w:r>
          </w:p>
        </w:tc>
      </w:tr>
      <w:tr w:rsidR="00FB52F7" w:rsidTr="00493C8F">
        <w:trPr>
          <w:trHeight w:val="20"/>
        </w:trPr>
        <w:tc>
          <w:tcPr>
            <w:tcW w:w="2552" w:type="dxa"/>
            <w:vAlign w:val="center"/>
          </w:tcPr>
          <w:p w:rsidR="00FB52F7" w:rsidRDefault="00FB52F7" w:rsidP="003E625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messages per day 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FB52F7">
            <w:pPr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33 million per day</w:t>
            </w:r>
          </w:p>
        </w:tc>
      </w:tr>
      <w:tr w:rsidR="00FB52F7" w:rsidTr="00493C8F">
        <w:trPr>
          <w:trHeight w:val="20"/>
        </w:trPr>
        <w:tc>
          <w:tcPr>
            <w:tcW w:w="2552" w:type="dxa"/>
            <w:vAlign w:val="center"/>
          </w:tcPr>
          <w:p w:rsidR="00FB52F7" w:rsidRDefault="005C310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Split between EDI-messages and manual entry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80% messages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20% manual key entry</w:t>
            </w:r>
          </w:p>
        </w:tc>
      </w:tr>
      <w:tr w:rsidR="00FB52F7" w:rsidTr="00493C8F">
        <w:trPr>
          <w:trHeight w:val="20"/>
        </w:trPr>
        <w:tc>
          <w:tcPr>
            <w:tcW w:w="2552" w:type="dxa"/>
            <w:vAlign w:val="center"/>
          </w:tcPr>
          <w:p w:rsidR="00FB52F7" w:rsidRDefault="003E625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stakeholders of the PCS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DD50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Carrier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Shipping agents</w:t>
            </w:r>
          </w:p>
          <w:p w:rsidR="000F4A56" w:rsidRDefault="000F4A5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Tally</w:t>
            </w:r>
          </w:p>
          <w:p w:rsidR="00FB52F7" w:rsidRDefault="00DD50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Forwarder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Port Authority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Customs</w:t>
            </w:r>
          </w:p>
          <w:p w:rsidR="00FB52F7" w:rsidRDefault="00DD50C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Terminal operator</w:t>
            </w:r>
          </w:p>
          <w:p w:rsidR="00675F6C" w:rsidRDefault="00675F6C" w:rsidP="00675F6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Local Authorities like </w:t>
            </w:r>
          </w:p>
          <w:p w:rsidR="007026E1" w:rsidRPr="00675F6C" w:rsidRDefault="000E1CF1" w:rsidP="00675F6C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675F6C">
              <w:rPr>
                <w:rFonts w:ascii="Verdana" w:hAnsi="Verdana"/>
                <w:sz w:val="20"/>
                <w:szCs w:val="20"/>
                <w:lang w:val="en-US"/>
              </w:rPr>
              <w:t>Office for Plant and Health Control</w:t>
            </w:r>
          </w:p>
          <w:p w:rsidR="007026E1" w:rsidRPr="00675F6C" w:rsidRDefault="000E1CF1" w:rsidP="00675F6C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  <w:r w:rsidRPr="00675F6C">
              <w:rPr>
                <w:rFonts w:ascii="Verdana" w:hAnsi="Verdana"/>
                <w:sz w:val="20"/>
                <w:szCs w:val="20"/>
                <w:lang w:val="de-DE"/>
              </w:rPr>
              <w:t>Veterinary Office Border Control</w:t>
            </w:r>
          </w:p>
          <w:p w:rsidR="007026E1" w:rsidRPr="00675F6C" w:rsidRDefault="000E1CF1" w:rsidP="00675F6C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675F6C">
              <w:rPr>
                <w:rFonts w:ascii="Verdana" w:hAnsi="Verdana"/>
                <w:sz w:val="20"/>
                <w:szCs w:val="20"/>
                <w:lang w:val="en-US"/>
              </w:rPr>
              <w:t>Office for Health and Consumer Protection</w:t>
            </w:r>
          </w:p>
          <w:p w:rsidR="007026E1" w:rsidRPr="00675F6C" w:rsidRDefault="000E1CF1" w:rsidP="00675F6C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675F6C">
              <w:rPr>
                <w:rFonts w:ascii="Verdana" w:hAnsi="Verdana"/>
                <w:sz w:val="20"/>
                <w:szCs w:val="20"/>
                <w:lang w:val="en-US"/>
              </w:rPr>
              <w:t>Federal Agency for Agriculture and Food</w:t>
            </w:r>
          </w:p>
          <w:p w:rsidR="007026E1" w:rsidRPr="00675F6C" w:rsidRDefault="000E1CF1" w:rsidP="00675F6C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75F6C">
              <w:rPr>
                <w:rFonts w:ascii="Verdana" w:hAnsi="Verdana"/>
                <w:sz w:val="20"/>
                <w:szCs w:val="20"/>
                <w:lang w:val="en-US"/>
              </w:rPr>
              <w:t>Institut</w:t>
            </w:r>
            <w:proofErr w:type="spellEnd"/>
            <w:r w:rsidRPr="00675F6C">
              <w:rPr>
                <w:rFonts w:ascii="Verdana" w:hAnsi="Verdana"/>
                <w:sz w:val="20"/>
                <w:szCs w:val="20"/>
                <w:lang w:val="en-US"/>
              </w:rPr>
              <w:t xml:space="preserve"> for Hygiene and Environmental Medicine</w:t>
            </w:r>
          </w:p>
          <w:p w:rsidR="007026E1" w:rsidRDefault="000E1CF1" w:rsidP="00675F6C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  <w:r w:rsidRPr="00675F6C">
              <w:rPr>
                <w:rFonts w:ascii="Verdana" w:hAnsi="Verdana"/>
                <w:sz w:val="20"/>
                <w:szCs w:val="20"/>
                <w:lang w:val="de-DE"/>
              </w:rPr>
              <w:t>Statistical Office Nord</w:t>
            </w:r>
          </w:p>
          <w:p w:rsidR="000F4A56" w:rsidRPr="00675F6C" w:rsidRDefault="000F4A56" w:rsidP="00675F6C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Fire brigade</w:t>
            </w:r>
          </w:p>
          <w:p w:rsidR="00FB52F7" w:rsidRPr="00675F6C" w:rsidRDefault="000E1CF1" w:rsidP="00675F6C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  <w:lang w:val="de-DE"/>
              </w:rPr>
            </w:pPr>
            <w:r w:rsidRPr="00675F6C">
              <w:rPr>
                <w:rFonts w:ascii="Verdana" w:hAnsi="Verdana"/>
                <w:sz w:val="20"/>
                <w:szCs w:val="20"/>
                <w:lang w:val="de-DE"/>
              </w:rPr>
              <w:t>Waterpolice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Rail, truck and barge operators</w:t>
            </w:r>
          </w:p>
          <w:p w:rsidR="00FB52F7" w:rsidRDefault="00FB52F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Importer and Exporter</w:t>
            </w:r>
          </w:p>
          <w:p w:rsidR="001F130F" w:rsidRDefault="001F130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NSWs for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eCustoms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SafeSeaNet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future NSW from 2010/65</w:t>
            </w:r>
          </w:p>
        </w:tc>
      </w:tr>
      <w:tr w:rsidR="00FB52F7" w:rsidTr="00493C8F">
        <w:trPr>
          <w:trHeight w:val="20"/>
        </w:trPr>
        <w:tc>
          <w:tcPr>
            <w:tcW w:w="2552" w:type="dxa"/>
          </w:tcPr>
          <w:p w:rsidR="00FB52F7" w:rsidRDefault="00BB12C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="005C3104">
              <w:rPr>
                <w:rFonts w:ascii="Verdana" w:hAnsi="Verdana"/>
                <w:sz w:val="20"/>
                <w:szCs w:val="20"/>
                <w:lang w:val="en-US"/>
              </w:rPr>
              <w:t>ustomer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FB52F7" w:rsidRDefault="00D84432" w:rsidP="005C310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Ca. 2.3</w:t>
            </w:r>
            <w:r w:rsidR="00FB52F7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5C3104">
              <w:rPr>
                <w:rFonts w:ascii="Verdana" w:hAnsi="Verdana"/>
                <w:sz w:val="20"/>
                <w:szCs w:val="20"/>
                <w:lang w:val="en-US"/>
              </w:rPr>
              <w:t>0 customer with 15 000 end-user</w:t>
            </w:r>
          </w:p>
        </w:tc>
      </w:tr>
      <w:tr w:rsidR="005C3104" w:rsidTr="00493C8F">
        <w:trPr>
          <w:trHeight w:val="20"/>
        </w:trPr>
        <w:tc>
          <w:tcPr>
            <w:tcW w:w="2552" w:type="dxa"/>
          </w:tcPr>
          <w:p w:rsidR="005C3104" w:rsidRDefault="005C3104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Adoption rate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5C3104" w:rsidRDefault="005C310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Export 100 %, Import 70 – 80 %</w:t>
            </w:r>
          </w:p>
        </w:tc>
      </w:tr>
      <w:tr w:rsidR="000F4A56" w:rsidTr="00493C8F">
        <w:trPr>
          <w:trHeight w:val="20"/>
        </w:trPr>
        <w:tc>
          <w:tcPr>
            <w:tcW w:w="9923" w:type="dxa"/>
            <w:gridSpan w:val="2"/>
          </w:tcPr>
          <w:p w:rsidR="000F4A56" w:rsidRPr="000F4A56" w:rsidRDefault="000F4A56">
            <w:pPr>
              <w:rPr>
                <w:rFonts w:ascii="Verdana" w:hAnsi="Verdana"/>
                <w:sz w:val="24"/>
                <w:szCs w:val="20"/>
                <w:lang w:val="en-US"/>
              </w:rPr>
            </w:pPr>
            <w:r w:rsidRPr="000F4A56">
              <w:rPr>
                <w:rFonts w:ascii="Verdana" w:hAnsi="Verdana"/>
                <w:b/>
                <w:sz w:val="24"/>
                <w:szCs w:val="20"/>
                <w:lang w:val="en-US"/>
              </w:rPr>
              <w:t>Operational Model</w:t>
            </w:r>
          </w:p>
        </w:tc>
      </w:tr>
      <w:tr w:rsidR="000F4A56" w:rsidTr="00493C8F">
        <w:trPr>
          <w:trHeight w:val="20"/>
        </w:trPr>
        <w:tc>
          <w:tcPr>
            <w:tcW w:w="2552" w:type="dxa"/>
            <w:vAlign w:val="center"/>
          </w:tcPr>
          <w:p w:rsidR="000F4A56" w:rsidRDefault="000F4A5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partnership and relationship with </w:t>
            </w:r>
          </w:p>
          <w:p w:rsidR="000F4A56" w:rsidRDefault="000F4A56" w:rsidP="000F4A5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Customs and other Government Agencies 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0F4A56" w:rsidRDefault="000F4A5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Customs: relationships with ATLAS system for declaration</w:t>
            </w:r>
          </w:p>
          <w:p w:rsidR="000F4A56" w:rsidRDefault="000F4A5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Port Authority: cooperation in the framework of marketing the port community outside and in operating the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harbour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rail system (HABIS)</w:t>
            </w:r>
            <w:r w:rsidR="005401F9">
              <w:rPr>
                <w:rFonts w:ascii="Verdana" w:hAnsi="Verdana"/>
                <w:sz w:val="20"/>
                <w:szCs w:val="20"/>
                <w:lang w:val="en-US"/>
              </w:rPr>
              <w:t xml:space="preserve"> as well as in managing the operation of ship (</w:t>
            </w:r>
            <w:proofErr w:type="spellStart"/>
            <w:r w:rsidR="005401F9">
              <w:rPr>
                <w:rFonts w:ascii="Verdana" w:hAnsi="Verdana"/>
                <w:sz w:val="20"/>
                <w:szCs w:val="20"/>
                <w:lang w:val="en-US"/>
              </w:rPr>
              <w:t>harbour</w:t>
            </w:r>
            <w:proofErr w:type="spellEnd"/>
            <w:r w:rsidR="005401F9">
              <w:rPr>
                <w:rFonts w:ascii="Verdana" w:hAnsi="Verdana"/>
                <w:sz w:val="20"/>
                <w:szCs w:val="20"/>
                <w:lang w:val="en-US"/>
              </w:rPr>
              <w:t xml:space="preserve"> captain using PRISE)</w:t>
            </w:r>
          </w:p>
          <w:p w:rsidR="000F4A56" w:rsidRDefault="000F4A5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Water police and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firebrigade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: cooperation in operating the dangerous cargo system GEGIS</w:t>
            </w:r>
          </w:p>
          <w:p w:rsidR="005401F9" w:rsidRDefault="00EE50B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Other authorities</w:t>
            </w:r>
            <w:r w:rsidR="005401F9">
              <w:rPr>
                <w:rFonts w:ascii="Verdana" w:hAnsi="Verdana"/>
                <w:sz w:val="20"/>
                <w:szCs w:val="20"/>
                <w:lang w:val="en-US"/>
              </w:rPr>
              <w:t xml:space="preserve">: co-operation in the import process, </w:t>
            </w:r>
            <w:r w:rsidR="00BB12CD">
              <w:rPr>
                <w:rFonts w:ascii="Verdana" w:hAnsi="Verdana"/>
                <w:sz w:val="20"/>
                <w:szCs w:val="20"/>
                <w:lang w:val="en-US"/>
              </w:rPr>
              <w:t xml:space="preserve"> as </w:t>
            </w:r>
            <w:r w:rsidR="005401F9">
              <w:rPr>
                <w:rFonts w:ascii="Verdana" w:hAnsi="Verdana"/>
                <w:sz w:val="20"/>
                <w:szCs w:val="20"/>
                <w:lang w:val="en-US"/>
              </w:rPr>
              <w:t>part of the IMP</w:t>
            </w:r>
          </w:p>
        </w:tc>
      </w:tr>
    </w:tbl>
    <w:p w:rsidR="001A7E9D" w:rsidRDefault="001A7E9D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51"/>
        <w:gridCol w:w="20"/>
      </w:tblGrid>
      <w:tr w:rsidR="005401F9" w:rsidRPr="00BB12CD" w:rsidTr="00493C8F">
        <w:trPr>
          <w:trHeight w:val="20"/>
        </w:trPr>
        <w:tc>
          <w:tcPr>
            <w:tcW w:w="9923" w:type="dxa"/>
            <w:gridSpan w:val="3"/>
            <w:vAlign w:val="center"/>
          </w:tcPr>
          <w:p w:rsidR="005401F9" w:rsidRPr="00BB12CD" w:rsidRDefault="00BB12CD">
            <w:pPr>
              <w:rPr>
                <w:rFonts w:ascii="Verdana" w:hAnsi="Verdana"/>
                <w:sz w:val="24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4"/>
                <w:szCs w:val="20"/>
                <w:lang w:val="en-US"/>
              </w:rPr>
              <w:lastRenderedPageBreak/>
              <w:t>Financial figures</w:t>
            </w:r>
          </w:p>
        </w:tc>
      </w:tr>
      <w:tr w:rsidR="005401F9" w:rsidTr="00493C8F">
        <w:trPr>
          <w:trHeight w:val="20"/>
        </w:trPr>
        <w:tc>
          <w:tcPr>
            <w:tcW w:w="2552" w:type="dxa"/>
            <w:vAlign w:val="center"/>
          </w:tcPr>
          <w:p w:rsidR="005401F9" w:rsidRDefault="005401F9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costs of establishment </w:t>
            </w:r>
          </w:p>
        </w:tc>
        <w:tc>
          <w:tcPr>
            <w:tcW w:w="7371" w:type="dxa"/>
            <w:gridSpan w:val="2"/>
            <w:shd w:val="clear" w:color="auto" w:fill="E0E0E0"/>
            <w:vAlign w:val="center"/>
          </w:tcPr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Until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Juli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Verdana" w:hAnsi="Verdana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1983 &lt; 1 Mio EUR</w:t>
            </w:r>
          </w:p>
        </w:tc>
      </w:tr>
      <w:tr w:rsidR="005401F9" w:rsidTr="00493C8F">
        <w:trPr>
          <w:trHeight w:val="20"/>
        </w:trPr>
        <w:tc>
          <w:tcPr>
            <w:tcW w:w="2552" w:type="dxa"/>
            <w:vAlign w:val="center"/>
          </w:tcPr>
          <w:p w:rsidR="005401F9" w:rsidRDefault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business model and user fees</w:t>
            </w:r>
          </w:p>
        </w:tc>
        <w:tc>
          <w:tcPr>
            <w:tcW w:w="7371" w:type="dxa"/>
            <w:gridSpan w:val="2"/>
            <w:shd w:val="clear" w:color="auto" w:fill="E0E0E0"/>
            <w:vAlign w:val="center"/>
          </w:tcPr>
          <w:p w:rsidR="00BB12CD" w:rsidRDefault="005401F9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Business model is based on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SaaS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services and transactions.</w:t>
            </w:r>
          </w:p>
          <w:p w:rsidR="00BB12CD" w:rsidRDefault="00BB12CD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Monthly fee : starting at 100 €</w:t>
            </w:r>
          </w:p>
          <w:p w:rsidR="005401F9" w:rsidRDefault="00BB12CD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Payment per transaction: from 0.005 to 1 € depending on the volume and the service</w:t>
            </w:r>
          </w:p>
        </w:tc>
      </w:tr>
      <w:tr w:rsidR="005401F9" w:rsidTr="00493C8F">
        <w:trPr>
          <w:trHeight w:val="20"/>
        </w:trPr>
        <w:tc>
          <w:tcPr>
            <w:tcW w:w="2552" w:type="dxa"/>
            <w:vAlign w:val="center"/>
          </w:tcPr>
          <w:p w:rsidR="005401F9" w:rsidRDefault="00BB12CD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Financing of the PCS</w:t>
            </w:r>
            <w:r w:rsidR="005401F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E0E0E0"/>
            <w:vAlign w:val="center"/>
          </w:tcPr>
          <w:p w:rsidR="005401F9" w:rsidRDefault="00BB12CD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The net income is re-invested in</w:t>
            </w:r>
            <w:r w:rsidR="005401F9">
              <w:rPr>
                <w:rFonts w:ascii="Verdana" w:hAnsi="Verdana"/>
                <w:sz w:val="20"/>
                <w:szCs w:val="20"/>
                <w:lang w:val="en-US"/>
              </w:rPr>
              <w:t xml:space="preserve"> different new services and for maintenance and evolution of current services.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PCS is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self financed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 Shareholder gets revenue.</w:t>
            </w:r>
          </w:p>
        </w:tc>
      </w:tr>
      <w:tr w:rsidR="005401F9" w:rsidRPr="001A7E9D" w:rsidTr="00493C8F">
        <w:trPr>
          <w:trHeight w:val="20"/>
        </w:trPr>
        <w:tc>
          <w:tcPr>
            <w:tcW w:w="9923" w:type="dxa"/>
            <w:gridSpan w:val="3"/>
            <w:vAlign w:val="center"/>
          </w:tcPr>
          <w:p w:rsidR="005401F9" w:rsidRPr="001A7E9D" w:rsidRDefault="005401F9">
            <w:pPr>
              <w:rPr>
                <w:rFonts w:ascii="Verdana" w:hAnsi="Verdana"/>
                <w:sz w:val="24"/>
                <w:szCs w:val="20"/>
                <w:lang w:val="en-US"/>
              </w:rPr>
            </w:pPr>
            <w:r w:rsidRPr="001A7E9D">
              <w:rPr>
                <w:rFonts w:ascii="Verdana" w:hAnsi="Verdana"/>
                <w:b/>
                <w:sz w:val="24"/>
                <w:szCs w:val="20"/>
                <w:lang w:val="en-US"/>
              </w:rPr>
              <w:t>Technology</w:t>
            </w:r>
          </w:p>
        </w:tc>
      </w:tr>
      <w:tr w:rsidR="005401F9" w:rsidTr="00493C8F">
        <w:trPr>
          <w:trHeight w:val="20"/>
        </w:trPr>
        <w:tc>
          <w:tcPr>
            <w:tcW w:w="2552" w:type="dxa"/>
            <w:vAlign w:val="center"/>
          </w:tcPr>
          <w:p w:rsidR="005401F9" w:rsidRDefault="005401F9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technology </w:t>
            </w:r>
            <w:r w:rsidR="00BB12CD">
              <w:rPr>
                <w:rFonts w:ascii="Verdana" w:hAnsi="Verdana"/>
                <w:sz w:val="20"/>
                <w:szCs w:val="20"/>
                <w:lang w:val="en-US"/>
              </w:rPr>
              <w:t>used</w:t>
            </w:r>
          </w:p>
        </w:tc>
        <w:tc>
          <w:tcPr>
            <w:tcW w:w="7371" w:type="dxa"/>
            <w:gridSpan w:val="2"/>
            <w:shd w:val="clear" w:color="auto" w:fill="E0E0E0"/>
            <w:vAlign w:val="center"/>
          </w:tcPr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Software: main part in JAVA</w:t>
            </w:r>
          </w:p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Hardware: Unix + Windows + DB on IBM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eserver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i5</w:t>
            </w:r>
          </w:p>
        </w:tc>
      </w:tr>
      <w:tr w:rsidR="005401F9" w:rsidTr="00493C8F">
        <w:trPr>
          <w:trHeight w:val="20"/>
        </w:trPr>
        <w:tc>
          <w:tcPr>
            <w:tcW w:w="2552" w:type="dxa"/>
            <w:vAlign w:val="center"/>
          </w:tcPr>
          <w:p w:rsidR="005401F9" w:rsidRDefault="005401F9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type of interface </w:t>
            </w:r>
          </w:p>
        </w:tc>
        <w:tc>
          <w:tcPr>
            <w:tcW w:w="7371" w:type="dxa"/>
            <w:gridSpan w:val="2"/>
            <w:shd w:val="clear" w:color="auto" w:fill="E0E0E0"/>
            <w:vAlign w:val="center"/>
          </w:tcPr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EDI + Web applications</w:t>
            </w:r>
          </w:p>
        </w:tc>
      </w:tr>
      <w:tr w:rsidR="005401F9" w:rsidTr="00493C8F">
        <w:trPr>
          <w:trHeight w:val="20"/>
        </w:trPr>
        <w:tc>
          <w:tcPr>
            <w:tcW w:w="2552" w:type="dxa"/>
            <w:vAlign w:val="center"/>
          </w:tcPr>
          <w:p w:rsidR="005401F9" w:rsidRDefault="00BB12CD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5401F9">
              <w:rPr>
                <w:rFonts w:ascii="Verdana" w:hAnsi="Verdana"/>
                <w:sz w:val="20"/>
                <w:szCs w:val="20"/>
                <w:lang w:val="en-US"/>
              </w:rPr>
              <w:t xml:space="preserve">rchitecture </w:t>
            </w:r>
          </w:p>
        </w:tc>
        <w:tc>
          <w:tcPr>
            <w:tcW w:w="7371" w:type="dxa"/>
            <w:gridSpan w:val="2"/>
            <w:shd w:val="clear" w:color="auto" w:fill="E0E0E0"/>
            <w:vAlign w:val="center"/>
          </w:tcPr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User-Interfaces: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Multi tier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architecture: data access, Business logic, GUI presentation</w:t>
            </w:r>
          </w:p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EDI-kernel: Access tier, conversion tier and business-logic tier</w:t>
            </w:r>
          </w:p>
        </w:tc>
      </w:tr>
      <w:tr w:rsidR="005401F9" w:rsidTr="00493C8F">
        <w:trPr>
          <w:trHeight w:val="20"/>
        </w:trPr>
        <w:tc>
          <w:tcPr>
            <w:tcW w:w="2552" w:type="dxa"/>
            <w:vAlign w:val="center"/>
          </w:tcPr>
          <w:p w:rsidR="005401F9" w:rsidRDefault="005401F9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How data are submitted </w:t>
            </w:r>
          </w:p>
        </w:tc>
        <w:tc>
          <w:tcPr>
            <w:tcW w:w="7371" w:type="dxa"/>
            <w:gridSpan w:val="2"/>
            <w:shd w:val="clear" w:color="auto" w:fill="E0E0E0"/>
            <w:vAlign w:val="center"/>
          </w:tcPr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Data are submitted mainly through EDI messages.</w:t>
            </w:r>
          </w:p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Also a possibility to submit some data through Internet interface (GEGIS for example)</w:t>
            </w:r>
          </w:p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Access tier: FTP, email, FTAM, X.400, AS2, SAP </w:t>
            </w:r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RFC, …</w:t>
            </w:r>
            <w:proofErr w:type="gramEnd"/>
          </w:p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Conversion tier: HH standard, EDIFACT, XML, ANSI X.12, IDOC, proprietary formats</w:t>
            </w:r>
          </w:p>
        </w:tc>
      </w:tr>
      <w:tr w:rsidR="005401F9" w:rsidRPr="001A7E9D" w:rsidTr="00493C8F">
        <w:trPr>
          <w:trHeight w:val="20"/>
        </w:trPr>
        <w:tc>
          <w:tcPr>
            <w:tcW w:w="9923" w:type="dxa"/>
            <w:gridSpan w:val="3"/>
            <w:vAlign w:val="center"/>
          </w:tcPr>
          <w:p w:rsidR="005401F9" w:rsidRPr="001A7E9D" w:rsidRDefault="005401F9">
            <w:pPr>
              <w:rPr>
                <w:rFonts w:ascii="Verdana" w:hAnsi="Verdana"/>
                <w:sz w:val="24"/>
                <w:szCs w:val="20"/>
                <w:lang w:val="en-US"/>
              </w:rPr>
            </w:pPr>
            <w:r w:rsidRPr="001A7E9D">
              <w:rPr>
                <w:rFonts w:ascii="Verdana" w:hAnsi="Verdana"/>
                <w:b/>
                <w:sz w:val="24"/>
                <w:szCs w:val="20"/>
                <w:lang w:val="en-US"/>
              </w:rPr>
              <w:t>Change Management</w:t>
            </w:r>
            <w:r w:rsidR="00BB12CD" w:rsidRPr="001A7E9D">
              <w:rPr>
                <w:rFonts w:ascii="Verdana" w:hAnsi="Verdana"/>
                <w:b/>
                <w:sz w:val="24"/>
                <w:szCs w:val="20"/>
                <w:lang w:val="en-US"/>
              </w:rPr>
              <w:t xml:space="preserve"> / Customer support</w:t>
            </w:r>
          </w:p>
        </w:tc>
      </w:tr>
      <w:tr w:rsidR="005401F9" w:rsidTr="00493C8F">
        <w:trPr>
          <w:trHeight w:val="20"/>
        </w:trPr>
        <w:tc>
          <w:tcPr>
            <w:tcW w:w="2552" w:type="dxa"/>
            <w:vAlign w:val="center"/>
          </w:tcPr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401F9" w:rsidRDefault="00DA573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change management strategy</w:t>
            </w:r>
          </w:p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2"/>
            <w:shd w:val="clear" w:color="auto" w:fill="E0E0E0"/>
            <w:vAlign w:val="center"/>
          </w:tcPr>
          <w:p w:rsidR="001A7E9D" w:rsidRDefault="00DA573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steering committee</w:t>
            </w:r>
          </w:p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 Supervisory board</w:t>
            </w:r>
          </w:p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- - Advisory board </w:t>
            </w:r>
          </w:p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 - - Working groups (defining the solution)</w:t>
            </w:r>
          </w:p>
          <w:p w:rsidR="005401F9" w:rsidRPr="00DA5736" w:rsidRDefault="005401F9" w:rsidP="00DA5736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Decision</w:t>
            </w:r>
            <w:r w:rsidR="00DA5736">
              <w:rPr>
                <w:rFonts w:ascii="Verdana" w:hAnsi="Verdana"/>
                <w:sz w:val="20"/>
                <w:szCs w:val="20"/>
                <w:lang w:val="en-US"/>
              </w:rPr>
              <w:t xml:space="preserve"> and road map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is finally made by DAKOSY.</w:t>
            </w:r>
          </w:p>
        </w:tc>
      </w:tr>
      <w:tr w:rsidR="005401F9" w:rsidTr="00493C8F">
        <w:trPr>
          <w:trHeight w:val="20"/>
        </w:trPr>
        <w:tc>
          <w:tcPr>
            <w:tcW w:w="2552" w:type="dxa"/>
            <w:vAlign w:val="center"/>
          </w:tcPr>
          <w:p w:rsidR="005401F9" w:rsidRDefault="00DA573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Information of stakeholder via</w:t>
            </w:r>
          </w:p>
        </w:tc>
        <w:tc>
          <w:tcPr>
            <w:tcW w:w="7371" w:type="dxa"/>
            <w:gridSpan w:val="2"/>
            <w:shd w:val="clear" w:color="auto" w:fill="E0E0E0"/>
            <w:vAlign w:val="center"/>
          </w:tcPr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Supervisory board </w:t>
            </w:r>
          </w:p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Advisory board</w:t>
            </w:r>
          </w:p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Working groups</w:t>
            </w:r>
          </w:p>
        </w:tc>
      </w:tr>
      <w:tr w:rsidR="005401F9" w:rsidTr="00493C8F">
        <w:trPr>
          <w:trHeight w:val="20"/>
        </w:trPr>
        <w:tc>
          <w:tcPr>
            <w:tcW w:w="2552" w:type="dxa"/>
            <w:vAlign w:val="center"/>
          </w:tcPr>
          <w:p w:rsidR="005401F9" w:rsidRDefault="005401F9" w:rsidP="00DA573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helpdesk</w:t>
            </w:r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DA5736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customer service?</w:t>
            </w:r>
          </w:p>
        </w:tc>
        <w:tc>
          <w:tcPr>
            <w:tcW w:w="7371" w:type="dxa"/>
            <w:gridSpan w:val="2"/>
            <w:shd w:val="clear" w:color="auto" w:fill="E0E0E0"/>
            <w:vAlign w:val="center"/>
          </w:tcPr>
          <w:p w:rsidR="00BB12CD" w:rsidRDefault="005401F9" w:rsidP="00BB12CD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BB12CD">
              <w:rPr>
                <w:rFonts w:ascii="Verdana" w:hAnsi="Verdana"/>
                <w:sz w:val="20"/>
                <w:szCs w:val="20"/>
                <w:lang w:val="en-US"/>
              </w:rPr>
              <w:t xml:space="preserve">07:00 am to 06:00 pm, Monday to Friday on working days free of charge for customer </w:t>
            </w:r>
          </w:p>
          <w:p w:rsidR="005401F9" w:rsidRPr="00BB12CD" w:rsidRDefault="005401F9" w:rsidP="00BB12CD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BB12CD">
              <w:rPr>
                <w:rFonts w:ascii="Verdana" w:hAnsi="Verdana"/>
                <w:sz w:val="20"/>
                <w:szCs w:val="20"/>
                <w:lang w:val="en-US"/>
              </w:rPr>
              <w:t>Permanent 7 x 24 support for certain services and 7x24 support on demand of customer</w:t>
            </w:r>
          </w:p>
          <w:p w:rsidR="005401F9" w:rsidRDefault="005401F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All systems designed to operate without intervention.</w:t>
            </w:r>
          </w:p>
        </w:tc>
      </w:tr>
      <w:tr w:rsidR="0098153F" w:rsidRPr="001A7E9D" w:rsidTr="00493C8F">
        <w:trPr>
          <w:trHeight w:val="20"/>
        </w:trPr>
        <w:tc>
          <w:tcPr>
            <w:tcW w:w="9923" w:type="dxa"/>
            <w:gridSpan w:val="3"/>
            <w:vAlign w:val="center"/>
          </w:tcPr>
          <w:p w:rsidR="0098153F" w:rsidRPr="001A7E9D" w:rsidRDefault="0098153F">
            <w:pPr>
              <w:rPr>
                <w:rFonts w:ascii="Verdana" w:hAnsi="Verdana"/>
                <w:sz w:val="24"/>
                <w:szCs w:val="20"/>
                <w:lang w:val="en-US"/>
              </w:rPr>
            </w:pPr>
            <w:r w:rsidRPr="001A7E9D">
              <w:rPr>
                <w:rFonts w:ascii="Verdana" w:hAnsi="Verdana"/>
                <w:b/>
                <w:sz w:val="24"/>
                <w:szCs w:val="20"/>
                <w:lang w:val="en-US"/>
              </w:rPr>
              <w:t>Standards</w:t>
            </w:r>
          </w:p>
        </w:tc>
      </w:tr>
      <w:tr w:rsidR="00700186" w:rsidTr="00493C8F">
        <w:trPr>
          <w:gridAfter w:val="1"/>
          <w:wAfter w:w="20" w:type="dxa"/>
          <w:trHeight w:val="20"/>
        </w:trPr>
        <w:tc>
          <w:tcPr>
            <w:tcW w:w="2552" w:type="dxa"/>
            <w:vAlign w:val="center"/>
          </w:tcPr>
          <w:p w:rsidR="00700186" w:rsidRDefault="00700186" w:rsidP="00DA573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implement</w:t>
            </w:r>
            <w:r w:rsidR="00DA5736">
              <w:rPr>
                <w:rFonts w:ascii="Verdana" w:hAnsi="Verdana"/>
                <w:sz w:val="20"/>
                <w:szCs w:val="20"/>
                <w:lang w:val="en-US"/>
              </w:rPr>
              <w:t>ed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DA5736">
              <w:rPr>
                <w:rFonts w:ascii="Verdana" w:hAnsi="Verdana"/>
                <w:sz w:val="20"/>
                <w:szCs w:val="20"/>
                <w:lang w:val="en-US"/>
              </w:rPr>
              <w:t>standards</w:t>
            </w:r>
          </w:p>
        </w:tc>
        <w:tc>
          <w:tcPr>
            <w:tcW w:w="7351" w:type="dxa"/>
            <w:shd w:val="clear" w:color="auto" w:fill="E0E0E0"/>
            <w:vAlign w:val="center"/>
          </w:tcPr>
          <w:p w:rsidR="00700186" w:rsidRDefault="00700186" w:rsidP="00DA5736">
            <w:pPr>
              <w:ind w:left="175" w:hanging="17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 standard communication protocols (X. 400, FTAM, AS2)</w:t>
            </w:r>
          </w:p>
          <w:p w:rsidR="00700186" w:rsidRDefault="00700186" w:rsidP="00DA5736">
            <w:pPr>
              <w:ind w:left="175" w:hanging="17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 message standards (EDIFACT, ANSI X.12, XML)</w:t>
            </w:r>
          </w:p>
          <w:p w:rsidR="00DA5736" w:rsidRDefault="00DA5736" w:rsidP="00DA5736">
            <w:pPr>
              <w:ind w:left="175" w:hanging="175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- </w:t>
            </w:r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standard</w:t>
            </w:r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messages, i.e.: </w:t>
            </w:r>
            <w:r w:rsidR="00700186">
              <w:rPr>
                <w:rFonts w:ascii="Verdana" w:hAnsi="Verdana"/>
                <w:sz w:val="20"/>
                <w:szCs w:val="20"/>
                <w:lang w:val="en-US"/>
              </w:rPr>
              <w:t xml:space="preserve">Bill of Lading, Invoice, Manifest, Container Messages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(SMDG), Booking, IFTSAI, ODETTE. </w:t>
            </w:r>
          </w:p>
          <w:p w:rsidR="00493C8F" w:rsidRPr="001A7E9D" w:rsidRDefault="00493C8F" w:rsidP="00DA5736">
            <w:pPr>
              <w:ind w:left="175" w:hanging="175"/>
              <w:rPr>
                <w:rFonts w:ascii="Verdana" w:hAnsi="Verdana"/>
                <w:sz w:val="12"/>
                <w:szCs w:val="20"/>
                <w:lang w:val="en-US"/>
              </w:rPr>
            </w:pPr>
          </w:p>
          <w:p w:rsidR="00700186" w:rsidRDefault="00DA5736" w:rsidP="00493C8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Pls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check also the EPCSA-message guide. All listed messages are provided by DAKOSY.</w:t>
            </w:r>
          </w:p>
        </w:tc>
      </w:tr>
      <w:tr w:rsidR="00700186" w:rsidTr="00493C8F">
        <w:trPr>
          <w:gridAfter w:val="1"/>
          <w:wAfter w:w="20" w:type="dxa"/>
          <w:trHeight w:val="20"/>
        </w:trPr>
        <w:tc>
          <w:tcPr>
            <w:tcW w:w="2552" w:type="dxa"/>
            <w:vAlign w:val="center"/>
          </w:tcPr>
          <w:p w:rsidR="00700186" w:rsidRDefault="00700186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percentage of standards verses proprietary messages </w:t>
            </w:r>
          </w:p>
        </w:tc>
        <w:tc>
          <w:tcPr>
            <w:tcW w:w="7351" w:type="dxa"/>
            <w:shd w:val="clear" w:color="auto" w:fill="E0E0E0"/>
            <w:vAlign w:val="center"/>
          </w:tcPr>
          <w:p w:rsidR="00700186" w:rsidRDefault="0070018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80 % standard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20 %</w:t>
            </w:r>
          </w:p>
        </w:tc>
      </w:tr>
      <w:tr w:rsidR="00700186" w:rsidRPr="001A7E9D" w:rsidTr="00493C8F">
        <w:trPr>
          <w:gridAfter w:val="1"/>
          <w:wAfter w:w="20" w:type="dxa"/>
          <w:trHeight w:val="20"/>
        </w:trPr>
        <w:tc>
          <w:tcPr>
            <w:tcW w:w="9903" w:type="dxa"/>
            <w:gridSpan w:val="2"/>
            <w:vAlign w:val="center"/>
          </w:tcPr>
          <w:p w:rsidR="00700186" w:rsidRPr="001A7E9D" w:rsidRDefault="00700186">
            <w:pPr>
              <w:rPr>
                <w:rFonts w:ascii="Verdana" w:hAnsi="Verdana"/>
                <w:sz w:val="24"/>
                <w:szCs w:val="20"/>
                <w:lang w:val="en-US"/>
              </w:rPr>
            </w:pPr>
            <w:r w:rsidRPr="001A7E9D">
              <w:rPr>
                <w:rFonts w:ascii="Verdana" w:hAnsi="Verdana"/>
                <w:b/>
                <w:sz w:val="24"/>
                <w:szCs w:val="20"/>
                <w:lang w:val="en-US"/>
              </w:rPr>
              <w:t>Future Plans</w:t>
            </w:r>
          </w:p>
        </w:tc>
      </w:tr>
      <w:tr w:rsidR="00700186" w:rsidTr="00493C8F">
        <w:trPr>
          <w:trHeight w:val="20"/>
        </w:trPr>
        <w:tc>
          <w:tcPr>
            <w:tcW w:w="2552" w:type="dxa"/>
            <w:vAlign w:val="center"/>
          </w:tcPr>
          <w:p w:rsidR="00700186" w:rsidRDefault="00700186" w:rsidP="00BB12C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plans for further development </w:t>
            </w:r>
          </w:p>
        </w:tc>
        <w:tc>
          <w:tcPr>
            <w:tcW w:w="7371" w:type="dxa"/>
            <w:gridSpan w:val="2"/>
            <w:shd w:val="clear" w:color="auto" w:fill="E0E0E0"/>
            <w:vAlign w:val="center"/>
          </w:tcPr>
          <w:p w:rsidR="00700186" w:rsidRDefault="00700186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Air freight management,</w:t>
            </w:r>
          </w:p>
          <w:p w:rsidR="00700186" w:rsidRDefault="00700186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Services for mobile devices</w:t>
            </w:r>
          </w:p>
          <w:p w:rsidR="00700186" w:rsidRDefault="00700186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Traffic control</w:t>
            </w:r>
          </w:p>
          <w:p w:rsidR="00700186" w:rsidRDefault="00700186">
            <w:pPr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Supply chain extension</w:t>
            </w:r>
          </w:p>
        </w:tc>
      </w:tr>
      <w:tr w:rsidR="00700186" w:rsidTr="001A7E9D">
        <w:trPr>
          <w:trHeight w:val="913"/>
        </w:trPr>
        <w:tc>
          <w:tcPr>
            <w:tcW w:w="2552" w:type="dxa"/>
            <w:vAlign w:val="center"/>
          </w:tcPr>
          <w:p w:rsidR="00700186" w:rsidRDefault="00493C8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Interconnectivity with other PCS</w:t>
            </w:r>
          </w:p>
        </w:tc>
        <w:tc>
          <w:tcPr>
            <w:tcW w:w="7371" w:type="dxa"/>
            <w:gridSpan w:val="2"/>
            <w:shd w:val="clear" w:color="auto" w:fill="E0E0E0"/>
          </w:tcPr>
          <w:p w:rsidR="00700186" w:rsidRDefault="00700186">
            <w:r>
              <w:rPr>
                <w:rFonts w:ascii="Verdana" w:hAnsi="Verdana"/>
                <w:sz w:val="20"/>
                <w:szCs w:val="20"/>
                <w:lang w:val="en-US"/>
              </w:rPr>
              <w:t>We already have existing links to other national and international PCS since the early eighties</w:t>
            </w:r>
            <w:r w:rsidR="00493C8F">
              <w:rPr>
                <w:rFonts w:ascii="Verdana" w:hAnsi="Verdana"/>
                <w:sz w:val="20"/>
                <w:szCs w:val="20"/>
                <w:lang w:val="en-US"/>
              </w:rPr>
              <w:t>. We offer our customers to fulfill the procedures requested by other PCS. Discussion is ongoing with other PCS to enlarge the network for i.e. exchange of status information.</w:t>
            </w:r>
          </w:p>
        </w:tc>
      </w:tr>
    </w:tbl>
    <w:p w:rsidR="00763ACC" w:rsidRDefault="00763ACC" w:rsidP="001A7E9D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763ACC" w:rsidSect="001A7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851" w:bottom="993" w:left="1134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C5" w:rsidRDefault="00AB66C5">
      <w:r>
        <w:separator/>
      </w:r>
    </w:p>
  </w:endnote>
  <w:endnote w:type="continuationSeparator" w:id="0">
    <w:p w:rsidR="00AB66C5" w:rsidRDefault="00AB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A7" w:rsidRDefault="00767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CC" w:rsidRPr="000F4A56" w:rsidRDefault="000F4A56" w:rsidP="000F4A56">
    <w:pPr>
      <w:pStyle w:val="Footer"/>
      <w:pBdr>
        <w:top w:val="single" w:sz="4" w:space="0" w:color="auto"/>
      </w:pBdr>
      <w:tabs>
        <w:tab w:val="clear" w:pos="8306"/>
        <w:tab w:val="right" w:pos="9923"/>
      </w:tabs>
      <w:rPr>
        <w:sz w:val="20"/>
        <w:szCs w:val="20"/>
      </w:rPr>
    </w:pPr>
    <w:r w:rsidRPr="000F4A56">
      <w:rPr>
        <w:rStyle w:val="PageNumber"/>
        <w:sz w:val="20"/>
        <w:szCs w:val="20"/>
      </w:rPr>
      <w:tab/>
    </w:r>
    <w:r w:rsidRPr="000F4A56">
      <w:rPr>
        <w:rStyle w:val="PageNumber"/>
        <w:sz w:val="20"/>
        <w:szCs w:val="20"/>
      </w:rPr>
      <w:tab/>
    </w:r>
    <w:r w:rsidRPr="000F4A56">
      <w:rPr>
        <w:rStyle w:val="PageNumber"/>
        <w:sz w:val="20"/>
        <w:szCs w:val="20"/>
      </w:rPr>
      <w:fldChar w:fldCharType="begin"/>
    </w:r>
    <w:r w:rsidRPr="000F4A56">
      <w:rPr>
        <w:rStyle w:val="PageNumber"/>
        <w:sz w:val="20"/>
        <w:szCs w:val="20"/>
      </w:rPr>
      <w:instrText xml:space="preserve"> PAGE </w:instrText>
    </w:r>
    <w:r w:rsidRPr="000F4A56">
      <w:rPr>
        <w:rStyle w:val="PageNumber"/>
        <w:sz w:val="20"/>
        <w:szCs w:val="20"/>
      </w:rPr>
      <w:fldChar w:fldCharType="separate"/>
    </w:r>
    <w:r w:rsidR="00767BA7">
      <w:rPr>
        <w:rStyle w:val="PageNumber"/>
        <w:noProof/>
        <w:sz w:val="20"/>
        <w:szCs w:val="20"/>
      </w:rPr>
      <w:t>1</w:t>
    </w:r>
    <w:r w:rsidRPr="000F4A56">
      <w:rPr>
        <w:rStyle w:val="PageNumber"/>
        <w:sz w:val="20"/>
        <w:szCs w:val="20"/>
      </w:rPr>
      <w:fldChar w:fldCharType="end"/>
    </w:r>
    <w:r w:rsidRPr="000F4A56">
      <w:rPr>
        <w:rStyle w:val="PageNumber"/>
        <w:sz w:val="20"/>
        <w:szCs w:val="20"/>
      </w:rPr>
      <w:t>/</w:t>
    </w:r>
    <w:r w:rsidR="00493C8F">
      <w:rPr>
        <w:rStyle w:val="PageNumber"/>
        <w:sz w:val="20"/>
        <w:szCs w:val="20"/>
      </w:rPr>
      <w:t>3</w:t>
    </w:r>
    <w:r w:rsidRPr="000F4A56">
      <w:rPr>
        <w:sz w:val="20"/>
        <w:szCs w:val="20"/>
      </w:rPr>
      <w:tab/>
    </w:r>
    <w:r w:rsidR="005C4B37" w:rsidRPr="000F4A56">
      <w:rPr>
        <w:sz w:val="20"/>
        <w:szCs w:val="20"/>
      </w:rPr>
      <w:tab/>
    </w:r>
    <w:r w:rsidR="005C4B37" w:rsidRPr="000F4A56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A7" w:rsidRDefault="007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C5" w:rsidRDefault="00AB66C5">
      <w:r>
        <w:separator/>
      </w:r>
    </w:p>
  </w:footnote>
  <w:footnote w:type="continuationSeparator" w:id="0">
    <w:p w:rsidR="00AB66C5" w:rsidRDefault="00AB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A7" w:rsidRDefault="00767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37" w:rsidRDefault="002A28BF" w:rsidP="005C4B37">
    <w:pPr>
      <w:pStyle w:val="Header"/>
      <w:tabs>
        <w:tab w:val="left" w:pos="1590"/>
      </w:tabs>
      <w:rPr>
        <w:rFonts w:ascii="Times New Roman" w:hAnsi="Times New Roman"/>
        <w:sz w:val="20"/>
        <w:szCs w:val="20"/>
        <w:lang w:val="en-US"/>
      </w:rPr>
    </w:pPr>
    <w:r w:rsidRPr="00767BA7">
      <w:rPr>
        <w:rFonts w:ascii="Times New Roman" w:hAnsi="Times New Roman"/>
        <w:b/>
        <w:bCs/>
        <w:noProof/>
        <w:sz w:val="20"/>
        <w:szCs w:val="20"/>
        <w:u w:val="single"/>
      </w:rPr>
      <w:drawing>
        <wp:anchor distT="0" distB="0" distL="114300" distR="114300" simplePos="0" relativeHeight="251658240" behindDoc="0" locked="0" layoutInCell="1" allowOverlap="0" wp14:anchorId="64C7C508" wp14:editId="5EDEB1C0">
          <wp:simplePos x="0" y="0"/>
          <wp:positionH relativeFrom="column">
            <wp:posOffset>4791075</wp:posOffset>
          </wp:positionH>
          <wp:positionV relativeFrom="paragraph">
            <wp:posOffset>2540</wp:posOffset>
          </wp:positionV>
          <wp:extent cx="1522730" cy="229870"/>
          <wp:effectExtent l="0" t="0" r="1270" b="0"/>
          <wp:wrapSquare wrapText="left"/>
          <wp:docPr id="10" name="Picture 42" descr="dakosy_schriftzug_web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2" descr="dakosy_schriftzug_web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7BA7" w:rsidRPr="00767BA7">
      <w:rPr>
        <w:rFonts w:ascii="Times New Roman" w:hAnsi="Times New Roman"/>
        <w:b/>
        <w:bCs/>
        <w:sz w:val="20"/>
        <w:szCs w:val="20"/>
        <w:u w:val="single"/>
        <w:lang w:val="en-US"/>
      </w:rPr>
      <w:t>Annex 1</w:t>
    </w:r>
    <w:r w:rsidR="00767BA7">
      <w:rPr>
        <w:rFonts w:ascii="Times New Roman" w:hAnsi="Times New Roman"/>
        <w:sz w:val="20"/>
        <w:szCs w:val="20"/>
        <w:lang w:val="en-US"/>
      </w:rPr>
      <w:t xml:space="preserve"> - </w:t>
    </w:r>
    <w:r w:rsidRPr="002A28BF">
      <w:rPr>
        <w:rFonts w:ascii="Times New Roman" w:hAnsi="Times New Roman"/>
        <w:sz w:val="20"/>
        <w:szCs w:val="20"/>
        <w:lang w:val="en-US"/>
      </w:rPr>
      <w:t>IOS</w:t>
    </w:r>
    <w:bookmarkStart w:id="0" w:name="_GoBack"/>
    <w:bookmarkEnd w:id="0"/>
  </w:p>
  <w:p w:rsidR="005C4B37" w:rsidRPr="005C4B37" w:rsidRDefault="002A28BF" w:rsidP="005C4B37">
    <w:pPr>
      <w:pStyle w:val="Header"/>
      <w:pBdr>
        <w:bottom w:val="single" w:sz="4" w:space="1" w:color="auto"/>
      </w:pBdr>
      <w:tabs>
        <w:tab w:val="left" w:pos="159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en-US"/>
      </w:rPr>
      <w:t>Short summary of PCS: DAKOSY</w:t>
    </w:r>
  </w:p>
  <w:p w:rsidR="00763ACC" w:rsidRPr="005C4B37" w:rsidRDefault="00763ACC" w:rsidP="005C4B37">
    <w:pPr>
      <w:pStyle w:val="Head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A7" w:rsidRDefault="00767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7F7"/>
    <w:multiLevelType w:val="hybridMultilevel"/>
    <w:tmpl w:val="5F6AC478"/>
    <w:lvl w:ilvl="0" w:tplc="BCF6AA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63C3"/>
    <w:multiLevelType w:val="hybridMultilevel"/>
    <w:tmpl w:val="B85AD784"/>
    <w:lvl w:ilvl="0" w:tplc="DF3A587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CAD"/>
    <w:multiLevelType w:val="hybridMultilevel"/>
    <w:tmpl w:val="F8E86B6E"/>
    <w:lvl w:ilvl="0" w:tplc="8A6853CA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6094"/>
    <w:multiLevelType w:val="hybridMultilevel"/>
    <w:tmpl w:val="B7AE40DC"/>
    <w:lvl w:ilvl="0" w:tplc="C992975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1EEE"/>
    <w:multiLevelType w:val="hybridMultilevel"/>
    <w:tmpl w:val="81BA2AFE"/>
    <w:lvl w:ilvl="0" w:tplc="DF3A587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F4DB6"/>
    <w:multiLevelType w:val="hybridMultilevel"/>
    <w:tmpl w:val="0314560C"/>
    <w:lvl w:ilvl="0" w:tplc="3404CBF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A71EB"/>
    <w:multiLevelType w:val="hybridMultilevel"/>
    <w:tmpl w:val="11949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35E69"/>
    <w:multiLevelType w:val="hybridMultilevel"/>
    <w:tmpl w:val="620AA15A"/>
    <w:lvl w:ilvl="0" w:tplc="BCF6AA0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34695"/>
    <w:multiLevelType w:val="hybridMultilevel"/>
    <w:tmpl w:val="10922EBA"/>
    <w:lvl w:ilvl="0" w:tplc="BCF6AA0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D3698"/>
    <w:multiLevelType w:val="hybridMultilevel"/>
    <w:tmpl w:val="2BD01618"/>
    <w:lvl w:ilvl="0" w:tplc="BCF6AA0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B83513"/>
    <w:multiLevelType w:val="hybridMultilevel"/>
    <w:tmpl w:val="C5944C4A"/>
    <w:lvl w:ilvl="0" w:tplc="31444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AB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8A7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A1C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293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696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693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16B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9AE0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047B19"/>
    <w:multiLevelType w:val="hybridMultilevel"/>
    <w:tmpl w:val="7F4AA62C"/>
    <w:lvl w:ilvl="0" w:tplc="E3000D38">
      <w:start w:val="12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E227D"/>
    <w:multiLevelType w:val="hybridMultilevel"/>
    <w:tmpl w:val="E56C1BEC"/>
    <w:lvl w:ilvl="0" w:tplc="A53A1D92">
      <w:start w:val="1"/>
      <w:numFmt w:val="bullet"/>
      <w:lvlText w:val="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E0836"/>
    <w:multiLevelType w:val="hybridMultilevel"/>
    <w:tmpl w:val="E6920FC0"/>
    <w:lvl w:ilvl="0" w:tplc="76C6165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5562A"/>
    <w:multiLevelType w:val="hybridMultilevel"/>
    <w:tmpl w:val="C7EC213C"/>
    <w:lvl w:ilvl="0" w:tplc="BCF6AA0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720B83"/>
    <w:multiLevelType w:val="hybridMultilevel"/>
    <w:tmpl w:val="C02E5D1E"/>
    <w:lvl w:ilvl="0" w:tplc="0150A4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E302F2"/>
    <w:multiLevelType w:val="hybridMultilevel"/>
    <w:tmpl w:val="6466FBBE"/>
    <w:lvl w:ilvl="0" w:tplc="F19A507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8043C"/>
    <w:multiLevelType w:val="hybridMultilevel"/>
    <w:tmpl w:val="B9100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F2880"/>
    <w:multiLevelType w:val="hybridMultilevel"/>
    <w:tmpl w:val="F3CC910A"/>
    <w:lvl w:ilvl="0" w:tplc="FDDEBF3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303FCD"/>
    <w:multiLevelType w:val="hybridMultilevel"/>
    <w:tmpl w:val="DE9A5766"/>
    <w:lvl w:ilvl="0" w:tplc="BCF6AA0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4E4EA8"/>
    <w:multiLevelType w:val="hybridMultilevel"/>
    <w:tmpl w:val="613A4ABC"/>
    <w:lvl w:ilvl="0" w:tplc="BCF6AA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23B2D"/>
    <w:multiLevelType w:val="hybridMultilevel"/>
    <w:tmpl w:val="DB3AFD9A"/>
    <w:lvl w:ilvl="0" w:tplc="3CB2D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814DD"/>
    <w:multiLevelType w:val="hybridMultilevel"/>
    <w:tmpl w:val="17962460"/>
    <w:lvl w:ilvl="0" w:tplc="C992975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14FB7"/>
    <w:multiLevelType w:val="hybridMultilevel"/>
    <w:tmpl w:val="4BE4F80E"/>
    <w:lvl w:ilvl="0" w:tplc="70A84C3E">
      <w:start w:val="3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2569F"/>
    <w:multiLevelType w:val="hybridMultilevel"/>
    <w:tmpl w:val="A558AE9A"/>
    <w:lvl w:ilvl="0" w:tplc="BCF6AA0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4B35CA"/>
    <w:multiLevelType w:val="hybridMultilevel"/>
    <w:tmpl w:val="66CAE878"/>
    <w:lvl w:ilvl="0" w:tplc="BCF6AA0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FA3058"/>
    <w:multiLevelType w:val="hybridMultilevel"/>
    <w:tmpl w:val="B704C532"/>
    <w:lvl w:ilvl="0" w:tplc="22D47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7"/>
  </w:num>
  <w:num w:numId="5">
    <w:abstractNumId w:val="14"/>
  </w:num>
  <w:num w:numId="6">
    <w:abstractNumId w:val="9"/>
  </w:num>
  <w:num w:numId="7">
    <w:abstractNumId w:val="24"/>
  </w:num>
  <w:num w:numId="8">
    <w:abstractNumId w:val="19"/>
  </w:num>
  <w:num w:numId="9">
    <w:abstractNumId w:val="8"/>
  </w:num>
  <w:num w:numId="10">
    <w:abstractNumId w:val="0"/>
  </w:num>
  <w:num w:numId="11">
    <w:abstractNumId w:val="25"/>
  </w:num>
  <w:num w:numId="12">
    <w:abstractNumId w:val="3"/>
  </w:num>
  <w:num w:numId="13">
    <w:abstractNumId w:val="21"/>
  </w:num>
  <w:num w:numId="14">
    <w:abstractNumId w:val="22"/>
  </w:num>
  <w:num w:numId="15">
    <w:abstractNumId w:val="5"/>
  </w:num>
  <w:num w:numId="16">
    <w:abstractNumId w:val="13"/>
  </w:num>
  <w:num w:numId="17">
    <w:abstractNumId w:val="16"/>
  </w:num>
  <w:num w:numId="18">
    <w:abstractNumId w:val="2"/>
  </w:num>
  <w:num w:numId="19">
    <w:abstractNumId w:val="4"/>
  </w:num>
  <w:num w:numId="20">
    <w:abstractNumId w:val="1"/>
  </w:num>
  <w:num w:numId="21">
    <w:abstractNumId w:val="23"/>
  </w:num>
  <w:num w:numId="22">
    <w:abstractNumId w:val="11"/>
  </w:num>
  <w:num w:numId="23">
    <w:abstractNumId w:val="26"/>
  </w:num>
  <w:num w:numId="24">
    <w:abstractNumId w:val="18"/>
  </w:num>
  <w:num w:numId="25">
    <w:abstractNumId w:val="12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5A"/>
    <w:rsid w:val="000E1CF1"/>
    <w:rsid w:val="000F4A56"/>
    <w:rsid w:val="00182C53"/>
    <w:rsid w:val="001A7E9D"/>
    <w:rsid w:val="001F130F"/>
    <w:rsid w:val="002A28BF"/>
    <w:rsid w:val="002C7993"/>
    <w:rsid w:val="003161FF"/>
    <w:rsid w:val="0036347E"/>
    <w:rsid w:val="003E6259"/>
    <w:rsid w:val="004202F4"/>
    <w:rsid w:val="00493C8F"/>
    <w:rsid w:val="004E2E4F"/>
    <w:rsid w:val="005401F9"/>
    <w:rsid w:val="005C3104"/>
    <w:rsid w:val="005C4B37"/>
    <w:rsid w:val="00675F6C"/>
    <w:rsid w:val="00700186"/>
    <w:rsid w:val="007026E1"/>
    <w:rsid w:val="00763ACC"/>
    <w:rsid w:val="00767BA7"/>
    <w:rsid w:val="007B3C0B"/>
    <w:rsid w:val="00871942"/>
    <w:rsid w:val="0098153F"/>
    <w:rsid w:val="009C15D6"/>
    <w:rsid w:val="00AB66C5"/>
    <w:rsid w:val="00BB12CD"/>
    <w:rsid w:val="00BC0C55"/>
    <w:rsid w:val="00D84432"/>
    <w:rsid w:val="00DA5736"/>
    <w:rsid w:val="00DB655A"/>
    <w:rsid w:val="00DD50C2"/>
    <w:rsid w:val="00E11D14"/>
    <w:rsid w:val="00EE50B2"/>
    <w:rsid w:val="00F34134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ZapfHumnst BT" w:hAnsi="ZapfHumnst BT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aption"/>
    <w:autoRedefine/>
    <w:pPr>
      <w:spacing w:before="120" w:after="120"/>
      <w:jc w:val="center"/>
    </w:pPr>
    <w:rPr>
      <w:rFonts w:ascii="Arial" w:hAnsi="Arial" w:cs="Arial"/>
      <w:lang w:eastAsia="en-US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StyleCaptionArial">
    <w:name w:val="Style Caption + Arial"/>
    <w:basedOn w:val="Caption"/>
    <w:pPr>
      <w:spacing w:before="120" w:after="120"/>
    </w:pPr>
    <w:rPr>
      <w:rFonts w:ascii="Arial" w:hAnsi="Arial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PieddepageCar">
    <w:name w:val="Pied de page Car"/>
    <w:basedOn w:val="DefaultParagraphFont"/>
    <w:rPr>
      <w:rFonts w:ascii="ZapfHumnst BT" w:hAnsi="ZapfHumnst BT"/>
      <w:sz w:val="22"/>
      <w:szCs w:val="22"/>
      <w:lang w:val="en-GB" w:eastAsia="en-GB"/>
    </w:rPr>
  </w:style>
  <w:style w:type="paragraph" w:styleId="PlainText">
    <w:name w:val="Plain Text"/>
    <w:basedOn w:val="Normal"/>
    <w:semiHidden/>
    <w:unhideWhenUsed/>
    <w:rPr>
      <w:rFonts w:ascii="Consolas" w:eastAsia="Calibri" w:hAnsi="Consolas"/>
      <w:sz w:val="21"/>
      <w:szCs w:val="21"/>
      <w:lang w:val="fr-FR" w:eastAsia="en-US"/>
    </w:rPr>
  </w:style>
  <w:style w:type="character" w:customStyle="1" w:styleId="TextebrutCar">
    <w:name w:val="Texte brut Car"/>
    <w:basedOn w:val="DefaultParagraphFont"/>
    <w:rPr>
      <w:rFonts w:ascii="Consolas" w:eastAsia="Calibri" w:hAnsi="Consolas" w:cs="Times New Roman"/>
      <w:sz w:val="21"/>
      <w:szCs w:val="21"/>
      <w:lang w:eastAsia="en-US"/>
    </w:rPr>
  </w:style>
  <w:style w:type="paragraph" w:styleId="BodyTextIndent">
    <w:name w:val="Body Text Indent"/>
    <w:basedOn w:val="Normal"/>
    <w:semiHidden/>
    <w:pPr>
      <w:tabs>
        <w:tab w:val="left" w:pos="0"/>
      </w:tabs>
      <w:ind w:left="-25" w:firstLine="25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rsid w:val="005C4B37"/>
    <w:rPr>
      <w:rFonts w:ascii="ZapfHumnst BT" w:hAnsi="ZapfHumnst BT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75F6C"/>
    <w:pPr>
      <w:ind w:left="720"/>
      <w:contextualSpacing/>
    </w:pPr>
    <w:rPr>
      <w:rFonts w:ascii="Times New Roman" w:hAnsi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BF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ZapfHumnst BT" w:hAnsi="ZapfHumnst BT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aption"/>
    <w:autoRedefine/>
    <w:pPr>
      <w:spacing w:before="120" w:after="120"/>
      <w:jc w:val="center"/>
    </w:pPr>
    <w:rPr>
      <w:rFonts w:ascii="Arial" w:hAnsi="Arial" w:cs="Arial"/>
      <w:lang w:eastAsia="en-US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StyleCaptionArial">
    <w:name w:val="Style Caption + Arial"/>
    <w:basedOn w:val="Caption"/>
    <w:pPr>
      <w:spacing w:before="120" w:after="120"/>
    </w:pPr>
    <w:rPr>
      <w:rFonts w:ascii="Arial" w:hAnsi="Arial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PieddepageCar">
    <w:name w:val="Pied de page Car"/>
    <w:basedOn w:val="DefaultParagraphFont"/>
    <w:rPr>
      <w:rFonts w:ascii="ZapfHumnst BT" w:hAnsi="ZapfHumnst BT"/>
      <w:sz w:val="22"/>
      <w:szCs w:val="22"/>
      <w:lang w:val="en-GB" w:eastAsia="en-GB"/>
    </w:rPr>
  </w:style>
  <w:style w:type="paragraph" w:styleId="PlainText">
    <w:name w:val="Plain Text"/>
    <w:basedOn w:val="Normal"/>
    <w:semiHidden/>
    <w:unhideWhenUsed/>
    <w:rPr>
      <w:rFonts w:ascii="Consolas" w:eastAsia="Calibri" w:hAnsi="Consolas"/>
      <w:sz w:val="21"/>
      <w:szCs w:val="21"/>
      <w:lang w:val="fr-FR" w:eastAsia="en-US"/>
    </w:rPr>
  </w:style>
  <w:style w:type="character" w:customStyle="1" w:styleId="TextebrutCar">
    <w:name w:val="Texte brut Car"/>
    <w:basedOn w:val="DefaultParagraphFont"/>
    <w:rPr>
      <w:rFonts w:ascii="Consolas" w:eastAsia="Calibri" w:hAnsi="Consolas" w:cs="Times New Roman"/>
      <w:sz w:val="21"/>
      <w:szCs w:val="21"/>
      <w:lang w:eastAsia="en-US"/>
    </w:rPr>
  </w:style>
  <w:style w:type="paragraph" w:styleId="BodyTextIndent">
    <w:name w:val="Body Text Indent"/>
    <w:basedOn w:val="Normal"/>
    <w:semiHidden/>
    <w:pPr>
      <w:tabs>
        <w:tab w:val="left" w:pos="0"/>
      </w:tabs>
      <w:ind w:left="-25" w:firstLine="25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rsid w:val="005C4B37"/>
    <w:rPr>
      <w:rFonts w:ascii="ZapfHumnst BT" w:hAnsi="ZapfHumnst BT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75F6C"/>
    <w:pPr>
      <w:ind w:left="720"/>
      <w:contextualSpacing/>
    </w:pPr>
    <w:rPr>
      <w:rFonts w:ascii="Times New Roman" w:hAnsi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B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k@dakosy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akosy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age@dakosy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COMMITTEE ON TRADE FACILITATION AND PORT COMMUNITY SYSTEMS</vt:lpstr>
      <vt:lpstr>COMMITTEE ON TRADE FACILITATION AND PORT COMMUNITY SYSTEMS</vt:lpstr>
    </vt:vector>
  </TitlesOfParts>
  <Company>The Port of Felixstowe</Company>
  <LinksUpToDate>false</LinksUpToDate>
  <CharactersWithSpaces>6684</CharactersWithSpaces>
  <SharedDoc>false</SharedDoc>
  <HLinks>
    <vt:vector size="18" baseType="variant"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http://www.dakosy.de/</vt:lpwstr>
      </vt:variant>
      <vt:variant>
        <vt:lpwstr/>
      </vt:variant>
      <vt:variant>
        <vt:i4>2490380</vt:i4>
      </vt:variant>
      <vt:variant>
        <vt:i4>3</vt:i4>
      </vt:variant>
      <vt:variant>
        <vt:i4>0</vt:i4>
      </vt:variant>
      <vt:variant>
        <vt:i4>5</vt:i4>
      </vt:variant>
      <vt:variant>
        <vt:lpwstr>mailto:wrage@dakosy.de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mailto:spark@dakosy.de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TRADE FACILITATION AND PORT COMMUNITY SYSTEMS</dc:title>
  <dc:creator>averyk</dc:creator>
  <cp:lastModifiedBy>Richard Morton</cp:lastModifiedBy>
  <cp:revision>2</cp:revision>
  <cp:lastPrinted>2010-02-18T13:23:00Z</cp:lastPrinted>
  <dcterms:created xsi:type="dcterms:W3CDTF">2013-10-14T06:12:00Z</dcterms:created>
  <dcterms:modified xsi:type="dcterms:W3CDTF">2013-10-14T06:12:00Z</dcterms:modified>
</cp:coreProperties>
</file>