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126874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72385A" w:rsidRDefault="00A658DB" w:rsidP="007B199D">
            <w:pPr>
              <w:jc w:val="right"/>
              <w:rPr>
                <w:lang w:val="en-US"/>
              </w:rPr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72385A">
              <w:rPr>
                <w:lang w:val="en-US"/>
              </w:rPr>
              <w:t>/</w:t>
            </w:r>
            <w:r>
              <w:fldChar w:fldCharType="begin"/>
            </w:r>
            <w:r w:rsidRPr="0072385A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72385A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72385A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72385A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72385A">
              <w:rPr>
                <w:lang w:val="en-US"/>
              </w:rPr>
              <w:instrText xml:space="preserve">CE/"  \* MERGEFORMAT </w:instrText>
            </w:r>
            <w:r>
              <w:fldChar w:fldCharType="separate"/>
            </w:r>
            <w:r w:rsidR="006E2A6E">
              <w:rPr>
                <w:lang w:val="en-US"/>
              </w:rPr>
              <w:t>MP.PP/WG.1/2017/L.8</w:t>
            </w:r>
            <w:r>
              <w:fldChar w:fldCharType="end"/>
            </w:r>
            <w:r w:rsidRPr="0072385A">
              <w:rPr>
                <w:lang w:val="en-US"/>
              </w:rPr>
              <w:t xml:space="preserve">                  </w:t>
            </w:r>
          </w:p>
        </w:tc>
      </w:tr>
      <w:tr w:rsidR="00A658DB" w:rsidRPr="006E2A6E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F2721B" w:rsidRDefault="00A658DB" w:rsidP="007B199D">
            <w:pPr>
              <w:spacing w:before="240"/>
              <w:rPr>
                <w:lang w:val="en-US"/>
              </w:rPr>
            </w:pPr>
            <w:r w:rsidRPr="00F2721B">
              <w:rPr>
                <w:lang w:val="en-US"/>
              </w:rPr>
              <w:t xml:space="preserve">Distr.: </w:t>
            </w:r>
            <w:r w:rsidR="00F2721B">
              <w:rPr>
                <w:lang w:val="en-US"/>
              </w:rPr>
              <w:t>Limited</w:t>
            </w:r>
          </w:p>
          <w:p w:rsidR="00A658DB" w:rsidRPr="00F2721B" w:rsidRDefault="00A658DB" w:rsidP="007B199D">
            <w:pPr>
              <w:rPr>
                <w:lang w:val="en-US"/>
              </w:rPr>
            </w:pPr>
            <w:r w:rsidRPr="00245892">
              <w:fldChar w:fldCharType="begin"/>
            </w:r>
            <w:r w:rsidRPr="00F2721B">
              <w:rPr>
                <w:lang w:val="en-US"/>
              </w:rPr>
              <w:instrText xml:space="preserve"> FILLIN  "</w:instrText>
            </w:r>
            <w:r w:rsidRPr="00245892">
              <w:instrText>Введите</w:instrText>
            </w:r>
            <w:r w:rsidRPr="00F2721B">
              <w:rPr>
                <w:lang w:val="en-US"/>
              </w:rPr>
              <w:instrText xml:space="preserve"> </w:instrText>
            </w:r>
            <w:r w:rsidRPr="00245892">
              <w:instrText>дату</w:instrText>
            </w:r>
            <w:r w:rsidRPr="00F2721B">
              <w:rPr>
                <w:lang w:val="en-US"/>
              </w:rPr>
              <w:instrText xml:space="preserve"> </w:instrText>
            </w:r>
            <w:r w:rsidRPr="00245892">
              <w:instrText>документа</w:instrText>
            </w:r>
            <w:r w:rsidRPr="00F2721B">
              <w:rPr>
                <w:lang w:val="en-US"/>
              </w:rPr>
              <w:instrText xml:space="preserve">" \* MERGEFORMAT </w:instrText>
            </w:r>
            <w:r w:rsidRPr="00245892">
              <w:fldChar w:fldCharType="separate"/>
            </w:r>
            <w:r w:rsidR="006E2A6E">
              <w:rPr>
                <w:lang w:val="en-US"/>
              </w:rPr>
              <w:t>12 January 2017</w:t>
            </w:r>
            <w:r w:rsidRPr="00245892">
              <w:fldChar w:fldCharType="end"/>
            </w:r>
          </w:p>
          <w:p w:rsidR="00A658DB" w:rsidRPr="00F2721B" w:rsidRDefault="00A658DB" w:rsidP="007B199D">
            <w:pPr>
              <w:rPr>
                <w:lang w:val="en-US"/>
              </w:rPr>
            </w:pPr>
            <w:r w:rsidRPr="00F2721B">
              <w:rPr>
                <w:lang w:val="en-US"/>
              </w:rPr>
              <w:t>Russian</w:t>
            </w:r>
          </w:p>
          <w:p w:rsidR="00A658DB" w:rsidRPr="00F2721B" w:rsidRDefault="00A658DB" w:rsidP="007B199D">
            <w:pPr>
              <w:rPr>
                <w:lang w:val="en-US"/>
              </w:rPr>
            </w:pPr>
            <w:r w:rsidRPr="00F2721B">
              <w:rPr>
                <w:lang w:val="en-US"/>
              </w:rPr>
              <w:t xml:space="preserve">Original: </w:t>
            </w:r>
            <w:bookmarkStart w:id="0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F2721B">
              <w:rPr>
                <w:lang w:val="en-US"/>
              </w:rPr>
              <w:instrText xml:space="preserve"> FORMDROPDOWN </w:instrText>
            </w:r>
            <w:r w:rsidR="006E2A6E">
              <w:fldChar w:fldCharType="separate"/>
            </w:r>
            <w:r w:rsidRPr="00245892">
              <w:fldChar w:fldCharType="end"/>
            </w:r>
            <w:bookmarkEnd w:id="0"/>
          </w:p>
          <w:p w:rsidR="00A658DB" w:rsidRPr="00F2721B" w:rsidRDefault="00A658DB" w:rsidP="007B199D">
            <w:pPr>
              <w:rPr>
                <w:lang w:val="en-US"/>
              </w:rPr>
            </w:pPr>
          </w:p>
        </w:tc>
      </w:tr>
    </w:tbl>
    <w:p w:rsidR="00A658DB" w:rsidRDefault="00A658DB" w:rsidP="00243AA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2385A" w:rsidRPr="0072385A" w:rsidRDefault="0072385A" w:rsidP="00243AA3">
      <w:pPr>
        <w:spacing w:before="120" w:line="240" w:lineRule="auto"/>
        <w:rPr>
          <w:sz w:val="28"/>
          <w:szCs w:val="28"/>
        </w:rPr>
      </w:pPr>
      <w:r w:rsidRPr="0072385A">
        <w:rPr>
          <w:sz w:val="28"/>
          <w:szCs w:val="28"/>
        </w:rPr>
        <w:t>Совещ</w:t>
      </w:r>
      <w:r>
        <w:rPr>
          <w:sz w:val="28"/>
          <w:szCs w:val="28"/>
        </w:rPr>
        <w:t>ание Сторон Конвенции о доступе</w:t>
      </w:r>
      <w:r w:rsidRPr="0072385A">
        <w:rPr>
          <w:sz w:val="28"/>
          <w:szCs w:val="28"/>
        </w:rPr>
        <w:br/>
        <w:t>к информации, участии обще</w:t>
      </w:r>
      <w:r>
        <w:rPr>
          <w:sz w:val="28"/>
          <w:szCs w:val="28"/>
        </w:rPr>
        <w:t>ственности</w:t>
      </w:r>
      <w:r w:rsidRPr="0072385A">
        <w:rPr>
          <w:sz w:val="28"/>
          <w:szCs w:val="28"/>
        </w:rPr>
        <w:br/>
        <w:t>в проц</w:t>
      </w:r>
      <w:r>
        <w:rPr>
          <w:sz w:val="28"/>
          <w:szCs w:val="28"/>
        </w:rPr>
        <w:t>ессе принятия решений и доступе</w:t>
      </w:r>
      <w:r w:rsidRPr="0072385A">
        <w:rPr>
          <w:sz w:val="28"/>
          <w:szCs w:val="28"/>
        </w:rPr>
        <w:br/>
        <w:t>к правосудию по вопросам, каса</w:t>
      </w:r>
      <w:r>
        <w:rPr>
          <w:sz w:val="28"/>
          <w:szCs w:val="28"/>
        </w:rPr>
        <w:t>ющимся</w:t>
      </w:r>
      <w:r w:rsidRPr="0072385A">
        <w:rPr>
          <w:sz w:val="28"/>
          <w:szCs w:val="28"/>
        </w:rPr>
        <w:br/>
        <w:t>окружающей среды</w:t>
      </w:r>
    </w:p>
    <w:p w:rsidR="0072385A" w:rsidRPr="0072385A" w:rsidRDefault="0072385A" w:rsidP="00243AA3">
      <w:pPr>
        <w:spacing w:before="120" w:line="240" w:lineRule="auto"/>
        <w:rPr>
          <w:b/>
          <w:sz w:val="24"/>
          <w:szCs w:val="24"/>
        </w:rPr>
      </w:pPr>
      <w:r w:rsidRPr="0072385A">
        <w:rPr>
          <w:b/>
          <w:sz w:val="24"/>
          <w:szCs w:val="24"/>
        </w:rPr>
        <w:t>Рабочая группа Сторон</w:t>
      </w:r>
    </w:p>
    <w:p w:rsidR="0072385A" w:rsidRPr="0072385A" w:rsidRDefault="0072385A" w:rsidP="00243AA3">
      <w:pPr>
        <w:spacing w:before="120" w:line="240" w:lineRule="auto"/>
        <w:rPr>
          <w:b/>
        </w:rPr>
      </w:pPr>
      <w:r w:rsidRPr="0072385A">
        <w:rPr>
          <w:b/>
        </w:rPr>
        <w:t>Двадцать первое совещание</w:t>
      </w:r>
    </w:p>
    <w:p w:rsidR="0072385A" w:rsidRPr="0072385A" w:rsidRDefault="0072385A" w:rsidP="00126874">
      <w:pPr>
        <w:spacing w:line="240" w:lineRule="auto"/>
      </w:pPr>
      <w:r w:rsidRPr="0072385A">
        <w:t>Женева, 4–6 апреля 2017 года</w:t>
      </w:r>
    </w:p>
    <w:p w:rsidR="0072385A" w:rsidRPr="0072385A" w:rsidRDefault="0072385A" w:rsidP="0072385A">
      <w:pPr>
        <w:spacing w:line="240" w:lineRule="auto"/>
      </w:pPr>
      <w:r w:rsidRPr="0072385A">
        <w:t>Пункт 8 a) предварительной повестки дня</w:t>
      </w:r>
    </w:p>
    <w:p w:rsidR="0072385A" w:rsidRPr="0072385A" w:rsidRDefault="0072385A" w:rsidP="0072385A">
      <w:pPr>
        <w:spacing w:line="240" w:lineRule="auto"/>
        <w:rPr>
          <w:b/>
          <w:bCs/>
        </w:rPr>
      </w:pPr>
      <w:r w:rsidRPr="0072385A">
        <w:rPr>
          <w:b/>
          <w:bCs/>
        </w:rPr>
        <w:t>Другие элементы осно</w:t>
      </w:r>
      <w:r>
        <w:rPr>
          <w:b/>
          <w:bCs/>
        </w:rPr>
        <w:t>вной подготовки к шестой сессии</w:t>
      </w:r>
      <w:r w:rsidRPr="0072385A">
        <w:rPr>
          <w:b/>
          <w:bCs/>
        </w:rPr>
        <w:br/>
        <w:t xml:space="preserve">Совещания Сторон: </w:t>
      </w:r>
      <w:r>
        <w:rPr>
          <w:b/>
          <w:bCs/>
        </w:rPr>
        <w:t>повестка дня шестой сессии</w:t>
      </w:r>
    </w:p>
    <w:p w:rsidR="0072385A" w:rsidRPr="0072385A" w:rsidRDefault="0072385A" w:rsidP="00243AA3">
      <w:pPr>
        <w:pStyle w:val="HChGR"/>
        <w:rPr>
          <w:i/>
        </w:rPr>
      </w:pPr>
      <w:r w:rsidRPr="0072385A">
        <w:tab/>
      </w:r>
      <w:r w:rsidRPr="0072385A">
        <w:tab/>
        <w:t xml:space="preserve">Проект </w:t>
      </w:r>
      <w:r w:rsidRPr="00243AA3">
        <w:t>предварительной</w:t>
      </w:r>
      <w:r w:rsidRPr="0072385A">
        <w:t xml:space="preserve"> </w:t>
      </w:r>
      <w:proofErr w:type="gramStart"/>
      <w:r w:rsidRPr="0072385A">
        <w:t>повестки дня</w:t>
      </w:r>
      <w:r>
        <w:t xml:space="preserve"> шестой сессии Совещания Сторон</w:t>
      </w:r>
      <w:proofErr w:type="gramEnd"/>
    </w:p>
    <w:p w:rsidR="0072385A" w:rsidRPr="0072385A" w:rsidRDefault="0072385A" w:rsidP="00243AA3">
      <w:pPr>
        <w:pStyle w:val="H1GR"/>
        <w:spacing w:before="240" w:after="480"/>
        <w:rPr>
          <w:lang w:val="en-GB"/>
        </w:rPr>
      </w:pPr>
      <w:r w:rsidRPr="0072385A">
        <w:tab/>
      </w:r>
      <w:r w:rsidRPr="0072385A">
        <w:tab/>
      </w:r>
      <w:proofErr w:type="gramStart"/>
      <w:r w:rsidRPr="0072385A">
        <w:t>Подготовлен</w:t>
      </w:r>
      <w:proofErr w:type="gramEnd"/>
      <w:r w:rsidRPr="0072385A">
        <w:t xml:space="preserve"> </w:t>
      </w:r>
      <w:r w:rsidRPr="00243AA3">
        <w:t>Президиумом</w:t>
      </w:r>
    </w:p>
    <w:tbl>
      <w:tblPr>
        <w:tblStyle w:val="ae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72385A" w:rsidRPr="0072385A" w:rsidTr="00992B58">
        <w:tc>
          <w:tcPr>
            <w:tcW w:w="9854" w:type="dxa"/>
            <w:shd w:val="clear" w:color="auto" w:fill="auto"/>
          </w:tcPr>
          <w:p w:rsidR="0072385A" w:rsidRPr="0072385A" w:rsidRDefault="0072385A" w:rsidP="0072385A">
            <w:pPr>
              <w:suppressAutoHyphens/>
              <w:spacing w:before="240" w:after="120"/>
              <w:ind w:left="255"/>
              <w:rPr>
                <w:rFonts w:eastAsiaTheme="minorHAnsi" w:cstheme="minorBidi"/>
                <w:i/>
                <w:sz w:val="24"/>
                <w:szCs w:val="22"/>
              </w:rPr>
            </w:pPr>
            <w:r w:rsidRPr="0072385A">
              <w:rPr>
                <w:rFonts w:eastAsiaTheme="minorHAnsi" w:cstheme="minorBidi"/>
                <w:i/>
                <w:sz w:val="24"/>
                <w:szCs w:val="22"/>
              </w:rPr>
              <w:t>Резюме</w:t>
            </w:r>
          </w:p>
        </w:tc>
      </w:tr>
      <w:tr w:rsidR="0072385A" w:rsidRPr="0072385A" w:rsidTr="00F02D03">
        <w:tc>
          <w:tcPr>
            <w:tcW w:w="9854" w:type="dxa"/>
            <w:tcBorders>
              <w:bottom w:val="nil"/>
            </w:tcBorders>
            <w:shd w:val="clear" w:color="auto" w:fill="auto"/>
          </w:tcPr>
          <w:p w:rsidR="0072385A" w:rsidRPr="0072385A" w:rsidRDefault="0072385A" w:rsidP="00243AA3">
            <w:pPr>
              <w:pStyle w:val="SingleTxtGR"/>
            </w:pPr>
            <w:r w:rsidRPr="0072385A">
              <w:tab/>
              <w:t xml:space="preserve">В содержащемся в настоящем документе плане, который был подготовлен Президиумом Конвенции, представляется проект </w:t>
            </w:r>
            <w:proofErr w:type="gramStart"/>
            <w:r w:rsidRPr="0072385A">
              <w:t>повестки дня шестой сессии Совещания Сторон Конвенции</w:t>
            </w:r>
            <w:proofErr w:type="gramEnd"/>
            <w:r w:rsidRPr="0072385A">
              <w:t xml:space="preserve"> о доступе к информации, участии общественн</w:t>
            </w:r>
            <w:r w:rsidRPr="0072385A">
              <w:t>о</w:t>
            </w:r>
            <w:r w:rsidRPr="0072385A">
              <w:t>сти в процессе принятия решений и доступе к правосудию по вопросам, кас</w:t>
            </w:r>
            <w:r w:rsidRPr="0072385A">
              <w:t>а</w:t>
            </w:r>
            <w:r w:rsidRPr="0072385A">
              <w:t>ющимся окружающей среды, а также предложение по организации работы се</w:t>
            </w:r>
            <w:r w:rsidRPr="0072385A">
              <w:t>с</w:t>
            </w:r>
            <w:r w:rsidRPr="0072385A">
              <w:t>сии. Поскольку шестая сессия Совещания Сторон Конвенции будет проведена в увязке с третьей сессией Совещания Сторон Протокола к Конвенции о рег</w:t>
            </w:r>
            <w:r w:rsidRPr="0072385A">
              <w:t>и</w:t>
            </w:r>
            <w:r w:rsidRPr="0072385A">
              <w:t>страх выбросов и переноса загрязнителей, по предложенному порядку орган</w:t>
            </w:r>
            <w:r w:rsidRPr="0072385A">
              <w:t>и</w:t>
            </w:r>
            <w:r w:rsidRPr="0072385A">
              <w:t>зации работы (см. раздел II) до его рассмотрения Рабочей группой Сторон Ко</w:t>
            </w:r>
            <w:r w:rsidRPr="0072385A">
              <w:t>н</w:t>
            </w:r>
            <w:r w:rsidRPr="0072385A">
              <w:t xml:space="preserve">венции на ее </w:t>
            </w:r>
            <w:r>
              <w:t>двадцатом совещании (Женева, 15–</w:t>
            </w:r>
            <w:r w:rsidRPr="0072385A">
              <w:t>17 июня 2016 года) будут также проведены консультации с Президиумом Протокола.</w:t>
            </w:r>
          </w:p>
        </w:tc>
      </w:tr>
      <w:tr w:rsidR="0072385A" w:rsidRPr="0072385A" w:rsidTr="00F02D03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72385A" w:rsidRPr="0072385A" w:rsidRDefault="0072385A" w:rsidP="00243AA3">
            <w:pPr>
              <w:pStyle w:val="SingleTxtGR"/>
              <w:rPr>
                <w:rFonts w:eastAsiaTheme="minorHAnsi"/>
              </w:rPr>
            </w:pPr>
            <w:r w:rsidRPr="0072385A">
              <w:rPr>
                <w:rFonts w:eastAsiaTheme="minorHAnsi"/>
              </w:rPr>
              <w:lastRenderedPageBreak/>
              <w:tab/>
              <w:t>Документ был подготовлен в с</w:t>
            </w:r>
            <w:r>
              <w:rPr>
                <w:rFonts w:eastAsiaTheme="minorHAnsi"/>
              </w:rPr>
              <w:t>оответствии с программой работы</w:t>
            </w:r>
            <w:r w:rsidRPr="0072385A">
              <w:rPr>
                <w:rFonts w:eastAsiaTheme="minorHAnsi"/>
              </w:rPr>
              <w:br/>
              <w:t>на 2015–2017 годы</w:t>
            </w:r>
            <w:r w:rsidRPr="00F131E8">
              <w:rPr>
                <w:rFonts w:eastAsiaTheme="minorHAnsi"/>
                <w:sz w:val="18"/>
                <w:szCs w:val="18"/>
                <w:vertAlign w:val="superscript"/>
              </w:rPr>
              <w:footnoteReference w:id="1"/>
            </w:r>
            <w:r w:rsidRPr="0072385A">
              <w:rPr>
                <w:rFonts w:eastAsiaTheme="minorHAnsi"/>
              </w:rPr>
              <w:t>, принятой Совещанием Сторон Конвенции на его пятой сессии.</w:t>
            </w:r>
          </w:p>
        </w:tc>
      </w:tr>
      <w:tr w:rsidR="0072385A" w:rsidRPr="0072385A" w:rsidTr="00F02D03">
        <w:tc>
          <w:tcPr>
            <w:tcW w:w="9854" w:type="dxa"/>
            <w:tcBorders>
              <w:top w:val="nil"/>
              <w:bottom w:val="nil"/>
            </w:tcBorders>
            <w:shd w:val="clear" w:color="auto" w:fill="auto"/>
          </w:tcPr>
          <w:p w:rsidR="0072385A" w:rsidRPr="0072385A" w:rsidRDefault="0072385A" w:rsidP="0072385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  <w:rPr>
                <w:rFonts w:eastAsiaTheme="minorHAnsi" w:cstheme="minorBidi"/>
                <w:szCs w:val="22"/>
              </w:rPr>
            </w:pPr>
            <w:r w:rsidRPr="0072385A">
              <w:rPr>
                <w:rFonts w:eastAsiaTheme="minorHAnsi" w:cstheme="minorBidi"/>
                <w:szCs w:val="22"/>
              </w:rPr>
              <w:tab/>
              <w:t>Настоящий план имеет своей целью облегчить обсуждение в Рабочей группе порядка организации работы и повестки дня шестой сессии Совещания Сторон. До и после двадцатого совещания Рабочей группы будет возможность провести консультации открытого состава по повестке дня среди национальных координационных центров и заинтересованных субъектов. Стороны и заинтер</w:t>
            </w:r>
            <w:r w:rsidRPr="0072385A">
              <w:rPr>
                <w:rFonts w:eastAsiaTheme="minorHAnsi" w:cstheme="minorBidi"/>
                <w:szCs w:val="22"/>
              </w:rPr>
              <w:t>е</w:t>
            </w:r>
            <w:r w:rsidRPr="0072385A">
              <w:rPr>
                <w:rFonts w:eastAsiaTheme="minorHAnsi" w:cstheme="minorBidi"/>
                <w:szCs w:val="22"/>
              </w:rPr>
              <w:t>сованные субъекты поддержали это предложение.</w:t>
            </w:r>
          </w:p>
        </w:tc>
      </w:tr>
      <w:tr w:rsidR="0072385A" w:rsidRPr="0072385A" w:rsidTr="00F02D03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72385A" w:rsidRPr="0072385A" w:rsidRDefault="0072385A" w:rsidP="0072385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  <w:rPr>
                <w:rFonts w:eastAsiaTheme="minorHAnsi" w:cstheme="minorBidi"/>
                <w:szCs w:val="22"/>
              </w:rPr>
            </w:pPr>
            <w:r w:rsidRPr="00126874">
              <w:rPr>
                <w:rFonts w:eastAsiaTheme="minorHAnsi" w:cstheme="minorBidi"/>
                <w:szCs w:val="22"/>
              </w:rPr>
              <w:tab/>
            </w:r>
            <w:r w:rsidRPr="0072385A">
              <w:rPr>
                <w:rFonts w:eastAsiaTheme="minorHAnsi" w:cstheme="minorBidi"/>
                <w:szCs w:val="22"/>
              </w:rPr>
              <w:t>Президиум Протокола изложил предлагаемый порядок организации раб</w:t>
            </w:r>
            <w:r w:rsidRPr="0072385A">
              <w:rPr>
                <w:rFonts w:eastAsiaTheme="minorHAnsi" w:cstheme="minorBidi"/>
                <w:szCs w:val="22"/>
              </w:rPr>
              <w:t>о</w:t>
            </w:r>
            <w:r w:rsidRPr="0072385A">
              <w:rPr>
                <w:rFonts w:eastAsiaTheme="minorHAnsi" w:cstheme="minorBidi"/>
                <w:szCs w:val="22"/>
              </w:rPr>
              <w:t>ты третьей сессии Совещания Сторон Протокола. Порядок организации работы третьей сессии был определен в свете результатов двадцатого совещания Раб</w:t>
            </w:r>
            <w:r w:rsidRPr="0072385A">
              <w:rPr>
                <w:rFonts w:eastAsiaTheme="minorHAnsi" w:cstheme="minorBidi"/>
                <w:szCs w:val="22"/>
              </w:rPr>
              <w:t>о</w:t>
            </w:r>
            <w:r w:rsidRPr="0072385A">
              <w:rPr>
                <w:rFonts w:eastAsiaTheme="minorHAnsi" w:cstheme="minorBidi"/>
                <w:szCs w:val="22"/>
              </w:rPr>
              <w:t>чей группы Сторон Конвенции и проекта предварительной повестки дня трет</w:t>
            </w:r>
            <w:r w:rsidRPr="0072385A">
              <w:rPr>
                <w:rFonts w:eastAsiaTheme="minorHAnsi" w:cstheme="minorBidi"/>
                <w:szCs w:val="22"/>
              </w:rPr>
              <w:t>ь</w:t>
            </w:r>
            <w:r w:rsidRPr="0072385A">
              <w:rPr>
                <w:rFonts w:eastAsiaTheme="minorHAnsi" w:cstheme="minorBidi"/>
                <w:szCs w:val="22"/>
              </w:rPr>
              <w:t>ей сессии Совещания Сторон Протокола, одобренного Рабочей группой Сторон Протокола на ее пятом совещании (Женева, 23 и 24 ноября 2016 года).</w:t>
            </w:r>
          </w:p>
        </w:tc>
      </w:tr>
      <w:tr w:rsidR="0072385A" w:rsidRPr="0072385A" w:rsidTr="00992B58">
        <w:tc>
          <w:tcPr>
            <w:tcW w:w="9854" w:type="dxa"/>
            <w:shd w:val="clear" w:color="auto" w:fill="auto"/>
          </w:tcPr>
          <w:p w:rsidR="0072385A" w:rsidRPr="0072385A" w:rsidRDefault="0072385A" w:rsidP="0072385A">
            <w:pPr>
              <w:tabs>
                <w:tab w:val="left" w:pos="1701"/>
                <w:tab w:val="left" w:pos="2268"/>
                <w:tab w:val="left" w:pos="2835"/>
                <w:tab w:val="left" w:pos="3402"/>
                <w:tab w:val="left" w:pos="3969"/>
              </w:tabs>
              <w:spacing w:after="120"/>
              <w:ind w:left="1134" w:right="1134"/>
              <w:jc w:val="both"/>
              <w:rPr>
                <w:rFonts w:eastAsiaTheme="minorHAnsi" w:cstheme="minorBidi"/>
                <w:szCs w:val="22"/>
              </w:rPr>
            </w:pPr>
            <w:r w:rsidRPr="00126874">
              <w:rPr>
                <w:rFonts w:eastAsiaTheme="minorHAnsi" w:cstheme="minorBidi"/>
                <w:szCs w:val="22"/>
              </w:rPr>
              <w:tab/>
            </w:r>
            <w:r w:rsidRPr="0072385A">
              <w:rPr>
                <w:rFonts w:eastAsiaTheme="minorHAnsi" w:cstheme="minorBidi"/>
                <w:szCs w:val="22"/>
              </w:rPr>
              <w:t>Рабочая группа Конвенции, как ожидается, рассмотрит и утвердит соде</w:t>
            </w:r>
            <w:r w:rsidRPr="0072385A">
              <w:rPr>
                <w:rFonts w:eastAsiaTheme="minorHAnsi" w:cstheme="minorBidi"/>
                <w:szCs w:val="22"/>
              </w:rPr>
              <w:t>р</w:t>
            </w:r>
            <w:r w:rsidRPr="0072385A">
              <w:rPr>
                <w:rFonts w:eastAsiaTheme="minorHAnsi" w:cstheme="minorBidi"/>
                <w:szCs w:val="22"/>
              </w:rPr>
              <w:t>жащийся в настоящем документе проект предварительной повестки дня для его представления Совещанию Сторон Конвенции на его шестой сессии (Будва, Черногория, сентябрь 2017 года).</w:t>
            </w:r>
          </w:p>
        </w:tc>
      </w:tr>
      <w:tr w:rsidR="0072385A" w:rsidRPr="0072385A" w:rsidTr="00992B58">
        <w:tc>
          <w:tcPr>
            <w:tcW w:w="9854" w:type="dxa"/>
            <w:shd w:val="clear" w:color="auto" w:fill="auto"/>
          </w:tcPr>
          <w:p w:rsidR="0072385A" w:rsidRPr="0072385A" w:rsidRDefault="0072385A" w:rsidP="0072385A">
            <w:pPr>
              <w:rPr>
                <w:rFonts w:eastAsiaTheme="minorHAnsi" w:cstheme="minorBidi"/>
                <w:szCs w:val="22"/>
              </w:rPr>
            </w:pPr>
          </w:p>
        </w:tc>
      </w:tr>
    </w:tbl>
    <w:p w:rsidR="00F02D03" w:rsidRPr="00F02D03" w:rsidRDefault="00F02D03" w:rsidP="00F02D03">
      <w:pPr>
        <w:pStyle w:val="HChGR"/>
        <w:pageBreakBefore/>
      </w:pPr>
      <w:r w:rsidRPr="00F02D03">
        <w:lastRenderedPageBreak/>
        <w:tab/>
        <w:t>I.</w:t>
      </w:r>
      <w:r w:rsidRPr="00F02D03">
        <w:tab/>
        <w:t>Сроки и место проведения</w:t>
      </w:r>
    </w:p>
    <w:p w:rsidR="00F02D03" w:rsidRPr="00F02D03" w:rsidRDefault="00F02D03" w:rsidP="00F02D03">
      <w:pPr>
        <w:pStyle w:val="SingleTxtGR"/>
      </w:pPr>
      <w:r w:rsidRPr="00F02D03">
        <w:t>1.</w:t>
      </w:r>
      <w:r w:rsidRPr="00F02D03">
        <w:tab/>
      </w:r>
      <w:proofErr w:type="gramStart"/>
      <w:r w:rsidRPr="00F02D03">
        <w:t>Шестая сессия Совещания Сторон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и третья сессия Совещания Сторон Протокола о регистрах выбросов и переноса загря</w:t>
      </w:r>
      <w:r w:rsidRPr="00F02D03">
        <w:t>з</w:t>
      </w:r>
      <w:r w:rsidRPr="00F02D03">
        <w:t>нителей будут проведены в увязке друг с другом в течение недели, начина</w:t>
      </w:r>
      <w:r w:rsidRPr="00F02D03">
        <w:t>ю</w:t>
      </w:r>
      <w:r w:rsidRPr="00F02D03">
        <w:t>щейся 11 сентября 2017 года, в Будве, Черногория</w:t>
      </w:r>
      <w:r w:rsidRPr="00F131E8">
        <w:rPr>
          <w:sz w:val="18"/>
          <w:szCs w:val="18"/>
          <w:vertAlign w:val="superscript"/>
        </w:rPr>
        <w:footnoteReference w:id="2"/>
      </w:r>
      <w:r>
        <w:t>.</w:t>
      </w:r>
      <w:proofErr w:type="gramEnd"/>
    </w:p>
    <w:p w:rsidR="00F02D03" w:rsidRPr="00F02D03" w:rsidRDefault="00F02D03" w:rsidP="00F02D03">
      <w:pPr>
        <w:pStyle w:val="HChGR"/>
      </w:pPr>
      <w:r w:rsidRPr="00F02D03">
        <w:tab/>
        <w:t>II.</w:t>
      </w:r>
      <w:r w:rsidRPr="00F02D03">
        <w:tab/>
        <w:t>Организация работы</w:t>
      </w:r>
    </w:p>
    <w:p w:rsidR="00F02D03" w:rsidRPr="00F02D03" w:rsidRDefault="00F02D03" w:rsidP="00F131E8">
      <w:pPr>
        <w:pStyle w:val="SingleTxtGR"/>
        <w:spacing w:after="240"/>
      </w:pPr>
      <w:r w:rsidRPr="00F02D03">
        <w:t>2.</w:t>
      </w:r>
      <w:r w:rsidRPr="00F02D03">
        <w:tab/>
        <w:t xml:space="preserve">В приведенной ниже таблице показано предлагаемое распределение </w:t>
      </w:r>
      <w:proofErr w:type="gramStart"/>
      <w:r w:rsidRPr="00F02D03">
        <w:t>вр</w:t>
      </w:r>
      <w:r w:rsidRPr="00F02D03">
        <w:t>е</w:t>
      </w:r>
      <w:r w:rsidRPr="00F02D03">
        <w:t>мени работы шестой сессии Совещания Сторон Конвенции</w:t>
      </w:r>
      <w:proofErr w:type="gramEnd"/>
      <w:r w:rsidRPr="00F02D03">
        <w:t xml:space="preserve"> и третьей сессии Совещания Сторон Протокола о регистрах выбросов и переноса загрязнителей, а также соответствующих заседаний.</w:t>
      </w:r>
    </w:p>
    <w:tbl>
      <w:tblPr>
        <w:tblW w:w="851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4577"/>
      </w:tblGrid>
      <w:tr w:rsidR="00F02D03" w:rsidRPr="00F02D03" w:rsidTr="00F2721B">
        <w:trPr>
          <w:tblHeader/>
        </w:trPr>
        <w:tc>
          <w:tcPr>
            <w:tcW w:w="39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2D03" w:rsidRPr="00F02D03" w:rsidRDefault="00F02D03" w:rsidP="00CC5116">
            <w:pPr>
              <w:pStyle w:val="SingleTxtGR"/>
              <w:spacing w:before="80" w:after="80"/>
              <w:ind w:left="57" w:right="0"/>
              <w:rPr>
                <w:i/>
                <w:sz w:val="16"/>
                <w:szCs w:val="16"/>
                <w:lang w:val="en-GB"/>
              </w:rPr>
            </w:pPr>
            <w:r w:rsidRPr="00F02D03">
              <w:rPr>
                <w:i/>
                <w:sz w:val="16"/>
                <w:szCs w:val="16"/>
              </w:rPr>
              <w:t>Дата и время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02D03" w:rsidRPr="00F02D03" w:rsidRDefault="00F02D03" w:rsidP="00F02D03">
            <w:pPr>
              <w:pStyle w:val="SingleTxtGR"/>
              <w:spacing w:before="80" w:after="80"/>
              <w:ind w:left="0" w:right="0"/>
              <w:rPr>
                <w:i/>
                <w:sz w:val="16"/>
                <w:szCs w:val="16"/>
                <w:lang w:val="en-GB"/>
              </w:rPr>
            </w:pPr>
            <w:r w:rsidRPr="00F02D03">
              <w:rPr>
                <w:i/>
                <w:sz w:val="16"/>
                <w:szCs w:val="16"/>
              </w:rPr>
              <w:t>Орган Конвенции/Протокола</w:t>
            </w:r>
          </w:p>
        </w:tc>
      </w:tr>
      <w:tr w:rsidR="00F02D03" w:rsidRPr="00F02D03" w:rsidTr="00F2721B">
        <w:tc>
          <w:tcPr>
            <w:tcW w:w="3934" w:type="dxa"/>
            <w:shd w:val="clear" w:color="auto" w:fill="auto"/>
          </w:tcPr>
          <w:p w:rsidR="00F02D03" w:rsidRPr="00F2721B" w:rsidRDefault="00F02D03" w:rsidP="00F2721B">
            <w:pPr>
              <w:pStyle w:val="SingleTxtGR"/>
              <w:spacing w:before="120" w:after="80"/>
              <w:ind w:left="0" w:right="113"/>
              <w:jc w:val="left"/>
              <w:rPr>
                <w:lang w:val="en-US"/>
              </w:rPr>
            </w:pPr>
            <w:r w:rsidRPr="00F02D03">
              <w:t>Воскресенье, 10 сентября</w:t>
            </w:r>
          </w:p>
        </w:tc>
        <w:tc>
          <w:tcPr>
            <w:tcW w:w="4577" w:type="dxa"/>
            <w:shd w:val="clear" w:color="auto" w:fill="auto"/>
          </w:tcPr>
          <w:p w:rsidR="00F02D03" w:rsidRPr="00F02D03" w:rsidRDefault="00F02D03" w:rsidP="00F2721B">
            <w:pPr>
              <w:pStyle w:val="SingleTxtGR"/>
              <w:spacing w:before="120" w:after="80"/>
              <w:ind w:left="0" w:right="0"/>
              <w:jc w:val="left"/>
            </w:pPr>
            <w:r w:rsidRPr="00F02D03">
              <w:t xml:space="preserve">Комитет по вопросам соблюдения </w:t>
            </w:r>
            <w:r w:rsidR="00F2721B">
              <w:t>(весь день;</w:t>
            </w:r>
            <w:r w:rsidR="00F2721B" w:rsidRPr="00F2721B">
              <w:br/>
            </w:r>
            <w:r w:rsidRPr="00F02D03">
              <w:t>он может продолжить свою работу парал</w:t>
            </w:r>
            <w:r w:rsidR="00F2721B">
              <w:t>лельно</w:t>
            </w:r>
            <w:r w:rsidR="00F2721B" w:rsidRPr="00F2721B">
              <w:br/>
            </w:r>
            <w:r w:rsidRPr="00F02D03">
              <w:t>с ше</w:t>
            </w:r>
            <w:r w:rsidR="00C61A46">
              <w:t>стой сессией</w:t>
            </w:r>
            <w:r w:rsidRPr="00F02D03">
              <w:t xml:space="preserve"> Совещания Сторон Конвенции, при необходимости), Президиум Конвен</w:t>
            </w:r>
            <w:r w:rsidR="00F2721B">
              <w:t>ции</w:t>
            </w:r>
            <w:r w:rsidR="00F2721B" w:rsidRPr="00F2721B">
              <w:br/>
            </w:r>
            <w:r w:rsidRPr="00F02D03">
              <w:t>(вторая половина дня)</w:t>
            </w:r>
          </w:p>
        </w:tc>
      </w:tr>
      <w:tr w:rsidR="00F02D03" w:rsidRPr="00F02D03" w:rsidTr="00F2721B">
        <w:tc>
          <w:tcPr>
            <w:tcW w:w="3934" w:type="dxa"/>
            <w:shd w:val="clear" w:color="auto" w:fill="auto"/>
          </w:tcPr>
          <w:p w:rsidR="00F02D03" w:rsidRPr="00F02D03" w:rsidRDefault="00F02D03" w:rsidP="00F02D03">
            <w:pPr>
              <w:pStyle w:val="SingleTxtGR"/>
              <w:spacing w:before="40" w:after="80"/>
              <w:ind w:left="0" w:right="113"/>
              <w:jc w:val="left"/>
            </w:pPr>
            <w:proofErr w:type="gramStart"/>
            <w:r w:rsidRPr="00F02D03">
              <w:t>Понедельник, 11 сен</w:t>
            </w:r>
            <w:r>
              <w:t>тября</w:t>
            </w:r>
            <w:r w:rsidRPr="00F02D03">
              <w:t xml:space="preserve"> </w:t>
            </w:r>
            <w:r w:rsidR="00126874">
              <w:t xml:space="preserve">(9 ч. </w:t>
            </w:r>
            <w:r w:rsidR="00126874" w:rsidRPr="00126874">
              <w:t>0</w:t>
            </w:r>
            <w:r>
              <w:t xml:space="preserve">0 м. – </w:t>
            </w:r>
            <w:r w:rsidRPr="00F02D03">
              <w:br/>
            </w:r>
            <w:r w:rsidR="00126874">
              <w:rPr>
                <w:lang w:val="en-US"/>
              </w:rPr>
              <w:t>1</w:t>
            </w:r>
            <w:bookmarkStart w:id="1" w:name="_GoBack"/>
            <w:bookmarkEnd w:id="1"/>
            <w:r w:rsidRPr="00F02D03">
              <w:t>3 ч. 00 м. и 15 ч. 00 м. – 17 ч. 30 м.)</w:t>
            </w:r>
            <w:proofErr w:type="gramEnd"/>
          </w:p>
        </w:tc>
        <w:tc>
          <w:tcPr>
            <w:tcW w:w="4577" w:type="dxa"/>
            <w:shd w:val="clear" w:color="auto" w:fill="auto"/>
          </w:tcPr>
          <w:p w:rsidR="00F02D03" w:rsidRPr="00F02D03" w:rsidRDefault="00F02D03" w:rsidP="00F2721B">
            <w:pPr>
              <w:pStyle w:val="SingleTxtGR"/>
              <w:spacing w:before="40" w:after="80"/>
              <w:ind w:left="0" w:right="0"/>
              <w:jc w:val="left"/>
            </w:pPr>
            <w:r w:rsidRPr="00F02D03">
              <w:t>Шестая сессия Совещания Сторон Конвенции (подготовительный сегмент</w:t>
            </w:r>
            <w:proofErr w:type="gramStart"/>
            <w:r w:rsidRPr="00F02D03">
              <w:t>)</w:t>
            </w:r>
            <w:r w:rsidRPr="00F2721B">
              <w:rPr>
                <w:i/>
                <w:sz w:val="18"/>
                <w:szCs w:val="18"/>
                <w:vertAlign w:val="superscript"/>
              </w:rPr>
              <w:t>а</w:t>
            </w:r>
            <w:proofErr w:type="gramEnd"/>
          </w:p>
        </w:tc>
      </w:tr>
      <w:tr w:rsidR="00F02D03" w:rsidRPr="00F02D03" w:rsidTr="00F2721B">
        <w:tc>
          <w:tcPr>
            <w:tcW w:w="3934" w:type="dxa"/>
            <w:shd w:val="clear" w:color="auto" w:fill="auto"/>
          </w:tcPr>
          <w:p w:rsidR="00F02D03" w:rsidRPr="00F02D03" w:rsidRDefault="00F02D03" w:rsidP="00F02D03">
            <w:pPr>
              <w:pStyle w:val="SingleTxtGR"/>
              <w:spacing w:before="40" w:after="80"/>
              <w:ind w:left="0" w:right="113"/>
              <w:jc w:val="left"/>
            </w:pPr>
            <w:r w:rsidRPr="00F02D03">
              <w:t>Вторник, 12 сен</w:t>
            </w:r>
            <w:r>
              <w:t>тября</w:t>
            </w:r>
            <w:r w:rsidRPr="00F02D03">
              <w:br/>
              <w:t>(10 ч. 00 м. – 18 ч. 00 м.)</w:t>
            </w:r>
          </w:p>
        </w:tc>
        <w:tc>
          <w:tcPr>
            <w:tcW w:w="4577" w:type="dxa"/>
            <w:shd w:val="clear" w:color="auto" w:fill="auto"/>
          </w:tcPr>
          <w:p w:rsidR="00F02D03" w:rsidRPr="00F02D03" w:rsidRDefault="00F02D03" w:rsidP="00F2721B">
            <w:pPr>
              <w:pStyle w:val="SingleTxtGR"/>
              <w:spacing w:before="40" w:after="80"/>
              <w:ind w:left="0" w:right="0"/>
              <w:jc w:val="left"/>
            </w:pPr>
            <w:r w:rsidRPr="00F02D03">
              <w:t>Шестая сессия Совещания Сторон Конвенции (общий сегмент)</w:t>
            </w:r>
          </w:p>
        </w:tc>
      </w:tr>
      <w:tr w:rsidR="00F02D03" w:rsidRPr="00F02D03" w:rsidTr="00F2721B">
        <w:tc>
          <w:tcPr>
            <w:tcW w:w="3934" w:type="dxa"/>
            <w:shd w:val="clear" w:color="auto" w:fill="auto"/>
          </w:tcPr>
          <w:p w:rsidR="00F02D03" w:rsidRPr="00F02D03" w:rsidRDefault="00F02D03" w:rsidP="00F02D03">
            <w:pPr>
              <w:pStyle w:val="SingleTxtGR"/>
              <w:spacing w:before="40" w:after="80"/>
              <w:ind w:left="0" w:right="113"/>
              <w:jc w:val="left"/>
            </w:pPr>
            <w:r w:rsidRPr="00F02D03">
              <w:t>Среда, 13 сен</w:t>
            </w:r>
            <w:r>
              <w:t>тября</w:t>
            </w:r>
            <w:r w:rsidRPr="00F02D03">
              <w:br/>
              <w:t>(10 ч. 00 м. – 18 ч. 00 м.)</w:t>
            </w:r>
          </w:p>
        </w:tc>
        <w:tc>
          <w:tcPr>
            <w:tcW w:w="4577" w:type="dxa"/>
            <w:shd w:val="clear" w:color="auto" w:fill="auto"/>
          </w:tcPr>
          <w:p w:rsidR="00F02D03" w:rsidRPr="00F02D03" w:rsidRDefault="00F02D03" w:rsidP="00F2721B">
            <w:pPr>
              <w:pStyle w:val="SingleTxtGR"/>
              <w:spacing w:before="40" w:after="80"/>
              <w:ind w:left="0" w:right="0"/>
              <w:jc w:val="left"/>
            </w:pPr>
            <w:r w:rsidRPr="00F02D03">
              <w:t xml:space="preserve">Шестая сессия Совещания Сторон Конвенции (общий сегмент) </w:t>
            </w:r>
          </w:p>
        </w:tc>
      </w:tr>
      <w:tr w:rsidR="00F02D03" w:rsidRPr="00F02D03" w:rsidTr="00F2721B">
        <w:tc>
          <w:tcPr>
            <w:tcW w:w="3934" w:type="dxa"/>
            <w:shd w:val="clear" w:color="auto" w:fill="auto"/>
          </w:tcPr>
          <w:p w:rsidR="00F02D03" w:rsidRPr="00F02D03" w:rsidRDefault="00F02D03" w:rsidP="00F02D03">
            <w:pPr>
              <w:pStyle w:val="SingleTxtGR"/>
              <w:spacing w:before="40" w:after="80"/>
              <w:ind w:left="0" w:right="113"/>
              <w:jc w:val="left"/>
            </w:pPr>
            <w:r w:rsidRPr="00F02D03">
              <w:t>Четверг, 14 сен</w:t>
            </w:r>
            <w:r>
              <w:t>тября</w:t>
            </w:r>
            <w:r w:rsidRPr="00F02D03">
              <w:br/>
              <w:t>(10 ч. 00 м. – 18 ч. 00 м.)</w:t>
            </w:r>
          </w:p>
        </w:tc>
        <w:tc>
          <w:tcPr>
            <w:tcW w:w="4577" w:type="dxa"/>
            <w:shd w:val="clear" w:color="auto" w:fill="auto"/>
          </w:tcPr>
          <w:p w:rsidR="00F02D03" w:rsidRPr="00F02D03" w:rsidRDefault="00F02D03" w:rsidP="00F2721B">
            <w:pPr>
              <w:pStyle w:val="SingleTxtGR"/>
              <w:spacing w:before="40" w:after="80"/>
              <w:ind w:left="0" w:right="0"/>
              <w:jc w:val="left"/>
            </w:pPr>
            <w:r w:rsidRPr="00F02D03">
              <w:t xml:space="preserve">Совместный сегмент высокого </w:t>
            </w:r>
            <w:proofErr w:type="gramStart"/>
            <w:r w:rsidRPr="00F02D03">
              <w:t>уровня сес</w:t>
            </w:r>
            <w:r w:rsidR="00C61A46">
              <w:t>сий с</w:t>
            </w:r>
            <w:r w:rsidRPr="00F02D03">
              <w:t>овещаний Сторон Конвенции</w:t>
            </w:r>
            <w:proofErr w:type="gramEnd"/>
            <w:r w:rsidRPr="00F02D03">
              <w:t xml:space="preserve"> и Прото</w:t>
            </w:r>
            <w:r w:rsidR="00F2721B">
              <w:t>кола</w:t>
            </w:r>
            <w:r w:rsidR="00F2721B" w:rsidRPr="00F2721B">
              <w:br/>
            </w:r>
            <w:r w:rsidRPr="00F02D03">
              <w:t>о регистрах выбросов и переноса загрязнителей</w:t>
            </w:r>
          </w:p>
        </w:tc>
      </w:tr>
      <w:tr w:rsidR="00F02D03" w:rsidRPr="00F02D03" w:rsidTr="00F2721B">
        <w:tc>
          <w:tcPr>
            <w:tcW w:w="3934" w:type="dxa"/>
            <w:shd w:val="clear" w:color="auto" w:fill="auto"/>
          </w:tcPr>
          <w:p w:rsidR="00F02D03" w:rsidRPr="00F02D03" w:rsidRDefault="00F02D03" w:rsidP="00F2721B">
            <w:pPr>
              <w:pStyle w:val="SingleTxtGR"/>
              <w:spacing w:before="40"/>
              <w:ind w:left="0" w:right="113"/>
              <w:jc w:val="left"/>
            </w:pPr>
            <w:r w:rsidRPr="00F02D03">
              <w:t>Пятница, 15 сентября</w:t>
            </w:r>
            <w:r w:rsidRPr="00F02D03">
              <w:br/>
              <w:t>(10 ч. 00 м. – 18 ч. 00 м.)</w:t>
            </w:r>
          </w:p>
        </w:tc>
        <w:tc>
          <w:tcPr>
            <w:tcW w:w="4577" w:type="dxa"/>
            <w:shd w:val="clear" w:color="auto" w:fill="auto"/>
          </w:tcPr>
          <w:p w:rsidR="00F02D03" w:rsidRPr="00F02D03" w:rsidRDefault="00F02D03" w:rsidP="00F2721B">
            <w:pPr>
              <w:pStyle w:val="SingleTxtGR"/>
              <w:spacing w:before="40"/>
              <w:ind w:left="0" w:right="0"/>
              <w:jc w:val="left"/>
            </w:pPr>
            <w:r w:rsidRPr="00F02D03">
              <w:t>Третья сессия Совещания Сторон Протоко</w:t>
            </w:r>
            <w:r w:rsidR="00F2721B">
              <w:t>ла</w:t>
            </w:r>
            <w:r w:rsidR="00F2721B" w:rsidRPr="00F2721B">
              <w:br/>
            </w:r>
            <w:r w:rsidRPr="00F02D03">
              <w:t>о регистрах выбросов и переноса загрязнителей (общий сегмент)</w:t>
            </w:r>
          </w:p>
        </w:tc>
      </w:tr>
    </w:tbl>
    <w:p w:rsidR="00F02D03" w:rsidRPr="00F2721B" w:rsidRDefault="00F02D03" w:rsidP="00F2721B">
      <w:pPr>
        <w:pStyle w:val="SingleTxtGR"/>
        <w:spacing w:before="120" w:line="220" w:lineRule="exact"/>
        <w:ind w:right="57" w:firstLine="170"/>
        <w:jc w:val="left"/>
        <w:rPr>
          <w:sz w:val="18"/>
          <w:szCs w:val="18"/>
        </w:rPr>
      </w:pPr>
      <w:r w:rsidRPr="00F2721B">
        <w:rPr>
          <w:i/>
          <w:sz w:val="18"/>
          <w:szCs w:val="18"/>
          <w:vertAlign w:val="superscript"/>
        </w:rPr>
        <w:t>а</w:t>
      </w:r>
      <w:r w:rsidR="00F2721B" w:rsidRPr="00F2721B">
        <w:rPr>
          <w:sz w:val="18"/>
          <w:szCs w:val="18"/>
          <w:lang w:val="en-US"/>
        </w:rPr>
        <w:t>  </w:t>
      </w:r>
      <w:r w:rsidRPr="00F2721B">
        <w:rPr>
          <w:sz w:val="18"/>
          <w:szCs w:val="18"/>
        </w:rPr>
        <w:t>Цель подготовительного сегмента заключается в доработке любых незавершен</w:t>
      </w:r>
      <w:r w:rsidR="00F2721B">
        <w:rPr>
          <w:sz w:val="18"/>
          <w:szCs w:val="18"/>
        </w:rPr>
        <w:t>ных</w:t>
      </w:r>
      <w:r w:rsidR="00F2721B" w:rsidRPr="00F2721B">
        <w:rPr>
          <w:sz w:val="18"/>
          <w:szCs w:val="18"/>
        </w:rPr>
        <w:t xml:space="preserve"> </w:t>
      </w:r>
      <w:r w:rsidRPr="00F2721B">
        <w:rPr>
          <w:sz w:val="18"/>
          <w:szCs w:val="18"/>
        </w:rPr>
        <w:t>документов, которые могут потребоваться. Конец второй половины дня/вечер будет зарезерви</w:t>
      </w:r>
      <w:r w:rsidR="00F2721B">
        <w:rPr>
          <w:sz w:val="18"/>
          <w:szCs w:val="18"/>
        </w:rPr>
        <w:t>рован для</w:t>
      </w:r>
      <w:r w:rsidR="00F2721B" w:rsidRPr="00F2721B">
        <w:rPr>
          <w:sz w:val="18"/>
          <w:szCs w:val="18"/>
        </w:rPr>
        <w:br/>
      </w:r>
      <w:r w:rsidRPr="00F2721B">
        <w:rPr>
          <w:sz w:val="18"/>
          <w:szCs w:val="18"/>
        </w:rPr>
        <w:t>завершения подготовки и письменного перевода возможных пересмотренных документов,</w:t>
      </w:r>
      <w:r w:rsidR="00F2721B" w:rsidRPr="00F2721B">
        <w:rPr>
          <w:sz w:val="18"/>
          <w:szCs w:val="18"/>
        </w:rPr>
        <w:br/>
      </w:r>
      <w:r w:rsidRPr="00F2721B">
        <w:rPr>
          <w:sz w:val="18"/>
          <w:szCs w:val="18"/>
        </w:rPr>
        <w:t>а также для проведения возможных координационных совещаний.</w:t>
      </w:r>
    </w:p>
    <w:p w:rsidR="00F02D03" w:rsidRPr="00F02D03" w:rsidRDefault="00F02D03" w:rsidP="00F2721B">
      <w:pPr>
        <w:pStyle w:val="HChGR"/>
      </w:pPr>
      <w:r w:rsidRPr="00F02D03">
        <w:tab/>
        <w:t>III.</w:t>
      </w:r>
      <w:r w:rsidRPr="00F02D03">
        <w:tab/>
        <w:t>Элементы повестки дня</w:t>
      </w:r>
    </w:p>
    <w:p w:rsidR="00F02D03" w:rsidRPr="00F02D03" w:rsidRDefault="00F02D03" w:rsidP="00F02D03">
      <w:pPr>
        <w:pStyle w:val="SingleTxtGR"/>
      </w:pPr>
      <w:r w:rsidRPr="00F02D03">
        <w:t>3.</w:t>
      </w:r>
      <w:r w:rsidRPr="00F02D03">
        <w:tab/>
      </w:r>
      <w:proofErr w:type="gramStart"/>
      <w:r w:rsidRPr="00F02D03">
        <w:t>В отношении шестой сессии Совещания Сторон Конвенции предлагается, чтобы: a) повестка дня была в целом аналог</w:t>
      </w:r>
      <w:r w:rsidR="00F2721B">
        <w:t>ична повестке дня пятой сессии;</w:t>
      </w:r>
      <w:r w:rsidR="00F2721B" w:rsidRPr="00F2721B">
        <w:br/>
      </w:r>
      <w:r w:rsidRPr="00F02D03">
        <w:t>b) повестка дня охватывала все основные области работы в рамках Конвенции; c) в ходе обсуждений были рассмотрены такие аспекты, как надлежащая пра</w:t>
      </w:r>
      <w:r w:rsidRPr="00F02D03">
        <w:t>к</w:t>
      </w:r>
      <w:r w:rsidRPr="00F02D03">
        <w:t>тика, достигнутые результаты, извлеченные уроки, проблемы и препятствия в связи с осуществлением Конвенции.</w:t>
      </w:r>
      <w:proofErr w:type="gramEnd"/>
      <w:r w:rsidRPr="00F02D03">
        <w:t xml:space="preserve"> Представителям правительств и заинтер</w:t>
      </w:r>
      <w:r w:rsidRPr="00F02D03">
        <w:t>е</w:t>
      </w:r>
      <w:r w:rsidRPr="00F02D03">
        <w:t>сованных сторон можно было бы предложить выступить с основными доклад</w:t>
      </w:r>
      <w:r w:rsidRPr="00F02D03">
        <w:t>а</w:t>
      </w:r>
      <w:r w:rsidRPr="00F02D03">
        <w:t>ми по конкретным пунктам повестки дня, как это было сделано на пятой сессии Совещания Сторон. Было решено, что этап заседаний высокого уровня будет включать в себя тематическое заседание по вопросу о роли Конвенции и Прот</w:t>
      </w:r>
      <w:r w:rsidRPr="00F02D03">
        <w:t>о</w:t>
      </w:r>
      <w:r w:rsidRPr="00F02D03">
        <w:t>кола к ней в осуществлении целей в области устойчивого развития. Будет по</w:t>
      </w:r>
      <w:r w:rsidRPr="00F02D03">
        <w:t>д</w:t>
      </w:r>
      <w:r w:rsidRPr="00F02D03">
        <w:t xml:space="preserve">готовлена краткая совместная декларация (т.е. со Сторонами Протокола) по </w:t>
      </w:r>
      <w:proofErr w:type="gramStart"/>
      <w:r w:rsidRPr="00F02D03">
        <w:t>кон</w:t>
      </w:r>
      <w:r w:rsidR="00C61A46">
        <w:t>-</w:t>
      </w:r>
      <w:proofErr w:type="spellStart"/>
      <w:r w:rsidRPr="00F02D03">
        <w:t>кретной</w:t>
      </w:r>
      <w:proofErr w:type="spellEnd"/>
      <w:proofErr w:type="gramEnd"/>
      <w:r w:rsidRPr="00F02D03">
        <w:t xml:space="preserve"> теме для ее рассмотрения высокопоставленными должностными лиц</w:t>
      </w:r>
      <w:r w:rsidRPr="00F02D03">
        <w:t>а</w:t>
      </w:r>
      <w:r w:rsidRPr="00F02D03">
        <w:t>ми в ходе проведения этого сегмента.</w:t>
      </w:r>
    </w:p>
    <w:p w:rsidR="00F02D03" w:rsidRPr="00F02D03" w:rsidRDefault="00F02D03" w:rsidP="00F02D03">
      <w:pPr>
        <w:pStyle w:val="SingleTxtGR"/>
      </w:pPr>
      <w:r w:rsidRPr="00F02D03">
        <w:t>4.</w:t>
      </w:r>
      <w:r w:rsidRPr="00F02D03">
        <w:tab/>
        <w:t xml:space="preserve">Таким образом, повестка </w:t>
      </w:r>
      <w:proofErr w:type="gramStart"/>
      <w:r w:rsidRPr="00F02D03">
        <w:t>дня шестой сессии Совещания Сторон Конве</w:t>
      </w:r>
      <w:r w:rsidRPr="00F02D03">
        <w:t>н</w:t>
      </w:r>
      <w:r w:rsidRPr="00F02D03">
        <w:t>ции</w:t>
      </w:r>
      <w:proofErr w:type="gramEnd"/>
      <w:r w:rsidRPr="00F02D03">
        <w:t xml:space="preserve"> могла бы включать следующие пункты:</w:t>
      </w:r>
    </w:p>
    <w:p w:rsidR="00F02D03" w:rsidRPr="00F02D03" w:rsidRDefault="00F02D03" w:rsidP="00F2721B">
      <w:pPr>
        <w:pStyle w:val="SingleTxtGR"/>
        <w:ind w:left="1701"/>
      </w:pPr>
      <w:r w:rsidRPr="00F02D03">
        <w:t>1.</w:t>
      </w:r>
      <w:r w:rsidRPr="00F02D03">
        <w:tab/>
        <w:t>Открытие сессии.</w:t>
      </w:r>
    </w:p>
    <w:p w:rsidR="00F02D03" w:rsidRPr="00F02D03" w:rsidRDefault="00F02D03" w:rsidP="00F2721B">
      <w:pPr>
        <w:pStyle w:val="SingleTxtGR"/>
        <w:ind w:left="1701"/>
      </w:pPr>
      <w:r w:rsidRPr="00F02D03">
        <w:t>2.</w:t>
      </w:r>
      <w:r w:rsidRPr="00F02D03">
        <w:tab/>
        <w:t>Утверждение повестки дня.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3.</w:t>
      </w:r>
      <w:r w:rsidRPr="00F02D03">
        <w:tab/>
        <w:t>Положение дел с ратификацией Конвенции, поправки к Конвенции и Протокола о регистрах выбросов и переноса загрязнителей.</w:t>
      </w:r>
    </w:p>
    <w:p w:rsidR="00F02D03" w:rsidRPr="00F02D03" w:rsidRDefault="00F02D03" w:rsidP="00F2721B">
      <w:pPr>
        <w:pStyle w:val="SingleTxtGR"/>
        <w:ind w:left="1701"/>
      </w:pPr>
      <w:r w:rsidRPr="00F02D03">
        <w:t>4.</w:t>
      </w:r>
      <w:r w:rsidRPr="00F02D03">
        <w:tab/>
        <w:t>Вопросы существа: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a)</w:t>
      </w:r>
      <w:r w:rsidRPr="00F02D03">
        <w:tab/>
        <w:t>доступ к информации, включая электронные средства и</w:t>
      </w:r>
      <w:r w:rsidRPr="00F02D03">
        <w:t>н</w:t>
      </w:r>
      <w:r w:rsidRPr="00F02D03">
        <w:t>формации;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b)</w:t>
      </w:r>
      <w:r w:rsidRPr="00F02D03">
        <w:tab/>
        <w:t>участие общественности в процессе принятия решений;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c)</w:t>
      </w:r>
      <w:r w:rsidRPr="00F02D03">
        <w:tab/>
        <w:t>доступ к правосудию;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d)</w:t>
      </w:r>
      <w:r w:rsidRPr="00F02D03">
        <w:tab/>
        <w:t>генетически измененные организмы.</w:t>
      </w:r>
    </w:p>
    <w:p w:rsidR="00F02D03" w:rsidRPr="00F2721B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5.</w:t>
      </w:r>
      <w:r w:rsidRPr="00F02D03">
        <w:tab/>
        <w:t>Процедуры и механизмы по содействию осуществлению Конве</w:t>
      </w:r>
      <w:r w:rsidRPr="00F02D03">
        <w:t>н</w:t>
      </w:r>
      <w:r w:rsidRPr="00F02D03">
        <w:t>ции: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a)</w:t>
      </w:r>
      <w:r w:rsidRPr="00F02D03">
        <w:tab/>
        <w:t>доклады об осуществлении;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b)</w:t>
      </w:r>
      <w:r w:rsidRPr="00F02D03">
        <w:tab/>
        <w:t>механизм соблюдения;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c)</w:t>
      </w:r>
      <w:r w:rsidRPr="00F02D03">
        <w:tab/>
        <w:t>создание потенциала.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6.</w:t>
      </w:r>
      <w:r w:rsidRPr="00F02D03">
        <w:tab/>
        <w:t>Пропаганда Конвенции и соответствующие изменения и взаим</w:t>
      </w:r>
      <w:r w:rsidRPr="00F02D03">
        <w:t>о</w:t>
      </w:r>
      <w:r w:rsidRPr="00F02D03">
        <w:t>связи: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a)</w:t>
      </w:r>
      <w:r w:rsidRPr="00F02D03">
        <w:tab/>
        <w:t>присоединение к Конвенции государств, расположенных за пределами региона Европейской экономической комиссии Организации Объединенных Наций;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b)</w:t>
      </w:r>
      <w:r w:rsidRPr="00F02D03">
        <w:tab/>
        <w:t>пропаганда принципов Конвенции;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c)</w:t>
      </w:r>
      <w:r w:rsidRPr="00F02D03">
        <w:tab/>
        <w:t>синергизм между Конвенцией и другими соответствующими многосторонними природоохранными соглашениями;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d)</w:t>
      </w:r>
      <w:r w:rsidRPr="00F02D03">
        <w:tab/>
        <w:t>глобальные и региональные изменения по вопросам, каса</w:t>
      </w:r>
      <w:r w:rsidRPr="00F02D03">
        <w:t>ю</w:t>
      </w:r>
      <w:r w:rsidRPr="00F02D03">
        <w:t>щимся принципа 10 Рио-де-Жанейрской декларации по окружающей среде и развитию;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e)</w:t>
      </w:r>
      <w:r w:rsidRPr="00F02D03">
        <w:tab/>
        <w:t>обновленная информация об инициативах Программы Орг</w:t>
      </w:r>
      <w:r w:rsidRPr="00F02D03">
        <w:t>а</w:t>
      </w:r>
      <w:r w:rsidRPr="00F02D03">
        <w:t>низации Объединенных Наций по окружающей среде в обл</w:t>
      </w:r>
      <w:r w:rsidRPr="00F02D03">
        <w:t>а</w:t>
      </w:r>
      <w:r w:rsidRPr="00F02D03">
        <w:t>сти доступа к информации, участия общественности и д</w:t>
      </w:r>
      <w:r w:rsidRPr="00F02D03">
        <w:t>о</w:t>
      </w:r>
      <w:r w:rsidRPr="00F02D03">
        <w:t>ступа к правосудию по вопросам, касающимся окружающей среды.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7.</w:t>
      </w:r>
      <w:r w:rsidRPr="00F02D03">
        <w:tab/>
        <w:t>Программа работы и функционирование Конвенции: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a)</w:t>
      </w:r>
      <w:r w:rsidRPr="00F02D03">
        <w:tab/>
        <w:t>осуществление программы работы на 2015–2017 годы;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b)</w:t>
      </w:r>
      <w:r w:rsidRPr="00F02D03">
        <w:tab/>
        <w:t>будущая программа работы;</w:t>
      </w:r>
    </w:p>
    <w:p w:rsidR="00F02D03" w:rsidRPr="00F02D03" w:rsidRDefault="00F02D03" w:rsidP="00F2721B">
      <w:pPr>
        <w:pStyle w:val="SingleTxtGR"/>
        <w:tabs>
          <w:tab w:val="clear" w:pos="1701"/>
          <w:tab w:val="clear" w:pos="2268"/>
        </w:tabs>
        <w:ind w:left="2835" w:hanging="567"/>
      </w:pPr>
      <w:r w:rsidRPr="00F02D03">
        <w:t>с)</w:t>
      </w:r>
      <w:r w:rsidRPr="00F02D03">
        <w:tab/>
        <w:t>финансовые механизмы.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8.</w:t>
      </w:r>
      <w:r w:rsidRPr="00F02D03">
        <w:tab/>
        <w:t>Доклад о проверке полномочий в отношении Сторон Конвенции.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9.</w:t>
      </w:r>
      <w:r w:rsidRPr="00F02D03">
        <w:tab/>
        <w:t>Выборы должностных лиц и других членов Президиума.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10.</w:t>
      </w:r>
      <w:r w:rsidRPr="00F02D03">
        <w:tab/>
        <w:t>Сроки и место проведения седьмого очередного совещания.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11.</w:t>
      </w:r>
      <w:r w:rsidRPr="00F02D03">
        <w:tab/>
        <w:t>Любые прочие вопросы.</w:t>
      </w:r>
    </w:p>
    <w:p w:rsidR="00F02D03" w:rsidRPr="00F02D03" w:rsidRDefault="00F02D03" w:rsidP="00F2721B">
      <w:pPr>
        <w:pStyle w:val="H23GR"/>
      </w:pPr>
      <w:r w:rsidRPr="00F02D03">
        <w:tab/>
      </w:r>
      <w:r w:rsidRPr="00F02D03">
        <w:tab/>
        <w:t>Совместный сегмент высокого уровня (при условии принятия Сторонами Конвенции и Протокола соответствующего решения)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1.</w:t>
      </w:r>
      <w:r w:rsidRPr="00F02D03">
        <w:tab/>
        <w:t>Открытие.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2.</w:t>
      </w:r>
      <w:r w:rsidRPr="00F02D03">
        <w:tab/>
        <w:t>Доклад о проверке полномочий в отношении Сторон Протокола.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3.</w:t>
      </w:r>
      <w:r w:rsidRPr="00F02D03">
        <w:tab/>
        <w:t>Тематическое заседание по вопросу о роли Конвенции и Протокола к ней в осуществлении целей в области устойчивого развития.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4.</w:t>
      </w:r>
      <w:r w:rsidRPr="00F02D03">
        <w:tab/>
        <w:t>Обсуждение и принятие декларации.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5.</w:t>
      </w:r>
      <w:r w:rsidRPr="00F02D03">
        <w:tab/>
        <w:t>Рассмотрение и утверждение решений Совещания Сторон Конве</w:t>
      </w:r>
      <w:r w:rsidRPr="00F02D03">
        <w:t>н</w:t>
      </w:r>
      <w:r w:rsidRPr="00F02D03">
        <w:t>ции.</w:t>
      </w:r>
    </w:p>
    <w:p w:rsidR="00F02D03" w:rsidRPr="00F02D03" w:rsidRDefault="00F02D03" w:rsidP="00F2721B">
      <w:pPr>
        <w:pStyle w:val="SingleTxtGR"/>
        <w:tabs>
          <w:tab w:val="clear" w:pos="1701"/>
        </w:tabs>
        <w:ind w:left="2268" w:hanging="567"/>
      </w:pPr>
      <w:r w:rsidRPr="00F02D03">
        <w:t>6.</w:t>
      </w:r>
      <w:r w:rsidRPr="00F02D03">
        <w:tab/>
        <w:t>Закрытие совместного сегмента высокого уровня.</w:t>
      </w:r>
    </w:p>
    <w:p w:rsidR="00A658DB" w:rsidRPr="00F2721B" w:rsidRDefault="00F2721B" w:rsidP="00F2721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F2721B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0E" w:rsidRDefault="00BE260E" w:rsidP="00B471C5">
      <w:r>
        <w:separator/>
      </w:r>
    </w:p>
  </w:endnote>
  <w:endnote w:type="continuationSeparator" w:id="0">
    <w:p w:rsidR="00BE260E" w:rsidRDefault="00BE260E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E2A6E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 w:rsidR="00F2721B">
      <w:rPr>
        <w:lang w:val="en-US"/>
      </w:rPr>
      <w:t>GE.17</w:t>
    </w:r>
    <w:r>
      <w:rPr>
        <w:lang w:val="en-US"/>
      </w:rPr>
      <w:t>-</w:t>
    </w:r>
    <w:r w:rsidR="00F2721B">
      <w:rPr>
        <w:lang w:val="en-US"/>
      </w:rPr>
      <w:t>00494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a7"/>
      <w:rPr>
        <w:lang w:val="en-US"/>
      </w:rPr>
    </w:pPr>
    <w:r>
      <w:rPr>
        <w:lang w:val="en-US"/>
      </w:rPr>
      <w:t>G</w:t>
    </w:r>
    <w:r w:rsidR="00F2721B">
      <w:rPr>
        <w:lang w:val="en-US"/>
      </w:rPr>
      <w:t>E.17</w:t>
    </w:r>
    <w:r>
      <w:rPr>
        <w:lang w:val="en-US"/>
      </w:rPr>
      <w:t>-</w:t>
    </w:r>
    <w:r w:rsidR="00F2721B">
      <w:rPr>
        <w:lang w:val="en-US"/>
      </w:rPr>
      <w:t>00494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E2A6E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243AA3">
            <w:rPr>
              <w:lang w:val="en-US"/>
            </w:rPr>
            <w:t>E.17</w:t>
          </w:r>
          <w:r w:rsidRPr="001C3ABC">
            <w:rPr>
              <w:lang w:val="en-US"/>
            </w:rPr>
            <w:t>-</w:t>
          </w:r>
          <w:r w:rsidR="00F2721B">
            <w:rPr>
              <w:lang w:val="en-US"/>
            </w:rPr>
            <w:t xml:space="preserve">00494 </w:t>
          </w:r>
          <w:r w:rsidRPr="001C3ABC">
            <w:rPr>
              <w:lang w:val="en-US"/>
            </w:rPr>
            <w:t xml:space="preserve"> (R)</w:t>
          </w:r>
          <w:r w:rsidR="00F2721B">
            <w:rPr>
              <w:lang w:val="en-US"/>
            </w:rPr>
            <w:t xml:space="preserve">  100217  100217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F2721B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MP.PP/WG.1/2017/L.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MP.PP/WG.1/2017/L.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F2721B" w:rsidRDefault="00F2721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F272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F272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F272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F272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272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F272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272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F272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F2721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a7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0E" w:rsidRPr="009141DC" w:rsidRDefault="00BE260E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BE260E" w:rsidRPr="00D1261C" w:rsidRDefault="00BE260E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72385A" w:rsidRPr="007A1724" w:rsidRDefault="0072385A" w:rsidP="0072385A">
      <w:pPr>
        <w:pStyle w:val="aa"/>
        <w:rPr>
          <w:sz w:val="16"/>
          <w:szCs w:val="16"/>
          <w:lang w:val="ru-RU"/>
        </w:rPr>
      </w:pPr>
      <w:r w:rsidRPr="00523782">
        <w:rPr>
          <w:szCs w:val="18"/>
          <w:lang w:val="ru-RU"/>
        </w:rPr>
        <w:tab/>
      </w:r>
      <w:r w:rsidRPr="00523782">
        <w:rPr>
          <w:rStyle w:val="a6"/>
          <w:szCs w:val="18"/>
          <w:lang w:val="ru-RU"/>
        </w:rPr>
        <w:footnoteRef/>
      </w:r>
      <w:r>
        <w:rPr>
          <w:lang w:val="ru-RU"/>
        </w:rPr>
        <w:tab/>
        <w:t>См. ECE/MP.PP/2014/2/Add.1, решение V/6, приложение I, раздел X; размещен</w:t>
      </w:r>
      <w:r w:rsidRPr="0072385A">
        <w:rPr>
          <w:lang w:val="ru-RU"/>
        </w:rPr>
        <w:br/>
      </w:r>
      <w:r>
        <w:rPr>
          <w:lang w:val="ru-RU"/>
        </w:rPr>
        <w:t xml:space="preserve">по адресу </w:t>
      </w:r>
      <w:hyperlink r:id="rId1" w:anchor="/" w:history="1">
        <w:r w:rsidRPr="00F02D03">
          <w:rPr>
            <w:rStyle w:val="af1"/>
            <w:color w:val="auto"/>
            <w:u w:val="none"/>
            <w:lang w:val="ru-RU"/>
          </w:rPr>
          <w:t>http://www.unece.org/env/pp/aarhus/mop5_docs.html#/</w:t>
        </w:r>
      </w:hyperlink>
      <w:r>
        <w:rPr>
          <w:lang w:val="ru-RU"/>
        </w:rPr>
        <w:t>.</w:t>
      </w:r>
    </w:p>
  </w:footnote>
  <w:footnote w:id="2">
    <w:p w:rsidR="00F02D03" w:rsidRPr="004B1CBA" w:rsidRDefault="00F02D03" w:rsidP="00F02D03">
      <w:pPr>
        <w:pStyle w:val="aa"/>
      </w:pPr>
      <w:r>
        <w:rPr>
          <w:lang w:val="ru-RU"/>
        </w:rPr>
        <w:tab/>
      </w:r>
      <w:r>
        <w:rPr>
          <w:rStyle w:val="a6"/>
          <w:lang w:val="ru-RU"/>
        </w:rPr>
        <w:footnoteRef/>
      </w:r>
      <w:r>
        <w:rPr>
          <w:lang w:val="ru-RU"/>
        </w:rPr>
        <w:tab/>
        <w:t>Во вторник, 12 сентября 2017 года, в Центральных учреждениях Организации Объединенных Наций будет созвана семьдесят вторая очередная сессия Генеральной Ассамблеи Организации Объединенных Наций. Общие прения откроются во вторник, 19 сентября 2017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F2721B" w:rsidRDefault="00F2721B" w:rsidP="00F2721B">
    <w:pPr>
      <w:pStyle w:val="a3"/>
    </w:pPr>
    <w:r w:rsidRPr="00F2721B">
      <w:rPr>
        <w:lang w:val="en-US"/>
      </w:rPr>
      <w:t>ECE/MP.PP/WG.1/2017/L.8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F2721B" w:rsidRDefault="00F2721B" w:rsidP="00F2721B">
    <w:pPr>
      <w:pStyle w:val="a3"/>
      <w:jc w:val="right"/>
    </w:pPr>
    <w:r w:rsidRPr="00F2721B">
      <w:rPr>
        <w:lang w:val="en-US"/>
      </w:rPr>
      <w:t>ECE/MP.PP/WG.1/2017/L.8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980EE60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0E"/>
    <w:rsid w:val="000450D1"/>
    <w:rsid w:val="000B1FD5"/>
    <w:rsid w:val="000F2A4F"/>
    <w:rsid w:val="00126874"/>
    <w:rsid w:val="00203F84"/>
    <w:rsid w:val="00243AA3"/>
    <w:rsid w:val="00275188"/>
    <w:rsid w:val="0028687D"/>
    <w:rsid w:val="002B091C"/>
    <w:rsid w:val="002B3D40"/>
    <w:rsid w:val="002D0CCB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E2A6E"/>
    <w:rsid w:val="006F49F1"/>
    <w:rsid w:val="007005EE"/>
    <w:rsid w:val="00705394"/>
    <w:rsid w:val="0072385A"/>
    <w:rsid w:val="00743F62"/>
    <w:rsid w:val="00760D3A"/>
    <w:rsid w:val="00773BA8"/>
    <w:rsid w:val="007A1F42"/>
    <w:rsid w:val="007D76DD"/>
    <w:rsid w:val="008717E8"/>
    <w:rsid w:val="008A7B5F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80057"/>
    <w:rsid w:val="00A9606E"/>
    <w:rsid w:val="00AD7EAD"/>
    <w:rsid w:val="00B35A32"/>
    <w:rsid w:val="00B432C6"/>
    <w:rsid w:val="00B471C5"/>
    <w:rsid w:val="00B6474A"/>
    <w:rsid w:val="00BE1742"/>
    <w:rsid w:val="00BE260E"/>
    <w:rsid w:val="00C61A46"/>
    <w:rsid w:val="00CC5116"/>
    <w:rsid w:val="00D1261C"/>
    <w:rsid w:val="00D26030"/>
    <w:rsid w:val="00D463CD"/>
    <w:rsid w:val="00D75DCE"/>
    <w:rsid w:val="00DD35AC"/>
    <w:rsid w:val="00DD479F"/>
    <w:rsid w:val="00E15E48"/>
    <w:rsid w:val="00EB0723"/>
    <w:rsid w:val="00EB2957"/>
    <w:rsid w:val="00EE6F37"/>
    <w:rsid w:val="00F02D03"/>
    <w:rsid w:val="00F131E8"/>
    <w:rsid w:val="00F1599F"/>
    <w:rsid w:val="00F2721B"/>
    <w:rsid w:val="00F31EF2"/>
    <w:rsid w:val="00F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2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60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3">
    <w:name w:val="List Number 3"/>
    <w:basedOn w:val="a"/>
    <w:semiHidden/>
    <w:rsid w:val="0072385A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character" w:styleId="af1">
    <w:name w:val="Hyperlink"/>
    <w:basedOn w:val="a0"/>
    <w:uiPriority w:val="99"/>
    <w:unhideWhenUsed/>
    <w:rsid w:val="00F02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Number 3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1">
    <w:name w:val="heading 1"/>
    <w:aliases w:val="Table_GR"/>
    <w:basedOn w:val="a"/>
    <w:next w:val="a"/>
    <w:link w:val="10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MGR">
    <w:name w:val="_ H __M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a"/>
    <w:next w:val="a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a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a"/>
    <w:next w:val="a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a"/>
    <w:next w:val="a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a"/>
    <w:next w:val="a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a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a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a"/>
    <w:next w:val="a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a1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3">
    <w:name w:val="header"/>
    <w:aliases w:val="6_GR"/>
    <w:basedOn w:val="a"/>
    <w:next w:val="a"/>
    <w:link w:val="a4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a4">
    <w:name w:val="Верхний колонтитул Знак"/>
    <w:aliases w:val="6_GR Знак"/>
    <w:basedOn w:val="a0"/>
    <w:link w:val="a3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5">
    <w:name w:val="endnote reference"/>
    <w:aliases w:val="1_GR"/>
    <w:basedOn w:val="a6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6">
    <w:name w:val="footnote reference"/>
    <w:aliases w:val="4_GR"/>
    <w:basedOn w:val="a0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a7">
    <w:name w:val="footer"/>
    <w:aliases w:val="3_GR"/>
    <w:basedOn w:val="a"/>
    <w:link w:val="a8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a8">
    <w:name w:val="Нижний колонтитул Знак"/>
    <w:aliases w:val="3_GR Знак"/>
    <w:basedOn w:val="a0"/>
    <w:link w:val="a7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a9">
    <w:name w:val="page number"/>
    <w:aliases w:val="7_GR"/>
    <w:basedOn w:val="a0"/>
    <w:qFormat/>
    <w:rsid w:val="00BE1742"/>
    <w:rPr>
      <w:rFonts w:ascii="Times New Roman" w:hAnsi="Times New Roman"/>
      <w:b/>
      <w:sz w:val="18"/>
    </w:rPr>
  </w:style>
  <w:style w:type="paragraph" w:styleId="aa">
    <w:name w:val="footnote text"/>
    <w:aliases w:val="5_GR"/>
    <w:basedOn w:val="a"/>
    <w:link w:val="ab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ab">
    <w:name w:val="Текст сноски Знак"/>
    <w:aliases w:val="5_GR Знак"/>
    <w:basedOn w:val="a0"/>
    <w:link w:val="aa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ac">
    <w:name w:val="endnote text"/>
    <w:aliases w:val="2_GR"/>
    <w:basedOn w:val="aa"/>
    <w:link w:val="ad"/>
    <w:qFormat/>
    <w:rsid w:val="00BE1742"/>
  </w:style>
  <w:style w:type="character" w:customStyle="1" w:styleId="ad">
    <w:name w:val="Текст концевой сноски Знак"/>
    <w:aliases w:val="2_GR Знак"/>
    <w:basedOn w:val="a0"/>
    <w:link w:val="ac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ae">
    <w:name w:val="Table Grid"/>
    <w:basedOn w:val="a1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E2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260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paragraph" w:styleId="3">
    <w:name w:val="List Number 3"/>
    <w:basedOn w:val="a"/>
    <w:semiHidden/>
    <w:rsid w:val="0072385A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character" w:styleId="af1">
    <w:name w:val="Hyperlink"/>
    <w:basedOn w:val="a0"/>
    <w:uiPriority w:val="99"/>
    <w:unhideWhenUsed/>
    <w:rsid w:val="00F02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pp/aarhus/mop5_doc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968D-851B-418A-B1EB-C2F69944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4</TotalTime>
  <Pages>5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Kisseleva</cp:lastModifiedBy>
  <cp:revision>5</cp:revision>
  <cp:lastPrinted>2017-02-10T14:44:00Z</cp:lastPrinted>
  <dcterms:created xsi:type="dcterms:W3CDTF">2017-02-10T14:28:00Z</dcterms:created>
  <dcterms:modified xsi:type="dcterms:W3CDTF">2017-02-10T14:44:00Z</dcterms:modified>
</cp:coreProperties>
</file>