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65339" w14:paraId="54B4B8C7" w14:textId="77777777" w:rsidTr="009E6CB7">
        <w:trPr>
          <w:cantSplit/>
          <w:trHeight w:hRule="exact" w:val="851"/>
        </w:trPr>
        <w:tc>
          <w:tcPr>
            <w:tcW w:w="1276" w:type="dxa"/>
            <w:tcBorders>
              <w:bottom w:val="single" w:sz="4" w:space="0" w:color="auto"/>
            </w:tcBorders>
            <w:vAlign w:val="bottom"/>
          </w:tcPr>
          <w:p w14:paraId="37973E89" w14:textId="4465FA2E" w:rsidR="0069227A" w:rsidRPr="00065339" w:rsidRDefault="0069227A" w:rsidP="009E6CB7">
            <w:pPr>
              <w:spacing w:after="80"/>
            </w:pPr>
            <w:bookmarkStart w:id="0" w:name="_GoBack"/>
            <w:bookmarkEnd w:id="0"/>
          </w:p>
        </w:tc>
        <w:tc>
          <w:tcPr>
            <w:tcW w:w="2268" w:type="dxa"/>
            <w:tcBorders>
              <w:bottom w:val="single" w:sz="4" w:space="0" w:color="auto"/>
            </w:tcBorders>
            <w:vAlign w:val="bottom"/>
          </w:tcPr>
          <w:p w14:paraId="4046E1D7" w14:textId="77777777" w:rsidR="009E6CB7" w:rsidRPr="00065339" w:rsidRDefault="009E6CB7" w:rsidP="009E6CB7">
            <w:pPr>
              <w:spacing w:after="80" w:line="300" w:lineRule="exact"/>
              <w:rPr>
                <w:b/>
                <w:sz w:val="24"/>
                <w:szCs w:val="24"/>
              </w:rPr>
            </w:pPr>
            <w:r w:rsidRPr="00065339">
              <w:rPr>
                <w:sz w:val="28"/>
                <w:szCs w:val="28"/>
              </w:rPr>
              <w:t>United Nations</w:t>
            </w:r>
          </w:p>
        </w:tc>
        <w:tc>
          <w:tcPr>
            <w:tcW w:w="6095" w:type="dxa"/>
            <w:gridSpan w:val="2"/>
            <w:tcBorders>
              <w:bottom w:val="single" w:sz="4" w:space="0" w:color="auto"/>
            </w:tcBorders>
            <w:vAlign w:val="bottom"/>
          </w:tcPr>
          <w:p w14:paraId="7A52C74C" w14:textId="1E013F00" w:rsidR="009E6CB7" w:rsidRPr="00065339" w:rsidRDefault="00103DCC" w:rsidP="00103DCC">
            <w:pPr>
              <w:jc w:val="right"/>
            </w:pPr>
            <w:r w:rsidRPr="00065339">
              <w:rPr>
                <w:sz w:val="40"/>
              </w:rPr>
              <w:t>ECE</w:t>
            </w:r>
            <w:r w:rsidRPr="00065339">
              <w:t>/MP.PRTR/WG.1/2016/6</w:t>
            </w:r>
          </w:p>
        </w:tc>
      </w:tr>
      <w:tr w:rsidR="009E6CB7" w:rsidRPr="00065339" w14:paraId="45D98B3E" w14:textId="77777777" w:rsidTr="009E6CB7">
        <w:trPr>
          <w:cantSplit/>
          <w:trHeight w:hRule="exact" w:val="2835"/>
        </w:trPr>
        <w:tc>
          <w:tcPr>
            <w:tcW w:w="1276" w:type="dxa"/>
            <w:tcBorders>
              <w:top w:val="single" w:sz="4" w:space="0" w:color="auto"/>
              <w:bottom w:val="single" w:sz="12" w:space="0" w:color="auto"/>
            </w:tcBorders>
          </w:tcPr>
          <w:p w14:paraId="34218209" w14:textId="77777777" w:rsidR="009E6CB7" w:rsidRPr="00065339" w:rsidRDefault="00BC7F91" w:rsidP="009E6CB7">
            <w:pPr>
              <w:spacing w:before="120"/>
            </w:pPr>
            <w:r w:rsidRPr="00065339">
              <w:rPr>
                <w:noProof/>
                <w:lang w:val="en-US" w:eastAsia="zh-CN"/>
              </w:rPr>
              <w:drawing>
                <wp:inline distT="0" distB="0" distL="0" distR="0" wp14:anchorId="1029AE4A" wp14:editId="2A1006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8661A6" w14:textId="77777777" w:rsidR="009E6CB7" w:rsidRPr="00065339" w:rsidRDefault="009E6CB7" w:rsidP="009E6CB7">
            <w:pPr>
              <w:spacing w:before="120" w:line="420" w:lineRule="exact"/>
              <w:rPr>
                <w:sz w:val="40"/>
                <w:szCs w:val="40"/>
              </w:rPr>
            </w:pPr>
            <w:r w:rsidRPr="00065339">
              <w:rPr>
                <w:b/>
                <w:sz w:val="40"/>
                <w:szCs w:val="40"/>
              </w:rPr>
              <w:t>Economic and Social Council</w:t>
            </w:r>
          </w:p>
        </w:tc>
        <w:tc>
          <w:tcPr>
            <w:tcW w:w="2835" w:type="dxa"/>
            <w:tcBorders>
              <w:top w:val="single" w:sz="4" w:space="0" w:color="auto"/>
              <w:bottom w:val="single" w:sz="12" w:space="0" w:color="auto"/>
            </w:tcBorders>
          </w:tcPr>
          <w:p w14:paraId="325CD0A2" w14:textId="77777777" w:rsidR="009E6CB7" w:rsidRPr="00065339" w:rsidRDefault="000375F9" w:rsidP="000375F9">
            <w:pPr>
              <w:spacing w:before="240" w:line="240" w:lineRule="exact"/>
            </w:pPr>
            <w:r w:rsidRPr="00065339">
              <w:t>Distr.: General</w:t>
            </w:r>
          </w:p>
          <w:p w14:paraId="2DBC9A97" w14:textId="11991B9D" w:rsidR="000375F9" w:rsidRPr="00065339" w:rsidRDefault="005978EA" w:rsidP="000375F9">
            <w:pPr>
              <w:spacing w:line="240" w:lineRule="exact"/>
            </w:pPr>
            <w:r>
              <w:t>26</w:t>
            </w:r>
            <w:r w:rsidR="006205B3" w:rsidRPr="00065339">
              <w:t xml:space="preserve"> </w:t>
            </w:r>
            <w:r w:rsidR="00065339">
              <w:t xml:space="preserve">August </w:t>
            </w:r>
            <w:r w:rsidR="006205B3" w:rsidRPr="00065339">
              <w:t>2016</w:t>
            </w:r>
          </w:p>
          <w:p w14:paraId="37834E20" w14:textId="77777777" w:rsidR="000375F9" w:rsidRPr="00065339" w:rsidRDefault="000375F9" w:rsidP="000375F9">
            <w:pPr>
              <w:spacing w:line="240" w:lineRule="exact"/>
            </w:pPr>
          </w:p>
          <w:p w14:paraId="4358EF1A" w14:textId="77777777" w:rsidR="000375F9" w:rsidRPr="00065339" w:rsidRDefault="000375F9" w:rsidP="000375F9">
            <w:pPr>
              <w:spacing w:line="240" w:lineRule="exact"/>
            </w:pPr>
            <w:r w:rsidRPr="00065339">
              <w:t>Original: English</w:t>
            </w:r>
          </w:p>
        </w:tc>
      </w:tr>
    </w:tbl>
    <w:p w14:paraId="45BF9859" w14:textId="77777777" w:rsidR="00A846C0" w:rsidRPr="00065339" w:rsidRDefault="00A846C0" w:rsidP="00A846C0">
      <w:pPr>
        <w:spacing w:before="120"/>
        <w:rPr>
          <w:b/>
          <w:sz w:val="28"/>
          <w:szCs w:val="28"/>
        </w:rPr>
      </w:pPr>
      <w:r w:rsidRPr="00065339">
        <w:rPr>
          <w:b/>
          <w:sz w:val="28"/>
          <w:szCs w:val="28"/>
        </w:rPr>
        <w:t>Economic Commission for Europe</w:t>
      </w:r>
    </w:p>
    <w:p w14:paraId="62446B77" w14:textId="77777777" w:rsidR="00A846C0" w:rsidRPr="00065339" w:rsidRDefault="00A846C0" w:rsidP="00A846C0">
      <w:pPr>
        <w:spacing w:before="120"/>
        <w:rPr>
          <w:sz w:val="28"/>
          <w:szCs w:val="28"/>
        </w:rPr>
      </w:pPr>
      <w:r w:rsidRPr="00065339">
        <w:rPr>
          <w:sz w:val="28"/>
          <w:szCs w:val="28"/>
        </w:rPr>
        <w:t>Meeting of the Parties to the Protocol on Pollutant</w:t>
      </w:r>
      <w:r w:rsidRPr="00065339">
        <w:rPr>
          <w:sz w:val="28"/>
          <w:szCs w:val="28"/>
        </w:rPr>
        <w:br/>
        <w:t xml:space="preserve">Release and Transfer Registers to the Convention </w:t>
      </w:r>
      <w:r w:rsidRPr="00065339">
        <w:rPr>
          <w:sz w:val="28"/>
          <w:szCs w:val="28"/>
        </w:rPr>
        <w:br/>
        <w:t>on Access to Information, Public Participation in</w:t>
      </w:r>
      <w:r w:rsidRPr="00065339">
        <w:rPr>
          <w:sz w:val="28"/>
          <w:szCs w:val="28"/>
        </w:rPr>
        <w:br/>
        <w:t>Decision-making and Access to Justice in</w:t>
      </w:r>
      <w:r w:rsidRPr="00065339">
        <w:rPr>
          <w:sz w:val="28"/>
          <w:szCs w:val="28"/>
        </w:rPr>
        <w:br/>
        <w:t>Environment Matters</w:t>
      </w:r>
    </w:p>
    <w:p w14:paraId="0D72FF5F" w14:textId="77777777" w:rsidR="006205B3" w:rsidRPr="00065339" w:rsidRDefault="006205B3" w:rsidP="006205B3">
      <w:pPr>
        <w:spacing w:before="120"/>
        <w:rPr>
          <w:b/>
          <w:sz w:val="24"/>
          <w:szCs w:val="24"/>
        </w:rPr>
      </w:pPr>
      <w:r w:rsidRPr="00065339">
        <w:rPr>
          <w:b/>
          <w:sz w:val="24"/>
          <w:szCs w:val="24"/>
        </w:rPr>
        <w:t xml:space="preserve">Working Group of the Parties </w:t>
      </w:r>
    </w:p>
    <w:p w14:paraId="0FBB96E3" w14:textId="3F7D2645" w:rsidR="006205B3" w:rsidRPr="00065339" w:rsidRDefault="006205B3" w:rsidP="006205B3">
      <w:pPr>
        <w:spacing w:before="120"/>
        <w:rPr>
          <w:b/>
        </w:rPr>
      </w:pPr>
      <w:r w:rsidRPr="00065339">
        <w:rPr>
          <w:b/>
        </w:rPr>
        <w:t>Fifth meeting</w:t>
      </w:r>
    </w:p>
    <w:p w14:paraId="2A983EDC" w14:textId="158E9627" w:rsidR="006205B3" w:rsidRPr="00065339" w:rsidRDefault="006205B3" w:rsidP="006205B3">
      <w:r w:rsidRPr="00065339">
        <w:t>Geneva, 23</w:t>
      </w:r>
      <w:r w:rsidR="00065339">
        <w:t xml:space="preserve"> and </w:t>
      </w:r>
      <w:r w:rsidRPr="00065339">
        <w:t xml:space="preserve">24 November </w:t>
      </w:r>
      <w:r w:rsidR="00925631" w:rsidRPr="00065339">
        <w:t>2016</w:t>
      </w:r>
    </w:p>
    <w:p w14:paraId="2DB040D6" w14:textId="16BCD0B5" w:rsidR="006205B3" w:rsidRPr="00065339" w:rsidRDefault="006205B3" w:rsidP="005D39ED">
      <w:r w:rsidRPr="00065339">
        <w:t xml:space="preserve">Item </w:t>
      </w:r>
      <w:r w:rsidR="00103DCC" w:rsidRPr="00065339">
        <w:t xml:space="preserve">5 </w:t>
      </w:r>
      <w:r w:rsidRPr="00065339">
        <w:t>of the provisional agenda</w:t>
      </w:r>
    </w:p>
    <w:p w14:paraId="5DB40D15" w14:textId="649F66C0" w:rsidR="006205B3" w:rsidRPr="00065339" w:rsidRDefault="00103DCC" w:rsidP="006205B3">
      <w:pPr>
        <w:rPr>
          <w:b/>
          <w:color w:val="000000"/>
        </w:rPr>
      </w:pPr>
      <w:r w:rsidRPr="00065339">
        <w:rPr>
          <w:b/>
        </w:rPr>
        <w:t>Compliance and reporting mechanisms</w:t>
      </w:r>
    </w:p>
    <w:p w14:paraId="30476D75" w14:textId="0FE2AC57" w:rsidR="000C68D2" w:rsidRPr="00065339" w:rsidRDefault="000C68D2" w:rsidP="004B4096">
      <w:pPr>
        <w:pStyle w:val="HChG"/>
        <w:spacing w:before="180" w:after="180"/>
      </w:pPr>
      <w:r w:rsidRPr="00065339">
        <w:tab/>
      </w:r>
      <w:r w:rsidRPr="00065339">
        <w:tab/>
      </w:r>
      <w:r w:rsidR="00DB334D" w:rsidRPr="00065339">
        <w:t>Draft g</w:t>
      </w:r>
      <w:r w:rsidR="0077662E" w:rsidRPr="00065339">
        <w:t>uidance for reporting on implementation of the Protocol on Pollutant Release and Transfer Registers</w:t>
      </w:r>
    </w:p>
    <w:p w14:paraId="3F3EF2BA" w14:textId="77777777" w:rsidR="00F507EC" w:rsidRPr="00065339" w:rsidRDefault="000C68D2" w:rsidP="004B4096">
      <w:pPr>
        <w:pStyle w:val="H1G"/>
        <w:spacing w:before="180" w:after="180"/>
      </w:pPr>
      <w:r w:rsidRPr="00065339">
        <w:tab/>
      </w:r>
      <w:r w:rsidRPr="00065339">
        <w:tab/>
        <w:t>Prepared by the Compliance Committee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D5FFD" w:rsidRPr="00065339" w14:paraId="32DE4B8B" w14:textId="77777777" w:rsidTr="00737F99">
        <w:trPr>
          <w:jc w:val="center"/>
        </w:trPr>
        <w:tc>
          <w:tcPr>
            <w:tcW w:w="9637" w:type="dxa"/>
            <w:shd w:val="clear" w:color="auto" w:fill="auto"/>
          </w:tcPr>
          <w:p w14:paraId="6CF29F83" w14:textId="77777777" w:rsidR="00ED5FFD" w:rsidRPr="00065339" w:rsidRDefault="00ED5FFD" w:rsidP="00737F99">
            <w:pPr>
              <w:spacing w:before="240" w:after="120"/>
              <w:ind w:left="255"/>
              <w:rPr>
                <w:i/>
                <w:sz w:val="24"/>
              </w:rPr>
            </w:pPr>
            <w:r w:rsidRPr="00065339">
              <w:rPr>
                <w:i/>
                <w:sz w:val="24"/>
              </w:rPr>
              <w:t>Summary</w:t>
            </w:r>
          </w:p>
        </w:tc>
      </w:tr>
      <w:tr w:rsidR="00ED5FFD" w:rsidRPr="00065339" w14:paraId="12E4D414" w14:textId="77777777" w:rsidTr="00737F99">
        <w:trPr>
          <w:jc w:val="center"/>
        </w:trPr>
        <w:tc>
          <w:tcPr>
            <w:tcW w:w="9637" w:type="dxa"/>
            <w:shd w:val="clear" w:color="auto" w:fill="auto"/>
          </w:tcPr>
          <w:p w14:paraId="1504DD27" w14:textId="2132A5C3" w:rsidR="00902F2A" w:rsidRPr="00065339" w:rsidRDefault="00ED5FFD" w:rsidP="00902F2A">
            <w:pPr>
              <w:pStyle w:val="SingleTxtG"/>
            </w:pPr>
            <w:r w:rsidRPr="00065339">
              <w:tab/>
              <w:t>Th</w:t>
            </w:r>
            <w:r w:rsidR="0077662E" w:rsidRPr="00065339">
              <w:t>e present</w:t>
            </w:r>
            <w:r w:rsidRPr="00065339">
              <w:t xml:space="preserve"> document contains </w:t>
            </w:r>
            <w:r w:rsidR="0077662E" w:rsidRPr="00065339">
              <w:t xml:space="preserve">draft </w:t>
            </w:r>
            <w:r w:rsidRPr="00065339">
              <w:t xml:space="preserve">guidance </w:t>
            </w:r>
            <w:r w:rsidR="0077662E" w:rsidRPr="00065339">
              <w:t xml:space="preserve">for </w:t>
            </w:r>
            <w:r w:rsidRPr="00065339">
              <w:t xml:space="preserve">reporting on the status of implementation of the Protocol on Pollutant Release and Transfer Registers to the Convention on Access to Information, Public Participation in Decision-making and Access to Justice in Environmental Matters. </w:t>
            </w:r>
            <w:r w:rsidR="00902F2A" w:rsidRPr="00065339">
              <w:t xml:space="preserve">It was prepared by the Compliance Committee under the Protocol with the assistance of the secretariat, in close cooperation with the Bureau and with the involvement of other Parties and stakeholders, pursuant to the request of the </w:t>
            </w:r>
            <w:r w:rsidRPr="00065339">
              <w:t xml:space="preserve">Meeting of the Parties to the Protocol </w:t>
            </w:r>
            <w:r w:rsidR="00902F2A" w:rsidRPr="00065339">
              <w:t>at its second session (Maastricht, the Netherlands, 3</w:t>
            </w:r>
            <w:r w:rsidR="00065339">
              <w:sym w:font="Symbol" w:char="F02D"/>
            </w:r>
            <w:r w:rsidR="00902F2A" w:rsidRPr="00065339">
              <w:t>4 July 2014) (see ECE/MP.PRTR/2014/4, para. 36</w:t>
            </w:r>
            <w:r w:rsidR="009D10AF" w:rsidRPr="00065339">
              <w:t>,</w:t>
            </w:r>
            <w:r w:rsidR="00902F2A" w:rsidRPr="00065339">
              <w:t xml:space="preserve"> and ECE/MP.PRTR/2014/4/Add.1, </w:t>
            </w:r>
            <w:r w:rsidR="00FA1052" w:rsidRPr="00065339">
              <w:t>decision II/</w:t>
            </w:r>
            <w:r w:rsidR="00C63795" w:rsidRPr="00065339">
              <w:t>3, annex, sect.</w:t>
            </w:r>
            <w:r w:rsidR="00902F2A" w:rsidRPr="00065339">
              <w:t xml:space="preserve"> G).</w:t>
            </w:r>
          </w:p>
          <w:p w14:paraId="762F628E" w14:textId="2F0DF37F" w:rsidR="00925631" w:rsidRPr="00065339" w:rsidRDefault="00ED5FFD" w:rsidP="00782BE1">
            <w:pPr>
              <w:pStyle w:val="SingleTxtG"/>
            </w:pPr>
            <w:r w:rsidRPr="00065339">
              <w:tab/>
            </w:r>
            <w:r w:rsidR="00065339">
              <w:t>A</w:t>
            </w:r>
            <w:r w:rsidR="00925631" w:rsidRPr="00065339">
              <w:t>t its tenth meeting (Geneva, 7 July 2016)</w:t>
            </w:r>
            <w:r w:rsidR="00065339">
              <w:t>, the Protocol Bureau</w:t>
            </w:r>
            <w:r w:rsidR="003D0B00" w:rsidRPr="00065339">
              <w:t xml:space="preserve"> </w:t>
            </w:r>
            <w:r w:rsidR="00D43C3E" w:rsidRPr="00065339">
              <w:t>consider</w:t>
            </w:r>
            <w:r w:rsidR="00925631" w:rsidRPr="00065339">
              <w:t xml:space="preserve">ed and </w:t>
            </w:r>
            <w:r w:rsidR="00925631" w:rsidRPr="00065339">
              <w:rPr>
                <w:bCs/>
                <w:iCs/>
              </w:rPr>
              <w:t xml:space="preserve">approved the document with </w:t>
            </w:r>
            <w:r w:rsidR="00065339">
              <w:rPr>
                <w:bCs/>
                <w:iCs/>
              </w:rPr>
              <w:t xml:space="preserve">some </w:t>
            </w:r>
            <w:r w:rsidR="00925631" w:rsidRPr="00065339">
              <w:rPr>
                <w:bCs/>
                <w:iCs/>
              </w:rPr>
              <w:t>agreed amendments</w:t>
            </w:r>
            <w:r w:rsidR="00065339">
              <w:rPr>
                <w:bCs/>
                <w:iCs/>
              </w:rPr>
              <w:t>.</w:t>
            </w:r>
            <w:r w:rsidR="00925631" w:rsidRPr="00065339">
              <w:rPr>
                <w:bCs/>
                <w:iCs/>
              </w:rPr>
              <w:t xml:space="preserve"> </w:t>
            </w:r>
            <w:r w:rsidR="00065339">
              <w:rPr>
                <w:bCs/>
                <w:iCs/>
              </w:rPr>
              <w:t xml:space="preserve">It </w:t>
            </w:r>
            <w:r w:rsidR="00925631" w:rsidRPr="00065339">
              <w:t>requested the secretariat to finali</w:t>
            </w:r>
            <w:r w:rsidR="00065339">
              <w:t>z</w:t>
            </w:r>
            <w:r w:rsidR="00925631" w:rsidRPr="00065339">
              <w:t xml:space="preserve">e </w:t>
            </w:r>
            <w:r w:rsidR="00065339">
              <w:t xml:space="preserve">the document </w:t>
            </w:r>
            <w:r w:rsidR="00925631" w:rsidRPr="00065339">
              <w:t xml:space="preserve">in consultation with the Chair of the Compliance Committee, as needed, and </w:t>
            </w:r>
            <w:r w:rsidR="00065339">
              <w:t xml:space="preserve">to </w:t>
            </w:r>
            <w:r w:rsidR="00925631" w:rsidRPr="00065339">
              <w:t xml:space="preserve">submit it to </w:t>
            </w:r>
            <w:r w:rsidR="00D43C3E" w:rsidRPr="00065339">
              <w:t>the Working Group</w:t>
            </w:r>
            <w:r w:rsidR="003D0B00" w:rsidRPr="00065339">
              <w:t xml:space="preserve"> </w:t>
            </w:r>
            <w:r w:rsidR="00FB41F4" w:rsidRPr="00065339">
              <w:t>of the Parties at its fifth meeting</w:t>
            </w:r>
            <w:r w:rsidR="00D43C3E" w:rsidRPr="00065339">
              <w:t xml:space="preserve">. </w:t>
            </w:r>
            <w:r w:rsidR="00782BE1" w:rsidRPr="00317904">
              <w:t>The Working Group will be invited to consider and approve the document and mandate the Bureau to finalize it for submission to the Meeting of the Parties at its third session</w:t>
            </w:r>
            <w:r w:rsidR="00782BE1">
              <w:t xml:space="preserve"> in 2017 </w:t>
            </w:r>
            <w:r w:rsidR="00782BE1" w:rsidRPr="00317904">
              <w:t>for consideration.</w:t>
            </w:r>
          </w:p>
        </w:tc>
      </w:tr>
    </w:tbl>
    <w:p w14:paraId="7554B5D3" w14:textId="341DF7DB" w:rsidR="00ED5FFD" w:rsidRPr="00065339" w:rsidRDefault="00ED5FFD" w:rsidP="00415B1E">
      <w:pPr>
        <w:suppressAutoHyphens w:val="0"/>
        <w:spacing w:line="240" w:lineRule="auto"/>
        <w:rPr>
          <w:sz w:val="28"/>
        </w:rPr>
      </w:pPr>
      <w:r w:rsidRPr="00065339">
        <w:rPr>
          <w:sz w:val="28"/>
        </w:rPr>
        <w:t>Contents</w:t>
      </w:r>
    </w:p>
    <w:p w14:paraId="4DD054EA" w14:textId="77777777" w:rsidR="00ED5FFD" w:rsidRPr="00065339" w:rsidRDefault="00ED5FFD" w:rsidP="00ED5FFD">
      <w:pPr>
        <w:tabs>
          <w:tab w:val="right" w:pos="9638"/>
        </w:tabs>
        <w:spacing w:after="120"/>
        <w:ind w:left="283"/>
        <w:rPr>
          <w:sz w:val="18"/>
        </w:rPr>
      </w:pPr>
      <w:r w:rsidRPr="00065339">
        <w:rPr>
          <w:i/>
          <w:sz w:val="18"/>
        </w:rPr>
        <w:tab/>
        <w:t>Page</w:t>
      </w:r>
    </w:p>
    <w:p w14:paraId="4C567930" w14:textId="5434E0E7" w:rsidR="00ED5FFD" w:rsidRPr="00065339" w:rsidRDefault="0026688C" w:rsidP="00415B1E">
      <w:pPr>
        <w:tabs>
          <w:tab w:val="right" w:pos="850"/>
          <w:tab w:val="left" w:pos="1134"/>
          <w:tab w:val="left" w:pos="1559"/>
          <w:tab w:val="left" w:pos="1984"/>
          <w:tab w:val="left" w:leader="dot" w:pos="8929"/>
          <w:tab w:val="right" w:pos="9638"/>
        </w:tabs>
        <w:spacing w:after="120"/>
        <w:ind w:firstLine="500"/>
      </w:pPr>
      <w:r w:rsidRPr="00065339">
        <w:tab/>
        <w:t>I</w:t>
      </w:r>
      <w:r w:rsidR="00D342C1" w:rsidRPr="00065339">
        <w:t>.</w:t>
      </w:r>
      <w:r w:rsidR="0028510C" w:rsidRPr="00065339">
        <w:tab/>
      </w:r>
      <w:r w:rsidR="005271B2" w:rsidRPr="00065339">
        <w:t>Introduction</w:t>
      </w:r>
      <w:r w:rsidR="005271B2" w:rsidRPr="00065339">
        <w:tab/>
      </w:r>
      <w:r w:rsidR="005271B2" w:rsidRPr="00065339">
        <w:tab/>
        <w:t>3</w:t>
      </w:r>
    </w:p>
    <w:p w14:paraId="2C73FAA9" w14:textId="0BA4DB22" w:rsidR="005271B2" w:rsidRPr="00065339" w:rsidRDefault="0026688C" w:rsidP="00415B1E">
      <w:pPr>
        <w:tabs>
          <w:tab w:val="right" w:pos="850"/>
          <w:tab w:val="left" w:pos="1134"/>
          <w:tab w:val="left" w:pos="1559"/>
          <w:tab w:val="left" w:pos="1984"/>
          <w:tab w:val="left" w:leader="dot" w:pos="8929"/>
          <w:tab w:val="right" w:pos="9638"/>
        </w:tabs>
        <w:spacing w:after="120"/>
        <w:ind w:firstLine="500"/>
      </w:pPr>
      <w:r w:rsidRPr="00065339">
        <w:tab/>
        <w:t>II</w:t>
      </w:r>
      <w:r w:rsidR="00D342C1" w:rsidRPr="00065339">
        <w:t>.</w:t>
      </w:r>
      <w:r w:rsidR="0028510C" w:rsidRPr="00065339">
        <w:tab/>
      </w:r>
      <w:r w:rsidR="00737F99" w:rsidRPr="00065339">
        <w:t>Key features of the reporting regime</w:t>
      </w:r>
      <w:r w:rsidR="00D37ADA" w:rsidRPr="00065339">
        <w:tab/>
      </w:r>
      <w:r w:rsidR="00D37ADA" w:rsidRPr="00065339">
        <w:tab/>
        <w:t>3</w:t>
      </w:r>
    </w:p>
    <w:p w14:paraId="7863DF29" w14:textId="4E775954" w:rsidR="002C5AA0" w:rsidRPr="00065339" w:rsidRDefault="0026688C" w:rsidP="00415B1E">
      <w:pPr>
        <w:tabs>
          <w:tab w:val="right" w:pos="850"/>
          <w:tab w:val="left" w:pos="1134"/>
          <w:tab w:val="left" w:pos="1559"/>
          <w:tab w:val="left" w:pos="1984"/>
          <w:tab w:val="left" w:leader="dot" w:pos="8929"/>
          <w:tab w:val="right" w:pos="9638"/>
        </w:tabs>
        <w:spacing w:after="120"/>
        <w:ind w:firstLine="500"/>
      </w:pPr>
      <w:r w:rsidRPr="00065339">
        <w:tab/>
        <w:t>III</w:t>
      </w:r>
      <w:r w:rsidR="00D342C1" w:rsidRPr="00065339">
        <w:t>.</w:t>
      </w:r>
      <w:r w:rsidR="0028510C" w:rsidRPr="00065339">
        <w:tab/>
      </w:r>
      <w:r w:rsidR="002C5AA0" w:rsidRPr="00065339">
        <w:t>General issues</w:t>
      </w:r>
      <w:r w:rsidR="002C5AA0" w:rsidRPr="00065339">
        <w:tab/>
      </w:r>
      <w:r w:rsidR="002C5AA0" w:rsidRPr="00065339">
        <w:tab/>
        <w:t>4</w:t>
      </w:r>
    </w:p>
    <w:p w14:paraId="2A7529D2" w14:textId="454317D1" w:rsidR="00ED5FFD" w:rsidRPr="00065339" w:rsidRDefault="0028510C" w:rsidP="00415B1E">
      <w:pPr>
        <w:tabs>
          <w:tab w:val="right" w:pos="850"/>
          <w:tab w:val="left" w:pos="1134"/>
          <w:tab w:val="left" w:pos="1559"/>
          <w:tab w:val="left" w:pos="1984"/>
          <w:tab w:val="left" w:leader="dot" w:pos="8929"/>
          <w:tab w:val="right" w:pos="9638"/>
        </w:tabs>
        <w:spacing w:after="120"/>
        <w:ind w:firstLine="500"/>
      </w:pPr>
      <w:r w:rsidRPr="00065339">
        <w:tab/>
      </w:r>
      <w:r w:rsidR="0026688C" w:rsidRPr="00065339">
        <w:t>IV</w:t>
      </w:r>
      <w:r w:rsidR="00D342C1" w:rsidRPr="00065339">
        <w:t>.</w:t>
      </w:r>
      <w:r w:rsidRPr="00065339">
        <w:tab/>
      </w:r>
      <w:r w:rsidR="00732B51" w:rsidRPr="00065339">
        <w:t>Selected issues related to specific articles</w:t>
      </w:r>
      <w:r w:rsidR="00732B51" w:rsidRPr="00065339">
        <w:tab/>
      </w:r>
      <w:r w:rsidR="00732B51" w:rsidRPr="00065339">
        <w:tab/>
      </w:r>
      <w:r w:rsidR="00387C76">
        <w:t>5</w:t>
      </w:r>
    </w:p>
    <w:p w14:paraId="7A6BC0BA" w14:textId="04AEF2DE" w:rsidR="0079209F" w:rsidRPr="00065339" w:rsidRDefault="0028510C" w:rsidP="00415B1E">
      <w:pPr>
        <w:tabs>
          <w:tab w:val="right" w:pos="850"/>
          <w:tab w:val="left" w:pos="1134"/>
          <w:tab w:val="left" w:pos="1559"/>
          <w:tab w:val="left" w:pos="1984"/>
          <w:tab w:val="left" w:leader="dot" w:pos="8929"/>
          <w:tab w:val="right" w:pos="9638"/>
        </w:tabs>
        <w:spacing w:after="120"/>
        <w:ind w:left="1559" w:hanging="1059"/>
      </w:pPr>
      <w:r w:rsidRPr="00065339">
        <w:tab/>
      </w:r>
      <w:r w:rsidRPr="00065339">
        <w:tab/>
      </w:r>
      <w:r w:rsidR="002C5311" w:rsidRPr="00065339">
        <w:t>A</w:t>
      </w:r>
      <w:r w:rsidRPr="00065339">
        <w:t>.</w:t>
      </w:r>
      <w:r w:rsidRPr="00065339">
        <w:tab/>
      </w:r>
      <w:r w:rsidR="00495EA5" w:rsidRPr="00065339">
        <w:t xml:space="preserve">General provisions, core elements, and design and structure of a </w:t>
      </w:r>
      <w:r w:rsidRPr="00065339">
        <w:t>p</w:t>
      </w:r>
      <w:r w:rsidR="00495EA5" w:rsidRPr="00065339">
        <w:t xml:space="preserve">ollutant </w:t>
      </w:r>
      <w:r w:rsidRPr="00065339">
        <w:t>r</w:t>
      </w:r>
      <w:r w:rsidR="00495EA5" w:rsidRPr="00065339">
        <w:t xml:space="preserve">elease and </w:t>
      </w:r>
      <w:r w:rsidRPr="00065339">
        <w:br/>
        <w:t>t</w:t>
      </w:r>
      <w:r w:rsidR="00495EA5" w:rsidRPr="00065339">
        <w:t xml:space="preserve">ransfer </w:t>
      </w:r>
      <w:r w:rsidRPr="00065339">
        <w:t>r</w:t>
      </w:r>
      <w:r w:rsidR="00495EA5" w:rsidRPr="00065339">
        <w:t>egister</w:t>
      </w:r>
      <w:r w:rsidRPr="00065339">
        <w:t xml:space="preserve"> </w:t>
      </w:r>
      <w:r w:rsidR="00495EA5" w:rsidRPr="00065339">
        <w:t>system</w:t>
      </w:r>
      <w:r w:rsidR="00C63795" w:rsidRPr="00065339">
        <w:t xml:space="preserve"> — </w:t>
      </w:r>
      <w:r w:rsidR="008F1FE1" w:rsidRPr="00065339">
        <w:t>a</w:t>
      </w:r>
      <w:r w:rsidR="00495EA5" w:rsidRPr="00065339">
        <w:t>rticles 3, 4 and 5</w:t>
      </w:r>
      <w:r w:rsidR="00495EA5" w:rsidRPr="00065339">
        <w:tab/>
      </w:r>
      <w:r w:rsidR="00495EA5" w:rsidRPr="00065339">
        <w:tab/>
        <w:t>6</w:t>
      </w:r>
    </w:p>
    <w:p w14:paraId="12CD94B0" w14:textId="5CC0CF92" w:rsidR="0079209F" w:rsidRPr="00065339" w:rsidRDefault="0028510C"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2C5311" w:rsidRPr="00065339">
        <w:t>B</w:t>
      </w:r>
      <w:r w:rsidRPr="00065339">
        <w:t>.</w:t>
      </w:r>
      <w:r w:rsidR="0079209F" w:rsidRPr="00065339">
        <w:tab/>
        <w:t>Reporting requirements</w:t>
      </w:r>
      <w:r w:rsidR="00C63795" w:rsidRPr="00065339">
        <w:t xml:space="preserve"> — </w:t>
      </w:r>
      <w:r w:rsidR="008F1FE1" w:rsidRPr="00065339">
        <w:t>a</w:t>
      </w:r>
      <w:r w:rsidR="0079209F" w:rsidRPr="00065339">
        <w:t>rticle 7</w:t>
      </w:r>
      <w:r w:rsidR="0079209F" w:rsidRPr="00065339">
        <w:tab/>
      </w:r>
      <w:r w:rsidR="0079209F" w:rsidRPr="00065339">
        <w:tab/>
        <w:t>7</w:t>
      </w:r>
    </w:p>
    <w:p w14:paraId="73CDD3D0" w14:textId="3C8957CE"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C.</w:t>
      </w:r>
      <w:r w:rsidR="0079209F" w:rsidRPr="00065339">
        <w:tab/>
        <w:t>Reporting cycle</w:t>
      </w:r>
      <w:r w:rsidR="00C63795" w:rsidRPr="00065339">
        <w:t xml:space="preserve"> — </w:t>
      </w:r>
      <w:r w:rsidR="008F1FE1" w:rsidRPr="00065339">
        <w:t>a</w:t>
      </w:r>
      <w:r w:rsidR="0079209F" w:rsidRPr="00065339">
        <w:t>rticle 8</w:t>
      </w:r>
      <w:r w:rsidR="0079209F" w:rsidRPr="00065339">
        <w:tab/>
      </w:r>
      <w:r w:rsidR="0079209F" w:rsidRPr="00065339">
        <w:tab/>
        <w:t>12</w:t>
      </w:r>
    </w:p>
    <w:p w14:paraId="3A43D563" w14:textId="39F58E1C"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D.</w:t>
      </w:r>
      <w:r w:rsidR="0079209F" w:rsidRPr="00065339">
        <w:tab/>
        <w:t>Data collection and record-keeping</w:t>
      </w:r>
      <w:r w:rsidR="00C63795" w:rsidRPr="00065339">
        <w:t xml:space="preserve"> — </w:t>
      </w:r>
      <w:r w:rsidR="008F1FE1" w:rsidRPr="00065339">
        <w:t>a</w:t>
      </w:r>
      <w:r w:rsidR="003F10A9" w:rsidRPr="00065339">
        <w:t>rticle 9</w:t>
      </w:r>
      <w:r w:rsidR="003F10A9" w:rsidRPr="00065339">
        <w:tab/>
      </w:r>
      <w:r w:rsidR="003F10A9" w:rsidRPr="00065339">
        <w:tab/>
        <w:t>1</w:t>
      </w:r>
      <w:r w:rsidR="00AB75B0">
        <w:t>4</w:t>
      </w:r>
    </w:p>
    <w:p w14:paraId="575E167F" w14:textId="51D773D0"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E.</w:t>
      </w:r>
      <w:r w:rsidR="0079209F" w:rsidRPr="00065339">
        <w:tab/>
        <w:t>Quality assessment</w:t>
      </w:r>
      <w:r w:rsidR="00C63795" w:rsidRPr="00065339">
        <w:t xml:space="preserve"> — </w:t>
      </w:r>
      <w:r w:rsidR="008F1FE1" w:rsidRPr="00065339">
        <w:t>a</w:t>
      </w:r>
      <w:r w:rsidR="0079209F" w:rsidRPr="00065339">
        <w:t>rticle 10</w:t>
      </w:r>
      <w:r w:rsidR="0079209F" w:rsidRPr="00065339">
        <w:tab/>
      </w:r>
      <w:r w:rsidR="0079209F" w:rsidRPr="00065339">
        <w:tab/>
        <w:t>1</w:t>
      </w:r>
      <w:r w:rsidR="00E5762E" w:rsidRPr="00065339">
        <w:t>4</w:t>
      </w:r>
    </w:p>
    <w:p w14:paraId="4F91F6AE" w14:textId="2B0D1EB8"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F.</w:t>
      </w:r>
      <w:r w:rsidR="0079209F" w:rsidRPr="00065339">
        <w:tab/>
        <w:t>Public access to information</w:t>
      </w:r>
      <w:r w:rsidR="00C63795" w:rsidRPr="00065339">
        <w:t xml:space="preserve"> — </w:t>
      </w:r>
      <w:r w:rsidR="008F1FE1" w:rsidRPr="00065339">
        <w:t>a</w:t>
      </w:r>
      <w:r w:rsidR="0079209F" w:rsidRPr="00065339">
        <w:t>rticle 11</w:t>
      </w:r>
      <w:r w:rsidR="0079209F" w:rsidRPr="00065339">
        <w:tab/>
      </w:r>
      <w:r w:rsidR="0079209F" w:rsidRPr="00065339">
        <w:tab/>
        <w:t>15</w:t>
      </w:r>
    </w:p>
    <w:p w14:paraId="2DB1444F" w14:textId="2F237BE1"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G.</w:t>
      </w:r>
      <w:r w:rsidR="0079209F" w:rsidRPr="00065339">
        <w:tab/>
        <w:t>Confidentiality</w:t>
      </w:r>
      <w:r w:rsidR="00C63795" w:rsidRPr="00065339">
        <w:t xml:space="preserve"> — </w:t>
      </w:r>
      <w:r w:rsidR="008F1FE1" w:rsidRPr="00065339">
        <w:t>a</w:t>
      </w:r>
      <w:r w:rsidR="003F10A9" w:rsidRPr="00065339">
        <w:t>rticle 12</w:t>
      </w:r>
      <w:r w:rsidR="003F10A9" w:rsidRPr="00065339">
        <w:tab/>
      </w:r>
      <w:r w:rsidR="003F10A9" w:rsidRPr="00065339">
        <w:tab/>
        <w:t>15</w:t>
      </w:r>
    </w:p>
    <w:p w14:paraId="04964F0A" w14:textId="25D6A1E0" w:rsidR="0079209F" w:rsidRPr="00065339" w:rsidRDefault="002C5311" w:rsidP="00415B1E">
      <w:pPr>
        <w:tabs>
          <w:tab w:val="right" w:pos="850"/>
          <w:tab w:val="left" w:pos="1134"/>
          <w:tab w:val="left" w:pos="1559"/>
          <w:tab w:val="left" w:pos="1984"/>
          <w:tab w:val="left" w:leader="dot" w:pos="8929"/>
          <w:tab w:val="right" w:pos="9638"/>
        </w:tabs>
        <w:spacing w:after="120"/>
        <w:ind w:left="1559" w:hanging="1059"/>
      </w:pPr>
      <w:r w:rsidRPr="00065339">
        <w:tab/>
      </w:r>
      <w:r w:rsidRPr="00065339">
        <w:tab/>
      </w:r>
      <w:r w:rsidR="0079209F" w:rsidRPr="00065339">
        <w:t>H.</w:t>
      </w:r>
      <w:r w:rsidR="0079209F" w:rsidRPr="00065339">
        <w:tab/>
        <w:t xml:space="preserve">Public participation in the development of national pollutant release and transfer </w:t>
      </w:r>
      <w:r w:rsidRPr="00065339">
        <w:br/>
      </w:r>
      <w:r w:rsidR="0079209F" w:rsidRPr="00065339">
        <w:t>registers</w:t>
      </w:r>
      <w:r w:rsidR="00C63795" w:rsidRPr="00065339">
        <w:t xml:space="preserve"> — </w:t>
      </w:r>
      <w:r w:rsidR="008F1FE1" w:rsidRPr="00065339">
        <w:t>a</w:t>
      </w:r>
      <w:r w:rsidR="0079209F" w:rsidRPr="00065339">
        <w:t>rticle 13</w:t>
      </w:r>
      <w:r w:rsidR="0079209F" w:rsidRPr="00065339">
        <w:tab/>
      </w:r>
      <w:r w:rsidR="0079209F" w:rsidRPr="00065339">
        <w:tab/>
        <w:t>1</w:t>
      </w:r>
      <w:r w:rsidR="00E5762E" w:rsidRPr="00065339">
        <w:t>6</w:t>
      </w:r>
    </w:p>
    <w:p w14:paraId="1562D8ED" w14:textId="4B3331A6"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I.</w:t>
      </w:r>
      <w:r w:rsidR="0079209F" w:rsidRPr="00065339">
        <w:tab/>
        <w:t>Access to justice</w:t>
      </w:r>
      <w:r w:rsidR="00C63795" w:rsidRPr="00065339">
        <w:t xml:space="preserve"> — </w:t>
      </w:r>
      <w:r w:rsidR="008F1FE1" w:rsidRPr="00065339">
        <w:t>a</w:t>
      </w:r>
      <w:r w:rsidR="003F10A9" w:rsidRPr="00065339">
        <w:t>rticle 14</w:t>
      </w:r>
      <w:r w:rsidR="003F10A9" w:rsidRPr="00065339">
        <w:tab/>
      </w:r>
      <w:r w:rsidR="003F10A9" w:rsidRPr="00065339">
        <w:tab/>
        <w:t>1</w:t>
      </w:r>
      <w:r w:rsidR="00AB75B0">
        <w:t>8</w:t>
      </w:r>
    </w:p>
    <w:p w14:paraId="0C28A89C" w14:textId="77784951"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J.</w:t>
      </w:r>
      <w:r w:rsidR="0079209F" w:rsidRPr="00065339">
        <w:tab/>
        <w:t>Capacity-building</w:t>
      </w:r>
      <w:r w:rsidR="00C63795" w:rsidRPr="00065339">
        <w:t xml:space="preserve"> — </w:t>
      </w:r>
      <w:r w:rsidR="008F1FE1" w:rsidRPr="00065339">
        <w:t>a</w:t>
      </w:r>
      <w:r w:rsidR="003F10A9" w:rsidRPr="00065339">
        <w:t>rticle 15</w:t>
      </w:r>
      <w:r w:rsidR="003F10A9" w:rsidRPr="00065339">
        <w:tab/>
      </w:r>
      <w:r w:rsidR="003F10A9" w:rsidRPr="00065339">
        <w:tab/>
        <w:t>18</w:t>
      </w:r>
    </w:p>
    <w:p w14:paraId="0ED9181B" w14:textId="12AB5BF2" w:rsidR="0079209F" w:rsidRPr="00065339" w:rsidRDefault="002C5311" w:rsidP="00415B1E">
      <w:pPr>
        <w:tabs>
          <w:tab w:val="right" w:pos="850"/>
          <w:tab w:val="left" w:pos="1134"/>
          <w:tab w:val="left" w:pos="1559"/>
          <w:tab w:val="left" w:pos="1984"/>
          <w:tab w:val="left" w:leader="dot" w:pos="8929"/>
          <w:tab w:val="right" w:pos="9638"/>
        </w:tabs>
        <w:spacing w:after="120"/>
        <w:ind w:firstLine="500"/>
      </w:pPr>
      <w:r w:rsidRPr="00065339">
        <w:tab/>
      </w:r>
      <w:r w:rsidRPr="00065339">
        <w:tab/>
      </w:r>
      <w:r w:rsidR="0079209F" w:rsidRPr="00065339">
        <w:t>K.</w:t>
      </w:r>
      <w:r w:rsidR="0079209F" w:rsidRPr="00065339">
        <w:tab/>
        <w:t>International cooperation</w:t>
      </w:r>
      <w:r w:rsidR="00C63795" w:rsidRPr="00065339">
        <w:t xml:space="preserve"> — </w:t>
      </w:r>
      <w:r w:rsidR="008F1FE1" w:rsidRPr="00065339">
        <w:t>a</w:t>
      </w:r>
      <w:r w:rsidR="0079209F" w:rsidRPr="00065339">
        <w:t>rticle 16</w:t>
      </w:r>
      <w:r w:rsidR="0079209F" w:rsidRPr="00065339">
        <w:tab/>
      </w:r>
      <w:r w:rsidR="0079209F" w:rsidRPr="00065339">
        <w:tab/>
      </w:r>
      <w:r w:rsidR="00E5762E" w:rsidRPr="00065339">
        <w:t>19</w:t>
      </w:r>
    </w:p>
    <w:p w14:paraId="397E7676" w14:textId="77777777" w:rsidR="00ED5FFD" w:rsidRPr="00065339" w:rsidRDefault="00ED5FFD">
      <w:pPr>
        <w:suppressAutoHyphens w:val="0"/>
        <w:spacing w:line="240" w:lineRule="auto"/>
      </w:pPr>
      <w:r w:rsidRPr="00065339">
        <w:br w:type="page"/>
      </w:r>
    </w:p>
    <w:p w14:paraId="43935E9D" w14:textId="1745AD2E" w:rsidR="00ED5FFD" w:rsidRPr="00065339" w:rsidRDefault="0026688C" w:rsidP="00ED5FFD">
      <w:pPr>
        <w:pStyle w:val="HChG"/>
      </w:pPr>
      <w:r w:rsidRPr="00065339">
        <w:tab/>
        <w:t>I.</w:t>
      </w:r>
      <w:r w:rsidR="00ED5FFD" w:rsidRPr="00065339">
        <w:tab/>
        <w:t>Introduction</w:t>
      </w:r>
    </w:p>
    <w:p w14:paraId="07A18D66" w14:textId="6F55E677" w:rsidR="00ED5FFD" w:rsidRPr="00065339" w:rsidRDefault="00ED5FFD" w:rsidP="00ED5FFD">
      <w:pPr>
        <w:pStyle w:val="SingleTxtG"/>
      </w:pPr>
      <w:r w:rsidRPr="00065339">
        <w:t>1.</w:t>
      </w:r>
      <w:r w:rsidRPr="00065339">
        <w:tab/>
        <w:t xml:space="preserve">This guidance document </w:t>
      </w:r>
      <w:r w:rsidR="00A01BF9" w:rsidRPr="00065339">
        <w:t xml:space="preserve">seeks </w:t>
      </w:r>
      <w:r w:rsidR="00FD6013" w:rsidRPr="00065339">
        <w:t xml:space="preserve">to </w:t>
      </w:r>
      <w:r w:rsidRPr="00065339">
        <w:t>assist Parties in fulfilling their reporting obligations under the Protocol on Pollutant Release and Transfer Registers (Protocol on PRTRs) to the Convention on Access to Information, Public Participation in Decision-making and Access to Justice in Environmental Matters (Aarhus Convention).</w:t>
      </w:r>
    </w:p>
    <w:p w14:paraId="5BBA25CB" w14:textId="4566D451" w:rsidR="00ED5FFD" w:rsidRPr="00065339" w:rsidRDefault="00ED5FFD" w:rsidP="00ED5FFD">
      <w:pPr>
        <w:pStyle w:val="SingleTxtG"/>
      </w:pPr>
      <w:r w:rsidRPr="00065339">
        <w:t>2.</w:t>
      </w:r>
      <w:r w:rsidRPr="00065339">
        <w:tab/>
        <w:t xml:space="preserve">Article 17, paragraph 2, of the Protocol on PRTRs requires the Meeting of the Parties to keep under continuous review the implementation and development of </w:t>
      </w:r>
      <w:r w:rsidR="005E3BFD">
        <w:t xml:space="preserve">the </w:t>
      </w:r>
      <w:r w:rsidRPr="00065339">
        <w:t xml:space="preserve">Protocol on the basis of regular reporting by the Parties. </w:t>
      </w:r>
      <w:r w:rsidR="00A01BF9" w:rsidRPr="00065339">
        <w:t xml:space="preserve">At its first </w:t>
      </w:r>
      <w:r w:rsidR="005A1393" w:rsidRPr="00065339">
        <w:t>and second sessions</w:t>
      </w:r>
      <w:r w:rsidR="005E3BFD">
        <w:t xml:space="preserve"> (Geneva, 20</w:t>
      </w:r>
      <w:r w:rsidR="005E3BFD">
        <w:noBreakHyphen/>
        <w:t xml:space="preserve">22 </w:t>
      </w:r>
      <w:r w:rsidR="005E3BFD" w:rsidRPr="00065339">
        <w:t>April 2010</w:t>
      </w:r>
      <w:r w:rsidR="005E3BFD">
        <w:t>, and Maastricht, the Netherlands, 3–4 July 2014, respectively</w:t>
      </w:r>
      <w:r w:rsidR="005E3BFD" w:rsidRPr="00065339">
        <w:t>)</w:t>
      </w:r>
      <w:r w:rsidR="00A01BF9" w:rsidRPr="00065339">
        <w:t xml:space="preserve">, </w:t>
      </w:r>
      <w:r w:rsidRPr="00065339">
        <w:t xml:space="preserve">the Meeting of the Parties elaborated on this requirement and agreed upon procedures </w:t>
      </w:r>
      <w:r w:rsidR="00A01BF9" w:rsidRPr="00065339">
        <w:t xml:space="preserve">for </w:t>
      </w:r>
      <w:r w:rsidRPr="00065339">
        <w:t xml:space="preserve">reporting </w:t>
      </w:r>
      <w:r w:rsidR="00B31AE8" w:rsidRPr="00065339">
        <w:t xml:space="preserve">as well as </w:t>
      </w:r>
      <w:r w:rsidRPr="00065339">
        <w:t>the reporting format</w:t>
      </w:r>
      <w:r w:rsidR="00A01BF9" w:rsidRPr="00065339">
        <w:t xml:space="preserve"> (</w:t>
      </w:r>
      <w:r w:rsidR="00B31AE8" w:rsidRPr="00065339">
        <w:t xml:space="preserve">see </w:t>
      </w:r>
      <w:r w:rsidR="00A01BF9" w:rsidRPr="00065339">
        <w:t>ECE/MP.PRTR/2010/2/Add.1, decision I/5</w:t>
      </w:r>
      <w:r w:rsidR="00AD4203" w:rsidRPr="00065339">
        <w:t xml:space="preserve"> and </w:t>
      </w:r>
      <w:r w:rsidR="00AD4203" w:rsidRPr="00065339">
        <w:rPr>
          <w:spacing w:val="-4"/>
        </w:rPr>
        <w:t xml:space="preserve">ECE/MP.PRTR/2014/4/Add.1, </w:t>
      </w:r>
      <w:r w:rsidR="00AD4203" w:rsidRPr="00065339">
        <w:t>decision II/1</w:t>
      </w:r>
      <w:r w:rsidR="00A01BF9" w:rsidRPr="00065339">
        <w:t>).</w:t>
      </w:r>
      <w:r w:rsidR="00A01BF9" w:rsidRPr="00065339">
        <w:rPr>
          <w:vertAlign w:val="superscript"/>
        </w:rPr>
        <w:footnoteReference w:id="2"/>
      </w:r>
      <w:r w:rsidR="00A01BF9" w:rsidRPr="00065339">
        <w:t xml:space="preserve"> </w:t>
      </w:r>
    </w:p>
    <w:p w14:paraId="0F48CF3D" w14:textId="444FA0C6" w:rsidR="00ED5FFD" w:rsidRPr="00065339" w:rsidRDefault="00ED5FFD" w:rsidP="00ED5FFD">
      <w:pPr>
        <w:pStyle w:val="SingleTxtG"/>
      </w:pPr>
      <w:r w:rsidRPr="00065339">
        <w:t>3.</w:t>
      </w:r>
      <w:r w:rsidRPr="00065339">
        <w:tab/>
        <w:t>Th</w:t>
      </w:r>
      <w:r w:rsidR="00B31AE8" w:rsidRPr="00065339">
        <w:t>is</w:t>
      </w:r>
      <w:r w:rsidRPr="00065339">
        <w:t xml:space="preserve"> document is based on the contributions provided by members of the Compliance Committee </w:t>
      </w:r>
      <w:r w:rsidR="00B31AE8" w:rsidRPr="00065339">
        <w:t xml:space="preserve">under the Protocol </w:t>
      </w:r>
      <w:r w:rsidRPr="00065339">
        <w:t xml:space="preserve">and comments made by Parties in the light of the experience </w:t>
      </w:r>
      <w:r w:rsidR="005A0B13" w:rsidRPr="00065339">
        <w:t xml:space="preserve">of preparing </w:t>
      </w:r>
      <w:r w:rsidRPr="00065339">
        <w:t xml:space="preserve">the </w:t>
      </w:r>
      <w:r w:rsidR="00B31AE8" w:rsidRPr="00065339">
        <w:t>n</w:t>
      </w:r>
      <w:r w:rsidRPr="00065339">
        <w:t>ational implementation reports</w:t>
      </w:r>
      <w:r w:rsidRPr="00065339">
        <w:rPr>
          <w:sz w:val="18"/>
          <w:szCs w:val="18"/>
          <w:vertAlign w:val="superscript"/>
        </w:rPr>
        <w:footnoteReference w:id="3"/>
      </w:r>
      <w:r w:rsidRPr="00065339">
        <w:t xml:space="preserve"> </w:t>
      </w:r>
      <w:r w:rsidR="005A0B13" w:rsidRPr="00065339">
        <w:t xml:space="preserve">in </w:t>
      </w:r>
      <w:r w:rsidRPr="00065339">
        <w:t>the 2014 reporting cycle</w:t>
      </w:r>
      <w:r w:rsidRPr="00065339" w:rsidDel="00CE769A">
        <w:t xml:space="preserve"> </w:t>
      </w:r>
      <w:r w:rsidRPr="00065339">
        <w:t xml:space="preserve">under the Protocol. </w:t>
      </w:r>
      <w:r w:rsidR="005A0B13" w:rsidRPr="00065339">
        <w:t>I</w:t>
      </w:r>
      <w:r w:rsidRPr="00065339">
        <w:t xml:space="preserve">t also draws upon the </w:t>
      </w:r>
      <w:r w:rsidR="00B07D9E" w:rsidRPr="00065339">
        <w:t xml:space="preserve">practical </w:t>
      </w:r>
      <w:r w:rsidRPr="00065339">
        <w:t>experience of multiple reporting cycles held under the Aarhus Convention.</w:t>
      </w:r>
    </w:p>
    <w:p w14:paraId="6520BCAC" w14:textId="4EE51516" w:rsidR="00ED5FFD" w:rsidRPr="00065339" w:rsidRDefault="00ED5FFD" w:rsidP="00ED5FFD">
      <w:pPr>
        <w:pStyle w:val="SingleTxtG"/>
      </w:pPr>
      <w:r w:rsidRPr="00065339">
        <w:t>4.</w:t>
      </w:r>
      <w:r w:rsidRPr="00065339">
        <w:tab/>
        <w:t xml:space="preserve">Chapter II </w:t>
      </w:r>
      <w:r w:rsidR="00F46851" w:rsidRPr="00065339">
        <w:t xml:space="preserve">describes </w:t>
      </w:r>
      <w:r w:rsidRPr="00065339">
        <w:t xml:space="preserve">practical information about </w:t>
      </w:r>
      <w:r w:rsidR="00F46851" w:rsidRPr="00065339">
        <w:t xml:space="preserve">the </w:t>
      </w:r>
      <w:r w:rsidRPr="00065339">
        <w:t>key features of reporting under the Protocol on PRTRs, including for the future reporting cycles. Chapter</w:t>
      </w:r>
      <w:r w:rsidR="00F46851" w:rsidRPr="00065339">
        <w:t>s</w:t>
      </w:r>
      <w:r w:rsidRPr="00065339">
        <w:t xml:space="preserve"> III and IV address general and specific challenges in the preparation of the reports</w:t>
      </w:r>
      <w:r w:rsidR="00F46851" w:rsidRPr="00065339">
        <w:t>,</w:t>
      </w:r>
      <w:r w:rsidRPr="00065339">
        <w:t xml:space="preserve"> as identified by the Compliance Committee, </w:t>
      </w:r>
      <w:r w:rsidR="0057044B">
        <w:t xml:space="preserve">as well as </w:t>
      </w:r>
      <w:r w:rsidRPr="00065339">
        <w:t>Parties and stakeholders after the first reporting cycle. Recommendations on how to achieve completeness in reporting</w:t>
      </w:r>
      <w:r w:rsidR="00F46851" w:rsidRPr="00065339">
        <w:t>,</w:t>
      </w:r>
      <w:r w:rsidRPr="00065339">
        <w:t xml:space="preserve"> together with selected examples of good practices in reporting</w:t>
      </w:r>
      <w:r w:rsidR="00F46851" w:rsidRPr="00065339">
        <w:t>,</w:t>
      </w:r>
      <w:r w:rsidRPr="00065339">
        <w:t xml:space="preserve"> are given. The Committee has chosen to refer to a non-exhaustive number of examples to showcase good practices or</w:t>
      </w:r>
      <w:r w:rsidR="00F46851" w:rsidRPr="00065339">
        <w:t>,</w:t>
      </w:r>
      <w:r w:rsidRPr="00065339">
        <w:t xml:space="preserve"> where appropriate, explained in more detail what can be considered good practice in reporting. </w:t>
      </w:r>
    </w:p>
    <w:p w14:paraId="33F30F64" w14:textId="23D9A87B" w:rsidR="00737F99" w:rsidRPr="00065339" w:rsidRDefault="0026688C" w:rsidP="00737F99">
      <w:pPr>
        <w:pStyle w:val="HChG"/>
      </w:pPr>
      <w:r w:rsidRPr="00065339">
        <w:tab/>
        <w:t>II.</w:t>
      </w:r>
      <w:r w:rsidR="00737F99" w:rsidRPr="00065339">
        <w:tab/>
        <w:t>Key features of the reporting regime</w:t>
      </w:r>
    </w:p>
    <w:p w14:paraId="0EA2414E" w14:textId="7E95C8F7" w:rsidR="00737F99" w:rsidRPr="00065339" w:rsidRDefault="00D8692E" w:rsidP="00737F99">
      <w:pPr>
        <w:pStyle w:val="SingleTxtG"/>
      </w:pPr>
      <w:r>
        <w:t>5</w:t>
      </w:r>
      <w:r w:rsidR="00737F99" w:rsidRPr="00065339">
        <w:t>.</w:t>
      </w:r>
      <w:r w:rsidR="00737F99" w:rsidRPr="00065339">
        <w:tab/>
        <w:t xml:space="preserve">The key features of the reporting regime and requirements for the preparation of reports </w:t>
      </w:r>
      <w:r w:rsidR="00B7200E" w:rsidRPr="00065339">
        <w:t xml:space="preserve">are set out in </w:t>
      </w:r>
      <w:r w:rsidR="00737F99" w:rsidRPr="00065339">
        <w:t>decision I/5</w:t>
      </w:r>
      <w:r w:rsidR="00F46851" w:rsidRPr="00065339">
        <w:t>,</w:t>
      </w:r>
      <w:r w:rsidR="00737F99" w:rsidRPr="00065339">
        <w:t xml:space="preserve"> and tak</w:t>
      </w:r>
      <w:r w:rsidR="00B7200E" w:rsidRPr="00065339">
        <w:t>e</w:t>
      </w:r>
      <w:r w:rsidR="00737F99" w:rsidRPr="00065339">
        <w:t xml:space="preserve"> into consideration the experience in the reporting under the Aarhus Convention. </w:t>
      </w:r>
    </w:p>
    <w:p w14:paraId="01AFF5E0" w14:textId="19A53AD9" w:rsidR="00737F99" w:rsidRPr="00065339" w:rsidRDefault="00D8692E" w:rsidP="00737F99">
      <w:pPr>
        <w:pStyle w:val="SingleTxtG"/>
      </w:pPr>
      <w:r>
        <w:t>6</w:t>
      </w:r>
      <w:r w:rsidR="00737F99" w:rsidRPr="00065339">
        <w:t>.</w:t>
      </w:r>
      <w:r w:rsidR="00737F99" w:rsidRPr="00065339">
        <w:tab/>
      </w:r>
      <w:r w:rsidR="00B7200E" w:rsidRPr="00065339">
        <w:t xml:space="preserve">In accordance with the decision I/5, </w:t>
      </w:r>
      <w:r w:rsidR="00737F99" w:rsidRPr="00065339">
        <w:t>reports from the Parties should include:</w:t>
      </w:r>
    </w:p>
    <w:p w14:paraId="5678501D" w14:textId="77777777" w:rsidR="00737F99" w:rsidRPr="00065339" w:rsidRDefault="00737F99" w:rsidP="00737F99">
      <w:pPr>
        <w:pStyle w:val="SingleTxtG"/>
        <w:ind w:firstLine="567"/>
      </w:pPr>
      <w:r w:rsidRPr="00065339">
        <w:t>(a)</w:t>
      </w:r>
      <w:r w:rsidRPr="00065339">
        <w:tab/>
        <w:t>The necessary legislative, regulatory or other measures that they have taken to implement the provisions of the Protocol;</w:t>
      </w:r>
    </w:p>
    <w:p w14:paraId="60A65C26" w14:textId="77777777" w:rsidR="00737F99" w:rsidRPr="00065339" w:rsidRDefault="00737F99" w:rsidP="00737F99">
      <w:pPr>
        <w:pStyle w:val="SingleTxtG"/>
        <w:ind w:firstLine="567"/>
      </w:pPr>
      <w:r w:rsidRPr="00065339">
        <w:t>(b)</w:t>
      </w:r>
      <w:r w:rsidRPr="00065339">
        <w:tab/>
        <w:t xml:space="preserve">A description of practical implementation at the national or, in the case of regional economic integration organizations, the regional level, using the format set out in the annex to decision </w:t>
      </w:r>
      <w:proofErr w:type="gramStart"/>
      <w:r w:rsidRPr="00065339">
        <w:t>I/5</w:t>
      </w:r>
      <w:proofErr w:type="gramEnd"/>
      <w:r w:rsidRPr="00065339">
        <w:t>.</w:t>
      </w:r>
    </w:p>
    <w:p w14:paraId="692A190F" w14:textId="18BE03B5" w:rsidR="00737F99" w:rsidRPr="00065339" w:rsidRDefault="00D8692E" w:rsidP="00737F99">
      <w:pPr>
        <w:pStyle w:val="SingleTxtG"/>
      </w:pPr>
      <w:r>
        <w:t>7</w:t>
      </w:r>
      <w:r w:rsidR="00E62E2F" w:rsidRPr="00065339">
        <w:t>.</w:t>
      </w:r>
      <w:r w:rsidR="00737F99" w:rsidRPr="00065339">
        <w:tab/>
        <w:t xml:space="preserve">Pursuant to good practice implemented under the Aarhus Convention, the Compliance Committee recommends that reports submitted in the previous reporting cycle be used as a basis for the preparation of the new reports. Past reports used as a basis for the new report should be revised and updated by using the </w:t>
      </w:r>
      <w:r w:rsidR="00EB0614" w:rsidRPr="00065339">
        <w:t>“</w:t>
      </w:r>
      <w:r w:rsidR="00737F99" w:rsidRPr="00065339">
        <w:t>track</w:t>
      </w:r>
      <w:r w:rsidR="00EB0614" w:rsidRPr="00065339">
        <w:t xml:space="preserve"> </w:t>
      </w:r>
      <w:r w:rsidR="00737F99" w:rsidRPr="00065339">
        <w:t>changes</w:t>
      </w:r>
      <w:r w:rsidR="00EB0614" w:rsidRPr="00065339">
        <w:t xml:space="preserve">” </w:t>
      </w:r>
      <w:r w:rsidR="00737F99" w:rsidRPr="00065339">
        <w:t xml:space="preserve">mode in Word or any equivalent means effectively to </w:t>
      </w:r>
      <w:r w:rsidR="00EB0614" w:rsidRPr="00065339">
        <w:t xml:space="preserve">indicate the </w:t>
      </w:r>
      <w:r w:rsidR="00737F99" w:rsidRPr="00065339">
        <w:t xml:space="preserve">changes in the text. </w:t>
      </w:r>
    </w:p>
    <w:p w14:paraId="0F104CF0" w14:textId="5388F3A4" w:rsidR="00737F99" w:rsidRPr="00065339" w:rsidRDefault="00D8692E" w:rsidP="00782BE1">
      <w:pPr>
        <w:pStyle w:val="SingleTxtG"/>
        <w:keepNext/>
        <w:keepLines/>
      </w:pPr>
      <w:r>
        <w:t>8</w:t>
      </w:r>
      <w:r w:rsidR="00737F99" w:rsidRPr="00065339">
        <w:t>.</w:t>
      </w:r>
      <w:r w:rsidR="00737F99" w:rsidRPr="00065339">
        <w:tab/>
        <w:t>Final reports should be submitted to the secretariat in two versions:</w:t>
      </w:r>
    </w:p>
    <w:p w14:paraId="7F6449A8" w14:textId="77777777" w:rsidR="00737F99" w:rsidRPr="00065339" w:rsidRDefault="00737F99" w:rsidP="00782BE1">
      <w:pPr>
        <w:pStyle w:val="SingleTxtG"/>
        <w:keepNext/>
        <w:keepLines/>
        <w:ind w:firstLine="567"/>
      </w:pPr>
      <w:r w:rsidRPr="00065339">
        <w:t>(a)</w:t>
      </w:r>
      <w:r w:rsidRPr="00065339">
        <w:tab/>
        <w:t>With revisions highlighted in the text;</w:t>
      </w:r>
    </w:p>
    <w:p w14:paraId="456AB442" w14:textId="77777777" w:rsidR="00737F99" w:rsidRPr="00065339" w:rsidRDefault="00737F99" w:rsidP="00737F99">
      <w:pPr>
        <w:pStyle w:val="SingleTxtG"/>
        <w:ind w:firstLine="567"/>
      </w:pPr>
      <w:r w:rsidRPr="00065339">
        <w:t>(b)</w:t>
      </w:r>
      <w:r w:rsidRPr="00065339">
        <w:tab/>
        <w:t xml:space="preserve">As a consolidated clean text. </w:t>
      </w:r>
    </w:p>
    <w:p w14:paraId="29921621" w14:textId="77777777" w:rsidR="00737F99" w:rsidRPr="00065339" w:rsidRDefault="00737F99" w:rsidP="00737F99">
      <w:pPr>
        <w:pStyle w:val="SingleTxtG"/>
      </w:pPr>
      <w:r w:rsidRPr="00065339">
        <w:t>The consolidated</w:t>
      </w:r>
      <w:r w:rsidR="00EB0614" w:rsidRPr="00065339">
        <w:t>, clean</w:t>
      </w:r>
      <w:r w:rsidRPr="00065339">
        <w:t xml:space="preserve"> text version is the same text used for the online reporting tool</w:t>
      </w:r>
      <w:r w:rsidRPr="00065339">
        <w:rPr>
          <w:sz w:val="18"/>
          <w:szCs w:val="18"/>
          <w:vertAlign w:val="superscript"/>
        </w:rPr>
        <w:footnoteReference w:id="4"/>
      </w:r>
      <w:r w:rsidRPr="00065339">
        <w:t xml:space="preserve"> of the Protocol, and should serve as a basis for the subsequent reporting cycle. </w:t>
      </w:r>
    </w:p>
    <w:p w14:paraId="6467B4C5" w14:textId="05443960" w:rsidR="00737F99" w:rsidRPr="00065339" w:rsidRDefault="00D8692E" w:rsidP="00737F99">
      <w:pPr>
        <w:pStyle w:val="SingleTxtG"/>
      </w:pPr>
      <w:r>
        <w:t>9</w:t>
      </w:r>
      <w:r w:rsidR="00737F99" w:rsidRPr="00065339">
        <w:t>.</w:t>
      </w:r>
      <w:r w:rsidR="00737F99" w:rsidRPr="00065339">
        <w:tab/>
        <w:t>Reports submitted by Parties should be prepared through a transparent and consultative process</w:t>
      </w:r>
      <w:r w:rsidR="00EB0614" w:rsidRPr="00065339">
        <w:t>,</w:t>
      </w:r>
      <w:r w:rsidR="00737F99" w:rsidRPr="00065339">
        <w:t xml:space="preserve"> involving the public in a timely manner</w:t>
      </w:r>
      <w:r w:rsidR="00EB0614" w:rsidRPr="00065339">
        <w:t xml:space="preserve"> and</w:t>
      </w:r>
      <w:r w:rsidR="00737F99" w:rsidRPr="00065339">
        <w:t xml:space="preserve"> taking </w:t>
      </w:r>
      <w:r w:rsidR="00EB0614" w:rsidRPr="00065339">
        <w:t xml:space="preserve">into </w:t>
      </w:r>
      <w:r w:rsidR="00737F99" w:rsidRPr="00065339">
        <w:t>account any specific circumstances pertaining to regional economic integration organizations.</w:t>
      </w:r>
    </w:p>
    <w:p w14:paraId="798EE006" w14:textId="7F14E1CC" w:rsidR="00737F99" w:rsidRPr="00065339" w:rsidRDefault="00737F99" w:rsidP="00737F99">
      <w:pPr>
        <w:pStyle w:val="SingleTxtG"/>
      </w:pPr>
      <w:r w:rsidRPr="00065339">
        <w:t>1</w:t>
      </w:r>
      <w:r w:rsidR="00D8692E">
        <w:t>0</w:t>
      </w:r>
      <w:r w:rsidRPr="00065339">
        <w:t>.</w:t>
      </w:r>
      <w:r w:rsidRPr="00065339">
        <w:tab/>
        <w:t xml:space="preserve">It is important to provide information promptly in order to leave enough time for processing the information and </w:t>
      </w:r>
      <w:r w:rsidR="00813F22" w:rsidRPr="00065339">
        <w:t>for the prepar</w:t>
      </w:r>
      <w:r w:rsidR="00795218" w:rsidRPr="00065339">
        <w:t>ation of</w:t>
      </w:r>
      <w:r w:rsidR="00813F22" w:rsidRPr="00065339">
        <w:t xml:space="preserve"> </w:t>
      </w:r>
      <w:r w:rsidRPr="00065339">
        <w:t>a synthesis report</w:t>
      </w:r>
      <w:r w:rsidR="00795218" w:rsidRPr="00065339">
        <w:t> </w:t>
      </w:r>
      <w:r w:rsidR="00EB0614" w:rsidRPr="00065339">
        <w:t>— summarizing the progress made and identifying significant trends, challenges and solutions</w:t>
      </w:r>
      <w:r w:rsidR="00813F22" w:rsidRPr="00065339">
        <w:t> </w:t>
      </w:r>
      <w:r w:rsidR="00EB0614" w:rsidRPr="00065339">
        <w:t xml:space="preserve">— </w:t>
      </w:r>
      <w:r w:rsidRPr="00065339">
        <w:t xml:space="preserve">in time for the next session of the Meeting of the Parties. </w:t>
      </w:r>
    </w:p>
    <w:p w14:paraId="79354D0C" w14:textId="01E10466" w:rsidR="00737F99" w:rsidRPr="00065339" w:rsidRDefault="00737F99" w:rsidP="00737F99">
      <w:pPr>
        <w:pStyle w:val="SingleTxtG"/>
      </w:pPr>
      <w:r w:rsidRPr="00065339">
        <w:t>1</w:t>
      </w:r>
      <w:r w:rsidR="00D8692E">
        <w:t>1</w:t>
      </w:r>
      <w:r w:rsidRPr="00065339">
        <w:t>.</w:t>
      </w:r>
      <w:r w:rsidRPr="00065339">
        <w:tab/>
        <w:t>Signatories and other States not party to the Protocol may, pending their ratification or accession, also submit reports on measures taken to apply the Protocol.</w:t>
      </w:r>
    </w:p>
    <w:p w14:paraId="0CD9C3C4" w14:textId="33286E00" w:rsidR="00737F99" w:rsidRPr="00065339" w:rsidRDefault="00737F99" w:rsidP="00737F99">
      <w:pPr>
        <w:pStyle w:val="SingleTxtG"/>
      </w:pPr>
      <w:r w:rsidRPr="00065339">
        <w:t>1</w:t>
      </w:r>
      <w:r w:rsidR="00D8692E">
        <w:t>2</w:t>
      </w:r>
      <w:r w:rsidRPr="00065339">
        <w:t>.</w:t>
      </w:r>
      <w:r w:rsidR="00D37ADA" w:rsidRPr="00065339">
        <w:tab/>
      </w:r>
      <w:r w:rsidRPr="00065339">
        <w:t>International, regional and non-governmental organizations engaged in programmes or activities providing support to Parties and/or other States in the implementation of the Protocol may submit reports on their programmes or activities and lessons learned, as well as on implementation of the Protocol itself.</w:t>
      </w:r>
    </w:p>
    <w:p w14:paraId="1937FA2A" w14:textId="47186D80" w:rsidR="00D37ADA" w:rsidRPr="00065339" w:rsidRDefault="0026688C" w:rsidP="00D37ADA">
      <w:pPr>
        <w:pStyle w:val="HChG"/>
      </w:pPr>
      <w:r w:rsidRPr="00065339">
        <w:tab/>
        <w:t>III.</w:t>
      </w:r>
      <w:r w:rsidR="00D37ADA" w:rsidRPr="00065339">
        <w:tab/>
        <w:t xml:space="preserve">General issues </w:t>
      </w:r>
    </w:p>
    <w:p w14:paraId="1AD3A89C" w14:textId="6D75379A" w:rsidR="00D37ADA" w:rsidRPr="00065339" w:rsidRDefault="00D37ADA" w:rsidP="006A1D15">
      <w:pPr>
        <w:pStyle w:val="SingleTxtG"/>
      </w:pPr>
      <w:r w:rsidRPr="00065339">
        <w:t>1</w:t>
      </w:r>
      <w:r w:rsidR="00D8692E">
        <w:t>3</w:t>
      </w:r>
      <w:r w:rsidRPr="00065339">
        <w:t>.</w:t>
      </w:r>
      <w:r w:rsidRPr="00065339">
        <w:tab/>
        <w:t>The synthesis report on the 2014 reporting cycle (ECE/MP.PRTR/2014/5)</w:t>
      </w:r>
      <w:r w:rsidRPr="00065339">
        <w:rPr>
          <w:sz w:val="18"/>
          <w:szCs w:val="18"/>
          <w:vertAlign w:val="superscript"/>
        </w:rPr>
        <w:footnoteReference w:id="5"/>
      </w:r>
      <w:r w:rsidRPr="00065339">
        <w:t xml:space="preserve"> showed that answers by different Parties </w:t>
      </w:r>
      <w:r w:rsidR="00472810" w:rsidRPr="00065339">
        <w:t xml:space="preserve">often </w:t>
      </w:r>
      <w:r w:rsidRPr="00065339">
        <w:t>var</w:t>
      </w:r>
      <w:r w:rsidR="00472810" w:rsidRPr="00065339">
        <w:t>ied</w:t>
      </w:r>
      <w:r w:rsidRPr="00065339">
        <w:t xml:space="preserve"> in form and content from one another. These differences </w:t>
      </w:r>
      <w:r w:rsidR="006F1244" w:rsidRPr="00065339">
        <w:t xml:space="preserve">are </w:t>
      </w:r>
      <w:r w:rsidRPr="00065339">
        <w:t xml:space="preserve">not seen as a negative aspect of the reporting on the Protocol’s implementation. </w:t>
      </w:r>
      <w:r w:rsidR="00472810" w:rsidRPr="00065339">
        <w:t>On the contrary, t</w:t>
      </w:r>
      <w:r w:rsidRPr="00065339">
        <w:t>he</w:t>
      </w:r>
      <w:r w:rsidR="00472810" w:rsidRPr="00065339">
        <w:t>se variations</w:t>
      </w:r>
      <w:r w:rsidRPr="00065339">
        <w:t xml:space="preserve"> </w:t>
      </w:r>
      <w:r w:rsidR="00E02FC9" w:rsidRPr="00065339">
        <w:t xml:space="preserve">can </w:t>
      </w:r>
      <w:r w:rsidRPr="00065339">
        <w:t xml:space="preserve">help to </w:t>
      </w:r>
      <w:r w:rsidR="00E02FC9" w:rsidRPr="00065339">
        <w:t>i</w:t>
      </w:r>
      <w:r w:rsidRPr="00065339">
        <w:t xml:space="preserve">dentify issues </w:t>
      </w:r>
      <w:r w:rsidR="00DA0157" w:rsidRPr="00065339">
        <w:t xml:space="preserve">that </w:t>
      </w:r>
      <w:r w:rsidRPr="00065339">
        <w:t>require clarification in order to achieve more comprehensive reporting</w:t>
      </w:r>
      <w:r w:rsidR="00472810" w:rsidRPr="00065339">
        <w:t>, as well as to s</w:t>
      </w:r>
      <w:r w:rsidRPr="00065339">
        <w:t xml:space="preserve">hare good practices. </w:t>
      </w:r>
    </w:p>
    <w:p w14:paraId="44F82CEE" w14:textId="5402CAFC" w:rsidR="00D37ADA" w:rsidRPr="00065339" w:rsidRDefault="00D37ADA" w:rsidP="00D37ADA">
      <w:pPr>
        <w:pStyle w:val="SingleTxtG"/>
      </w:pPr>
      <w:r w:rsidRPr="00065339">
        <w:t>1</w:t>
      </w:r>
      <w:r w:rsidR="00D8692E">
        <w:t>4</w:t>
      </w:r>
      <w:r w:rsidRPr="00065339">
        <w:t>.</w:t>
      </w:r>
      <w:r w:rsidRPr="00065339">
        <w:tab/>
        <w:t xml:space="preserve">Some implementation reports, however, were also missing particular elements in parts of their responses and </w:t>
      </w:r>
      <w:r w:rsidR="00E02FC9" w:rsidRPr="00065339">
        <w:t xml:space="preserve">were </w:t>
      </w:r>
      <w:r w:rsidRPr="00065339">
        <w:t xml:space="preserve">therefore incomplete. With regard to completeness of content, </w:t>
      </w:r>
      <w:r w:rsidR="00E02FC9" w:rsidRPr="00065339">
        <w:t xml:space="preserve">it is recalled </w:t>
      </w:r>
      <w:r w:rsidRPr="00065339">
        <w:t>that implementation reports are not freely drafted documents</w:t>
      </w:r>
      <w:r w:rsidR="00DA0157" w:rsidRPr="00065339">
        <w:t>,</w:t>
      </w:r>
      <w:r w:rsidRPr="00065339">
        <w:t xml:space="preserve"> but follow the reporting format defined in </w:t>
      </w:r>
      <w:r w:rsidR="00DA0157" w:rsidRPr="00065339">
        <w:t>d</w:t>
      </w:r>
      <w:r w:rsidRPr="00065339">
        <w:t>ecision I/5. As such, each report is a collection of responses to the questions in the reporting format questionnaire. Each response must provide all the information required by each question.</w:t>
      </w:r>
    </w:p>
    <w:p w14:paraId="7FE09281" w14:textId="3BF12132" w:rsidR="00D37ADA" w:rsidRPr="00065339" w:rsidRDefault="00D37ADA" w:rsidP="00D37ADA">
      <w:pPr>
        <w:pStyle w:val="SingleTxtG"/>
      </w:pPr>
      <w:r w:rsidRPr="00065339">
        <w:t>1</w:t>
      </w:r>
      <w:r w:rsidR="00D8692E">
        <w:t>5</w:t>
      </w:r>
      <w:r w:rsidRPr="00065339">
        <w:t>.</w:t>
      </w:r>
      <w:r w:rsidRPr="00065339">
        <w:tab/>
        <w:t xml:space="preserve">As the reporting format requires related information on specific provisions of the Protocol in different contexts, there may be some duplication. The degree of duplication will depend mainly on the specific structure of the </w:t>
      </w:r>
      <w:r w:rsidR="00DA0157" w:rsidRPr="00065339">
        <w:t xml:space="preserve">relevant </w:t>
      </w:r>
      <w:r w:rsidRPr="00065339">
        <w:t>legislative and regulatory systems.</w:t>
      </w:r>
    </w:p>
    <w:p w14:paraId="65615C37" w14:textId="2C086F56" w:rsidR="00D37ADA" w:rsidRPr="00065339" w:rsidRDefault="00D37ADA" w:rsidP="00D37ADA">
      <w:pPr>
        <w:pStyle w:val="SingleTxtG"/>
      </w:pPr>
      <w:r w:rsidRPr="00065339">
        <w:t>1</w:t>
      </w:r>
      <w:r w:rsidR="00D8692E">
        <w:t>6</w:t>
      </w:r>
      <w:r w:rsidRPr="00065339">
        <w:t>.</w:t>
      </w:r>
      <w:r w:rsidRPr="00065339">
        <w:tab/>
        <w:t xml:space="preserve">Furthermore, </w:t>
      </w:r>
      <w:r w:rsidR="006C221D" w:rsidRPr="00065339">
        <w:t xml:space="preserve">in the 2014 reporting round, </w:t>
      </w:r>
      <w:r w:rsidRPr="00065339">
        <w:t xml:space="preserve">it was found that the following terms, employed in the current reporting format, require clarification: </w:t>
      </w:r>
    </w:p>
    <w:p w14:paraId="631BA5D6" w14:textId="7E9D8B99" w:rsidR="00D37ADA" w:rsidRPr="00065339" w:rsidRDefault="00D37ADA" w:rsidP="00D37ADA">
      <w:pPr>
        <w:pStyle w:val="SingleTxtG"/>
        <w:ind w:firstLine="567"/>
      </w:pPr>
      <w:r w:rsidRPr="00065339">
        <w:t>(a)</w:t>
      </w:r>
      <w:r w:rsidRPr="00065339">
        <w:tab/>
        <w:t>“Public authorities”</w:t>
      </w:r>
      <w:r w:rsidR="00DA0157" w:rsidRPr="00065339">
        <w:t>.</w:t>
      </w:r>
      <w:r w:rsidRPr="00065339">
        <w:t xml:space="preserve"> There could be a misunderstanding concerning the expression “public authorities”. It is suggested that the terms “competent authority” and “public” should be used. Article 2, paragraph 5</w:t>
      </w:r>
      <w:r w:rsidR="00DA0157" w:rsidRPr="00065339">
        <w:t>,</w:t>
      </w:r>
      <w:r w:rsidRPr="00065339">
        <w:t xml:space="preserve"> states: “</w:t>
      </w:r>
      <w:r w:rsidR="00DA0157" w:rsidRPr="00065339">
        <w:t>‘</w:t>
      </w:r>
      <w:r w:rsidRPr="00065339">
        <w:t>Competent authority</w:t>
      </w:r>
      <w:r w:rsidR="00DA0157" w:rsidRPr="00065339">
        <w:t>’</w:t>
      </w:r>
      <w:r w:rsidRPr="00065339">
        <w:t xml:space="preserve"> means the national authority or authorities, or any other competent body or bodies, designated by a Party to manage a national pollutant release and transfer register system</w:t>
      </w:r>
      <w:r w:rsidR="00DA0157" w:rsidRPr="00065339">
        <w:t>”</w:t>
      </w:r>
      <w:r w:rsidRPr="00065339">
        <w:t>;</w:t>
      </w:r>
    </w:p>
    <w:p w14:paraId="36B5E63F" w14:textId="67B72B9E" w:rsidR="00D37ADA" w:rsidRPr="00065339" w:rsidRDefault="00D37ADA" w:rsidP="00D37ADA">
      <w:pPr>
        <w:pStyle w:val="SingleTxtG"/>
        <w:ind w:firstLine="567"/>
      </w:pPr>
      <w:r w:rsidRPr="00065339">
        <w:t>(b)</w:t>
      </w:r>
      <w:r w:rsidRPr="00065339">
        <w:tab/>
        <w:t>“Reporting year”</w:t>
      </w:r>
      <w:r w:rsidR="00DA0157" w:rsidRPr="00065339">
        <w:t>.</w:t>
      </w:r>
      <w:r w:rsidRPr="00065339">
        <w:t xml:space="preserve"> Article 8, paragraph 1</w:t>
      </w:r>
      <w:r w:rsidR="00DA0157" w:rsidRPr="00065339">
        <w:t>,</w:t>
      </w:r>
      <w:r w:rsidRPr="00065339">
        <w:t xml:space="preserve"> of the Protocol provides as follows: “The reporting year is the calendar year to which that information [</w:t>
      </w:r>
      <w:r w:rsidR="007A50CB">
        <w:t xml:space="preserve">i.e., </w:t>
      </w:r>
      <w:r w:rsidRPr="00065339">
        <w:t xml:space="preserve">the information required to be incorporated in a Party’s register] relates.” Under the Protocol the term refers to the date the data is taken, not to when data is submitted. For example, reference to the “reporting year 2015” relates to data on pollutants released </w:t>
      </w:r>
      <w:r w:rsidR="00DA0157" w:rsidRPr="00065339">
        <w:t>in</w:t>
      </w:r>
      <w:r w:rsidRPr="00065339">
        <w:t xml:space="preserve">to the environment in 2015. </w:t>
      </w:r>
      <w:r w:rsidR="00DA0157" w:rsidRPr="00065339">
        <w:t xml:space="preserve">It may be </w:t>
      </w:r>
      <w:r w:rsidRPr="00065339">
        <w:t xml:space="preserve">that this data </w:t>
      </w:r>
      <w:r w:rsidR="00DA0157" w:rsidRPr="00065339">
        <w:t xml:space="preserve">is </w:t>
      </w:r>
      <w:r w:rsidRPr="00065339">
        <w:t xml:space="preserve">reported to the register </w:t>
      </w:r>
      <w:r w:rsidR="00DA0157" w:rsidRPr="00065339">
        <w:t xml:space="preserve">in a different year, </w:t>
      </w:r>
      <w:r w:rsidRPr="00065339">
        <w:t>e.g.</w:t>
      </w:r>
      <w:r w:rsidR="00DA0157" w:rsidRPr="00065339">
        <w:t>,</w:t>
      </w:r>
      <w:r w:rsidRPr="00065339">
        <w:t xml:space="preserve"> in 2016;</w:t>
      </w:r>
    </w:p>
    <w:p w14:paraId="7B4EE11D" w14:textId="4DE29805" w:rsidR="00D37ADA" w:rsidRPr="00065339" w:rsidRDefault="00D37ADA" w:rsidP="00D37ADA">
      <w:pPr>
        <w:pStyle w:val="SingleTxtG"/>
        <w:ind w:firstLine="567"/>
      </w:pPr>
      <w:r w:rsidRPr="00065339">
        <w:t>(c)</w:t>
      </w:r>
      <w:r w:rsidRPr="00065339">
        <w:tab/>
        <w:t>“Owner/operator”</w:t>
      </w:r>
      <w:r w:rsidR="00FD4F02" w:rsidRPr="00065339">
        <w:t>.</w:t>
      </w:r>
      <w:r w:rsidRPr="00065339">
        <w:t xml:space="preserve"> There is no common </w:t>
      </w:r>
      <w:r w:rsidR="00857DB8" w:rsidRPr="00065339">
        <w:t xml:space="preserve">agreement </w:t>
      </w:r>
      <w:r w:rsidRPr="00065339">
        <w:t xml:space="preserve">among Parties on how to distinguish between the terms owner and operator. For clarification, and if available, a definition </w:t>
      </w:r>
      <w:r w:rsidR="00857DB8" w:rsidRPr="00065339">
        <w:t xml:space="preserve">of these terms </w:t>
      </w:r>
      <w:r w:rsidRPr="00065339">
        <w:t>should be given at the beginning of the report.</w:t>
      </w:r>
    </w:p>
    <w:p w14:paraId="1C1F1AC3" w14:textId="77777777" w:rsidR="00D37ADA" w:rsidRPr="00065339" w:rsidRDefault="00D37ADA" w:rsidP="00D37ADA">
      <w:pPr>
        <w:pStyle w:val="H4G"/>
      </w:pPr>
      <w:r w:rsidRPr="00065339">
        <w:tab/>
      </w:r>
      <w:r w:rsidRPr="00065339">
        <w:tab/>
        <w:t>Recommendations</w:t>
      </w:r>
    </w:p>
    <w:p w14:paraId="70525CD0" w14:textId="62A52BD3" w:rsidR="00D37ADA" w:rsidRPr="00065339" w:rsidRDefault="00D37ADA" w:rsidP="00D37ADA">
      <w:pPr>
        <w:pStyle w:val="SingleTxtG"/>
      </w:pPr>
      <w:r w:rsidRPr="00065339">
        <w:t>1</w:t>
      </w:r>
      <w:r w:rsidR="00D8692E">
        <w:t>7</w:t>
      </w:r>
      <w:r w:rsidRPr="00065339">
        <w:t>.</w:t>
      </w:r>
      <w:r w:rsidRPr="00065339">
        <w:tab/>
        <w:t xml:space="preserve">Answers should be concise, complete and focused on the question; the limits on the length of answers should be respected. Referring to the content of each question from the reporting format questionnaire, </w:t>
      </w:r>
      <w:r w:rsidR="00BC2B2A">
        <w:t xml:space="preserve">responses </w:t>
      </w:r>
      <w:r w:rsidRPr="00065339">
        <w:t>should:</w:t>
      </w:r>
    </w:p>
    <w:p w14:paraId="22BF9DB0" w14:textId="77777777" w:rsidR="00D37ADA" w:rsidRPr="00065339" w:rsidRDefault="00D37ADA" w:rsidP="00D37ADA">
      <w:pPr>
        <w:pStyle w:val="SingleTxtG"/>
        <w:ind w:firstLine="567"/>
      </w:pPr>
      <w:r w:rsidRPr="00065339">
        <w:t>(a)</w:t>
      </w:r>
      <w:r w:rsidRPr="00065339">
        <w:tab/>
        <w:t>Name legislative, regulatory and other measures;</w:t>
      </w:r>
    </w:p>
    <w:p w14:paraId="2C1121CF" w14:textId="77777777" w:rsidR="00D37ADA" w:rsidRPr="00065339" w:rsidRDefault="00D37ADA" w:rsidP="00D37ADA">
      <w:pPr>
        <w:pStyle w:val="SingleTxtG"/>
        <w:ind w:firstLine="567"/>
      </w:pPr>
      <w:r w:rsidRPr="00065339">
        <w:t>(b)</w:t>
      </w:r>
      <w:r w:rsidRPr="00065339">
        <w:tab/>
        <w:t xml:space="preserve">Describe </w:t>
      </w:r>
      <w:r w:rsidR="00857DB8" w:rsidRPr="00065339">
        <w:t xml:space="preserve">the </w:t>
      </w:r>
      <w:r w:rsidRPr="00065339">
        <w:t>involvement of the public and other stakeholders;</w:t>
      </w:r>
    </w:p>
    <w:p w14:paraId="284AD6DF" w14:textId="08EECF09" w:rsidR="00D37ADA" w:rsidRPr="00065339" w:rsidRDefault="00D37ADA" w:rsidP="00D37ADA">
      <w:pPr>
        <w:pStyle w:val="SingleTxtG"/>
        <w:ind w:firstLine="567"/>
      </w:pPr>
      <w:r w:rsidRPr="00065339">
        <w:t>(c)</w:t>
      </w:r>
      <w:r w:rsidRPr="00065339">
        <w:tab/>
        <w:t xml:space="preserve">List provisions of the Protocol </w:t>
      </w:r>
      <w:r w:rsidR="00857DB8" w:rsidRPr="00065339">
        <w:t xml:space="preserve">that </w:t>
      </w:r>
      <w:r w:rsidRPr="00065339">
        <w:t>still need implementation;</w:t>
      </w:r>
    </w:p>
    <w:p w14:paraId="5A21E63A" w14:textId="4AD7B79B" w:rsidR="00D37ADA" w:rsidRPr="00065339" w:rsidRDefault="00D37ADA" w:rsidP="00D37ADA">
      <w:pPr>
        <w:pStyle w:val="SingleTxtG"/>
        <w:ind w:firstLine="567"/>
      </w:pPr>
      <w:r w:rsidRPr="00065339">
        <w:t>(d)</w:t>
      </w:r>
      <w:r w:rsidRPr="00065339">
        <w:tab/>
      </w:r>
      <w:r w:rsidR="00857DB8" w:rsidRPr="00065339">
        <w:t>B</w:t>
      </w:r>
      <w:r w:rsidRPr="00065339">
        <w:t xml:space="preserve">riefly </w:t>
      </w:r>
      <w:r w:rsidR="00857DB8" w:rsidRPr="00065339">
        <w:t xml:space="preserve">set out </w:t>
      </w:r>
      <w:r w:rsidRPr="00065339">
        <w:t xml:space="preserve">any challenges and specific solutions </w:t>
      </w:r>
      <w:r w:rsidR="00857DB8" w:rsidRPr="00065339">
        <w:t>or</w:t>
      </w:r>
      <w:r w:rsidRPr="00065339">
        <w:t xml:space="preserve"> good practices.</w:t>
      </w:r>
    </w:p>
    <w:p w14:paraId="618A2845" w14:textId="11D1FCEB" w:rsidR="00D37ADA" w:rsidRPr="00065339" w:rsidRDefault="00D37ADA" w:rsidP="00D37ADA">
      <w:pPr>
        <w:pStyle w:val="SingleTxtG"/>
      </w:pPr>
      <w:r w:rsidRPr="00065339">
        <w:t>1</w:t>
      </w:r>
      <w:r w:rsidR="00D8692E">
        <w:t>8</w:t>
      </w:r>
      <w:r w:rsidRPr="00065339">
        <w:t>.</w:t>
      </w:r>
      <w:r w:rsidRPr="00065339">
        <w:tab/>
        <w:t>It is not necessary to duplicate information while completing the form</w:t>
      </w:r>
      <w:r w:rsidR="00857DB8" w:rsidRPr="00065339">
        <w:t>,</w:t>
      </w:r>
      <w:r w:rsidRPr="00065339">
        <w:t xml:space="preserve"> but if Parties consider it necessary to repeat information they should simply cross-refer to the part where this information has already been mentioned. While each aspect with regard to a question should be addressed in the response directly, lengthy details can be provided in an annex to the response itself</w:t>
      </w:r>
      <w:r w:rsidR="00857DB8" w:rsidRPr="00065339">
        <w:t xml:space="preserve"> (and</w:t>
      </w:r>
      <w:r w:rsidRPr="00065339">
        <w:t xml:space="preserve"> not </w:t>
      </w:r>
      <w:r w:rsidR="00857DB8" w:rsidRPr="00065339">
        <w:t xml:space="preserve">to </w:t>
      </w:r>
      <w:r w:rsidRPr="00065339">
        <w:t>the report as a whole</w:t>
      </w:r>
      <w:r w:rsidR="00857DB8" w:rsidRPr="00065339">
        <w:t>)</w:t>
      </w:r>
      <w:r w:rsidRPr="00065339">
        <w:t xml:space="preserve">. Care should be taken to ensure </w:t>
      </w:r>
      <w:r w:rsidR="00211DF5" w:rsidRPr="00065339">
        <w:t xml:space="preserve">that any </w:t>
      </w:r>
      <w:proofErr w:type="spellStart"/>
      <w:r w:rsidR="00211DF5" w:rsidRPr="00065339">
        <w:t>web</w:t>
      </w:r>
      <w:r w:rsidRPr="00065339">
        <w:t>links</w:t>
      </w:r>
      <w:proofErr w:type="spellEnd"/>
      <w:r w:rsidRPr="00065339">
        <w:t xml:space="preserve"> </w:t>
      </w:r>
      <w:r w:rsidR="00211DF5" w:rsidRPr="00065339">
        <w:t xml:space="preserve">provided </w:t>
      </w:r>
      <w:r w:rsidRPr="00065339">
        <w:t>are up to date. Links to web</w:t>
      </w:r>
      <w:r w:rsidR="00BC2B2A">
        <w:t xml:space="preserve"> </w:t>
      </w:r>
      <w:r w:rsidRPr="00065339">
        <w:t>pages</w:t>
      </w:r>
      <w:r w:rsidR="00857DB8" w:rsidRPr="00065339">
        <w:t xml:space="preserve"> —</w:t>
      </w:r>
      <w:r w:rsidRPr="00065339">
        <w:t xml:space="preserve"> where the interested reader can find background information, understand </w:t>
      </w:r>
      <w:r w:rsidR="00857DB8" w:rsidRPr="00065339">
        <w:t xml:space="preserve">the </w:t>
      </w:r>
      <w:r w:rsidRPr="00065339">
        <w:t>particularities of each pollutant release and transfer register (PRTR), or see examples for good practices</w:t>
      </w:r>
      <w:r w:rsidR="00857DB8" w:rsidRPr="00065339">
        <w:t xml:space="preserve"> — should be added</w:t>
      </w:r>
      <w:r w:rsidRPr="00065339">
        <w:t xml:space="preserve">. </w:t>
      </w:r>
    </w:p>
    <w:p w14:paraId="0C37B9CF" w14:textId="77777777" w:rsidR="00D37ADA" w:rsidRPr="00065339" w:rsidRDefault="00D37ADA" w:rsidP="00912E21">
      <w:pPr>
        <w:pStyle w:val="H4G"/>
      </w:pPr>
      <w:r w:rsidRPr="00065339">
        <w:tab/>
      </w:r>
      <w:r w:rsidRPr="00065339">
        <w:tab/>
        <w:t>Selected good practices for reporting</w:t>
      </w:r>
    </w:p>
    <w:p w14:paraId="50DFEC67" w14:textId="205BFE98" w:rsidR="00D37ADA" w:rsidRPr="00065339" w:rsidRDefault="00D8692E" w:rsidP="00D37ADA">
      <w:pPr>
        <w:pStyle w:val="SingleTxtG"/>
      </w:pPr>
      <w:r>
        <w:t>19</w:t>
      </w:r>
      <w:r w:rsidR="00D37ADA" w:rsidRPr="00065339">
        <w:t>.</w:t>
      </w:r>
      <w:r w:rsidR="00D37ADA" w:rsidRPr="00065339">
        <w:tab/>
        <w:t xml:space="preserve">Linked to the reporting process, the Compliance Committee identified the following selected good practices: </w:t>
      </w:r>
    </w:p>
    <w:p w14:paraId="397CF9B8" w14:textId="0973C404" w:rsidR="00D37ADA" w:rsidRPr="00065339" w:rsidRDefault="00D37ADA" w:rsidP="00D37ADA">
      <w:pPr>
        <w:pStyle w:val="SingleTxtG"/>
        <w:ind w:firstLine="567"/>
      </w:pPr>
      <w:r w:rsidRPr="00065339">
        <w:t>(a)</w:t>
      </w:r>
      <w:r w:rsidRPr="00065339">
        <w:tab/>
        <w:t xml:space="preserve">Prepare the </w:t>
      </w:r>
      <w:r w:rsidR="005E3BFD">
        <w:t>national implementation report</w:t>
      </w:r>
      <w:r w:rsidR="00857DB8" w:rsidRPr="00065339">
        <w:t xml:space="preserve"> </w:t>
      </w:r>
      <w:r w:rsidRPr="00065339">
        <w:t xml:space="preserve">in more than one official language </w:t>
      </w:r>
      <w:r w:rsidR="00857DB8" w:rsidRPr="00065339">
        <w:t xml:space="preserve">of the Economic Commission for Europe (ECE) (i.e., English, French and Russian), </w:t>
      </w:r>
      <w:r w:rsidRPr="00065339">
        <w:t>as well as in the official national language(s);</w:t>
      </w:r>
    </w:p>
    <w:p w14:paraId="0A84DA91" w14:textId="64B4D355" w:rsidR="00D37ADA" w:rsidRPr="00065339" w:rsidRDefault="00D37ADA" w:rsidP="00D37ADA">
      <w:pPr>
        <w:pStyle w:val="SingleTxtG"/>
        <w:ind w:firstLine="567"/>
      </w:pPr>
      <w:r w:rsidRPr="00065339">
        <w:t>(b)</w:t>
      </w:r>
      <w:r w:rsidRPr="00065339">
        <w:tab/>
        <w:t>Make an effort to identify potential stakeholders and users, and to consult them about the Protocol. This can include governmental and non-governmental organizations, industrial associations, research institutes, environmental journalist</w:t>
      </w:r>
      <w:r w:rsidR="00857DB8" w:rsidRPr="00065339">
        <w:t>s</w:t>
      </w:r>
      <w:r w:rsidR="007F4A61" w:rsidRPr="00065339">
        <w:t xml:space="preserve"> and journals</w:t>
      </w:r>
      <w:r w:rsidRPr="00065339">
        <w:t>, etc</w:t>
      </w:r>
      <w:proofErr w:type="gramStart"/>
      <w:r w:rsidRPr="00065339">
        <w:t>.;</w:t>
      </w:r>
      <w:proofErr w:type="gramEnd"/>
    </w:p>
    <w:p w14:paraId="25C1B489" w14:textId="1AFC1A67" w:rsidR="00D37ADA" w:rsidRPr="00065339" w:rsidRDefault="00D37ADA" w:rsidP="00D37ADA">
      <w:pPr>
        <w:pStyle w:val="SingleTxtG"/>
        <w:ind w:firstLine="567"/>
      </w:pPr>
      <w:r w:rsidRPr="00065339">
        <w:t>(c)</w:t>
      </w:r>
      <w:r w:rsidRPr="00065339">
        <w:tab/>
        <w:t>Involve a variety of known and newly identified stakeholders in the preparation of the report, including relevant institutions and other government agencies. Such an approach can facilitate an internal analysis of existing information and help progress in implementation</w:t>
      </w:r>
      <w:r w:rsidR="00857DB8" w:rsidRPr="00065339">
        <w:t>,</w:t>
      </w:r>
      <w:r w:rsidRPr="00065339">
        <w:t xml:space="preserve"> as well as assist the discussion of future improvements with outsiders;</w:t>
      </w:r>
    </w:p>
    <w:p w14:paraId="1337A6AB" w14:textId="77777777" w:rsidR="00D37ADA" w:rsidRPr="00065339" w:rsidRDefault="00D37ADA" w:rsidP="00D37ADA">
      <w:pPr>
        <w:pStyle w:val="SingleTxtG"/>
        <w:ind w:firstLine="567"/>
      </w:pPr>
      <w:r w:rsidRPr="00065339">
        <w:t>(d)</w:t>
      </w:r>
      <w:r w:rsidRPr="00065339">
        <w:tab/>
        <w:t>Explain why answers are omitted, if this is the case.</w:t>
      </w:r>
    </w:p>
    <w:p w14:paraId="590198C1" w14:textId="427CC8F0" w:rsidR="00A91D1D" w:rsidRPr="00065339" w:rsidRDefault="0026688C" w:rsidP="00A91D1D">
      <w:pPr>
        <w:pStyle w:val="HChG"/>
      </w:pPr>
      <w:r w:rsidRPr="00065339">
        <w:tab/>
        <w:t>IV.</w:t>
      </w:r>
      <w:r w:rsidR="00A91D1D" w:rsidRPr="00065339">
        <w:tab/>
        <w:t>Selected issues related to specific articles</w:t>
      </w:r>
    </w:p>
    <w:p w14:paraId="2D4E0B84" w14:textId="31050614" w:rsidR="00A91D1D" w:rsidRPr="00065339" w:rsidRDefault="00D8692E" w:rsidP="00A91D1D">
      <w:pPr>
        <w:pStyle w:val="SingleTxtG"/>
      </w:pPr>
      <w:r>
        <w:t>20</w:t>
      </w:r>
      <w:r w:rsidR="00A91D1D" w:rsidRPr="00065339">
        <w:t>.</w:t>
      </w:r>
      <w:r w:rsidR="00A91D1D" w:rsidRPr="00065339">
        <w:tab/>
        <w:t xml:space="preserve">This section outlines several issues that proved to be challenging for reporting. The section also contains some recommendations and good practices. </w:t>
      </w:r>
    </w:p>
    <w:p w14:paraId="261C93E8" w14:textId="30CD4396" w:rsidR="00A91D1D" w:rsidRPr="00065339" w:rsidRDefault="00A91D1D" w:rsidP="00A91D1D">
      <w:pPr>
        <w:pStyle w:val="H1G"/>
      </w:pPr>
      <w:r w:rsidRPr="00065339">
        <w:tab/>
        <w:t>A.</w:t>
      </w:r>
      <w:r w:rsidRPr="00065339">
        <w:tab/>
        <w:t xml:space="preserve">General provisions, core elements and design and structure of a </w:t>
      </w:r>
      <w:r w:rsidR="00B06DCE" w:rsidRPr="00065339">
        <w:t>p</w:t>
      </w:r>
      <w:r w:rsidRPr="00065339">
        <w:t xml:space="preserve">ollutant </w:t>
      </w:r>
      <w:r w:rsidR="00B06DCE" w:rsidRPr="00065339">
        <w:t>r</w:t>
      </w:r>
      <w:r w:rsidRPr="00065339">
        <w:t xml:space="preserve">elease and </w:t>
      </w:r>
      <w:r w:rsidR="00B06DCE" w:rsidRPr="00065339">
        <w:t>t</w:t>
      </w:r>
      <w:r w:rsidRPr="00065339">
        <w:t xml:space="preserve">ransfer </w:t>
      </w:r>
      <w:r w:rsidR="00B06DCE" w:rsidRPr="00065339">
        <w:t>r</w:t>
      </w:r>
      <w:r w:rsidRPr="00065339">
        <w:t>egister</w:t>
      </w:r>
      <w:r w:rsidR="002629B9" w:rsidRPr="00065339">
        <w:t xml:space="preserve"> </w:t>
      </w:r>
      <w:r w:rsidRPr="00065339">
        <w:t>system</w:t>
      </w:r>
      <w:r w:rsidR="00C63795" w:rsidRPr="00065339">
        <w:t xml:space="preserve"> — </w:t>
      </w:r>
      <w:r w:rsidR="008F1FE1" w:rsidRPr="00065339">
        <w:t>a</w:t>
      </w:r>
      <w:r w:rsidRPr="00065339">
        <w:t xml:space="preserve">rticles 3, 4 and 5 </w:t>
      </w:r>
    </w:p>
    <w:p w14:paraId="3162F3AA" w14:textId="73B96763" w:rsidR="00A91D1D" w:rsidRPr="00065339" w:rsidRDefault="00A91D1D" w:rsidP="00DE213A">
      <w:pPr>
        <w:pStyle w:val="SingleTxtG"/>
      </w:pPr>
      <w:r w:rsidRPr="00065339">
        <w:t>2</w:t>
      </w:r>
      <w:r w:rsidR="00D8692E">
        <w:t>1</w:t>
      </w:r>
      <w:r w:rsidRPr="00065339">
        <w:t>.</w:t>
      </w:r>
      <w:r w:rsidR="00DE213A" w:rsidRPr="00065339">
        <w:tab/>
      </w:r>
      <w:r w:rsidR="00FB6BB6" w:rsidRPr="00065339">
        <w:t xml:space="preserve">The </w:t>
      </w:r>
      <w:r w:rsidRPr="00065339">
        <w:t xml:space="preserve">question in the reporting format </w:t>
      </w:r>
      <w:r w:rsidR="00FB6BB6" w:rsidRPr="00065339">
        <w:t xml:space="preserve">concerning </w:t>
      </w:r>
      <w:r w:rsidRPr="00065339">
        <w:t xml:space="preserve">articles 3, 4 and 5 is both general and specific. </w:t>
      </w:r>
      <w:proofErr w:type="gramStart"/>
      <w:r w:rsidRPr="00065339">
        <w:t>Sub-questions (a) to (d) help to report on the implementation of article 3 (general provisions), while sub-questions (e) to (g) help to report on the implementation of article 5 (design and structure).</w:t>
      </w:r>
      <w:proofErr w:type="gramEnd"/>
      <w:r w:rsidRPr="00065339">
        <w:t xml:space="preserve"> Meanwhile, legislative, regulatory and other measures </w:t>
      </w:r>
      <w:r w:rsidR="00FB6BB6" w:rsidRPr="00065339">
        <w:t xml:space="preserve">targeted </w:t>
      </w:r>
      <w:r w:rsidRPr="00065339">
        <w:t xml:space="preserve">in the question also </w:t>
      </w:r>
      <w:r w:rsidR="00FB6BB6" w:rsidRPr="00065339">
        <w:t xml:space="preserve">cover </w:t>
      </w:r>
      <w:r w:rsidRPr="00065339">
        <w:t>article 4 (core elements of a PRTR).</w:t>
      </w:r>
    </w:p>
    <w:p w14:paraId="3C2A8611" w14:textId="2A9F96D1" w:rsidR="00A91D1D" w:rsidRPr="00065339" w:rsidRDefault="00A91D1D" w:rsidP="00DE213A">
      <w:pPr>
        <w:pStyle w:val="SingleTxtG"/>
      </w:pPr>
      <w:r w:rsidRPr="00065339">
        <w:t>2</w:t>
      </w:r>
      <w:r w:rsidR="00D8692E">
        <w:t>2</w:t>
      </w:r>
      <w:r w:rsidRPr="00065339">
        <w:t>.</w:t>
      </w:r>
      <w:r w:rsidR="00DE213A" w:rsidRPr="00065339">
        <w:tab/>
      </w:r>
      <w:r w:rsidR="00FB6BB6" w:rsidRPr="00065339">
        <w:t>Whereas it is important to fully answer each of the sub-questions, o</w:t>
      </w:r>
      <w:r w:rsidRPr="00065339">
        <w:t>nly responding to the sub-questions leads to the omission of reporting on the implementation of article 4 as a whole. That article specifically refers to implementation of national PRTR systems as opposed to the implementation of legislative, regulatory and other measures under regional registers, such as the European</w:t>
      </w:r>
      <w:r w:rsidR="00FB6BB6" w:rsidRPr="00065339">
        <w:t xml:space="preserve"> Pollutant Release and Transfer Register</w:t>
      </w:r>
      <w:r w:rsidRPr="00065339">
        <w:t xml:space="preserve"> (E-PRTR). </w:t>
      </w:r>
    </w:p>
    <w:p w14:paraId="466614B0" w14:textId="3B43BA25" w:rsidR="00A91D1D" w:rsidRPr="00065339" w:rsidRDefault="00A91D1D" w:rsidP="00DE213A">
      <w:pPr>
        <w:pStyle w:val="SingleTxtG"/>
      </w:pPr>
      <w:r w:rsidRPr="00065339">
        <w:t>2</w:t>
      </w:r>
      <w:r w:rsidR="00D8692E">
        <w:t>3</w:t>
      </w:r>
      <w:r w:rsidRPr="00065339">
        <w:t>.</w:t>
      </w:r>
      <w:r w:rsidR="00DE213A" w:rsidRPr="00065339">
        <w:tab/>
      </w:r>
      <w:r w:rsidRPr="00065339">
        <w:t>Answers provided by many Parties do not provide a clear picture o</w:t>
      </w:r>
      <w:r w:rsidR="00FB6BB6" w:rsidRPr="00065339">
        <w:t>f</w:t>
      </w:r>
      <w:r w:rsidRPr="00065339">
        <w:t xml:space="preserve"> whether public participation in the development of </w:t>
      </w:r>
      <w:r w:rsidR="00FB6BB6" w:rsidRPr="00065339">
        <w:t xml:space="preserve">the </w:t>
      </w:r>
      <w:r w:rsidRPr="00065339">
        <w:t>PRTR is ensured by a procedural mechanism established by the legislation</w:t>
      </w:r>
      <w:r w:rsidR="00FB6BB6" w:rsidRPr="00065339">
        <w:t>,</w:t>
      </w:r>
      <w:r w:rsidRPr="00065339">
        <w:t xml:space="preserve"> and what the specific legal provisions</w:t>
      </w:r>
      <w:r w:rsidR="00FB6BB6" w:rsidRPr="00065339">
        <w:t xml:space="preserve"> are</w:t>
      </w:r>
      <w:r w:rsidRPr="00065339">
        <w:t xml:space="preserve">, if </w:t>
      </w:r>
      <w:r w:rsidR="00FB6BB6" w:rsidRPr="00065339">
        <w:t>any</w:t>
      </w:r>
      <w:r w:rsidRPr="00065339">
        <w:t>.</w:t>
      </w:r>
    </w:p>
    <w:p w14:paraId="55348DF6" w14:textId="779455BC" w:rsidR="00A91D1D" w:rsidRPr="00065339" w:rsidRDefault="00A91D1D" w:rsidP="00DE213A">
      <w:pPr>
        <w:pStyle w:val="SingleTxtG"/>
      </w:pPr>
      <w:r w:rsidRPr="00065339">
        <w:t>2</w:t>
      </w:r>
      <w:r w:rsidR="00D8692E">
        <w:t>4</w:t>
      </w:r>
      <w:r w:rsidRPr="00065339">
        <w:t>.</w:t>
      </w:r>
      <w:r w:rsidR="00DE213A" w:rsidRPr="00065339">
        <w:tab/>
      </w:r>
      <w:r w:rsidR="00B06DCE" w:rsidRPr="00065339">
        <w:t>I</w:t>
      </w:r>
      <w:r w:rsidRPr="00065339">
        <w:t xml:space="preserve">ssues </w:t>
      </w:r>
      <w:r w:rsidR="00B06DCE" w:rsidRPr="00065339">
        <w:t xml:space="preserve">regarding the </w:t>
      </w:r>
      <w:r w:rsidRPr="00065339">
        <w:t xml:space="preserve">specific legislative provisions with respect to public participation in </w:t>
      </w:r>
      <w:r w:rsidR="00BC2B2A">
        <w:t xml:space="preserve">the </w:t>
      </w:r>
      <w:r w:rsidRPr="00065339">
        <w:t xml:space="preserve">development and modification of a PRTR need to be addressed through the answers to the question on articles 3, 4 and 5, while the question on article 13 refers to issues of practical implementation. </w:t>
      </w:r>
    </w:p>
    <w:p w14:paraId="5C36F107" w14:textId="64E36FB1" w:rsidR="00A91D1D" w:rsidRPr="00065339" w:rsidRDefault="00A91D1D" w:rsidP="00DE213A">
      <w:pPr>
        <w:pStyle w:val="SingleTxtG"/>
      </w:pPr>
      <w:r w:rsidRPr="00065339">
        <w:t>2</w:t>
      </w:r>
      <w:r w:rsidR="00D8692E">
        <w:t>5</w:t>
      </w:r>
      <w:r w:rsidRPr="00065339">
        <w:t>.</w:t>
      </w:r>
      <w:r w:rsidR="00DE213A" w:rsidRPr="00065339">
        <w:tab/>
      </w:r>
      <w:r w:rsidRPr="00065339">
        <w:t>Only some Parties mentioned among the core elements the issue of reporting on diffuse sources. Answers to the question should also describe the legislative, regulatory and other measures provided to accommodate reporting on diffuse sources (art</w:t>
      </w:r>
      <w:r w:rsidR="00EF4D8C" w:rsidRPr="00065339">
        <w:t>.</w:t>
      </w:r>
      <w:r w:rsidRPr="00065339">
        <w:t xml:space="preserve"> 4</w:t>
      </w:r>
      <w:r w:rsidR="00EF4D8C" w:rsidRPr="00065339">
        <w:t>, para.</w:t>
      </w:r>
      <w:r w:rsidRPr="00065339">
        <w:t xml:space="preserve"> </w:t>
      </w:r>
      <w:proofErr w:type="gramStart"/>
      <w:r w:rsidRPr="00065339">
        <w:t>(b)</w:t>
      </w:r>
      <w:r w:rsidR="00EF4D8C" w:rsidRPr="00065339">
        <w:t>,</w:t>
      </w:r>
      <w:r w:rsidRPr="00065339">
        <w:t xml:space="preserve"> and art</w:t>
      </w:r>
      <w:r w:rsidR="00EF4D8C" w:rsidRPr="00065339">
        <w:t>.</w:t>
      </w:r>
      <w:proofErr w:type="gramEnd"/>
      <w:r w:rsidRPr="00065339">
        <w:t xml:space="preserve"> </w:t>
      </w:r>
      <w:proofErr w:type="gramStart"/>
      <w:r w:rsidRPr="00065339">
        <w:t>5</w:t>
      </w:r>
      <w:r w:rsidR="00EF4D8C" w:rsidRPr="00065339">
        <w:t>,</w:t>
      </w:r>
      <w:r w:rsidRPr="00065339">
        <w:t xml:space="preserve"> para</w:t>
      </w:r>
      <w:r w:rsidR="00EF4D8C" w:rsidRPr="00065339">
        <w:t>.</w:t>
      </w:r>
      <w:proofErr w:type="gramEnd"/>
      <w:r w:rsidRPr="00065339">
        <w:t xml:space="preserve"> 2).</w:t>
      </w:r>
    </w:p>
    <w:p w14:paraId="42C99181" w14:textId="77777777" w:rsidR="00E673E7" w:rsidRPr="00065339" w:rsidRDefault="00E673E7" w:rsidP="00E673E7">
      <w:pPr>
        <w:pStyle w:val="H4G"/>
      </w:pPr>
      <w:r w:rsidRPr="00065339">
        <w:tab/>
      </w:r>
      <w:r w:rsidRPr="00065339">
        <w:tab/>
        <w:t>Recommendations</w:t>
      </w:r>
    </w:p>
    <w:p w14:paraId="49DFD449" w14:textId="46861FCE" w:rsidR="00E673E7" w:rsidRPr="00065339" w:rsidRDefault="00E673E7" w:rsidP="00E673E7">
      <w:pPr>
        <w:pStyle w:val="SingleTxtG"/>
      </w:pPr>
      <w:r w:rsidRPr="00065339">
        <w:t>2</w:t>
      </w:r>
      <w:r w:rsidR="00D8692E">
        <w:t>6</w:t>
      </w:r>
      <w:r w:rsidRPr="00065339">
        <w:t>.</w:t>
      </w:r>
      <w:r w:rsidRPr="00065339">
        <w:tab/>
        <w:t>Parties should check carefully the completeness of the</w:t>
      </w:r>
      <w:r w:rsidR="00EF4D8C" w:rsidRPr="00065339">
        <w:t>ir</w:t>
      </w:r>
      <w:r w:rsidRPr="00065339">
        <w:t xml:space="preserve"> response with regard to the first part of the question: “List legislative, regulatory and other measures that implement the general provisions in articles 3 (general provisions), 4 (core elements of a PRTR) and 5 (design and structure).”</w:t>
      </w:r>
    </w:p>
    <w:p w14:paraId="65DCFE06" w14:textId="79DAEC6D" w:rsidR="00E673E7" w:rsidRPr="00065339" w:rsidRDefault="00E673E7" w:rsidP="00E673E7">
      <w:pPr>
        <w:pStyle w:val="SingleTxtG"/>
      </w:pPr>
      <w:r w:rsidRPr="00065339">
        <w:t>2</w:t>
      </w:r>
      <w:r w:rsidR="00D8692E">
        <w:t>7</w:t>
      </w:r>
      <w:r w:rsidRPr="00065339">
        <w:t>.</w:t>
      </w:r>
      <w:r w:rsidRPr="00065339">
        <w:tab/>
        <w:t xml:space="preserve">Parties should make use of the </w:t>
      </w:r>
      <w:r w:rsidR="001F384F" w:rsidRPr="00065339">
        <w:t xml:space="preserve">requirements </w:t>
      </w:r>
      <w:r w:rsidR="00C42EEE" w:rsidRPr="00065339">
        <w:t xml:space="preserve">provided through </w:t>
      </w:r>
      <w:r w:rsidR="004E16B3" w:rsidRPr="00065339">
        <w:t>articles 4 and 5</w:t>
      </w:r>
      <w:r w:rsidR="00BC2B2A">
        <w:t xml:space="preserve">, </w:t>
      </w:r>
      <w:r w:rsidR="004E16B3" w:rsidRPr="00065339">
        <w:t>para</w:t>
      </w:r>
      <w:r w:rsidR="00BC2B2A">
        <w:t xml:space="preserve">graph </w:t>
      </w:r>
      <w:r w:rsidR="004E16B3" w:rsidRPr="00065339">
        <w:t>1</w:t>
      </w:r>
      <w:r w:rsidR="00BC2B2A">
        <w:t>,</w:t>
      </w:r>
      <w:r w:rsidR="004E16B3" w:rsidRPr="00065339" w:rsidDel="004E16B3">
        <w:rPr>
          <w:rStyle w:val="CommentReference"/>
        </w:rPr>
        <w:t xml:space="preserve"> </w:t>
      </w:r>
      <w:r w:rsidRPr="00065339">
        <w:t>of the Protocol as checklist</w:t>
      </w:r>
      <w:r w:rsidR="00C42EEE" w:rsidRPr="00065339">
        <w:t>s</w:t>
      </w:r>
      <w:r w:rsidRPr="00065339">
        <w:t xml:space="preserve"> for </w:t>
      </w:r>
      <w:r w:rsidR="00EF4D8C" w:rsidRPr="00065339">
        <w:t xml:space="preserve">the </w:t>
      </w:r>
      <w:r w:rsidRPr="00065339">
        <w:t xml:space="preserve">completeness of their responses to the questionnaire. </w:t>
      </w:r>
    </w:p>
    <w:p w14:paraId="6A0A220A" w14:textId="2E9F6DAB" w:rsidR="00E673E7" w:rsidRPr="00065339" w:rsidRDefault="00E673E7" w:rsidP="00E673E7">
      <w:pPr>
        <w:pStyle w:val="SingleTxtG"/>
      </w:pPr>
      <w:r w:rsidRPr="00065339">
        <w:t>2</w:t>
      </w:r>
      <w:r w:rsidR="00D8692E">
        <w:t>8</w:t>
      </w:r>
      <w:r w:rsidRPr="00065339">
        <w:t>.</w:t>
      </w:r>
      <w:r w:rsidR="00CD01D2" w:rsidRPr="00065339">
        <w:tab/>
      </w:r>
      <w:r w:rsidRPr="00065339">
        <w:t>Parties in their reporting should distinguish national PRTR systems from other data collection systems, such as regional PRTRs (e.g.</w:t>
      </w:r>
      <w:r w:rsidR="00EF4D8C" w:rsidRPr="00065339">
        <w:t>,</w:t>
      </w:r>
      <w:r w:rsidRPr="00065339">
        <w:t xml:space="preserve"> E-PRTR). Referring in the report to the list under article</w:t>
      </w:r>
      <w:r w:rsidR="00EF4D8C" w:rsidRPr="00065339">
        <w:t xml:space="preserve"> </w:t>
      </w:r>
      <w:r w:rsidRPr="00065339">
        <w:t>4</w:t>
      </w:r>
      <w:r w:rsidR="00EF4D8C" w:rsidRPr="00065339">
        <w:t xml:space="preserve"> </w:t>
      </w:r>
      <w:r w:rsidRPr="00065339">
        <w:t>of the questionnaire will give a detailed picture o</w:t>
      </w:r>
      <w:r w:rsidR="00EF4D8C" w:rsidRPr="00065339">
        <w:t>f</w:t>
      </w:r>
      <w:r w:rsidRPr="00065339">
        <w:t xml:space="preserve"> the implementation of </w:t>
      </w:r>
      <w:r w:rsidR="00EF4D8C" w:rsidRPr="00065339">
        <w:t xml:space="preserve">the </w:t>
      </w:r>
      <w:r w:rsidRPr="00065339">
        <w:t xml:space="preserve">core elements of national PRTRs. </w:t>
      </w:r>
    </w:p>
    <w:p w14:paraId="21C8CF1F" w14:textId="71D067A1" w:rsidR="00E673E7" w:rsidRPr="00065339" w:rsidRDefault="00D8692E" w:rsidP="00E673E7">
      <w:pPr>
        <w:pStyle w:val="SingleTxtG"/>
      </w:pPr>
      <w:r>
        <w:t>29</w:t>
      </w:r>
      <w:r w:rsidR="00E673E7" w:rsidRPr="00065339">
        <w:t>.</w:t>
      </w:r>
      <w:r w:rsidR="00CD01D2" w:rsidRPr="00065339">
        <w:tab/>
      </w:r>
      <w:r w:rsidR="00E673E7" w:rsidRPr="00065339">
        <w:t>Parties should provide a clear explanation of public participation in the development of their PRTR</w:t>
      </w:r>
      <w:r w:rsidR="00EF4D8C" w:rsidRPr="00065339">
        <w:t>.</w:t>
      </w:r>
      <w:r w:rsidR="00E673E7" w:rsidRPr="00065339">
        <w:t xml:space="preserve"> </w:t>
      </w:r>
      <w:r w:rsidR="00EF4D8C" w:rsidRPr="00065339">
        <w:t>F</w:t>
      </w:r>
      <w:r w:rsidR="00E673E7" w:rsidRPr="00065339">
        <w:t>or example</w:t>
      </w:r>
      <w:r w:rsidR="00EF4D8C" w:rsidRPr="00065339">
        <w:t>,</w:t>
      </w:r>
      <w:r w:rsidR="00E673E7" w:rsidRPr="00065339">
        <w:t xml:space="preserve"> is the participation enshrined in legislation or is it an administrative practice? Parties should also indicate whether there are any special mechanisms for public participation.</w:t>
      </w:r>
    </w:p>
    <w:p w14:paraId="2FBEAAE9" w14:textId="77777777" w:rsidR="00E673E7" w:rsidRPr="00065339" w:rsidRDefault="00CD01D2" w:rsidP="00912E21">
      <w:pPr>
        <w:pStyle w:val="H4G"/>
      </w:pPr>
      <w:r w:rsidRPr="00065339">
        <w:tab/>
      </w:r>
      <w:r w:rsidRPr="00065339">
        <w:tab/>
      </w:r>
      <w:r w:rsidR="00E673E7" w:rsidRPr="00065339">
        <w:t>Selected good practices for reporting</w:t>
      </w:r>
      <w:r w:rsidR="00E673E7" w:rsidRPr="00065339" w:rsidDel="00D846C5">
        <w:t xml:space="preserve"> </w:t>
      </w:r>
    </w:p>
    <w:p w14:paraId="40AF6D88" w14:textId="0878006F" w:rsidR="00E673E7" w:rsidRPr="00065339" w:rsidRDefault="00E673E7" w:rsidP="00CD01D2">
      <w:pPr>
        <w:pStyle w:val="SingleTxtG"/>
      </w:pPr>
      <w:r w:rsidRPr="00065339">
        <w:t>3</w:t>
      </w:r>
      <w:r w:rsidR="00D8692E">
        <w:t>0</w:t>
      </w:r>
      <w:r w:rsidRPr="00065339">
        <w:t>.</w:t>
      </w:r>
      <w:r w:rsidR="00CD01D2" w:rsidRPr="00065339">
        <w:tab/>
      </w:r>
      <w:r w:rsidR="00A860E5" w:rsidRPr="00065339">
        <w:t>G</w:t>
      </w:r>
      <w:r w:rsidRPr="00065339">
        <w:t>ood practices for reporting regarding general provisions, core elements, and design and structure of a PRTR-system</w:t>
      </w:r>
      <w:r w:rsidR="00A860E5" w:rsidRPr="00065339">
        <w:t xml:space="preserve"> include</w:t>
      </w:r>
      <w:r w:rsidRPr="00065339">
        <w:t>:</w:t>
      </w:r>
    </w:p>
    <w:p w14:paraId="2509DFC9" w14:textId="387D66C5" w:rsidR="00E673E7" w:rsidRPr="00065339" w:rsidRDefault="00163FF0" w:rsidP="008C4869">
      <w:pPr>
        <w:pStyle w:val="SingleTxtG"/>
        <w:ind w:firstLine="567"/>
      </w:pPr>
      <w:r w:rsidRPr="00065339">
        <w:t>(a)</w:t>
      </w:r>
      <w:r w:rsidRPr="00065339">
        <w:tab/>
      </w:r>
      <w:r w:rsidR="00E673E7" w:rsidRPr="00065339">
        <w:t>Address</w:t>
      </w:r>
      <w:r w:rsidR="000552B2" w:rsidRPr="00065339">
        <w:t>ing</w:t>
      </w:r>
      <w:r w:rsidR="00E673E7" w:rsidRPr="00065339">
        <w:t xml:space="preserve"> the points listed under articles 4 and 5 in the response to the questionnaire, stating which of them are implemented and which are not. If they are not </w:t>
      </w:r>
      <w:r w:rsidR="00BC2B2A">
        <w:t xml:space="preserve">implemented </w:t>
      </w:r>
      <w:r w:rsidR="00E673E7" w:rsidRPr="00065339">
        <w:t xml:space="preserve">or </w:t>
      </w:r>
      <w:r w:rsidR="00BC2B2A">
        <w:t xml:space="preserve">only </w:t>
      </w:r>
      <w:r w:rsidR="00E673E7" w:rsidRPr="00065339">
        <w:t xml:space="preserve">partially implemented, describe the circumstances and planned actions; </w:t>
      </w:r>
    </w:p>
    <w:p w14:paraId="06DAF2A5" w14:textId="334A9A0D" w:rsidR="00E673E7" w:rsidRPr="00065339" w:rsidRDefault="00163FF0" w:rsidP="008C4869">
      <w:pPr>
        <w:pStyle w:val="SingleTxtG"/>
        <w:ind w:firstLine="567"/>
      </w:pPr>
      <w:r w:rsidRPr="00065339">
        <w:t>(b)</w:t>
      </w:r>
      <w:r w:rsidRPr="00065339">
        <w:tab/>
      </w:r>
      <w:r w:rsidR="00E673E7" w:rsidRPr="00065339">
        <w:t>A comprehensive answer to sub-question (e) will include a complete listing of search terms and modes (e.g.</w:t>
      </w:r>
      <w:r w:rsidR="00BC2B2A">
        <w:t>,</w:t>
      </w:r>
      <w:r w:rsidR="00E673E7" w:rsidRPr="00065339">
        <w:t xml:space="preserve"> see the </w:t>
      </w:r>
      <w:r w:rsidR="005E3BFD">
        <w:t>national implementation report</w:t>
      </w:r>
      <w:r w:rsidR="00E673E7" w:rsidRPr="00065339">
        <w:t xml:space="preserve"> submitted by France).</w:t>
      </w:r>
      <w:r w:rsidR="00E673E7" w:rsidRPr="00065339" w:rsidDel="00AB78E9">
        <w:t xml:space="preserve"> </w:t>
      </w:r>
    </w:p>
    <w:p w14:paraId="189B6881" w14:textId="6634A716" w:rsidR="00E673E7" w:rsidRPr="00065339" w:rsidRDefault="00CD01D2" w:rsidP="00CD01D2">
      <w:pPr>
        <w:pStyle w:val="H23G"/>
      </w:pPr>
      <w:r w:rsidRPr="00065339">
        <w:tab/>
      </w:r>
      <w:r w:rsidR="00163FF0" w:rsidRPr="00065339">
        <w:tab/>
      </w:r>
      <w:r w:rsidR="00E673E7" w:rsidRPr="00065339">
        <w:t>Protection of whistle</w:t>
      </w:r>
      <w:r w:rsidR="002422F0" w:rsidRPr="00065339">
        <w:t>-</w:t>
      </w:r>
      <w:r w:rsidR="00E673E7" w:rsidRPr="00065339">
        <w:t>blowers</w:t>
      </w:r>
      <w:r w:rsidR="00C63795" w:rsidRPr="00065339">
        <w:t xml:space="preserve"> — </w:t>
      </w:r>
      <w:r w:rsidR="007B1BFD" w:rsidRPr="00065339">
        <w:t>s</w:t>
      </w:r>
      <w:r w:rsidR="00A8272A" w:rsidRPr="00065339">
        <w:t>ub-question</w:t>
      </w:r>
      <w:r w:rsidR="00E673E7" w:rsidRPr="00065339">
        <w:t xml:space="preserve"> (c) </w:t>
      </w:r>
    </w:p>
    <w:p w14:paraId="1D04D80F" w14:textId="10CB6711" w:rsidR="00E673E7" w:rsidRPr="00065339" w:rsidRDefault="00E673E7" w:rsidP="00CD01D2">
      <w:pPr>
        <w:pStyle w:val="SingleTxtG"/>
      </w:pPr>
      <w:r w:rsidRPr="00065339">
        <w:t>3</w:t>
      </w:r>
      <w:r w:rsidR="00D8692E">
        <w:t>1</w:t>
      </w:r>
      <w:r w:rsidRPr="00065339">
        <w:t>.</w:t>
      </w:r>
      <w:r w:rsidR="00CD01D2" w:rsidRPr="00065339">
        <w:tab/>
      </w:r>
      <w:r w:rsidRPr="00065339">
        <w:t>Article 3</w:t>
      </w:r>
      <w:r w:rsidR="002422F0" w:rsidRPr="00065339">
        <w:t>,</w:t>
      </w:r>
      <w:r w:rsidRPr="00065339">
        <w:t xml:space="preserve"> paragraph 3</w:t>
      </w:r>
      <w:r w:rsidR="002422F0" w:rsidRPr="00065339">
        <w:t>,</w:t>
      </w:r>
      <w:r w:rsidRPr="00065339">
        <w:t xml:space="preserve"> of the Protocol is of fundamental importance to the PRTR regime. It may be implemented in a number of ways</w:t>
      </w:r>
      <w:r w:rsidR="002422F0" w:rsidRPr="00065339">
        <w:t>,</w:t>
      </w:r>
      <w:r w:rsidRPr="00065339">
        <w:t xml:space="preserve"> but where there is an absence of specific implementing legislation, a lack of practical cases related to the protection of whist</w:t>
      </w:r>
      <w:r w:rsidR="002422F0" w:rsidRPr="00065339">
        <w:t>le-blow</w:t>
      </w:r>
      <w:r w:rsidRPr="00065339">
        <w:t xml:space="preserve">ers can lead to vague and incomplete responses, which make an assessment of the degree of implementation difficult. </w:t>
      </w:r>
    </w:p>
    <w:p w14:paraId="5DE17DF5" w14:textId="77777777" w:rsidR="00E673E7" w:rsidRPr="00065339" w:rsidRDefault="00E673E7" w:rsidP="00CD01D2">
      <w:pPr>
        <w:pStyle w:val="H4G"/>
      </w:pPr>
      <w:r w:rsidRPr="00065339">
        <w:tab/>
      </w:r>
      <w:r w:rsidRPr="00065339">
        <w:tab/>
        <w:t>Recommendations</w:t>
      </w:r>
    </w:p>
    <w:p w14:paraId="2EA9F6EC" w14:textId="0795F7E8" w:rsidR="00E673E7" w:rsidRPr="00065339" w:rsidRDefault="00D8692E" w:rsidP="00CD01D2">
      <w:pPr>
        <w:pStyle w:val="SingleTxtG"/>
      </w:pPr>
      <w:r>
        <w:t>32</w:t>
      </w:r>
      <w:r w:rsidR="00E673E7" w:rsidRPr="00065339">
        <w:t>.</w:t>
      </w:r>
      <w:r w:rsidR="00CD01D2" w:rsidRPr="00065339">
        <w:tab/>
      </w:r>
      <w:r w:rsidR="00E673E7" w:rsidRPr="00065339">
        <w:t xml:space="preserve">Parties should comment precisely on how national legislation may protect those who report violations or report that no measures have been taken with respect to this issue. </w:t>
      </w:r>
    </w:p>
    <w:p w14:paraId="49728A2F" w14:textId="064632AE" w:rsidR="00E673E7" w:rsidRPr="00065339" w:rsidRDefault="00D8692E" w:rsidP="00CD01D2">
      <w:pPr>
        <w:pStyle w:val="SingleTxtG"/>
      </w:pPr>
      <w:r>
        <w:t>33</w:t>
      </w:r>
      <w:r w:rsidR="00E673E7" w:rsidRPr="00065339">
        <w:t>.</w:t>
      </w:r>
      <w:r w:rsidR="00CD01D2" w:rsidRPr="00065339">
        <w:tab/>
      </w:r>
      <w:r w:rsidR="00E673E7" w:rsidRPr="00065339">
        <w:t xml:space="preserve">Parties should provide any related legislative or regulatory provision or other alternative measures. </w:t>
      </w:r>
    </w:p>
    <w:p w14:paraId="4A2C0DBB" w14:textId="437FF96E" w:rsidR="00E673E7" w:rsidRPr="00065339" w:rsidRDefault="00D8692E" w:rsidP="00CD01D2">
      <w:pPr>
        <w:pStyle w:val="SingleTxtG"/>
      </w:pPr>
      <w:r>
        <w:t>34</w:t>
      </w:r>
      <w:r w:rsidR="00E673E7" w:rsidRPr="00065339">
        <w:t>.</w:t>
      </w:r>
      <w:r w:rsidR="00CD01D2" w:rsidRPr="00065339">
        <w:tab/>
      </w:r>
      <w:r w:rsidR="00E673E7" w:rsidRPr="00065339">
        <w:t>Parties should report on any relevant case</w:t>
      </w:r>
      <w:r w:rsidR="00C91F49">
        <w:t>s</w:t>
      </w:r>
      <w:r w:rsidR="00E673E7" w:rsidRPr="00065339">
        <w:t xml:space="preserve">. </w:t>
      </w:r>
    </w:p>
    <w:p w14:paraId="1717A4EA" w14:textId="77777777" w:rsidR="00E673E7" w:rsidRPr="00065339" w:rsidRDefault="00CD01D2" w:rsidP="00912E21">
      <w:pPr>
        <w:pStyle w:val="H4G"/>
      </w:pPr>
      <w:r w:rsidRPr="00065339">
        <w:tab/>
      </w:r>
      <w:r w:rsidRPr="00065339">
        <w:tab/>
      </w:r>
      <w:r w:rsidR="00E673E7" w:rsidRPr="00065339">
        <w:t>Selected good practices for reporting</w:t>
      </w:r>
    </w:p>
    <w:p w14:paraId="011E60A8" w14:textId="522A1FA9" w:rsidR="00E673E7" w:rsidRPr="00065339" w:rsidRDefault="00D8692E" w:rsidP="00CD01D2">
      <w:pPr>
        <w:pStyle w:val="SingleTxtG"/>
      </w:pPr>
      <w:r>
        <w:t>35</w:t>
      </w:r>
      <w:r w:rsidR="00E673E7" w:rsidRPr="00065339">
        <w:t>.</w:t>
      </w:r>
      <w:r w:rsidR="00CD01D2" w:rsidRPr="00065339">
        <w:tab/>
      </w:r>
      <w:r w:rsidR="00A860E5" w:rsidRPr="00065339">
        <w:t>G</w:t>
      </w:r>
      <w:r w:rsidR="00E673E7" w:rsidRPr="00065339">
        <w:t>ood practices for reporting regarding the protection of whist</w:t>
      </w:r>
      <w:r w:rsidR="002422F0" w:rsidRPr="00065339">
        <w:t>le-blow</w:t>
      </w:r>
      <w:r w:rsidR="00E673E7" w:rsidRPr="00065339">
        <w:t>ers</w:t>
      </w:r>
      <w:r w:rsidR="002422F0" w:rsidRPr="00065339">
        <w:t xml:space="preserve"> include</w:t>
      </w:r>
      <w:r w:rsidR="00E673E7" w:rsidRPr="00065339">
        <w:t>:</w:t>
      </w:r>
    </w:p>
    <w:p w14:paraId="056EB0A0" w14:textId="44199C4E" w:rsidR="00E673E7" w:rsidRPr="00065339" w:rsidRDefault="00CD01D2" w:rsidP="00CD01D2">
      <w:pPr>
        <w:pStyle w:val="SingleTxtG"/>
        <w:ind w:firstLine="567"/>
      </w:pPr>
      <w:r w:rsidRPr="00065339">
        <w:t>(a)</w:t>
      </w:r>
      <w:r w:rsidRPr="00065339">
        <w:tab/>
      </w:r>
      <w:r w:rsidR="00E673E7" w:rsidRPr="00065339">
        <w:t>Provid</w:t>
      </w:r>
      <w:r w:rsidR="000552B2" w:rsidRPr="00065339">
        <w:t>ing</w:t>
      </w:r>
      <w:r w:rsidR="00E673E7" w:rsidRPr="00065339">
        <w:t xml:space="preserve"> a precise description of other measures of </w:t>
      </w:r>
      <w:r w:rsidR="002422F0" w:rsidRPr="00065339">
        <w:t xml:space="preserve">an </w:t>
      </w:r>
      <w:r w:rsidR="00E673E7" w:rsidRPr="00065339">
        <w:t xml:space="preserve">administrative nature or reasons </w:t>
      </w:r>
      <w:r w:rsidR="002422F0" w:rsidRPr="00065339">
        <w:t xml:space="preserve">for </w:t>
      </w:r>
      <w:r w:rsidR="00E673E7" w:rsidRPr="00065339">
        <w:t>not taking any measures (e.g.</w:t>
      </w:r>
      <w:r w:rsidR="002422F0" w:rsidRPr="00065339">
        <w:t>,</w:t>
      </w:r>
      <w:r w:rsidR="00E673E7" w:rsidRPr="00065339">
        <w:t xml:space="preserve"> see the </w:t>
      </w:r>
      <w:r w:rsidR="005E3BFD">
        <w:t>national implementation report</w:t>
      </w:r>
      <w:r w:rsidR="005E3BFD" w:rsidRPr="00065339">
        <w:t xml:space="preserve"> </w:t>
      </w:r>
      <w:r w:rsidR="00E673E7" w:rsidRPr="00065339">
        <w:t>submitted by Germany);</w:t>
      </w:r>
    </w:p>
    <w:p w14:paraId="027AA852" w14:textId="77777777" w:rsidR="00E673E7" w:rsidRPr="00065339" w:rsidRDefault="00CD01D2" w:rsidP="00CD01D2">
      <w:pPr>
        <w:pStyle w:val="SingleTxtG"/>
        <w:ind w:firstLine="567"/>
      </w:pPr>
      <w:r w:rsidRPr="00065339">
        <w:t>(b)</w:t>
      </w:r>
      <w:r w:rsidRPr="00065339">
        <w:tab/>
      </w:r>
      <w:r w:rsidR="00E673E7" w:rsidRPr="00065339">
        <w:t>Report</w:t>
      </w:r>
      <w:r w:rsidR="000552B2" w:rsidRPr="00065339">
        <w:t>ing</w:t>
      </w:r>
      <w:r w:rsidR="00E673E7" w:rsidRPr="00065339">
        <w:t xml:space="preserve"> briefly on any practical cases;</w:t>
      </w:r>
    </w:p>
    <w:p w14:paraId="3698079F" w14:textId="44FADB74" w:rsidR="00E673E7" w:rsidRPr="00065339" w:rsidRDefault="00CD01D2" w:rsidP="00CD01D2">
      <w:pPr>
        <w:pStyle w:val="SingleTxtG"/>
        <w:ind w:firstLine="567"/>
      </w:pPr>
      <w:r w:rsidRPr="00065339">
        <w:t>(c)</w:t>
      </w:r>
      <w:r w:rsidRPr="00065339">
        <w:tab/>
      </w:r>
      <w:r w:rsidR="00E673E7" w:rsidRPr="00065339">
        <w:t>Mak</w:t>
      </w:r>
      <w:r w:rsidR="000552B2" w:rsidRPr="00065339">
        <w:t>ing</w:t>
      </w:r>
      <w:r w:rsidR="00E673E7" w:rsidRPr="00065339">
        <w:t xml:space="preserve"> references to relevant legislation;</w:t>
      </w:r>
    </w:p>
    <w:p w14:paraId="01693151" w14:textId="5004B14C" w:rsidR="00E673E7" w:rsidRPr="00065339" w:rsidRDefault="00CD01D2" w:rsidP="00CD01D2">
      <w:pPr>
        <w:pStyle w:val="SingleTxtG"/>
        <w:ind w:firstLine="567"/>
      </w:pPr>
      <w:r w:rsidRPr="00065339">
        <w:t>(d)</w:t>
      </w:r>
      <w:r w:rsidRPr="00065339">
        <w:tab/>
      </w:r>
      <w:r w:rsidR="00E673E7" w:rsidRPr="00065339">
        <w:t>Provid</w:t>
      </w:r>
      <w:r w:rsidR="000552B2" w:rsidRPr="00065339">
        <w:t>ing</w:t>
      </w:r>
      <w:r w:rsidR="00E673E7" w:rsidRPr="00065339">
        <w:t xml:space="preserve"> </w:t>
      </w:r>
      <w:proofErr w:type="spellStart"/>
      <w:r w:rsidR="000552B2" w:rsidRPr="00065339">
        <w:t>web</w:t>
      </w:r>
      <w:r w:rsidR="00E673E7" w:rsidRPr="00065339">
        <w:t>links</w:t>
      </w:r>
      <w:proofErr w:type="spellEnd"/>
      <w:r w:rsidR="00E673E7" w:rsidRPr="00065339">
        <w:t xml:space="preserve"> to legislation and/or any official journals acting as a compendium of legislation</w:t>
      </w:r>
      <w:r w:rsidR="002422F0" w:rsidRPr="00065339">
        <w:t>,</w:t>
      </w:r>
      <w:r w:rsidR="00E673E7" w:rsidRPr="00065339">
        <w:t xml:space="preserve"> and to other significant official documents, whenever possible.</w:t>
      </w:r>
    </w:p>
    <w:p w14:paraId="3B959B36" w14:textId="04A54CFF" w:rsidR="00F439C7" w:rsidRPr="00065339" w:rsidRDefault="00F439C7" w:rsidP="00F439C7">
      <w:pPr>
        <w:pStyle w:val="H1G"/>
      </w:pPr>
      <w:r w:rsidRPr="00065339">
        <w:tab/>
        <w:t>B.</w:t>
      </w:r>
      <w:r w:rsidRPr="00065339">
        <w:tab/>
        <w:t>Reporting requirements</w:t>
      </w:r>
      <w:r w:rsidR="00C63795" w:rsidRPr="00065339">
        <w:t xml:space="preserve"> — </w:t>
      </w:r>
      <w:r w:rsidR="007B1BFD" w:rsidRPr="00065339">
        <w:t>a</w:t>
      </w:r>
      <w:r w:rsidRPr="00065339">
        <w:t>rticle 7</w:t>
      </w:r>
    </w:p>
    <w:p w14:paraId="75703597" w14:textId="00A32F66" w:rsidR="00F439C7" w:rsidRPr="00065339" w:rsidRDefault="00F439C7" w:rsidP="00F439C7">
      <w:pPr>
        <w:pStyle w:val="H23G"/>
      </w:pPr>
      <w:r w:rsidRPr="00065339">
        <w:tab/>
      </w:r>
      <w:r w:rsidR="00163FF0" w:rsidRPr="00065339">
        <w:tab/>
      </w:r>
      <w:r w:rsidRPr="00065339">
        <w:t>Capacity threshold and employee threshold</w:t>
      </w:r>
      <w:r w:rsidR="00C63795" w:rsidRPr="00065339">
        <w:t xml:space="preserve"> — </w:t>
      </w:r>
      <w:r w:rsidR="007B1BFD" w:rsidRPr="00065339">
        <w:t>s</w:t>
      </w:r>
      <w:r w:rsidR="001A21C0" w:rsidRPr="00065339">
        <w:t xml:space="preserve">ub-question </w:t>
      </w:r>
      <w:r w:rsidRPr="00065339">
        <w:t>(a)</w:t>
      </w:r>
      <w:r w:rsidR="002422F0" w:rsidRPr="00065339">
        <w:t xml:space="preserve"> </w:t>
      </w:r>
    </w:p>
    <w:p w14:paraId="6CC4D864" w14:textId="0341D515" w:rsidR="00F439C7" w:rsidRPr="00065339" w:rsidRDefault="00D8692E" w:rsidP="00F439C7">
      <w:pPr>
        <w:pStyle w:val="SingleTxtG"/>
        <w:rPr>
          <w:rFonts w:eastAsia="Lucida Sans Unicode"/>
        </w:rPr>
      </w:pPr>
      <w:r>
        <w:rPr>
          <w:rFonts w:eastAsia="Lucida Sans Unicode"/>
        </w:rPr>
        <w:t>36</w:t>
      </w:r>
      <w:r w:rsidR="00F439C7" w:rsidRPr="00065339">
        <w:rPr>
          <w:rFonts w:eastAsia="Lucida Sans Unicode"/>
        </w:rPr>
        <w:t>.</w:t>
      </w:r>
      <w:r w:rsidR="00F439C7" w:rsidRPr="00065339">
        <w:rPr>
          <w:rFonts w:eastAsia="Lucida Sans Unicode"/>
        </w:rPr>
        <w:tab/>
      </w:r>
      <w:r w:rsidR="00925914" w:rsidRPr="00065339">
        <w:rPr>
          <w:rFonts w:eastAsia="Lucida Sans Unicode"/>
        </w:rPr>
        <w:t xml:space="preserve">In reporting on article 7, </w:t>
      </w:r>
      <w:r w:rsidR="00F439C7" w:rsidRPr="00065339">
        <w:rPr>
          <w:rFonts w:eastAsia="Lucida Sans Unicode"/>
        </w:rPr>
        <w:t xml:space="preserve">Parties have to provide information about the system they have chosen for their own </w:t>
      </w:r>
      <w:r w:rsidR="002422F0" w:rsidRPr="00065339">
        <w:rPr>
          <w:rFonts w:eastAsia="Lucida Sans Unicode"/>
        </w:rPr>
        <w:t>n</w:t>
      </w:r>
      <w:r w:rsidR="00F439C7" w:rsidRPr="00065339">
        <w:rPr>
          <w:rFonts w:eastAsia="Lucida Sans Unicode"/>
        </w:rPr>
        <w:t xml:space="preserve">ational </w:t>
      </w:r>
      <w:r w:rsidR="002422F0" w:rsidRPr="00065339">
        <w:rPr>
          <w:rFonts w:eastAsia="Lucida Sans Unicode"/>
        </w:rPr>
        <w:t xml:space="preserve">PRTR </w:t>
      </w:r>
      <w:r w:rsidR="00F439C7" w:rsidRPr="00065339">
        <w:rPr>
          <w:rFonts w:eastAsia="Lucida Sans Unicode"/>
        </w:rPr>
        <w:t>to identify the reporting facilities. They could choose between the capacity</w:t>
      </w:r>
      <w:r w:rsidR="00C402AF" w:rsidRPr="00065339">
        <w:rPr>
          <w:rFonts w:eastAsia="Lucida Sans Unicode"/>
        </w:rPr>
        <w:t xml:space="preserve"> </w:t>
      </w:r>
      <w:r w:rsidR="00F439C7" w:rsidRPr="00065339">
        <w:rPr>
          <w:rFonts w:eastAsia="Lucida Sans Unicode"/>
        </w:rPr>
        <w:t>threshold (art</w:t>
      </w:r>
      <w:r w:rsidR="002422F0" w:rsidRPr="00065339">
        <w:rPr>
          <w:rFonts w:eastAsia="Lucida Sans Unicode"/>
        </w:rPr>
        <w:t>.</w:t>
      </w:r>
      <w:r w:rsidR="00F439C7" w:rsidRPr="00065339">
        <w:rPr>
          <w:rFonts w:eastAsia="Lucida Sans Unicode"/>
        </w:rPr>
        <w:t xml:space="preserve"> 7, para</w:t>
      </w:r>
      <w:r w:rsidR="002422F0" w:rsidRPr="00065339">
        <w:rPr>
          <w:rFonts w:eastAsia="Lucida Sans Unicode"/>
        </w:rPr>
        <w:t>.</w:t>
      </w:r>
      <w:r w:rsidR="00F439C7" w:rsidRPr="00065339">
        <w:rPr>
          <w:rFonts w:eastAsia="Lucida Sans Unicode"/>
        </w:rPr>
        <w:t xml:space="preserve"> 1 </w:t>
      </w:r>
      <w:r w:rsidR="002422F0" w:rsidRPr="00065339">
        <w:rPr>
          <w:rFonts w:eastAsia="Lucida Sans Unicode"/>
        </w:rPr>
        <w:t>(</w:t>
      </w:r>
      <w:r w:rsidR="00F439C7" w:rsidRPr="00065339">
        <w:rPr>
          <w:rFonts w:eastAsia="Lucida Sans Unicode"/>
        </w:rPr>
        <w:t>a</w:t>
      </w:r>
      <w:r w:rsidR="002422F0" w:rsidRPr="00065339">
        <w:rPr>
          <w:rFonts w:eastAsia="Lucida Sans Unicode"/>
        </w:rPr>
        <w:t>)</w:t>
      </w:r>
      <w:r w:rsidR="00F439C7" w:rsidRPr="00065339">
        <w:rPr>
          <w:rFonts w:eastAsia="Lucida Sans Unicode"/>
        </w:rPr>
        <w:t xml:space="preserve">, and </w:t>
      </w:r>
      <w:r w:rsidR="002422F0" w:rsidRPr="00065339">
        <w:rPr>
          <w:rFonts w:eastAsia="Lucida Sans Unicode"/>
        </w:rPr>
        <w:t>a</w:t>
      </w:r>
      <w:r w:rsidR="00F439C7" w:rsidRPr="00065339">
        <w:rPr>
          <w:rFonts w:eastAsia="Lucida Sans Unicode"/>
        </w:rPr>
        <w:t>nnex I</w:t>
      </w:r>
      <w:r w:rsidR="002422F0" w:rsidRPr="00065339">
        <w:rPr>
          <w:rFonts w:eastAsia="Lucida Sans Unicode"/>
        </w:rPr>
        <w:t>,</w:t>
      </w:r>
      <w:r w:rsidR="00F439C7" w:rsidRPr="00065339">
        <w:rPr>
          <w:rFonts w:eastAsia="Lucida Sans Unicode"/>
        </w:rPr>
        <w:t xml:space="preserve"> column 1) or the employee</w:t>
      </w:r>
      <w:r w:rsidR="00C402AF" w:rsidRPr="00065339">
        <w:rPr>
          <w:rFonts w:eastAsia="Lucida Sans Unicode"/>
        </w:rPr>
        <w:t xml:space="preserve"> </w:t>
      </w:r>
      <w:r w:rsidR="00F439C7" w:rsidRPr="00065339">
        <w:rPr>
          <w:rFonts w:eastAsia="Lucida Sans Unicode"/>
        </w:rPr>
        <w:t>threshold (art</w:t>
      </w:r>
      <w:r w:rsidR="002422F0" w:rsidRPr="00065339">
        <w:rPr>
          <w:rFonts w:eastAsia="Lucida Sans Unicode"/>
        </w:rPr>
        <w:t>.</w:t>
      </w:r>
      <w:r w:rsidR="00F439C7" w:rsidRPr="00065339">
        <w:rPr>
          <w:rFonts w:eastAsia="Lucida Sans Unicode"/>
        </w:rPr>
        <w:t xml:space="preserve"> 7, para</w:t>
      </w:r>
      <w:r w:rsidR="002422F0" w:rsidRPr="00065339">
        <w:rPr>
          <w:rFonts w:eastAsia="Lucida Sans Unicode"/>
        </w:rPr>
        <w:t>. </w:t>
      </w:r>
      <w:r w:rsidR="00F439C7" w:rsidRPr="00065339">
        <w:rPr>
          <w:rFonts w:eastAsia="Lucida Sans Unicode"/>
        </w:rPr>
        <w:t xml:space="preserve">1 </w:t>
      </w:r>
      <w:r w:rsidR="002422F0" w:rsidRPr="00065339">
        <w:rPr>
          <w:rFonts w:eastAsia="Lucida Sans Unicode"/>
        </w:rPr>
        <w:t>(</w:t>
      </w:r>
      <w:r w:rsidR="00F439C7" w:rsidRPr="00065339">
        <w:rPr>
          <w:rFonts w:eastAsia="Lucida Sans Unicode"/>
        </w:rPr>
        <w:t>b</w:t>
      </w:r>
      <w:r w:rsidR="002422F0" w:rsidRPr="00065339">
        <w:rPr>
          <w:rFonts w:eastAsia="Lucida Sans Unicode"/>
        </w:rPr>
        <w:t>),</w:t>
      </w:r>
      <w:r w:rsidR="00F439C7" w:rsidRPr="00065339">
        <w:rPr>
          <w:rFonts w:eastAsia="Lucida Sans Unicode"/>
        </w:rPr>
        <w:t xml:space="preserve"> and </w:t>
      </w:r>
      <w:r w:rsidR="002422F0" w:rsidRPr="00065339">
        <w:rPr>
          <w:rFonts w:eastAsia="Lucida Sans Unicode"/>
        </w:rPr>
        <w:t>a</w:t>
      </w:r>
      <w:r w:rsidR="00F439C7" w:rsidRPr="00065339">
        <w:rPr>
          <w:rFonts w:eastAsia="Lucida Sans Unicode"/>
        </w:rPr>
        <w:t>nnex I</w:t>
      </w:r>
      <w:r w:rsidR="002422F0" w:rsidRPr="00065339">
        <w:rPr>
          <w:rFonts w:eastAsia="Lucida Sans Unicode"/>
        </w:rPr>
        <w:t>,</w:t>
      </w:r>
      <w:r w:rsidR="00F439C7" w:rsidRPr="00065339">
        <w:rPr>
          <w:rFonts w:eastAsia="Lucida Sans Unicode"/>
        </w:rPr>
        <w:t xml:space="preserve"> column 2). The </w:t>
      </w:r>
      <w:r w:rsidR="00C91F49">
        <w:rPr>
          <w:rFonts w:eastAsia="Lucida Sans Unicode"/>
        </w:rPr>
        <w:t>European Union</w:t>
      </w:r>
      <w:r w:rsidR="002422F0" w:rsidRPr="00065339">
        <w:rPr>
          <w:rFonts w:eastAsia="Lucida Sans Unicode"/>
        </w:rPr>
        <w:t xml:space="preserve"> </w:t>
      </w:r>
      <w:r w:rsidR="00F439C7" w:rsidRPr="00065339">
        <w:rPr>
          <w:rFonts w:eastAsia="Lucida Sans Unicode"/>
        </w:rPr>
        <w:t>has chosen the capacity</w:t>
      </w:r>
      <w:r w:rsidR="00C402AF" w:rsidRPr="00065339">
        <w:rPr>
          <w:rFonts w:eastAsia="Lucida Sans Unicode"/>
        </w:rPr>
        <w:t xml:space="preserve"> </w:t>
      </w:r>
      <w:r w:rsidR="00F439C7" w:rsidRPr="00065339">
        <w:rPr>
          <w:rFonts w:eastAsia="Lucida Sans Unicode"/>
        </w:rPr>
        <w:t>threshold</w:t>
      </w:r>
      <w:r w:rsidR="002422F0" w:rsidRPr="00065339">
        <w:rPr>
          <w:rFonts w:eastAsia="Lucida Sans Unicode"/>
        </w:rPr>
        <w:t xml:space="preserve"> </w:t>
      </w:r>
      <w:r w:rsidR="00F439C7" w:rsidRPr="00065339">
        <w:rPr>
          <w:rFonts w:eastAsia="Lucida Sans Unicode"/>
        </w:rPr>
        <w:t>system (art</w:t>
      </w:r>
      <w:r w:rsidR="002422F0" w:rsidRPr="00065339">
        <w:rPr>
          <w:rFonts w:eastAsia="Lucida Sans Unicode"/>
        </w:rPr>
        <w:t>. </w:t>
      </w:r>
      <w:r w:rsidR="00F439C7" w:rsidRPr="00065339">
        <w:rPr>
          <w:rFonts w:eastAsia="Lucida Sans Unicode"/>
        </w:rPr>
        <w:t xml:space="preserve">5 and </w:t>
      </w:r>
      <w:r w:rsidR="002422F0" w:rsidRPr="00065339">
        <w:rPr>
          <w:rFonts w:eastAsia="Lucida Sans Unicode"/>
        </w:rPr>
        <w:t>a</w:t>
      </w:r>
      <w:r w:rsidR="00F439C7" w:rsidRPr="00065339">
        <w:rPr>
          <w:rFonts w:eastAsia="Lucida Sans Unicode"/>
        </w:rPr>
        <w:t>nnex I of the E-PRTR</w:t>
      </w:r>
      <w:r w:rsidR="002422F0" w:rsidRPr="00065339">
        <w:rPr>
          <w:rFonts w:eastAsia="Lucida Sans Unicode"/>
        </w:rPr>
        <w:t xml:space="preserve"> </w:t>
      </w:r>
      <w:r w:rsidR="00F439C7" w:rsidRPr="00065339">
        <w:rPr>
          <w:rFonts w:eastAsia="Lucida Sans Unicode"/>
        </w:rPr>
        <w:t>Regulation),</w:t>
      </w:r>
      <w:r w:rsidR="002422F0" w:rsidRPr="00065339">
        <w:rPr>
          <w:rStyle w:val="FootnoteReference"/>
          <w:rFonts w:eastAsia="Lucida Sans Unicode"/>
        </w:rPr>
        <w:footnoteReference w:id="6"/>
      </w:r>
      <w:r w:rsidR="00F439C7" w:rsidRPr="00065339">
        <w:rPr>
          <w:rFonts w:eastAsia="Lucida Sans Unicode"/>
        </w:rPr>
        <w:t xml:space="preserve"> so probably most of the </w:t>
      </w:r>
      <w:r w:rsidR="00C91F49">
        <w:rPr>
          <w:rFonts w:eastAsia="Lucida Sans Unicode"/>
        </w:rPr>
        <w:t>European Union</w:t>
      </w:r>
      <w:r w:rsidR="00F439C7" w:rsidRPr="00065339">
        <w:rPr>
          <w:rFonts w:eastAsia="Lucida Sans Unicode"/>
        </w:rPr>
        <w:t xml:space="preserve"> </w:t>
      </w:r>
      <w:r w:rsidR="002422F0" w:rsidRPr="00065339">
        <w:rPr>
          <w:rFonts w:eastAsia="Lucida Sans Unicode"/>
        </w:rPr>
        <w:t>m</w:t>
      </w:r>
      <w:r w:rsidR="00F439C7" w:rsidRPr="00065339">
        <w:rPr>
          <w:rFonts w:eastAsia="Lucida Sans Unicode"/>
        </w:rPr>
        <w:t xml:space="preserve">ember States also use this capacity threshold in their own </w:t>
      </w:r>
      <w:r w:rsidR="002422F0" w:rsidRPr="00065339">
        <w:rPr>
          <w:rFonts w:eastAsia="Lucida Sans Unicode"/>
        </w:rPr>
        <w:t>n</w:t>
      </w:r>
      <w:r w:rsidR="00F439C7" w:rsidRPr="00065339">
        <w:rPr>
          <w:rFonts w:eastAsia="Lucida Sans Unicode"/>
        </w:rPr>
        <w:t xml:space="preserve">ational </w:t>
      </w:r>
      <w:r w:rsidR="002422F0" w:rsidRPr="00065339">
        <w:rPr>
          <w:rFonts w:eastAsia="Lucida Sans Unicode"/>
        </w:rPr>
        <w:t>r</w:t>
      </w:r>
      <w:r w:rsidR="00F439C7" w:rsidRPr="00065339">
        <w:rPr>
          <w:rFonts w:eastAsia="Lucida Sans Unicode"/>
        </w:rPr>
        <w:t>egisters.</w:t>
      </w:r>
    </w:p>
    <w:p w14:paraId="56AE5BF4" w14:textId="77777777" w:rsidR="00F439C7" w:rsidRPr="00065339" w:rsidRDefault="00F439C7" w:rsidP="00F439C7">
      <w:pPr>
        <w:pStyle w:val="H4G"/>
      </w:pPr>
      <w:r w:rsidRPr="00065339">
        <w:tab/>
      </w:r>
      <w:r w:rsidRPr="00065339">
        <w:tab/>
        <w:t>Recommendation</w:t>
      </w:r>
    </w:p>
    <w:p w14:paraId="7A0A8192" w14:textId="0A02667E" w:rsidR="00F439C7" w:rsidRPr="00065339" w:rsidRDefault="00D8692E" w:rsidP="00F439C7">
      <w:pPr>
        <w:pStyle w:val="SingleTxtG"/>
        <w:rPr>
          <w:rFonts w:eastAsia="Lucida Sans Unicode"/>
        </w:rPr>
      </w:pPr>
      <w:r>
        <w:t>37</w:t>
      </w:r>
      <w:r w:rsidR="00F439C7" w:rsidRPr="00065339">
        <w:t>.</w:t>
      </w:r>
      <w:r w:rsidR="00F439C7" w:rsidRPr="00065339">
        <w:tab/>
        <w:t>Parties</w:t>
      </w:r>
      <w:r w:rsidR="00F439C7" w:rsidRPr="00065339">
        <w:rPr>
          <w:rFonts w:eastAsia="Lucida Sans Unicode"/>
        </w:rPr>
        <w:t xml:space="preserve"> should say whether they make use of both threshold systems in their </w:t>
      </w:r>
      <w:r w:rsidR="002F45CA" w:rsidRPr="00065339">
        <w:rPr>
          <w:rFonts w:eastAsia="Lucida Sans Unicode"/>
        </w:rPr>
        <w:t>n</w:t>
      </w:r>
      <w:r w:rsidR="00F439C7" w:rsidRPr="00065339">
        <w:rPr>
          <w:rFonts w:eastAsia="Lucida Sans Unicode"/>
        </w:rPr>
        <w:t xml:space="preserve">ational </w:t>
      </w:r>
      <w:r w:rsidR="002F45CA" w:rsidRPr="00065339">
        <w:rPr>
          <w:rFonts w:eastAsia="Lucida Sans Unicode"/>
        </w:rPr>
        <w:t>r</w:t>
      </w:r>
      <w:r w:rsidR="00F439C7" w:rsidRPr="00065339">
        <w:rPr>
          <w:rFonts w:eastAsia="Lucida Sans Unicode"/>
        </w:rPr>
        <w:t>egister.</w:t>
      </w:r>
    </w:p>
    <w:p w14:paraId="0019A764" w14:textId="77777777" w:rsidR="00F439C7" w:rsidRPr="00065339" w:rsidRDefault="00F439C7" w:rsidP="00912E21">
      <w:pPr>
        <w:pStyle w:val="H4G"/>
      </w:pPr>
      <w:r w:rsidRPr="00065339">
        <w:tab/>
      </w:r>
      <w:r w:rsidRPr="00065339">
        <w:tab/>
        <w:t>Selected good practice for reporting</w:t>
      </w:r>
      <w:r w:rsidRPr="00065339" w:rsidDel="00D846C5">
        <w:t xml:space="preserve"> </w:t>
      </w:r>
    </w:p>
    <w:p w14:paraId="2FE248A5" w14:textId="6BF02E6D" w:rsidR="00F439C7" w:rsidRPr="00065339" w:rsidRDefault="00D8692E" w:rsidP="006A1D15">
      <w:pPr>
        <w:pStyle w:val="SingleTxtG"/>
      </w:pPr>
      <w:r>
        <w:t>38</w:t>
      </w:r>
      <w:r w:rsidR="00F439C7" w:rsidRPr="00065339">
        <w:t>.</w:t>
      </w:r>
      <w:r w:rsidR="00F439C7" w:rsidRPr="00065339">
        <w:tab/>
      </w:r>
      <w:r w:rsidR="00715279" w:rsidRPr="00065339">
        <w:t xml:space="preserve">In </w:t>
      </w:r>
      <w:r w:rsidR="00F439C7" w:rsidRPr="00065339">
        <w:t xml:space="preserve">reporting </w:t>
      </w:r>
      <w:r w:rsidR="00715279" w:rsidRPr="00065339">
        <w:t xml:space="preserve">on </w:t>
      </w:r>
      <w:r w:rsidR="00F439C7" w:rsidRPr="00065339">
        <w:t>the capacity threshold and employee threshold</w:t>
      </w:r>
      <w:r w:rsidR="00715279" w:rsidRPr="00065339">
        <w:t xml:space="preserve"> it is good practice to p</w:t>
      </w:r>
      <w:r w:rsidR="00F439C7" w:rsidRPr="00065339">
        <w:t>rovide a brief answer containing the relevant information, including reference to the threshold</w:t>
      </w:r>
      <w:r w:rsidR="002F45CA" w:rsidRPr="00065339">
        <w:t xml:space="preserve"> </w:t>
      </w:r>
      <w:r w:rsidR="00F439C7" w:rsidRPr="00065339">
        <w:t>system (e.g.</w:t>
      </w:r>
      <w:r w:rsidR="002F45CA" w:rsidRPr="00065339">
        <w:t>,</w:t>
      </w:r>
      <w:r w:rsidR="00F439C7" w:rsidRPr="00065339">
        <w:t xml:space="preserve"> see the </w:t>
      </w:r>
      <w:r w:rsidR="005E3BFD">
        <w:t>national implementation report</w:t>
      </w:r>
      <w:r w:rsidR="005E3BFD" w:rsidRPr="00065339">
        <w:t xml:space="preserve"> </w:t>
      </w:r>
      <w:r w:rsidR="00F439C7" w:rsidRPr="00065339">
        <w:t>submitted by the Netherlands).</w:t>
      </w:r>
    </w:p>
    <w:p w14:paraId="1709B68A" w14:textId="4F9A8885" w:rsidR="00F439C7" w:rsidRPr="00065339" w:rsidRDefault="00F439C7" w:rsidP="00F439C7">
      <w:pPr>
        <w:pStyle w:val="H23G"/>
      </w:pPr>
      <w:r w:rsidRPr="00065339">
        <w:rPr>
          <w:rFonts w:eastAsia="Lucida Sans Unicode"/>
        </w:rPr>
        <w:tab/>
      </w:r>
      <w:r w:rsidR="00163FF0" w:rsidRPr="00065339">
        <w:rPr>
          <w:rFonts w:eastAsia="Lucida Sans Unicode"/>
        </w:rPr>
        <w:tab/>
      </w:r>
      <w:r w:rsidRPr="00065339">
        <w:rPr>
          <w:rFonts w:eastAsia="Lucida Sans Unicode"/>
        </w:rPr>
        <w:t xml:space="preserve">Reporting required through facility </w:t>
      </w:r>
      <w:r w:rsidRPr="00065339">
        <w:t>owners and/or operators</w:t>
      </w:r>
      <w:r w:rsidR="00C63795" w:rsidRPr="00065339">
        <w:t xml:space="preserve"> — </w:t>
      </w:r>
      <w:r w:rsidR="001A21C0" w:rsidRPr="00065339">
        <w:t xml:space="preserve">sub-question </w:t>
      </w:r>
      <w:r w:rsidRPr="00065339">
        <w:t>(b)</w:t>
      </w:r>
    </w:p>
    <w:p w14:paraId="6AAC8261" w14:textId="7F6EA78D" w:rsidR="00F439C7" w:rsidRPr="00065339" w:rsidRDefault="00D8692E" w:rsidP="00F439C7">
      <w:pPr>
        <w:pStyle w:val="SingleTxtG"/>
        <w:rPr>
          <w:rFonts w:eastAsia="Lucida Sans Unicode"/>
        </w:rPr>
      </w:pPr>
      <w:r>
        <w:t>39</w:t>
      </w:r>
      <w:r w:rsidR="00F439C7" w:rsidRPr="00065339">
        <w:t>.</w:t>
      </w:r>
      <w:r w:rsidR="00F439C7" w:rsidRPr="00065339">
        <w:tab/>
      </w:r>
      <w:r w:rsidR="00F439C7" w:rsidRPr="00065339">
        <w:rPr>
          <w:rFonts w:eastAsia="Lucida Sans Unicode"/>
        </w:rPr>
        <w:t xml:space="preserve">When they established their </w:t>
      </w:r>
      <w:r w:rsidR="00715279" w:rsidRPr="00065339">
        <w:rPr>
          <w:rFonts w:eastAsia="Lucida Sans Unicode"/>
        </w:rPr>
        <w:t>n</w:t>
      </w:r>
      <w:r w:rsidR="00F439C7" w:rsidRPr="00065339">
        <w:rPr>
          <w:rFonts w:eastAsia="Lucida Sans Unicode"/>
        </w:rPr>
        <w:t xml:space="preserve">ational </w:t>
      </w:r>
      <w:r w:rsidR="00715279" w:rsidRPr="00065339">
        <w:rPr>
          <w:rFonts w:eastAsia="Lucida Sans Unicode"/>
        </w:rPr>
        <w:t>r</w:t>
      </w:r>
      <w:r w:rsidR="00F439C7" w:rsidRPr="00065339">
        <w:rPr>
          <w:rFonts w:eastAsia="Lucida Sans Unicode"/>
        </w:rPr>
        <w:t xml:space="preserve">egisters, Parties had to choose if the owner or the operator is obliged to report the facility data, releases and transfers. The E-PRTR of the </w:t>
      </w:r>
      <w:r w:rsidR="00C91F49">
        <w:rPr>
          <w:rFonts w:eastAsia="Lucida Sans Unicode"/>
        </w:rPr>
        <w:t xml:space="preserve">European Union </w:t>
      </w:r>
      <w:r w:rsidR="00F439C7" w:rsidRPr="00065339">
        <w:rPr>
          <w:rFonts w:eastAsia="Lucida Sans Unicode"/>
        </w:rPr>
        <w:t>oblige</w:t>
      </w:r>
      <w:r w:rsidR="00715279" w:rsidRPr="00065339">
        <w:rPr>
          <w:rFonts w:eastAsia="Lucida Sans Unicode"/>
        </w:rPr>
        <w:t>s</w:t>
      </w:r>
      <w:r w:rsidR="00F439C7" w:rsidRPr="00065339">
        <w:rPr>
          <w:rFonts w:eastAsia="Lucida Sans Unicode"/>
        </w:rPr>
        <w:t xml:space="preserve"> the operator to report the data. </w:t>
      </w:r>
    </w:p>
    <w:p w14:paraId="7712B08E" w14:textId="77777777" w:rsidR="00F439C7" w:rsidRPr="00065339" w:rsidRDefault="00F439C7" w:rsidP="00F439C7">
      <w:pPr>
        <w:pStyle w:val="H4G"/>
      </w:pPr>
      <w:r w:rsidRPr="00065339">
        <w:tab/>
      </w:r>
      <w:r w:rsidRPr="00065339">
        <w:tab/>
        <w:t>Recommendation</w:t>
      </w:r>
    </w:p>
    <w:p w14:paraId="230C3851" w14:textId="5F0589CF" w:rsidR="00F439C7" w:rsidRPr="00065339" w:rsidRDefault="00F439C7" w:rsidP="00F439C7">
      <w:pPr>
        <w:pStyle w:val="SingleTxtG"/>
      </w:pPr>
      <w:r w:rsidRPr="00065339">
        <w:t>4</w:t>
      </w:r>
      <w:r w:rsidR="00D8692E">
        <w:t>0</w:t>
      </w:r>
      <w:r w:rsidRPr="00065339">
        <w:t>.</w:t>
      </w:r>
      <w:r w:rsidRPr="00065339">
        <w:tab/>
        <w:t xml:space="preserve">Parties should clearly indicate who has to report: </w:t>
      </w:r>
      <w:r w:rsidR="00A860E5" w:rsidRPr="00065339">
        <w:t xml:space="preserve">the </w:t>
      </w:r>
      <w:r w:rsidRPr="00065339">
        <w:t xml:space="preserve">owner, </w:t>
      </w:r>
      <w:r w:rsidR="00A860E5" w:rsidRPr="00065339">
        <w:t xml:space="preserve">the </w:t>
      </w:r>
      <w:r w:rsidRPr="00065339">
        <w:t>operator, or both. Where appropriate</w:t>
      </w:r>
      <w:r w:rsidR="009315E1" w:rsidRPr="00065339">
        <w:t>,</w:t>
      </w:r>
      <w:r w:rsidRPr="00065339">
        <w:t xml:space="preserve"> they should describe the specific provisions of national law that determine who is responsible for reporting.</w:t>
      </w:r>
    </w:p>
    <w:p w14:paraId="26D9314D" w14:textId="77777777" w:rsidR="00F439C7" w:rsidRPr="00065339" w:rsidRDefault="00F439C7" w:rsidP="00912E21">
      <w:pPr>
        <w:pStyle w:val="H4G"/>
      </w:pPr>
      <w:r w:rsidRPr="00065339">
        <w:tab/>
      </w:r>
      <w:r w:rsidRPr="00065339">
        <w:tab/>
        <w:t>Selected good practices for reporting</w:t>
      </w:r>
      <w:r w:rsidRPr="00065339" w:rsidDel="00D846C5">
        <w:t xml:space="preserve"> </w:t>
      </w:r>
    </w:p>
    <w:p w14:paraId="75452173" w14:textId="14BB4E84" w:rsidR="00F439C7" w:rsidRPr="00065339" w:rsidRDefault="00D8692E" w:rsidP="00F439C7">
      <w:pPr>
        <w:pStyle w:val="SingleTxtG"/>
      </w:pPr>
      <w:r>
        <w:t>41</w:t>
      </w:r>
      <w:r w:rsidR="00F439C7" w:rsidRPr="00065339">
        <w:t>.</w:t>
      </w:r>
      <w:r w:rsidR="00F439C7" w:rsidRPr="00065339">
        <w:tab/>
      </w:r>
      <w:r w:rsidR="00925914" w:rsidRPr="00065339">
        <w:t xml:space="preserve">Some </w:t>
      </w:r>
      <w:r w:rsidR="00A860E5" w:rsidRPr="00065339">
        <w:t xml:space="preserve">good practices </w:t>
      </w:r>
      <w:r w:rsidR="00925914" w:rsidRPr="00065339">
        <w:t xml:space="preserve">in responding to questions </w:t>
      </w:r>
      <w:r w:rsidR="00F439C7" w:rsidRPr="00065339">
        <w:t xml:space="preserve">on the reporting required </w:t>
      </w:r>
      <w:r w:rsidR="00A860E5" w:rsidRPr="00065339">
        <w:t xml:space="preserve">by </w:t>
      </w:r>
      <w:r w:rsidR="00F439C7" w:rsidRPr="00065339">
        <w:t>facility owners and/or operators</w:t>
      </w:r>
      <w:r w:rsidR="00A860E5" w:rsidRPr="00065339">
        <w:t xml:space="preserve"> are to</w:t>
      </w:r>
      <w:r w:rsidR="00F439C7" w:rsidRPr="00065339">
        <w:t>:</w:t>
      </w:r>
    </w:p>
    <w:p w14:paraId="782127BE" w14:textId="338FAACE" w:rsidR="00F439C7" w:rsidRPr="00065339" w:rsidRDefault="00493D3E" w:rsidP="00493D3E">
      <w:pPr>
        <w:pStyle w:val="SingleTxtG"/>
        <w:ind w:firstLine="567"/>
      </w:pPr>
      <w:r w:rsidRPr="00065339">
        <w:t>(a)</w:t>
      </w:r>
      <w:r w:rsidRPr="00065339">
        <w:tab/>
      </w:r>
      <w:r w:rsidR="00F439C7" w:rsidRPr="00065339">
        <w:t xml:space="preserve">Provide a brief answer containing all </w:t>
      </w:r>
      <w:r w:rsidR="00925914" w:rsidRPr="00065339">
        <w:t xml:space="preserve">the </w:t>
      </w:r>
      <w:r w:rsidR="00F439C7" w:rsidRPr="00065339">
        <w:t>relevant information (e.g.</w:t>
      </w:r>
      <w:r w:rsidR="00A860E5" w:rsidRPr="00065339">
        <w:t>,</w:t>
      </w:r>
      <w:r w:rsidR="00F439C7" w:rsidRPr="00065339">
        <w:t xml:space="preserve"> see the </w:t>
      </w:r>
      <w:r w:rsidR="005E3BFD">
        <w:t>national implementation report</w:t>
      </w:r>
      <w:r w:rsidR="005E3BFD" w:rsidRPr="00065339">
        <w:t xml:space="preserve"> </w:t>
      </w:r>
      <w:r w:rsidR="00F439C7" w:rsidRPr="00065339">
        <w:t>submitted by the Netherlands);</w:t>
      </w:r>
    </w:p>
    <w:p w14:paraId="2AFEA4AD" w14:textId="0C020878" w:rsidR="00F439C7" w:rsidRPr="00065339" w:rsidRDefault="00493D3E" w:rsidP="00493D3E">
      <w:pPr>
        <w:pStyle w:val="SingleTxtG"/>
        <w:ind w:firstLine="567"/>
        <w:rPr>
          <w:rFonts w:eastAsia="Lucida Sans Unicode"/>
        </w:rPr>
      </w:pPr>
      <w:r w:rsidRPr="00065339">
        <w:t>(b)</w:t>
      </w:r>
      <w:r w:rsidRPr="00065339">
        <w:tab/>
      </w:r>
      <w:r w:rsidR="00F439C7" w:rsidRPr="00065339">
        <w:t xml:space="preserve">Provide specific information concerning </w:t>
      </w:r>
      <w:r w:rsidR="00974AE7" w:rsidRPr="00065339">
        <w:t xml:space="preserve">the </w:t>
      </w:r>
      <w:r w:rsidR="00F439C7" w:rsidRPr="00065339">
        <w:t>owner</w:t>
      </w:r>
      <w:r w:rsidR="00974AE7" w:rsidRPr="00065339">
        <w:t xml:space="preserve"> and</w:t>
      </w:r>
      <w:r w:rsidR="00F439C7" w:rsidRPr="00065339">
        <w:t>/</w:t>
      </w:r>
      <w:r w:rsidR="00974AE7" w:rsidRPr="00065339">
        <w:t xml:space="preserve">or </w:t>
      </w:r>
      <w:r w:rsidR="00F439C7" w:rsidRPr="00065339">
        <w:t>operator</w:t>
      </w:r>
      <w:r w:rsidR="00974AE7" w:rsidRPr="00065339">
        <w:t xml:space="preserve"> reporting</w:t>
      </w:r>
      <w:r w:rsidR="00F439C7" w:rsidRPr="00065339">
        <w:t xml:space="preserve"> where this may be of interest</w:t>
      </w:r>
      <w:r w:rsidR="00BD58E7">
        <w:t xml:space="preserve"> </w:t>
      </w:r>
      <w:r w:rsidR="00BD58E7" w:rsidRPr="00065339">
        <w:t xml:space="preserve">(e.g., see the </w:t>
      </w:r>
      <w:r w:rsidR="00BD58E7">
        <w:t>national implementation report</w:t>
      </w:r>
      <w:r w:rsidR="00BD58E7" w:rsidRPr="00065339">
        <w:t xml:space="preserve"> submitted by Germany)</w:t>
      </w:r>
      <w:r w:rsidR="00F439C7" w:rsidRPr="00065339">
        <w:t>.</w:t>
      </w:r>
    </w:p>
    <w:p w14:paraId="0600560C" w14:textId="37CEBEB4" w:rsidR="00F439C7" w:rsidRPr="00065339" w:rsidRDefault="00493D3E" w:rsidP="00493D3E">
      <w:pPr>
        <w:pStyle w:val="H23G"/>
        <w:rPr>
          <w:rFonts w:eastAsia="Lucida Sans Unicode"/>
          <w:bCs/>
          <w:kern w:val="1"/>
        </w:rPr>
      </w:pPr>
      <w:r w:rsidRPr="00065339">
        <w:tab/>
      </w:r>
      <w:r w:rsidR="00163FF0" w:rsidRPr="00065339">
        <w:tab/>
      </w:r>
      <w:r w:rsidR="00F439C7" w:rsidRPr="00065339">
        <w:t>List of activities</w:t>
      </w:r>
      <w:r w:rsidR="00C63795" w:rsidRPr="00065339">
        <w:t xml:space="preserve"> — </w:t>
      </w:r>
      <w:r w:rsidR="001A21C0" w:rsidRPr="00065339">
        <w:t xml:space="preserve">sub-question </w:t>
      </w:r>
      <w:r w:rsidR="00F439C7" w:rsidRPr="00065339">
        <w:t>(</w:t>
      </w:r>
      <w:r w:rsidR="00F439C7" w:rsidRPr="00065339">
        <w:rPr>
          <w:rFonts w:eastAsia="Lucida Sans Unicode"/>
          <w:bCs/>
          <w:kern w:val="1"/>
        </w:rPr>
        <w:t>c)</w:t>
      </w:r>
    </w:p>
    <w:p w14:paraId="55F1ABA0" w14:textId="0D2DB3F8" w:rsidR="00F439C7" w:rsidRPr="00065339" w:rsidRDefault="00F439C7" w:rsidP="00493D3E">
      <w:pPr>
        <w:pStyle w:val="SingleTxtG"/>
        <w:rPr>
          <w:rFonts w:eastAsia="Lucida Sans Unicode"/>
        </w:rPr>
      </w:pPr>
      <w:r w:rsidRPr="00065339">
        <w:rPr>
          <w:rFonts w:eastAsia="Lucida Sans Unicode"/>
        </w:rPr>
        <w:t>4</w:t>
      </w:r>
      <w:r w:rsidR="00D8692E">
        <w:rPr>
          <w:rFonts w:eastAsia="Lucida Sans Unicode"/>
        </w:rPr>
        <w:t>2</w:t>
      </w:r>
      <w:r w:rsidRPr="00065339">
        <w:rPr>
          <w:rFonts w:eastAsia="Lucida Sans Unicode"/>
        </w:rPr>
        <w:t>.</w:t>
      </w:r>
      <w:r w:rsidR="00493D3E" w:rsidRPr="00065339">
        <w:rPr>
          <w:rFonts w:eastAsia="Lucida Sans Unicode"/>
        </w:rPr>
        <w:tab/>
      </w:r>
      <w:r w:rsidRPr="00065339">
        <w:rPr>
          <w:rFonts w:eastAsia="Lucida Sans Unicode"/>
        </w:rPr>
        <w:t>Article 3, paragraph 2</w:t>
      </w:r>
      <w:r w:rsidR="00974AE7" w:rsidRPr="00065339">
        <w:rPr>
          <w:rFonts w:eastAsia="Lucida Sans Unicode"/>
        </w:rPr>
        <w:t>,</w:t>
      </w:r>
      <w:r w:rsidRPr="00065339">
        <w:rPr>
          <w:rFonts w:eastAsia="Lucida Sans Unicode"/>
        </w:rPr>
        <w:t xml:space="preserve"> of the Protocol provides for more extensive PRTRs than required by the Protocol; it follows that Parties might cover more activities or lower capacity thresholds in their </w:t>
      </w:r>
      <w:r w:rsidR="009315E1" w:rsidRPr="00065339">
        <w:rPr>
          <w:rFonts w:eastAsia="Lucida Sans Unicode"/>
        </w:rPr>
        <w:t>n</w:t>
      </w:r>
      <w:r w:rsidRPr="00065339">
        <w:rPr>
          <w:rFonts w:eastAsia="Lucida Sans Unicode"/>
        </w:rPr>
        <w:t xml:space="preserve">ational </w:t>
      </w:r>
      <w:r w:rsidR="009315E1" w:rsidRPr="00065339">
        <w:rPr>
          <w:rFonts w:eastAsia="Lucida Sans Unicode"/>
        </w:rPr>
        <w:t>r</w:t>
      </w:r>
      <w:r w:rsidRPr="00065339">
        <w:rPr>
          <w:rFonts w:eastAsia="Lucida Sans Unicode"/>
        </w:rPr>
        <w:t>egisters than article 7, paragraph 1</w:t>
      </w:r>
      <w:r w:rsidR="009315E1" w:rsidRPr="00065339">
        <w:rPr>
          <w:rFonts w:eastAsia="Lucida Sans Unicode"/>
        </w:rPr>
        <w:t>,</w:t>
      </w:r>
      <w:r w:rsidRPr="00065339">
        <w:rPr>
          <w:rFonts w:eastAsia="Lucida Sans Unicode"/>
        </w:rPr>
        <w:t xml:space="preserve"> and </w:t>
      </w:r>
      <w:r w:rsidR="009315E1" w:rsidRPr="00065339">
        <w:rPr>
          <w:rFonts w:eastAsia="Lucida Sans Unicode"/>
        </w:rPr>
        <w:t>a</w:t>
      </w:r>
      <w:r w:rsidRPr="00065339">
        <w:rPr>
          <w:rFonts w:eastAsia="Lucida Sans Unicode"/>
        </w:rPr>
        <w:t xml:space="preserve">nnex I of the Protocol strictly require. If Parties </w:t>
      </w:r>
      <w:r w:rsidR="009315E1" w:rsidRPr="00065339">
        <w:rPr>
          <w:rFonts w:eastAsia="Lucida Sans Unicode"/>
        </w:rPr>
        <w:t xml:space="preserve">have </w:t>
      </w:r>
      <w:r w:rsidRPr="00065339">
        <w:rPr>
          <w:rFonts w:eastAsia="Lucida Sans Unicode"/>
        </w:rPr>
        <w:t>added activities or lowered activity</w:t>
      </w:r>
      <w:r w:rsidR="009315E1" w:rsidRPr="00065339">
        <w:rPr>
          <w:rFonts w:eastAsia="Lucida Sans Unicode"/>
        </w:rPr>
        <w:t xml:space="preserve"> </w:t>
      </w:r>
      <w:r w:rsidRPr="00065339">
        <w:rPr>
          <w:rFonts w:eastAsia="Lucida Sans Unicode"/>
        </w:rPr>
        <w:t xml:space="preserve">thresholds (capacity </w:t>
      </w:r>
      <w:r w:rsidR="009315E1" w:rsidRPr="00065339">
        <w:rPr>
          <w:rFonts w:eastAsia="Lucida Sans Unicode"/>
        </w:rPr>
        <w:t xml:space="preserve">thresholds </w:t>
      </w:r>
      <w:r w:rsidRPr="00065339">
        <w:rPr>
          <w:rFonts w:eastAsia="Lucida Sans Unicode"/>
        </w:rPr>
        <w:t>or</w:t>
      </w:r>
      <w:r w:rsidR="009315E1" w:rsidRPr="00065339">
        <w:rPr>
          <w:rFonts w:eastAsia="Lucida Sans Unicode"/>
        </w:rPr>
        <w:t>,</w:t>
      </w:r>
      <w:r w:rsidRPr="00065339">
        <w:rPr>
          <w:rFonts w:eastAsia="Lucida Sans Unicode"/>
        </w:rPr>
        <w:t xml:space="preserve"> if applicable</w:t>
      </w:r>
      <w:r w:rsidR="009315E1" w:rsidRPr="00065339">
        <w:rPr>
          <w:rFonts w:eastAsia="Lucida Sans Unicode"/>
        </w:rPr>
        <w:t>,</w:t>
      </w:r>
      <w:r w:rsidRPr="00065339">
        <w:rPr>
          <w:rFonts w:eastAsia="Lucida Sans Unicode"/>
        </w:rPr>
        <w:t xml:space="preserve"> employee</w:t>
      </w:r>
      <w:r w:rsidR="009315E1" w:rsidRPr="00065339">
        <w:rPr>
          <w:rFonts w:eastAsia="Lucida Sans Unicode"/>
        </w:rPr>
        <w:t xml:space="preserve"> </w:t>
      </w:r>
      <w:r w:rsidRPr="00065339">
        <w:rPr>
          <w:rFonts w:eastAsia="Lucida Sans Unicode"/>
        </w:rPr>
        <w:t xml:space="preserve">thresholds) they should </w:t>
      </w:r>
      <w:r w:rsidR="009315E1" w:rsidRPr="00065339">
        <w:rPr>
          <w:rFonts w:eastAsia="Lucida Sans Unicode"/>
        </w:rPr>
        <w:t xml:space="preserve">provide </w:t>
      </w:r>
      <w:r w:rsidRPr="00065339">
        <w:rPr>
          <w:rFonts w:eastAsia="Lucida Sans Unicode"/>
        </w:rPr>
        <w:t xml:space="preserve">this information </w:t>
      </w:r>
      <w:r w:rsidR="0066684A" w:rsidRPr="00065339">
        <w:rPr>
          <w:rFonts w:eastAsia="Lucida Sans Unicode"/>
        </w:rPr>
        <w:t>in their response to sub-question (c)</w:t>
      </w:r>
      <w:r w:rsidRPr="00065339">
        <w:rPr>
          <w:rFonts w:eastAsia="Lucida Sans Unicode"/>
        </w:rPr>
        <w:t>.</w:t>
      </w:r>
    </w:p>
    <w:p w14:paraId="33520BD7" w14:textId="1A1E281C" w:rsidR="00F439C7" w:rsidRPr="00065339" w:rsidRDefault="00493D3E" w:rsidP="00493D3E">
      <w:pPr>
        <w:pStyle w:val="H4G"/>
      </w:pPr>
      <w:r w:rsidRPr="00065339">
        <w:tab/>
      </w:r>
      <w:r w:rsidRPr="00065339">
        <w:tab/>
      </w:r>
      <w:r w:rsidR="00F439C7" w:rsidRPr="00065339">
        <w:t>Recommendation</w:t>
      </w:r>
    </w:p>
    <w:p w14:paraId="6D9D1477" w14:textId="3B1380B9" w:rsidR="00F439C7" w:rsidRPr="00065339" w:rsidRDefault="00D8692E" w:rsidP="00493D3E">
      <w:pPr>
        <w:pStyle w:val="SingleTxtG"/>
        <w:rPr>
          <w:rFonts w:eastAsia="Lucida Sans Unicode"/>
        </w:rPr>
      </w:pPr>
      <w:r>
        <w:t>43</w:t>
      </w:r>
      <w:r w:rsidR="00F439C7" w:rsidRPr="00065339">
        <w:t>.</w:t>
      </w:r>
      <w:r w:rsidR="00493D3E" w:rsidRPr="00065339">
        <w:tab/>
      </w:r>
      <w:r w:rsidR="00F439C7" w:rsidRPr="00065339">
        <w:t>Each Party should</w:t>
      </w:r>
      <w:r w:rsidR="00F439C7" w:rsidRPr="00065339">
        <w:rPr>
          <w:rFonts w:eastAsia="Lucida Sans Unicode"/>
        </w:rPr>
        <w:t xml:space="preserve"> check the activities and thresholds of its </w:t>
      </w:r>
      <w:r w:rsidR="009315E1" w:rsidRPr="00065339">
        <w:rPr>
          <w:rFonts w:eastAsia="Lucida Sans Unicode"/>
        </w:rPr>
        <w:t>n</w:t>
      </w:r>
      <w:r w:rsidR="00F439C7" w:rsidRPr="00065339">
        <w:rPr>
          <w:rFonts w:eastAsia="Lucida Sans Unicode"/>
        </w:rPr>
        <w:t xml:space="preserve">ational </w:t>
      </w:r>
      <w:r w:rsidR="009315E1" w:rsidRPr="00065339">
        <w:rPr>
          <w:rFonts w:eastAsia="Lucida Sans Unicode"/>
        </w:rPr>
        <w:t>r</w:t>
      </w:r>
      <w:r w:rsidR="00F439C7" w:rsidRPr="00065339">
        <w:rPr>
          <w:rFonts w:eastAsia="Lucida Sans Unicode"/>
        </w:rPr>
        <w:t xml:space="preserve">egister </w:t>
      </w:r>
      <w:r w:rsidR="009315E1" w:rsidRPr="00065339">
        <w:rPr>
          <w:rFonts w:eastAsia="Lucida Sans Unicode"/>
        </w:rPr>
        <w:t>against those set out in a</w:t>
      </w:r>
      <w:r w:rsidR="00F439C7" w:rsidRPr="00065339">
        <w:rPr>
          <w:rFonts w:eastAsia="Lucida Sans Unicode"/>
        </w:rPr>
        <w:t>nnex I.</w:t>
      </w:r>
    </w:p>
    <w:p w14:paraId="35ABF03D" w14:textId="77777777" w:rsidR="001E1BC1" w:rsidRPr="00065339" w:rsidRDefault="00F439C7" w:rsidP="00493D3E">
      <w:pPr>
        <w:pStyle w:val="SingleTxtG"/>
        <w:rPr>
          <w:i/>
        </w:rPr>
      </w:pPr>
      <w:r w:rsidRPr="00065339">
        <w:rPr>
          <w:i/>
        </w:rPr>
        <w:t>Selected good practices for reporting</w:t>
      </w:r>
      <w:r w:rsidRPr="00065339" w:rsidDel="00D846C5">
        <w:rPr>
          <w:i/>
        </w:rPr>
        <w:t xml:space="preserve"> </w:t>
      </w:r>
    </w:p>
    <w:p w14:paraId="3C6E7681" w14:textId="1402886C" w:rsidR="00F439C7" w:rsidRPr="00065339" w:rsidRDefault="00D8692E" w:rsidP="00A274DF">
      <w:pPr>
        <w:pStyle w:val="SingleTxtG"/>
      </w:pPr>
      <w:r>
        <w:t>44</w:t>
      </w:r>
      <w:r w:rsidR="00F439C7" w:rsidRPr="00065339">
        <w:t>.</w:t>
      </w:r>
      <w:r w:rsidR="00493D3E" w:rsidRPr="00065339">
        <w:tab/>
      </w:r>
      <w:r w:rsidR="00BA357F" w:rsidRPr="00065339">
        <w:t>G</w:t>
      </w:r>
      <w:r w:rsidR="00F439C7" w:rsidRPr="00065339">
        <w:t xml:space="preserve">ood practices for reporting </w:t>
      </w:r>
      <w:r w:rsidR="00BA357F" w:rsidRPr="00065339">
        <w:t xml:space="preserve">on </w:t>
      </w:r>
      <w:r w:rsidR="00F439C7" w:rsidRPr="00065339">
        <w:t>the list of activities</w:t>
      </w:r>
      <w:r w:rsidR="00BA357F" w:rsidRPr="00065339">
        <w:t xml:space="preserve"> include</w:t>
      </w:r>
      <w:r w:rsidR="00F439C7" w:rsidRPr="00065339">
        <w:t>:</w:t>
      </w:r>
    </w:p>
    <w:p w14:paraId="74C4F5D9" w14:textId="450B9366" w:rsidR="00F439C7" w:rsidRPr="00065339" w:rsidRDefault="00493D3E" w:rsidP="00A274DF">
      <w:pPr>
        <w:pStyle w:val="SingleTxtG"/>
        <w:ind w:firstLine="567"/>
      </w:pPr>
      <w:r w:rsidRPr="00065339">
        <w:t>(a)</w:t>
      </w:r>
      <w:r w:rsidRPr="00065339">
        <w:tab/>
      </w:r>
      <w:r w:rsidR="00F439C7" w:rsidRPr="00065339">
        <w:t xml:space="preserve">For countries concerned, provide clear reference to </w:t>
      </w:r>
      <w:r w:rsidR="00FB25F1" w:rsidRPr="00065339">
        <w:t xml:space="preserve">the </w:t>
      </w:r>
      <w:r w:rsidR="00F439C7" w:rsidRPr="00065339">
        <w:t xml:space="preserve">E-PRTR </w:t>
      </w:r>
      <w:r w:rsidR="00FB25F1" w:rsidRPr="00065339">
        <w:t>R</w:t>
      </w:r>
      <w:r w:rsidR="00F439C7" w:rsidRPr="00065339">
        <w:t>egulation, including a list of changes compared to the Protocol</w:t>
      </w:r>
      <w:r w:rsidR="00FB25F1" w:rsidRPr="00065339">
        <w:t>’s</w:t>
      </w:r>
      <w:r w:rsidR="00F439C7" w:rsidRPr="00065339">
        <w:t xml:space="preserve"> provisions, where applicable (e.g.</w:t>
      </w:r>
      <w:r w:rsidR="00FB25F1" w:rsidRPr="00065339">
        <w:t>,</w:t>
      </w:r>
      <w:r w:rsidR="00F439C7" w:rsidRPr="00065339">
        <w:t xml:space="preserve"> see the </w:t>
      </w:r>
      <w:r w:rsidR="00A274DF">
        <w:t>national implementation report</w:t>
      </w:r>
      <w:r w:rsidR="00F439C7" w:rsidRPr="00065339">
        <w:t xml:space="preserve"> submitted by Germany);</w:t>
      </w:r>
    </w:p>
    <w:p w14:paraId="5CB29DAB" w14:textId="0F6A2F5E" w:rsidR="007F0B67" w:rsidRPr="00065339" w:rsidRDefault="00493D3E" w:rsidP="00A274DF">
      <w:pPr>
        <w:pStyle w:val="SingleTxtG"/>
        <w:ind w:firstLine="567"/>
      </w:pPr>
      <w:r w:rsidRPr="00065339">
        <w:t>(b)</w:t>
      </w:r>
      <w:r w:rsidRPr="00065339">
        <w:tab/>
      </w:r>
      <w:r w:rsidR="00A274DF">
        <w:t>P</w:t>
      </w:r>
      <w:r w:rsidR="00F439C7" w:rsidRPr="00065339">
        <w:t xml:space="preserve">rovide a list of activities relevant for reporting to </w:t>
      </w:r>
      <w:r w:rsidR="00FB25F1" w:rsidRPr="00065339">
        <w:t xml:space="preserve">the national </w:t>
      </w:r>
      <w:r w:rsidR="00F439C7" w:rsidRPr="00065339">
        <w:t xml:space="preserve">PRTR that includes </w:t>
      </w:r>
      <w:r w:rsidR="00F439C7" w:rsidRPr="0090429A">
        <w:t>additional</w:t>
      </w:r>
      <w:r w:rsidR="00F439C7" w:rsidRPr="00065339">
        <w:t xml:space="preserve"> activities not mentioned by the Protocol, where applicable (e.g.</w:t>
      </w:r>
      <w:r w:rsidR="00FB25F1" w:rsidRPr="00065339">
        <w:t>,</w:t>
      </w:r>
      <w:r w:rsidR="00F439C7" w:rsidRPr="00065339">
        <w:t xml:space="preserve"> see the </w:t>
      </w:r>
      <w:r w:rsidR="00A274DF">
        <w:t>national implementation report</w:t>
      </w:r>
      <w:r w:rsidR="00F439C7" w:rsidRPr="00065339">
        <w:t xml:space="preserve"> submitted by Israel)</w:t>
      </w:r>
      <w:r w:rsidR="007F0B67" w:rsidRPr="00065339">
        <w:t>;</w:t>
      </w:r>
    </w:p>
    <w:p w14:paraId="43186E82" w14:textId="473BA41D" w:rsidR="00F439C7" w:rsidRPr="00065339" w:rsidRDefault="007F0B67" w:rsidP="00A274DF">
      <w:pPr>
        <w:pStyle w:val="SingleTxtG"/>
        <w:ind w:firstLine="567"/>
      </w:pPr>
      <w:r w:rsidRPr="00065339">
        <w:t>(c)</w:t>
      </w:r>
      <w:r w:rsidRPr="00065339">
        <w:tab/>
      </w:r>
      <w:r w:rsidR="00A274DF">
        <w:t>As t</w:t>
      </w:r>
      <w:r w:rsidRPr="00065339" w:rsidDel="002C52CC">
        <w:rPr>
          <w:rFonts w:eastAsia="Lucida Sans Unicode"/>
        </w:rPr>
        <w:t xml:space="preserve">he </w:t>
      </w:r>
      <w:r w:rsidR="00A274DF">
        <w:rPr>
          <w:rFonts w:eastAsia="Lucida Sans Unicode"/>
        </w:rPr>
        <w:t>European Union</w:t>
      </w:r>
      <w:r w:rsidRPr="00065339" w:rsidDel="002C52CC">
        <w:rPr>
          <w:rFonts w:eastAsia="Lucida Sans Unicode"/>
        </w:rPr>
        <w:t xml:space="preserve"> added </w:t>
      </w:r>
      <w:r w:rsidR="00CF4BC9" w:rsidRPr="00065339" w:rsidDel="002C52CC">
        <w:rPr>
          <w:rFonts w:eastAsia="Lucida Sans Unicode"/>
        </w:rPr>
        <w:t xml:space="preserve">a reporting obligation for quarries above 25 hectares </w:t>
      </w:r>
      <w:r w:rsidR="00CF4BC9">
        <w:rPr>
          <w:rFonts w:eastAsia="Lucida Sans Unicode"/>
        </w:rPr>
        <w:t xml:space="preserve">to </w:t>
      </w:r>
      <w:r w:rsidRPr="00065339" w:rsidDel="002C52CC">
        <w:rPr>
          <w:rFonts w:eastAsia="Lucida Sans Unicode"/>
        </w:rPr>
        <w:t>activity 3 (b) — opencast mining —</w:t>
      </w:r>
      <w:r w:rsidR="00CF4BC9">
        <w:rPr>
          <w:rFonts w:eastAsia="Lucida Sans Unicode"/>
        </w:rPr>
        <w:t xml:space="preserve"> of the E-PRTR,</w:t>
      </w:r>
      <w:r w:rsidRPr="00065339" w:rsidDel="002C52CC">
        <w:rPr>
          <w:rFonts w:eastAsia="Lucida Sans Unicode"/>
        </w:rPr>
        <w:t xml:space="preserve"> Protocol Parties that are also </w:t>
      </w:r>
      <w:r w:rsidR="00A274DF">
        <w:rPr>
          <w:rFonts w:eastAsia="Lucida Sans Unicode"/>
        </w:rPr>
        <w:t>European Union</w:t>
      </w:r>
      <w:r w:rsidRPr="00065339" w:rsidDel="002C52CC">
        <w:rPr>
          <w:rFonts w:eastAsia="Lucida Sans Unicode"/>
        </w:rPr>
        <w:t xml:space="preserve"> members should check if they also implemented this reporting obligation in their national </w:t>
      </w:r>
      <w:r w:rsidRPr="00065339" w:rsidDel="002C52CC">
        <w:t>registers</w:t>
      </w:r>
      <w:r w:rsidR="00F439C7" w:rsidRPr="00065339">
        <w:t>.</w:t>
      </w:r>
    </w:p>
    <w:p w14:paraId="1B5441A1" w14:textId="69DA778C" w:rsidR="00F439C7" w:rsidRPr="00065339" w:rsidRDefault="00493D3E" w:rsidP="00493D3E">
      <w:pPr>
        <w:pStyle w:val="H23G"/>
        <w:rPr>
          <w:rFonts w:eastAsia="Lucida Sans Unicode"/>
          <w:bCs/>
          <w:kern w:val="1"/>
        </w:rPr>
      </w:pPr>
      <w:r w:rsidRPr="00065339">
        <w:tab/>
      </w:r>
      <w:r w:rsidR="00163FF0" w:rsidRPr="00065339">
        <w:tab/>
      </w:r>
      <w:r w:rsidR="00F439C7" w:rsidRPr="00065339">
        <w:t>List of pollutants</w:t>
      </w:r>
      <w:r w:rsidR="00C63795" w:rsidRPr="00065339">
        <w:t xml:space="preserve"> — </w:t>
      </w:r>
      <w:r w:rsidR="00B24547" w:rsidRPr="00065339">
        <w:t xml:space="preserve">sub-question </w:t>
      </w:r>
      <w:r w:rsidR="00F439C7" w:rsidRPr="00065339">
        <w:t>(</w:t>
      </w:r>
      <w:r w:rsidR="00F439C7" w:rsidRPr="00065339">
        <w:rPr>
          <w:rFonts w:eastAsia="Lucida Sans Unicode"/>
          <w:bCs/>
          <w:kern w:val="1"/>
        </w:rPr>
        <w:t>d)</w:t>
      </w:r>
    </w:p>
    <w:p w14:paraId="0A666D25" w14:textId="4B68D059" w:rsidR="00F439C7" w:rsidRPr="00065339" w:rsidRDefault="00817412" w:rsidP="00493D3E">
      <w:pPr>
        <w:pStyle w:val="SingleTxtG"/>
        <w:rPr>
          <w:rFonts w:eastAsia="Lucida Sans Unicode"/>
        </w:rPr>
      </w:pPr>
      <w:r w:rsidRPr="00065339">
        <w:rPr>
          <w:rFonts w:eastAsia="Lucida Sans Unicode"/>
        </w:rPr>
        <w:t>4</w:t>
      </w:r>
      <w:r w:rsidR="00D8692E">
        <w:rPr>
          <w:rFonts w:eastAsia="Lucida Sans Unicode"/>
        </w:rPr>
        <w:t>5</w:t>
      </w:r>
      <w:r w:rsidR="00F439C7" w:rsidRPr="00065339">
        <w:rPr>
          <w:rFonts w:eastAsia="Lucida Sans Unicode"/>
        </w:rPr>
        <w:t>.</w:t>
      </w:r>
      <w:r w:rsidR="00493D3E" w:rsidRPr="00065339">
        <w:rPr>
          <w:rFonts w:eastAsia="Lucida Sans Unicode"/>
        </w:rPr>
        <w:tab/>
      </w:r>
      <w:r w:rsidR="00F439C7" w:rsidRPr="00065339">
        <w:rPr>
          <w:rFonts w:eastAsia="Lucida Sans Unicode"/>
        </w:rPr>
        <w:t>According to article 3, paragraph 2</w:t>
      </w:r>
      <w:r w:rsidR="00F67671" w:rsidRPr="00065339">
        <w:rPr>
          <w:rFonts w:eastAsia="Lucida Sans Unicode"/>
        </w:rPr>
        <w:t>,</w:t>
      </w:r>
      <w:r w:rsidR="00F439C7" w:rsidRPr="00065339">
        <w:rPr>
          <w:rFonts w:eastAsia="Lucida Sans Unicode"/>
        </w:rPr>
        <w:t xml:space="preserve"> of the Protocol</w:t>
      </w:r>
      <w:r w:rsidR="00F67671" w:rsidRPr="00065339">
        <w:rPr>
          <w:rFonts w:eastAsia="Lucida Sans Unicode"/>
        </w:rPr>
        <w:t>,</w:t>
      </w:r>
      <w:r w:rsidR="00F439C7" w:rsidRPr="00065339">
        <w:rPr>
          <w:rFonts w:eastAsia="Lucida Sans Unicode"/>
        </w:rPr>
        <w:t xml:space="preserve"> Parties may also have additional pollutants or lower pollutant thresholds in their </w:t>
      </w:r>
      <w:r w:rsidR="00F67671" w:rsidRPr="00065339">
        <w:rPr>
          <w:rFonts w:eastAsia="Lucida Sans Unicode"/>
        </w:rPr>
        <w:t>n</w:t>
      </w:r>
      <w:r w:rsidR="00F439C7" w:rsidRPr="00065339">
        <w:rPr>
          <w:rFonts w:eastAsia="Lucida Sans Unicode"/>
        </w:rPr>
        <w:t xml:space="preserve">ational </w:t>
      </w:r>
      <w:r w:rsidR="00F67671" w:rsidRPr="00065339">
        <w:rPr>
          <w:rFonts w:eastAsia="Lucida Sans Unicode"/>
        </w:rPr>
        <w:t>r</w:t>
      </w:r>
      <w:r w:rsidR="00F439C7" w:rsidRPr="00065339">
        <w:rPr>
          <w:rFonts w:eastAsia="Lucida Sans Unicode"/>
        </w:rPr>
        <w:t>egisters. If Parties added pollutants or lowered pollutant</w:t>
      </w:r>
      <w:r w:rsidR="0066684A" w:rsidRPr="00065339">
        <w:rPr>
          <w:rFonts w:eastAsia="Lucida Sans Unicode"/>
        </w:rPr>
        <w:t xml:space="preserve"> </w:t>
      </w:r>
      <w:r w:rsidR="00F439C7" w:rsidRPr="00065339">
        <w:rPr>
          <w:rFonts w:eastAsia="Lucida Sans Unicode"/>
        </w:rPr>
        <w:t>thresholds (release</w:t>
      </w:r>
      <w:r w:rsidR="0066684A" w:rsidRPr="00065339">
        <w:rPr>
          <w:rFonts w:eastAsia="Lucida Sans Unicode"/>
        </w:rPr>
        <w:t xml:space="preserve"> </w:t>
      </w:r>
      <w:r w:rsidR="00F439C7" w:rsidRPr="00065339">
        <w:rPr>
          <w:rFonts w:eastAsia="Lucida Sans Unicode"/>
        </w:rPr>
        <w:t>thresholds or</w:t>
      </w:r>
      <w:r w:rsidR="0066684A" w:rsidRPr="00065339">
        <w:rPr>
          <w:rFonts w:eastAsia="Lucida Sans Unicode"/>
        </w:rPr>
        <w:t>,</w:t>
      </w:r>
      <w:r w:rsidR="00F439C7" w:rsidRPr="00065339">
        <w:rPr>
          <w:rFonts w:eastAsia="Lucida Sans Unicode"/>
        </w:rPr>
        <w:t xml:space="preserve"> if applicable</w:t>
      </w:r>
      <w:r w:rsidR="0066684A" w:rsidRPr="00065339">
        <w:rPr>
          <w:rFonts w:eastAsia="Lucida Sans Unicode"/>
        </w:rPr>
        <w:t>,</w:t>
      </w:r>
      <w:r w:rsidR="00F439C7" w:rsidRPr="00065339">
        <w:rPr>
          <w:rFonts w:eastAsia="Lucida Sans Unicode"/>
        </w:rPr>
        <w:t xml:space="preserve"> manufacture, process or use</w:t>
      </w:r>
      <w:r w:rsidR="0066684A" w:rsidRPr="00065339">
        <w:rPr>
          <w:rFonts w:eastAsia="Lucida Sans Unicode"/>
        </w:rPr>
        <w:t xml:space="preserve"> </w:t>
      </w:r>
      <w:r w:rsidR="00F439C7" w:rsidRPr="00065339">
        <w:rPr>
          <w:rFonts w:eastAsia="Lucida Sans Unicode"/>
        </w:rPr>
        <w:t xml:space="preserve">thresholds) they have to give this information </w:t>
      </w:r>
      <w:r w:rsidR="0066684A" w:rsidRPr="00065339">
        <w:rPr>
          <w:rFonts w:eastAsia="Lucida Sans Unicode"/>
        </w:rPr>
        <w:t>in response to sub</w:t>
      </w:r>
      <w:r w:rsidR="0066684A" w:rsidRPr="00065339">
        <w:rPr>
          <w:rFonts w:eastAsia="Lucida Sans Unicode"/>
        </w:rPr>
        <w:noBreakHyphen/>
        <w:t>question (d)</w:t>
      </w:r>
      <w:r w:rsidR="00F439C7" w:rsidRPr="00065339">
        <w:rPr>
          <w:rFonts w:eastAsia="Lucida Sans Unicode"/>
        </w:rPr>
        <w:t>. It may be necessary to give a lot of information; if so</w:t>
      </w:r>
      <w:r w:rsidR="0066684A" w:rsidRPr="00065339">
        <w:rPr>
          <w:rFonts w:eastAsia="Lucida Sans Unicode"/>
        </w:rPr>
        <w:t>,</w:t>
      </w:r>
      <w:r w:rsidR="00F439C7" w:rsidRPr="00065339">
        <w:rPr>
          <w:rFonts w:eastAsia="Lucida Sans Unicode"/>
        </w:rPr>
        <w:t xml:space="preserve"> that information will be easier to assimilate if presented with a clear structure and/or in a tabular format.</w:t>
      </w:r>
    </w:p>
    <w:p w14:paraId="1675EC00" w14:textId="77777777" w:rsidR="00F439C7" w:rsidRPr="00065339" w:rsidRDefault="00493D3E" w:rsidP="00493D3E">
      <w:pPr>
        <w:pStyle w:val="H4G"/>
      </w:pPr>
      <w:r w:rsidRPr="00065339">
        <w:tab/>
      </w:r>
      <w:r w:rsidRPr="00065339">
        <w:tab/>
      </w:r>
      <w:r w:rsidR="00F439C7" w:rsidRPr="00065339">
        <w:t>Recommendations</w:t>
      </w:r>
    </w:p>
    <w:p w14:paraId="44EB8162" w14:textId="59F5F138" w:rsidR="00F439C7" w:rsidRPr="00065339" w:rsidRDefault="00D8692E" w:rsidP="00493D3E">
      <w:pPr>
        <w:pStyle w:val="SingleTxtG"/>
      </w:pPr>
      <w:r>
        <w:t>46</w:t>
      </w:r>
      <w:r w:rsidR="00F439C7" w:rsidRPr="00065339">
        <w:t>.</w:t>
      </w:r>
      <w:r w:rsidR="00493D3E" w:rsidRPr="00065339">
        <w:tab/>
      </w:r>
      <w:r w:rsidR="00F439C7" w:rsidRPr="00065339">
        <w:t>Each Party should</w:t>
      </w:r>
      <w:r w:rsidR="00F439C7" w:rsidRPr="00065339">
        <w:rPr>
          <w:rFonts w:eastAsia="Lucida Sans Unicode"/>
        </w:rPr>
        <w:t xml:space="preserve"> check the pollutants and thresholds of its</w:t>
      </w:r>
      <w:r w:rsidR="00F67671" w:rsidRPr="00065339">
        <w:rPr>
          <w:rFonts w:eastAsia="Lucida Sans Unicode"/>
        </w:rPr>
        <w:t xml:space="preserve"> national reg</w:t>
      </w:r>
      <w:r w:rsidR="00F439C7" w:rsidRPr="00065339">
        <w:rPr>
          <w:rFonts w:eastAsia="Lucida Sans Unicode"/>
        </w:rPr>
        <w:t xml:space="preserve">ister </w:t>
      </w:r>
      <w:r w:rsidR="0066684A" w:rsidRPr="00065339">
        <w:rPr>
          <w:rFonts w:eastAsia="Lucida Sans Unicode"/>
        </w:rPr>
        <w:t>against th</w:t>
      </w:r>
      <w:r w:rsidR="00F33AB8" w:rsidRPr="00065339">
        <w:rPr>
          <w:rFonts w:eastAsia="Lucida Sans Unicode"/>
        </w:rPr>
        <w:t xml:space="preserve">ose set in </w:t>
      </w:r>
      <w:r w:rsidR="0066684A" w:rsidRPr="00065339">
        <w:rPr>
          <w:rFonts w:eastAsia="Lucida Sans Unicode"/>
        </w:rPr>
        <w:t>a</w:t>
      </w:r>
      <w:r w:rsidR="00F439C7" w:rsidRPr="00065339">
        <w:rPr>
          <w:rFonts w:eastAsia="Lucida Sans Unicode"/>
        </w:rPr>
        <w:t>nnex II</w:t>
      </w:r>
      <w:r w:rsidR="00F33AB8" w:rsidRPr="00065339">
        <w:rPr>
          <w:rFonts w:eastAsia="Lucida Sans Unicode"/>
        </w:rPr>
        <w:t xml:space="preserve"> to the Protocol</w:t>
      </w:r>
      <w:r w:rsidR="00F439C7" w:rsidRPr="00065339">
        <w:rPr>
          <w:rFonts w:eastAsia="Lucida Sans Unicode"/>
        </w:rPr>
        <w:t>.</w:t>
      </w:r>
    </w:p>
    <w:p w14:paraId="45BF0188" w14:textId="6614C7B8" w:rsidR="00F439C7" w:rsidRPr="00065339" w:rsidRDefault="00D8692E">
      <w:pPr>
        <w:pStyle w:val="SingleTxtG"/>
        <w:rPr>
          <w:rFonts w:eastAsia="Lucida Sans Unicode"/>
        </w:rPr>
      </w:pPr>
      <w:r>
        <w:t>47</w:t>
      </w:r>
      <w:r w:rsidR="00F439C7" w:rsidRPr="00065339">
        <w:t>.</w:t>
      </w:r>
      <w:r w:rsidR="00493D3E" w:rsidRPr="00065339">
        <w:tab/>
      </w:r>
      <w:r w:rsidR="00F439C7" w:rsidRPr="00065339">
        <w:t>Several Parties do not apply any pollutant thresholds, so all releases of the pollutants have to be reported to the</w:t>
      </w:r>
      <w:r w:rsidR="00F439C7" w:rsidRPr="00065339">
        <w:rPr>
          <w:rFonts w:eastAsia="Lucida Sans Unicode"/>
        </w:rPr>
        <w:t xml:space="preserve"> competent authorities. Whil</w:t>
      </w:r>
      <w:r w:rsidR="00F33AB8" w:rsidRPr="00065339">
        <w:rPr>
          <w:rFonts w:eastAsia="Lucida Sans Unicode"/>
        </w:rPr>
        <w:t>e</w:t>
      </w:r>
      <w:r w:rsidR="00F439C7" w:rsidRPr="00065339">
        <w:rPr>
          <w:rFonts w:eastAsia="Lucida Sans Unicode"/>
        </w:rPr>
        <w:t xml:space="preserve"> this practice is welcome because it provides more complete information, in reporting</w:t>
      </w:r>
      <w:r w:rsidR="00F33AB8" w:rsidRPr="00065339">
        <w:rPr>
          <w:rFonts w:eastAsia="Lucida Sans Unicode"/>
        </w:rPr>
        <w:t>,</w:t>
      </w:r>
      <w:r w:rsidR="00F439C7" w:rsidRPr="00065339">
        <w:rPr>
          <w:rFonts w:eastAsia="Lucida Sans Unicode"/>
        </w:rPr>
        <w:t xml:space="preserve"> Parties should clarify </w:t>
      </w:r>
      <w:r w:rsidR="006567A0" w:rsidRPr="00065339">
        <w:rPr>
          <w:rFonts w:eastAsia="Lucida Sans Unicode"/>
        </w:rPr>
        <w:t xml:space="preserve">whether </w:t>
      </w:r>
      <w:r w:rsidR="00F439C7" w:rsidRPr="00065339">
        <w:rPr>
          <w:rFonts w:eastAsia="Lucida Sans Unicode"/>
        </w:rPr>
        <w:t>this is only valid for reporting to the competent authorities or if all data below the thresholds set in the Protocol are also publicly available through the national register.</w:t>
      </w:r>
    </w:p>
    <w:p w14:paraId="4BAA9972" w14:textId="77777777" w:rsidR="00F439C7" w:rsidRPr="00065339" w:rsidRDefault="00493D3E" w:rsidP="00912E21">
      <w:pPr>
        <w:pStyle w:val="H4G"/>
      </w:pPr>
      <w:r w:rsidRPr="00065339">
        <w:tab/>
      </w:r>
      <w:r w:rsidRPr="00065339">
        <w:tab/>
      </w:r>
      <w:r w:rsidR="00F439C7" w:rsidRPr="00065339">
        <w:t>Selected good practices for reporting</w:t>
      </w:r>
      <w:r w:rsidR="00F439C7" w:rsidRPr="00065339" w:rsidDel="00D846C5">
        <w:t xml:space="preserve"> </w:t>
      </w:r>
    </w:p>
    <w:p w14:paraId="6ACD787D" w14:textId="465912EF" w:rsidR="00F439C7" w:rsidRPr="00065339" w:rsidRDefault="00D8692E" w:rsidP="00493D3E">
      <w:pPr>
        <w:pStyle w:val="SingleTxtG"/>
      </w:pPr>
      <w:r>
        <w:t>48</w:t>
      </w:r>
      <w:r w:rsidR="00F439C7" w:rsidRPr="00065339">
        <w:t>.</w:t>
      </w:r>
      <w:r w:rsidR="00493D3E" w:rsidRPr="00065339">
        <w:tab/>
      </w:r>
      <w:r w:rsidR="006567A0" w:rsidRPr="00065339">
        <w:t>Among g</w:t>
      </w:r>
      <w:r w:rsidR="00F439C7" w:rsidRPr="00065339">
        <w:t>ood practice</w:t>
      </w:r>
      <w:r w:rsidR="006567A0" w:rsidRPr="00065339">
        <w:t>s</w:t>
      </w:r>
      <w:r w:rsidR="00F439C7" w:rsidRPr="00065339">
        <w:t xml:space="preserve"> for reporting </w:t>
      </w:r>
      <w:r w:rsidR="006567A0" w:rsidRPr="00065339">
        <w:t xml:space="preserve">on </w:t>
      </w:r>
      <w:r w:rsidR="00F439C7" w:rsidRPr="00065339">
        <w:t>the list of pollutants</w:t>
      </w:r>
      <w:r w:rsidR="006567A0" w:rsidRPr="00065339">
        <w:t>, Parties should</w:t>
      </w:r>
      <w:r w:rsidR="00F439C7" w:rsidRPr="00065339">
        <w:t>:</w:t>
      </w:r>
    </w:p>
    <w:p w14:paraId="67943796" w14:textId="5613B69A" w:rsidR="00F439C7" w:rsidRPr="00065339" w:rsidRDefault="00493D3E" w:rsidP="00493D3E">
      <w:pPr>
        <w:pStyle w:val="SingleTxtG"/>
        <w:ind w:firstLine="567"/>
        <w:rPr>
          <w:rFonts w:eastAsia="Lucida Sans Unicode"/>
        </w:rPr>
      </w:pPr>
      <w:r w:rsidRPr="00065339">
        <w:rPr>
          <w:rFonts w:eastAsia="Lucida Sans Unicode"/>
        </w:rPr>
        <w:t>(a)</w:t>
      </w:r>
      <w:r w:rsidRPr="00065339">
        <w:rPr>
          <w:rFonts w:eastAsia="Lucida Sans Unicode"/>
        </w:rPr>
        <w:tab/>
      </w:r>
      <w:r w:rsidR="006567A0" w:rsidRPr="00065339">
        <w:rPr>
          <w:rFonts w:eastAsia="Lucida Sans Unicode"/>
        </w:rPr>
        <w:t xml:space="preserve">Provide a </w:t>
      </w:r>
      <w:r w:rsidR="00F439C7" w:rsidRPr="00065339">
        <w:rPr>
          <w:rFonts w:eastAsia="Lucida Sans Unicode"/>
        </w:rPr>
        <w:t>well-structured</w:t>
      </w:r>
      <w:r w:rsidR="006567A0" w:rsidRPr="00065339">
        <w:rPr>
          <w:rFonts w:eastAsia="Lucida Sans Unicode"/>
        </w:rPr>
        <w:t xml:space="preserve"> response</w:t>
      </w:r>
      <w:r w:rsidR="00F439C7" w:rsidRPr="00065339">
        <w:rPr>
          <w:rFonts w:eastAsia="Lucida Sans Unicode"/>
        </w:rPr>
        <w:t xml:space="preserve">, and break down the information systematically in a self-contained response that is </w:t>
      </w:r>
      <w:r w:rsidR="007156D1" w:rsidRPr="00065339">
        <w:rPr>
          <w:rFonts w:eastAsia="Lucida Sans Unicode"/>
        </w:rPr>
        <w:t xml:space="preserve">clear and easy to </w:t>
      </w:r>
      <w:r w:rsidR="00B23B12" w:rsidRPr="00065339">
        <w:rPr>
          <w:rFonts w:eastAsia="Lucida Sans Unicode"/>
        </w:rPr>
        <w:t xml:space="preserve">follow for any reader </w:t>
      </w:r>
      <w:r w:rsidR="00F439C7" w:rsidRPr="00065339">
        <w:t>(e.g.</w:t>
      </w:r>
      <w:r w:rsidR="006567A0" w:rsidRPr="00065339">
        <w:t>,</w:t>
      </w:r>
      <w:r w:rsidR="00F439C7" w:rsidRPr="00065339">
        <w:t xml:space="preserve"> see the </w:t>
      </w:r>
      <w:r w:rsidR="005E3BFD">
        <w:t>national implementation report</w:t>
      </w:r>
      <w:r w:rsidR="005E3BFD" w:rsidRPr="00065339">
        <w:t xml:space="preserve"> </w:t>
      </w:r>
      <w:r w:rsidR="00F439C7" w:rsidRPr="00065339">
        <w:t>submitted by Germany)</w:t>
      </w:r>
      <w:r w:rsidR="00F439C7" w:rsidRPr="00065339">
        <w:rPr>
          <w:rFonts w:eastAsia="Lucida Sans Unicode"/>
        </w:rPr>
        <w:t>;</w:t>
      </w:r>
    </w:p>
    <w:p w14:paraId="6938C245" w14:textId="4D510DCF" w:rsidR="007F0B67" w:rsidRPr="00065339" w:rsidRDefault="00493D3E" w:rsidP="00493D3E">
      <w:pPr>
        <w:pStyle w:val="SingleTxtG"/>
        <w:ind w:firstLine="567"/>
      </w:pPr>
      <w:r w:rsidRPr="00065339">
        <w:rPr>
          <w:rFonts w:eastAsia="Lucida Sans Unicode"/>
        </w:rPr>
        <w:t>(b)</w:t>
      </w:r>
      <w:r w:rsidRPr="00065339">
        <w:rPr>
          <w:rFonts w:eastAsia="Lucida Sans Unicode"/>
        </w:rPr>
        <w:tab/>
      </w:r>
      <w:r w:rsidR="00F439C7" w:rsidRPr="00065339">
        <w:rPr>
          <w:rFonts w:eastAsia="Lucida Sans Unicode"/>
        </w:rPr>
        <w:t xml:space="preserve">Explain how </w:t>
      </w:r>
      <w:r w:rsidR="006567A0" w:rsidRPr="00065339">
        <w:rPr>
          <w:rFonts w:eastAsia="Lucida Sans Unicode"/>
        </w:rPr>
        <w:t xml:space="preserve">they </w:t>
      </w:r>
      <w:r w:rsidR="00F439C7" w:rsidRPr="00065339">
        <w:rPr>
          <w:rFonts w:eastAsia="Lucida Sans Unicode"/>
        </w:rPr>
        <w:t>go beyond the provisions under the Protocol</w:t>
      </w:r>
      <w:r w:rsidR="006567A0" w:rsidRPr="00065339">
        <w:rPr>
          <w:rFonts w:eastAsia="Lucida Sans Unicode"/>
        </w:rPr>
        <w:t>,</w:t>
      </w:r>
      <w:r w:rsidR="00F439C7" w:rsidRPr="00065339">
        <w:rPr>
          <w:rFonts w:eastAsia="Lucida Sans Unicode"/>
        </w:rPr>
        <w:t xml:space="preserve"> as well as under the E-PRTR </w:t>
      </w:r>
      <w:r w:rsidR="00FB25F1" w:rsidRPr="00065339">
        <w:rPr>
          <w:rFonts w:eastAsia="Lucida Sans Unicode"/>
        </w:rPr>
        <w:t>R</w:t>
      </w:r>
      <w:r w:rsidR="00F439C7" w:rsidRPr="00065339">
        <w:rPr>
          <w:rFonts w:eastAsia="Lucida Sans Unicode"/>
        </w:rPr>
        <w:t xml:space="preserve">egulation, if applicable </w:t>
      </w:r>
      <w:r w:rsidR="00F439C7" w:rsidRPr="00065339">
        <w:t>(e.g.</w:t>
      </w:r>
      <w:r w:rsidR="006567A0" w:rsidRPr="00065339">
        <w:t>,</w:t>
      </w:r>
      <w:r w:rsidR="00F439C7" w:rsidRPr="00065339">
        <w:t xml:space="preserve"> see the </w:t>
      </w:r>
      <w:r w:rsidR="005E3BFD">
        <w:t xml:space="preserve">national implementation report </w:t>
      </w:r>
      <w:r w:rsidR="00F439C7" w:rsidRPr="00065339">
        <w:t>submitted by Sweden)</w:t>
      </w:r>
      <w:r w:rsidR="007F0B67" w:rsidRPr="00065339">
        <w:t>;</w:t>
      </w:r>
    </w:p>
    <w:p w14:paraId="3C257026" w14:textId="24728890" w:rsidR="00F439C7" w:rsidRPr="00065339" w:rsidRDefault="007F0B67" w:rsidP="00E55974">
      <w:pPr>
        <w:pStyle w:val="SingleTxtG"/>
        <w:ind w:firstLine="567"/>
        <w:rPr>
          <w:rFonts w:eastAsia="Lucida Sans Unicode"/>
        </w:rPr>
      </w:pPr>
      <w:r w:rsidRPr="00065339">
        <w:t>(c)</w:t>
      </w:r>
      <w:r w:rsidRPr="00065339">
        <w:tab/>
      </w:r>
      <w:r w:rsidR="0078607E">
        <w:t xml:space="preserve">As the European Union </w:t>
      </w:r>
      <w:r w:rsidRPr="00065339">
        <w:t xml:space="preserve">extended the list of pollutants </w:t>
      </w:r>
      <w:r w:rsidR="0078607E">
        <w:t xml:space="preserve">in the E-PRTR </w:t>
      </w:r>
      <w:r w:rsidRPr="00065339">
        <w:t>and lowered or added additional thresholds</w:t>
      </w:r>
      <w:r w:rsidR="0078607E">
        <w:t>,</w:t>
      </w:r>
      <w:r w:rsidRPr="00065339">
        <w:t xml:space="preserve"> Parties that are also member States of the </w:t>
      </w:r>
      <w:r w:rsidR="002706CB">
        <w:t>European Union</w:t>
      </w:r>
      <w:r w:rsidRPr="00065339">
        <w:t xml:space="preserve"> should check if they implemented these additional reporting obligations also in their own national registers or if they report on these obligations only to the E-PRTR. They should also check if they have more pollutants or lower thresholds that supplement the extended E-PRTR requirements</w:t>
      </w:r>
      <w:r w:rsidR="00F439C7" w:rsidRPr="00065339">
        <w:rPr>
          <w:rFonts w:eastAsia="Lucida Sans Unicode"/>
        </w:rPr>
        <w:t>.</w:t>
      </w:r>
    </w:p>
    <w:p w14:paraId="034C48E9" w14:textId="17F32789" w:rsidR="00F439C7" w:rsidRPr="00065339" w:rsidRDefault="00493D3E" w:rsidP="00493D3E">
      <w:pPr>
        <w:pStyle w:val="H23G"/>
        <w:rPr>
          <w:rFonts w:eastAsia="Lucida Sans Unicode"/>
          <w:bCs/>
          <w:kern w:val="1"/>
        </w:rPr>
      </w:pPr>
      <w:r w:rsidRPr="00065339">
        <w:tab/>
      </w:r>
      <w:r w:rsidR="00163FF0" w:rsidRPr="00065339">
        <w:tab/>
      </w:r>
      <w:r w:rsidR="00F439C7" w:rsidRPr="00065339">
        <w:t>Thresholds for pollutants</w:t>
      </w:r>
      <w:r w:rsidR="00C63795" w:rsidRPr="00065339">
        <w:t xml:space="preserve"> — </w:t>
      </w:r>
      <w:r w:rsidR="00B24547" w:rsidRPr="00065339">
        <w:t xml:space="preserve">sub-question </w:t>
      </w:r>
      <w:r w:rsidR="00F439C7" w:rsidRPr="00065339">
        <w:t>(</w:t>
      </w:r>
      <w:r w:rsidR="00F439C7" w:rsidRPr="00065339">
        <w:rPr>
          <w:rFonts w:eastAsia="Lucida Sans Unicode"/>
          <w:bCs/>
          <w:kern w:val="1"/>
        </w:rPr>
        <w:t>e)</w:t>
      </w:r>
    </w:p>
    <w:p w14:paraId="2095C3BA" w14:textId="20E1B416" w:rsidR="00F439C7" w:rsidRPr="00065339" w:rsidRDefault="00D8692E" w:rsidP="00493D3E">
      <w:pPr>
        <w:pStyle w:val="SingleTxtG"/>
        <w:rPr>
          <w:rFonts w:eastAsia="Lucida Sans Unicode"/>
        </w:rPr>
      </w:pPr>
      <w:r>
        <w:rPr>
          <w:rFonts w:eastAsia="Lucida Sans Unicode"/>
        </w:rPr>
        <w:t>49</w:t>
      </w:r>
      <w:r w:rsidR="00F439C7" w:rsidRPr="00065339">
        <w:rPr>
          <w:rFonts w:eastAsia="Lucida Sans Unicode"/>
        </w:rPr>
        <w:t>.</w:t>
      </w:r>
      <w:r w:rsidR="00493D3E" w:rsidRPr="00065339">
        <w:rPr>
          <w:rFonts w:eastAsia="Lucida Sans Unicode"/>
        </w:rPr>
        <w:tab/>
      </w:r>
      <w:r w:rsidR="00F439C7" w:rsidRPr="00065339">
        <w:rPr>
          <w:rFonts w:eastAsia="Lucida Sans Unicode"/>
        </w:rPr>
        <w:t>Article 7, paragraph 3</w:t>
      </w:r>
      <w:r w:rsidR="00AE6DB3" w:rsidRPr="00065339">
        <w:rPr>
          <w:rFonts w:eastAsia="Lucida Sans Unicode"/>
        </w:rPr>
        <w:t>,</w:t>
      </w:r>
      <w:r w:rsidR="00F439C7" w:rsidRPr="00065339">
        <w:rPr>
          <w:rFonts w:eastAsia="Lucida Sans Unicode"/>
        </w:rPr>
        <w:t xml:space="preserve"> </w:t>
      </w:r>
      <w:r w:rsidR="00AE6DB3" w:rsidRPr="00065339">
        <w:rPr>
          <w:rFonts w:eastAsia="Lucida Sans Unicode"/>
        </w:rPr>
        <w:t xml:space="preserve">provides </w:t>
      </w:r>
      <w:r w:rsidR="00F439C7" w:rsidRPr="00065339">
        <w:rPr>
          <w:rFonts w:eastAsia="Lucida Sans Unicode"/>
        </w:rPr>
        <w:t>an exception from the approach chosen under article</w:t>
      </w:r>
      <w:r w:rsidR="00AE6DB3" w:rsidRPr="00065339">
        <w:rPr>
          <w:rFonts w:eastAsia="Lucida Sans Unicode"/>
        </w:rPr>
        <w:t> </w:t>
      </w:r>
      <w:r w:rsidR="00F439C7" w:rsidRPr="00065339">
        <w:rPr>
          <w:rFonts w:eastAsia="Lucida Sans Unicode"/>
        </w:rPr>
        <w:t xml:space="preserve">7, paragraph 1 </w:t>
      </w:r>
      <w:r w:rsidR="00AE6DB3" w:rsidRPr="00065339">
        <w:rPr>
          <w:rFonts w:eastAsia="Lucida Sans Unicode"/>
        </w:rPr>
        <w:t>(</w:t>
      </w:r>
      <w:r w:rsidR="00F439C7" w:rsidRPr="00065339">
        <w:rPr>
          <w:rFonts w:eastAsia="Lucida Sans Unicode"/>
        </w:rPr>
        <w:t>a</w:t>
      </w:r>
      <w:r w:rsidR="00AE6DB3" w:rsidRPr="00065339">
        <w:rPr>
          <w:rFonts w:eastAsia="Lucida Sans Unicode"/>
        </w:rPr>
        <w:t>)</w:t>
      </w:r>
      <w:r w:rsidR="00F439C7" w:rsidRPr="00065339">
        <w:rPr>
          <w:rFonts w:eastAsia="Lucida Sans Unicode"/>
        </w:rPr>
        <w:t xml:space="preserve"> or </w:t>
      </w:r>
      <w:r w:rsidR="00AE6DB3" w:rsidRPr="00065339">
        <w:rPr>
          <w:rFonts w:eastAsia="Lucida Sans Unicode"/>
        </w:rPr>
        <w:t>(</w:t>
      </w:r>
      <w:r w:rsidR="00F439C7" w:rsidRPr="00065339">
        <w:rPr>
          <w:rFonts w:eastAsia="Lucida Sans Unicode"/>
        </w:rPr>
        <w:t>b</w:t>
      </w:r>
      <w:r w:rsidR="00AE6DB3" w:rsidRPr="00065339">
        <w:rPr>
          <w:rFonts w:eastAsia="Lucida Sans Unicode"/>
        </w:rPr>
        <w:t>)</w:t>
      </w:r>
      <w:r w:rsidR="00C63795" w:rsidRPr="00065339">
        <w:rPr>
          <w:rFonts w:eastAsia="Lucida Sans Unicode"/>
        </w:rPr>
        <w:t xml:space="preserve"> — </w:t>
      </w:r>
      <w:r w:rsidR="00AE6DB3" w:rsidRPr="00065339">
        <w:rPr>
          <w:rFonts w:eastAsia="Lucida Sans Unicode"/>
        </w:rPr>
        <w:t xml:space="preserve">allowing for Parties to report on the </w:t>
      </w:r>
      <w:r w:rsidR="00F439C7" w:rsidRPr="00065339">
        <w:rPr>
          <w:rFonts w:eastAsia="Lucida Sans Unicode"/>
        </w:rPr>
        <w:t>release threshold or manufacture</w:t>
      </w:r>
      <w:r w:rsidR="00B631E6" w:rsidRPr="00065339">
        <w:rPr>
          <w:rFonts w:eastAsia="Lucida Sans Unicode"/>
        </w:rPr>
        <w:t>,</w:t>
      </w:r>
      <w:r w:rsidR="00F439C7" w:rsidRPr="00065339">
        <w:rPr>
          <w:rFonts w:eastAsia="Lucida Sans Unicode"/>
        </w:rPr>
        <w:t xml:space="preserve"> process or use threshold</w:t>
      </w:r>
      <w:r w:rsidR="00C63795" w:rsidRPr="00065339">
        <w:rPr>
          <w:rFonts w:eastAsia="Lucida Sans Unicode"/>
        </w:rPr>
        <w:t xml:space="preserve"> </w:t>
      </w:r>
      <w:r w:rsidR="00F439C7" w:rsidRPr="00065339">
        <w:rPr>
          <w:rFonts w:eastAsia="Lucida Sans Unicode"/>
        </w:rPr>
        <w:t xml:space="preserve">for a particular pollutant. Parties could choose this exception in order to extend reporting. </w:t>
      </w:r>
      <w:r w:rsidR="00AE6DB3" w:rsidRPr="00065339">
        <w:rPr>
          <w:rFonts w:eastAsia="Lucida Sans Unicode"/>
        </w:rPr>
        <w:t xml:space="preserve">The provision </w:t>
      </w:r>
      <w:r w:rsidR="00F439C7" w:rsidRPr="00065339">
        <w:rPr>
          <w:rFonts w:eastAsia="Lucida Sans Unicode"/>
        </w:rPr>
        <w:t xml:space="preserve">was originally included in the Protocol </w:t>
      </w:r>
      <w:r w:rsidR="00AE6DB3" w:rsidRPr="00065339">
        <w:rPr>
          <w:rFonts w:eastAsia="Lucida Sans Unicode"/>
        </w:rPr>
        <w:t xml:space="preserve">to allow </w:t>
      </w:r>
      <w:r w:rsidR="00F439C7" w:rsidRPr="00065339">
        <w:rPr>
          <w:rFonts w:eastAsia="Lucida Sans Unicode"/>
        </w:rPr>
        <w:t xml:space="preserve">for those Parties that </w:t>
      </w:r>
      <w:r w:rsidR="00AE6DB3" w:rsidRPr="00065339">
        <w:rPr>
          <w:rFonts w:eastAsia="Lucida Sans Unicode"/>
        </w:rPr>
        <w:t xml:space="preserve">already </w:t>
      </w:r>
      <w:r w:rsidR="00F439C7" w:rsidRPr="00065339">
        <w:rPr>
          <w:rFonts w:eastAsia="Lucida Sans Unicode"/>
        </w:rPr>
        <w:t>use</w:t>
      </w:r>
      <w:r w:rsidR="00AE6DB3" w:rsidRPr="00065339">
        <w:rPr>
          <w:rFonts w:eastAsia="Lucida Sans Unicode"/>
        </w:rPr>
        <w:t>d</w:t>
      </w:r>
      <w:r w:rsidR="00F439C7" w:rsidRPr="00065339">
        <w:rPr>
          <w:rFonts w:eastAsia="Lucida Sans Unicode"/>
        </w:rPr>
        <w:t xml:space="preserve"> the manufacture, process or use</w:t>
      </w:r>
      <w:r w:rsidR="00AE6DB3" w:rsidRPr="00065339">
        <w:rPr>
          <w:rFonts w:eastAsia="Lucida Sans Unicode"/>
        </w:rPr>
        <w:t xml:space="preserve"> </w:t>
      </w:r>
      <w:r w:rsidR="00F439C7" w:rsidRPr="00065339">
        <w:rPr>
          <w:rFonts w:eastAsia="Lucida Sans Unicode"/>
        </w:rPr>
        <w:t>threshold for reporting</w:t>
      </w:r>
      <w:r w:rsidR="00DB6DCE" w:rsidRPr="00065339">
        <w:rPr>
          <w:rFonts w:eastAsia="Lucida Sans Unicode"/>
        </w:rPr>
        <w:t xml:space="preserve"> in certain areas, such as</w:t>
      </w:r>
      <w:r w:rsidR="00F439C7" w:rsidRPr="00065339">
        <w:rPr>
          <w:rFonts w:eastAsia="Lucida Sans Unicode"/>
        </w:rPr>
        <w:t xml:space="preserve"> </w:t>
      </w:r>
      <w:r w:rsidR="00DB6DCE" w:rsidRPr="00065339">
        <w:rPr>
          <w:rFonts w:eastAsia="Lucida Sans Unicode"/>
        </w:rPr>
        <w:t xml:space="preserve">for greenhouse </w:t>
      </w:r>
      <w:r w:rsidR="00F439C7" w:rsidRPr="00065339">
        <w:rPr>
          <w:rFonts w:eastAsia="Lucida Sans Unicode"/>
        </w:rPr>
        <w:t xml:space="preserve">gases </w:t>
      </w:r>
      <w:r w:rsidR="00DB6DCE" w:rsidRPr="00065339">
        <w:rPr>
          <w:rFonts w:eastAsia="Lucida Sans Unicode"/>
        </w:rPr>
        <w:t xml:space="preserve">like </w:t>
      </w:r>
      <w:r w:rsidR="00F439C7" w:rsidRPr="00065339">
        <w:rPr>
          <w:rFonts w:eastAsia="Lucida Sans Unicode"/>
        </w:rPr>
        <w:t xml:space="preserve">carbon dioxide. </w:t>
      </w:r>
    </w:p>
    <w:p w14:paraId="2C826913" w14:textId="77777777" w:rsidR="00F439C7" w:rsidRPr="00065339" w:rsidRDefault="00493D3E" w:rsidP="00493D3E">
      <w:pPr>
        <w:pStyle w:val="H4G"/>
      </w:pPr>
      <w:r w:rsidRPr="00065339">
        <w:tab/>
      </w:r>
      <w:r w:rsidRPr="00065339">
        <w:tab/>
      </w:r>
      <w:r w:rsidR="00F439C7" w:rsidRPr="00065339">
        <w:t>Recommendation</w:t>
      </w:r>
    </w:p>
    <w:p w14:paraId="2205D8B8" w14:textId="13CDCBA0" w:rsidR="00F439C7" w:rsidRPr="00065339" w:rsidRDefault="00817412" w:rsidP="00493D3E">
      <w:pPr>
        <w:pStyle w:val="SingleTxtG"/>
        <w:rPr>
          <w:rFonts w:eastAsia="Lucida Sans Unicode"/>
        </w:rPr>
      </w:pPr>
      <w:r w:rsidRPr="00065339">
        <w:t>5</w:t>
      </w:r>
      <w:r w:rsidR="00D8692E">
        <w:t>0</w:t>
      </w:r>
      <w:r w:rsidR="00F439C7" w:rsidRPr="00065339">
        <w:t>.</w:t>
      </w:r>
      <w:r w:rsidR="00493D3E" w:rsidRPr="00065339">
        <w:tab/>
      </w:r>
      <w:r w:rsidR="00F439C7" w:rsidRPr="00065339">
        <w:t>Parties should check if they made use of this exception in their</w:t>
      </w:r>
      <w:r w:rsidR="00F67671" w:rsidRPr="00065339">
        <w:t xml:space="preserve"> national reg</w:t>
      </w:r>
      <w:r w:rsidR="00F439C7" w:rsidRPr="00065339">
        <w:t>isters for a particular pollutant and</w:t>
      </w:r>
      <w:r w:rsidR="00DB6DCE" w:rsidRPr="00065339">
        <w:t>,</w:t>
      </w:r>
      <w:r w:rsidR="00F439C7" w:rsidRPr="00065339">
        <w:t xml:space="preserve"> if </w:t>
      </w:r>
      <w:r w:rsidR="00DB6DCE" w:rsidRPr="00065339">
        <w:t>so</w:t>
      </w:r>
      <w:r w:rsidR="00F439C7" w:rsidRPr="00065339">
        <w:t xml:space="preserve">, </w:t>
      </w:r>
      <w:r w:rsidR="00DB6DCE" w:rsidRPr="00065339">
        <w:t xml:space="preserve">should </w:t>
      </w:r>
      <w:r w:rsidR="00F439C7" w:rsidRPr="00065339">
        <w:t xml:space="preserve">explain </w:t>
      </w:r>
      <w:r w:rsidR="00DB6DCE" w:rsidRPr="00065339">
        <w:t xml:space="preserve">the </w:t>
      </w:r>
      <w:r w:rsidR="00F439C7" w:rsidRPr="00065339">
        <w:t>reason</w:t>
      </w:r>
      <w:r w:rsidR="00DB6DCE" w:rsidRPr="00065339">
        <w:t>s for doing so</w:t>
      </w:r>
      <w:r w:rsidR="00F439C7" w:rsidRPr="00065339">
        <w:t xml:space="preserve">. </w:t>
      </w:r>
    </w:p>
    <w:p w14:paraId="5557C403" w14:textId="77777777" w:rsidR="00F439C7" w:rsidRPr="00065339" w:rsidRDefault="00493D3E" w:rsidP="00912E21">
      <w:pPr>
        <w:pStyle w:val="H4G"/>
      </w:pPr>
      <w:r w:rsidRPr="00065339">
        <w:tab/>
      </w:r>
      <w:r w:rsidRPr="00065339">
        <w:tab/>
      </w:r>
      <w:r w:rsidR="00F439C7" w:rsidRPr="00065339">
        <w:t>Selected good practice for reporting</w:t>
      </w:r>
      <w:r w:rsidR="00F439C7" w:rsidRPr="00065339" w:rsidDel="00D846C5">
        <w:t xml:space="preserve"> </w:t>
      </w:r>
    </w:p>
    <w:p w14:paraId="7550F4F2" w14:textId="593C25C1" w:rsidR="00F439C7" w:rsidRPr="00065339" w:rsidRDefault="00817412" w:rsidP="006A1D15">
      <w:pPr>
        <w:pStyle w:val="SingleTxtG"/>
      </w:pPr>
      <w:r w:rsidRPr="00065339">
        <w:t>5</w:t>
      </w:r>
      <w:r w:rsidR="00D8692E">
        <w:t>1</w:t>
      </w:r>
      <w:r w:rsidR="00F439C7" w:rsidRPr="00065339">
        <w:t>.</w:t>
      </w:r>
      <w:r w:rsidR="00493D3E" w:rsidRPr="00065339">
        <w:tab/>
      </w:r>
      <w:r w:rsidR="00DB6DCE" w:rsidRPr="00065339">
        <w:t xml:space="preserve">In </w:t>
      </w:r>
      <w:r w:rsidR="00F439C7" w:rsidRPr="00065339">
        <w:t xml:space="preserve">reporting </w:t>
      </w:r>
      <w:r w:rsidR="00DB6DCE" w:rsidRPr="00065339">
        <w:t xml:space="preserve">on </w:t>
      </w:r>
      <w:r w:rsidR="00F439C7" w:rsidRPr="00065339">
        <w:t>the thresholds for pollutants</w:t>
      </w:r>
      <w:r w:rsidR="00DB6DCE" w:rsidRPr="00065339">
        <w:t xml:space="preserve">, as a good practice, Parties should provide a brief description of </w:t>
      </w:r>
      <w:r w:rsidR="00F439C7" w:rsidRPr="00065339">
        <w:t>the</w:t>
      </w:r>
      <w:r w:rsidR="00DB6DCE" w:rsidRPr="00065339">
        <w:t>ir</w:t>
      </w:r>
      <w:r w:rsidR="00F439C7" w:rsidRPr="00065339">
        <w:t xml:space="preserve"> approach</w:t>
      </w:r>
      <w:r w:rsidR="00DB6DCE" w:rsidRPr="00065339">
        <w:t>,</w:t>
      </w:r>
      <w:r w:rsidR="00F439C7" w:rsidRPr="00065339">
        <w:t xml:space="preserve"> and use the above recommendation to </w:t>
      </w:r>
      <w:r w:rsidR="00CA3DF5" w:rsidRPr="00065339">
        <w:t xml:space="preserve">ensure they </w:t>
      </w:r>
      <w:r w:rsidR="00F439C7" w:rsidRPr="00065339">
        <w:t xml:space="preserve">provide </w:t>
      </w:r>
      <w:r w:rsidR="00CA3DF5" w:rsidRPr="00065339">
        <w:t xml:space="preserve">all </w:t>
      </w:r>
      <w:r w:rsidR="00F439C7" w:rsidRPr="00065339">
        <w:t>the relevant information (e.g.</w:t>
      </w:r>
      <w:r w:rsidR="00DB6DCE" w:rsidRPr="00065339">
        <w:t>,</w:t>
      </w:r>
      <w:r w:rsidR="00F439C7" w:rsidRPr="00065339">
        <w:t xml:space="preserve"> see the </w:t>
      </w:r>
      <w:r w:rsidR="005E3BFD">
        <w:t>national implementation reports</w:t>
      </w:r>
      <w:r w:rsidR="00F439C7" w:rsidRPr="00065339">
        <w:t xml:space="preserve"> submitted by Germany, the Netherlands or Sweden). </w:t>
      </w:r>
    </w:p>
    <w:p w14:paraId="3DD1D29D" w14:textId="12496BF8" w:rsidR="00F439C7" w:rsidRPr="00065339" w:rsidRDefault="00493D3E" w:rsidP="00493D3E">
      <w:pPr>
        <w:pStyle w:val="H23G"/>
        <w:rPr>
          <w:rFonts w:eastAsia="Lucida Sans Unicode"/>
        </w:rPr>
      </w:pPr>
      <w:r w:rsidRPr="00065339">
        <w:tab/>
      </w:r>
      <w:r w:rsidR="00163FF0" w:rsidRPr="00065339">
        <w:tab/>
      </w:r>
      <w:r w:rsidR="00F439C7" w:rsidRPr="00065339">
        <w:t>Competent authorities for data on diffuse sources</w:t>
      </w:r>
      <w:r w:rsidR="00C63795" w:rsidRPr="00065339">
        <w:t xml:space="preserve"> — </w:t>
      </w:r>
      <w:r w:rsidR="00B24547" w:rsidRPr="00065339">
        <w:t xml:space="preserve">sub-question </w:t>
      </w:r>
      <w:r w:rsidR="00F439C7" w:rsidRPr="00065339">
        <w:t>(</w:t>
      </w:r>
      <w:r w:rsidR="00F439C7" w:rsidRPr="00065339">
        <w:rPr>
          <w:rFonts w:eastAsia="Lucida Sans Unicode"/>
        </w:rPr>
        <w:t>f)</w:t>
      </w:r>
    </w:p>
    <w:p w14:paraId="35899DB0" w14:textId="4198A41F" w:rsidR="00F439C7" w:rsidRPr="00065339" w:rsidRDefault="00817412" w:rsidP="00493D3E">
      <w:pPr>
        <w:pStyle w:val="SingleTxtG"/>
        <w:rPr>
          <w:rFonts w:eastAsia="Lucida Sans Unicode"/>
        </w:rPr>
      </w:pPr>
      <w:r w:rsidRPr="00065339">
        <w:rPr>
          <w:rFonts w:eastAsia="Lucida Sans Unicode"/>
        </w:rPr>
        <w:t>5</w:t>
      </w:r>
      <w:r w:rsidR="00D8692E">
        <w:rPr>
          <w:rFonts w:eastAsia="Lucida Sans Unicode"/>
        </w:rPr>
        <w:t>2</w:t>
      </w:r>
      <w:r w:rsidR="00F439C7" w:rsidRPr="00065339">
        <w:rPr>
          <w:rFonts w:eastAsia="Lucida Sans Unicode"/>
        </w:rPr>
        <w:t>.</w:t>
      </w:r>
      <w:r w:rsidR="00493D3E" w:rsidRPr="00065339">
        <w:rPr>
          <w:rFonts w:eastAsia="Lucida Sans Unicode"/>
        </w:rPr>
        <w:tab/>
      </w:r>
      <w:r w:rsidR="00F439C7" w:rsidRPr="00065339">
        <w:rPr>
          <w:rFonts w:eastAsia="Lucida Sans Unicode"/>
        </w:rPr>
        <w:t>According to the Protocol</w:t>
      </w:r>
      <w:r w:rsidR="00AC2DB0" w:rsidRPr="00065339">
        <w:rPr>
          <w:rFonts w:eastAsia="Lucida Sans Unicode"/>
        </w:rPr>
        <w:t>,</w:t>
      </w:r>
      <w:r w:rsidR="00F439C7" w:rsidRPr="00065339">
        <w:rPr>
          <w:rFonts w:eastAsia="Lucida Sans Unicode"/>
        </w:rPr>
        <w:t xml:space="preserve"> emissions from diffuse sources also have to be included in the</w:t>
      </w:r>
      <w:r w:rsidR="00F67671" w:rsidRPr="00065339">
        <w:rPr>
          <w:rFonts w:eastAsia="Lucida Sans Unicode"/>
        </w:rPr>
        <w:t xml:space="preserve"> national reg</w:t>
      </w:r>
      <w:r w:rsidR="00F439C7" w:rsidRPr="00065339">
        <w:rPr>
          <w:rFonts w:eastAsia="Lucida Sans Unicode"/>
        </w:rPr>
        <w:t>isters. Diffuse sources means the many smaller or scattered sources from which pollutants may be released to land, air or water, whose combined impact on those media may be significant and for which it is impractical to collect reports from each individual source (art</w:t>
      </w:r>
      <w:r w:rsidR="00AC2DB0" w:rsidRPr="00065339">
        <w:rPr>
          <w:rFonts w:eastAsia="Lucida Sans Unicode"/>
        </w:rPr>
        <w:t>.</w:t>
      </w:r>
      <w:r w:rsidR="00F439C7" w:rsidRPr="00065339">
        <w:rPr>
          <w:rFonts w:eastAsia="Lucida Sans Unicode"/>
        </w:rPr>
        <w:t xml:space="preserve"> 2, para</w:t>
      </w:r>
      <w:r w:rsidR="00AC2DB0" w:rsidRPr="00065339">
        <w:rPr>
          <w:rFonts w:eastAsia="Lucida Sans Unicode"/>
        </w:rPr>
        <w:t>.</w:t>
      </w:r>
      <w:r w:rsidR="00F439C7" w:rsidRPr="00065339">
        <w:rPr>
          <w:rFonts w:eastAsia="Lucida Sans Unicode"/>
        </w:rPr>
        <w:t xml:space="preserve"> 9). The Parties must </w:t>
      </w:r>
      <w:r w:rsidR="00AC2DB0" w:rsidRPr="00065339">
        <w:rPr>
          <w:rFonts w:eastAsia="Lucida Sans Unicode"/>
        </w:rPr>
        <w:t xml:space="preserve">also </w:t>
      </w:r>
      <w:r w:rsidR="00F439C7" w:rsidRPr="00065339">
        <w:rPr>
          <w:rFonts w:eastAsia="Lucida Sans Unicode"/>
        </w:rPr>
        <w:t xml:space="preserve">define clearly which authorities are responsible for the data of emissions from diffuse sources. </w:t>
      </w:r>
    </w:p>
    <w:p w14:paraId="7B733BCE" w14:textId="77777777" w:rsidR="00F439C7" w:rsidRPr="00065339" w:rsidRDefault="00493D3E" w:rsidP="00493D3E">
      <w:pPr>
        <w:pStyle w:val="H4G"/>
        <w:rPr>
          <w:rFonts w:eastAsia="Lucida Sans Unicode"/>
        </w:rPr>
      </w:pPr>
      <w:r w:rsidRPr="00065339">
        <w:tab/>
      </w:r>
      <w:r w:rsidRPr="00065339">
        <w:tab/>
      </w:r>
      <w:r w:rsidR="00F439C7" w:rsidRPr="00065339">
        <w:t>Recommendations</w:t>
      </w:r>
    </w:p>
    <w:p w14:paraId="0ECA49FF" w14:textId="4765BE58" w:rsidR="00F439C7" w:rsidRPr="00065339" w:rsidRDefault="00D8692E" w:rsidP="00493D3E">
      <w:pPr>
        <w:pStyle w:val="SingleTxtG"/>
      </w:pPr>
      <w:r>
        <w:rPr>
          <w:rFonts w:eastAsia="Lucida Sans Unicode"/>
        </w:rPr>
        <w:t>53</w:t>
      </w:r>
      <w:r w:rsidR="00F439C7" w:rsidRPr="00065339">
        <w:rPr>
          <w:rFonts w:eastAsia="Lucida Sans Unicode"/>
        </w:rPr>
        <w:t>.</w:t>
      </w:r>
      <w:r w:rsidR="00493D3E" w:rsidRPr="00065339">
        <w:rPr>
          <w:rFonts w:eastAsia="Lucida Sans Unicode"/>
        </w:rPr>
        <w:tab/>
      </w:r>
      <w:r w:rsidR="00F439C7" w:rsidRPr="00065339">
        <w:rPr>
          <w:rFonts w:eastAsia="Lucida Sans Unicode"/>
        </w:rPr>
        <w:t xml:space="preserve">If no competent authority has been designated for this issue, the preparation of the report should be used to resolve this deficit. If more than one </w:t>
      </w:r>
      <w:r w:rsidR="00F439C7" w:rsidRPr="00065339">
        <w:t xml:space="preserve">authority have competency in this field, all of them should be named. </w:t>
      </w:r>
    </w:p>
    <w:p w14:paraId="01856E5E" w14:textId="2CD83CA9" w:rsidR="00F439C7" w:rsidRPr="00065339" w:rsidRDefault="00D8692E" w:rsidP="00493D3E">
      <w:pPr>
        <w:pStyle w:val="SingleTxtG"/>
        <w:rPr>
          <w:rFonts w:eastAsia="Lucida Sans Unicode"/>
        </w:rPr>
      </w:pPr>
      <w:r>
        <w:t>54</w:t>
      </w:r>
      <w:r w:rsidR="00F439C7" w:rsidRPr="00065339">
        <w:t>.</w:t>
      </w:r>
      <w:r w:rsidR="00493D3E" w:rsidRPr="00065339">
        <w:tab/>
      </w:r>
      <w:r w:rsidR="00F439C7" w:rsidRPr="00065339">
        <w:t>Furthermore, it needs to be</w:t>
      </w:r>
      <w:r w:rsidR="00F439C7" w:rsidRPr="00065339">
        <w:rPr>
          <w:rFonts w:eastAsia="Lucida Sans Unicode"/>
        </w:rPr>
        <w:t xml:space="preserve"> noted that emissions from diffuse sources are not diffuse emissions from the reporting facilities. Diffuse emissions are covered by the definition of releases (art</w:t>
      </w:r>
      <w:r w:rsidR="00ED36F0" w:rsidRPr="00065339">
        <w:rPr>
          <w:rFonts w:eastAsia="Lucida Sans Unicode"/>
        </w:rPr>
        <w:t>.</w:t>
      </w:r>
      <w:r w:rsidR="00F439C7" w:rsidRPr="00065339">
        <w:rPr>
          <w:rFonts w:eastAsia="Lucida Sans Unicode"/>
        </w:rPr>
        <w:t xml:space="preserve"> 2, para</w:t>
      </w:r>
      <w:r w:rsidR="00ED36F0" w:rsidRPr="00065339">
        <w:rPr>
          <w:rFonts w:eastAsia="Lucida Sans Unicode"/>
        </w:rPr>
        <w:t>.</w:t>
      </w:r>
      <w:r w:rsidR="00F439C7" w:rsidRPr="00065339">
        <w:rPr>
          <w:rFonts w:eastAsia="Lucida Sans Unicode"/>
        </w:rPr>
        <w:t xml:space="preserve"> 7).</w:t>
      </w:r>
    </w:p>
    <w:p w14:paraId="76E7BE7F" w14:textId="77777777" w:rsidR="00F439C7" w:rsidRPr="00065339" w:rsidRDefault="00493D3E" w:rsidP="00912E21">
      <w:pPr>
        <w:pStyle w:val="H4G"/>
      </w:pPr>
      <w:r w:rsidRPr="00065339">
        <w:tab/>
      </w:r>
      <w:r w:rsidRPr="00065339">
        <w:tab/>
      </w:r>
      <w:r w:rsidR="00F439C7" w:rsidRPr="00065339">
        <w:t>Selected good practice for reporting</w:t>
      </w:r>
      <w:r w:rsidR="00F439C7" w:rsidRPr="00065339" w:rsidDel="00D846C5">
        <w:t xml:space="preserve"> </w:t>
      </w:r>
    </w:p>
    <w:p w14:paraId="6C82F8C0" w14:textId="52663C41" w:rsidR="00F439C7" w:rsidRPr="00065339" w:rsidRDefault="00D8692E" w:rsidP="006A1D15">
      <w:pPr>
        <w:pStyle w:val="SingleTxtG"/>
      </w:pPr>
      <w:r>
        <w:t>55</w:t>
      </w:r>
      <w:r w:rsidR="00F439C7" w:rsidRPr="00065339">
        <w:t>.</w:t>
      </w:r>
      <w:r w:rsidR="00493D3E" w:rsidRPr="00065339">
        <w:tab/>
      </w:r>
      <w:r w:rsidR="00ED36F0" w:rsidRPr="00065339">
        <w:t xml:space="preserve">A </w:t>
      </w:r>
      <w:r w:rsidR="00F439C7" w:rsidRPr="00065339">
        <w:t xml:space="preserve">good practice for reporting regarding </w:t>
      </w:r>
      <w:r w:rsidR="004E7256" w:rsidRPr="00065339">
        <w:t xml:space="preserve">the </w:t>
      </w:r>
      <w:r w:rsidR="00F439C7" w:rsidRPr="00065339">
        <w:t>competent authorities for data on diffuse sources</w:t>
      </w:r>
      <w:r w:rsidR="00ED36F0" w:rsidRPr="00065339">
        <w:t xml:space="preserve"> is to d</w:t>
      </w:r>
      <w:r w:rsidR="00F439C7" w:rsidRPr="00065339">
        <w:t xml:space="preserve">escribe briefly the </w:t>
      </w:r>
      <w:r w:rsidR="00ED36F0" w:rsidRPr="00065339">
        <w:t xml:space="preserve">national </w:t>
      </w:r>
      <w:r w:rsidR="00F439C7" w:rsidRPr="00065339">
        <w:t xml:space="preserve">approach and </w:t>
      </w:r>
      <w:r w:rsidR="00CA3DF5" w:rsidRPr="00065339">
        <w:t xml:space="preserve">to follow </w:t>
      </w:r>
      <w:r w:rsidR="00F439C7" w:rsidRPr="00065339">
        <w:t>the above recommendations to provide the relevant information (e.g.</w:t>
      </w:r>
      <w:r w:rsidR="00ED36F0" w:rsidRPr="00065339">
        <w:t>,</w:t>
      </w:r>
      <w:r w:rsidR="00F439C7" w:rsidRPr="00065339">
        <w:t xml:space="preserve"> see the </w:t>
      </w:r>
      <w:r w:rsidR="0057044B">
        <w:t>national implementation reports</w:t>
      </w:r>
      <w:r w:rsidR="00F439C7" w:rsidRPr="00065339">
        <w:t xml:space="preserve"> submitted by Austria, Germany or Sweden).</w:t>
      </w:r>
    </w:p>
    <w:p w14:paraId="778DD2A3" w14:textId="07E42028" w:rsidR="00F439C7" w:rsidRPr="00065339" w:rsidRDefault="00493D3E" w:rsidP="00493D3E">
      <w:pPr>
        <w:pStyle w:val="H23G"/>
        <w:rPr>
          <w:rFonts w:eastAsia="Lucida Sans Unicode"/>
        </w:rPr>
      </w:pPr>
      <w:r w:rsidRPr="00065339">
        <w:tab/>
      </w:r>
      <w:r w:rsidR="00163FF0" w:rsidRPr="00065339">
        <w:tab/>
      </w:r>
      <w:r w:rsidR="00F439C7" w:rsidRPr="00065339">
        <w:t xml:space="preserve">Scope of information required under the national </w:t>
      </w:r>
      <w:r w:rsidR="00ED36F0" w:rsidRPr="00065339">
        <w:t xml:space="preserve">PRTR </w:t>
      </w:r>
      <w:r w:rsidR="00F439C7" w:rsidRPr="00065339">
        <w:t>system</w:t>
      </w:r>
      <w:r w:rsidR="00C63795" w:rsidRPr="00065339">
        <w:t xml:space="preserve"> — </w:t>
      </w:r>
      <w:r w:rsidR="00B24547" w:rsidRPr="00065339">
        <w:t xml:space="preserve">sub-question </w:t>
      </w:r>
      <w:r w:rsidR="00F439C7" w:rsidRPr="00065339">
        <w:t>(</w:t>
      </w:r>
      <w:r w:rsidR="00F439C7" w:rsidRPr="00065339">
        <w:rPr>
          <w:rFonts w:eastAsia="Lucida Sans Unicode"/>
        </w:rPr>
        <w:t>g)</w:t>
      </w:r>
    </w:p>
    <w:p w14:paraId="16D69ED8" w14:textId="3CC15126" w:rsidR="00F439C7" w:rsidRPr="00065339" w:rsidRDefault="00817412" w:rsidP="00493D3E">
      <w:pPr>
        <w:pStyle w:val="SingleTxtG"/>
      </w:pPr>
      <w:r w:rsidRPr="00065339">
        <w:rPr>
          <w:rFonts w:eastAsia="Lucida Sans Unicode"/>
        </w:rPr>
        <w:t>5</w:t>
      </w:r>
      <w:r w:rsidR="00D8692E">
        <w:rPr>
          <w:rFonts w:eastAsia="Lucida Sans Unicode"/>
        </w:rPr>
        <w:t>6</w:t>
      </w:r>
      <w:r w:rsidR="00F439C7" w:rsidRPr="00065339">
        <w:rPr>
          <w:rFonts w:eastAsia="Lucida Sans Unicode"/>
        </w:rPr>
        <w:t>.</w:t>
      </w:r>
      <w:r w:rsidR="00493D3E" w:rsidRPr="00065339">
        <w:rPr>
          <w:rFonts w:eastAsia="Lucida Sans Unicode"/>
        </w:rPr>
        <w:tab/>
      </w:r>
      <w:r w:rsidR="00F439C7" w:rsidRPr="00065339">
        <w:rPr>
          <w:rFonts w:eastAsia="Lucida Sans Unicode"/>
        </w:rPr>
        <w:t xml:space="preserve">The scope of information provided under the Parties’ PRTR systems should be comprehensive. A comparison between the Protocol’s provisions and the scope of the national PRTR system must be clear and easy to follow for any reader. </w:t>
      </w:r>
    </w:p>
    <w:p w14:paraId="42988009" w14:textId="77777777" w:rsidR="00F439C7" w:rsidRPr="00065339" w:rsidRDefault="00493D3E" w:rsidP="00493D3E">
      <w:pPr>
        <w:pStyle w:val="H4G"/>
      </w:pPr>
      <w:r w:rsidRPr="00065339">
        <w:tab/>
      </w:r>
      <w:r w:rsidRPr="00065339">
        <w:tab/>
      </w:r>
      <w:r w:rsidR="00F439C7" w:rsidRPr="00065339">
        <w:t>Recommendations</w:t>
      </w:r>
    </w:p>
    <w:p w14:paraId="6F74C29E" w14:textId="0E8C72EF" w:rsidR="00F439C7" w:rsidRPr="00065339" w:rsidRDefault="00817412" w:rsidP="00493D3E">
      <w:pPr>
        <w:pStyle w:val="SingleTxtG"/>
      </w:pPr>
      <w:r w:rsidRPr="00065339">
        <w:t>5</w:t>
      </w:r>
      <w:r w:rsidR="00D8692E">
        <w:t>7</w:t>
      </w:r>
      <w:r w:rsidR="00F439C7" w:rsidRPr="00065339">
        <w:t>.</w:t>
      </w:r>
      <w:r w:rsidR="00493D3E" w:rsidRPr="00065339">
        <w:tab/>
      </w:r>
      <w:r w:rsidR="00F439C7" w:rsidRPr="00065339">
        <w:t>Registers of Parties to the Protocol should be in compliance with the full scope of information required under the Protocol. If this is not the case</w:t>
      </w:r>
      <w:r w:rsidR="003921A4" w:rsidRPr="00065339">
        <w:t>, Parties</w:t>
      </w:r>
      <w:r w:rsidR="00F439C7" w:rsidRPr="00065339">
        <w:t xml:space="preserve"> need to clearly point out where </w:t>
      </w:r>
      <w:r w:rsidR="003921A4" w:rsidRPr="00065339">
        <w:t>the</w:t>
      </w:r>
      <w:r w:rsidR="00A00E07" w:rsidRPr="00065339">
        <w:t>i</w:t>
      </w:r>
      <w:r w:rsidR="003921A4" w:rsidRPr="00065339">
        <w:t xml:space="preserve">r national registers diverge </w:t>
      </w:r>
      <w:r w:rsidR="004E7256" w:rsidRPr="00065339">
        <w:t xml:space="preserve">and </w:t>
      </w:r>
      <w:r w:rsidR="00F439C7" w:rsidRPr="00065339">
        <w:t>explain why</w:t>
      </w:r>
      <w:r w:rsidR="003921A4" w:rsidRPr="00065339">
        <w:t xml:space="preserve"> this information is not included</w:t>
      </w:r>
      <w:r w:rsidR="004E7256" w:rsidRPr="00065339">
        <w:t>. Parties should also</w:t>
      </w:r>
      <w:r w:rsidR="00F439C7" w:rsidRPr="00065339">
        <w:t xml:space="preserve"> </w:t>
      </w:r>
      <w:r w:rsidR="003921A4" w:rsidRPr="00065339">
        <w:t xml:space="preserve">provide </w:t>
      </w:r>
      <w:r w:rsidR="00F439C7" w:rsidRPr="00065339">
        <w:t>information on how they plan to address such possible issues. This can include</w:t>
      </w:r>
      <w:r w:rsidR="004E7256" w:rsidRPr="00065339">
        <w:t>,</w:t>
      </w:r>
      <w:r w:rsidR="00F439C7" w:rsidRPr="00065339">
        <w:t xml:space="preserve"> e.g.</w:t>
      </w:r>
      <w:r w:rsidR="004E7256" w:rsidRPr="00065339">
        <w:t>,</w:t>
      </w:r>
      <w:r w:rsidR="00F439C7" w:rsidRPr="00065339">
        <w:t xml:space="preserve"> a timeline for planned activities. </w:t>
      </w:r>
    </w:p>
    <w:p w14:paraId="6D5B1012" w14:textId="5A8068FA" w:rsidR="00F439C7" w:rsidRPr="00065339" w:rsidRDefault="00817412" w:rsidP="00493D3E">
      <w:pPr>
        <w:pStyle w:val="SingleTxtG"/>
      </w:pPr>
      <w:r w:rsidRPr="00065339">
        <w:t>5</w:t>
      </w:r>
      <w:r w:rsidR="00D8692E">
        <w:t>8</w:t>
      </w:r>
      <w:r w:rsidR="00F439C7" w:rsidRPr="00065339">
        <w:t>.</w:t>
      </w:r>
      <w:r w:rsidR="00493D3E" w:rsidRPr="00065339">
        <w:tab/>
      </w:r>
      <w:r w:rsidR="003921A4" w:rsidRPr="00065339">
        <w:t xml:space="preserve">Where the </w:t>
      </w:r>
      <w:r w:rsidR="00F439C7" w:rsidRPr="00065339">
        <w:t xml:space="preserve">scope of a Party’s PRTR system exceeds </w:t>
      </w:r>
      <w:r w:rsidR="003921A4" w:rsidRPr="00065339">
        <w:t xml:space="preserve">the Protocol’s </w:t>
      </w:r>
      <w:r w:rsidR="00F439C7" w:rsidRPr="00065339">
        <w:t>require</w:t>
      </w:r>
      <w:r w:rsidR="003921A4" w:rsidRPr="00065339">
        <w:t>ments</w:t>
      </w:r>
      <w:r w:rsidR="00F439C7" w:rsidRPr="00065339">
        <w:t>, a brief comment on the national approach should be provided. This will help others to understand</w:t>
      </w:r>
      <w:r w:rsidR="003921A4" w:rsidRPr="00065339">
        <w:t>,</w:t>
      </w:r>
      <w:r w:rsidR="00F439C7" w:rsidRPr="00065339">
        <w:t xml:space="preserve"> e.g.</w:t>
      </w:r>
      <w:r w:rsidR="003921A4" w:rsidRPr="00065339">
        <w:t>,</w:t>
      </w:r>
      <w:r w:rsidR="00F439C7" w:rsidRPr="00065339">
        <w:t xml:space="preserve"> new developments or good practices in general.</w:t>
      </w:r>
    </w:p>
    <w:p w14:paraId="5984794D" w14:textId="6C7308B0" w:rsidR="00F439C7" w:rsidRPr="00065339" w:rsidRDefault="00D8692E" w:rsidP="00493D3E">
      <w:pPr>
        <w:pStyle w:val="SingleTxtG"/>
        <w:rPr>
          <w:rFonts w:eastAsia="Lucida Sans Unicode"/>
        </w:rPr>
      </w:pPr>
      <w:r>
        <w:t>59</w:t>
      </w:r>
      <w:r w:rsidR="00F439C7" w:rsidRPr="00065339">
        <w:t>.</w:t>
      </w:r>
      <w:r w:rsidR="00493D3E" w:rsidRPr="00065339">
        <w:tab/>
      </w:r>
      <w:r w:rsidR="00F439C7" w:rsidRPr="00065339">
        <w:t>The E-PRTR applies the waste-amount approach (art</w:t>
      </w:r>
      <w:r w:rsidR="003921A4" w:rsidRPr="00065339">
        <w:t>.</w:t>
      </w:r>
      <w:r w:rsidR="00F439C7" w:rsidRPr="00065339">
        <w:t xml:space="preserve"> 7, para</w:t>
      </w:r>
      <w:r w:rsidR="003921A4" w:rsidRPr="00065339">
        <w:t>.</w:t>
      </w:r>
      <w:r w:rsidR="00F439C7" w:rsidRPr="00065339">
        <w:t xml:space="preserve"> 5 </w:t>
      </w:r>
      <w:r w:rsidR="003921A4" w:rsidRPr="00065339">
        <w:t>(</w:t>
      </w:r>
      <w:r w:rsidR="00F439C7" w:rsidRPr="00065339">
        <w:t>d</w:t>
      </w:r>
      <w:r w:rsidR="003921A4" w:rsidRPr="00065339">
        <w:t>)</w:t>
      </w:r>
      <w:r w:rsidR="00F439C7" w:rsidRPr="00065339">
        <w:t xml:space="preserve"> </w:t>
      </w:r>
      <w:r w:rsidR="003921A4" w:rsidRPr="00065339">
        <w:t>(</w:t>
      </w:r>
      <w:r w:rsidR="00F439C7" w:rsidRPr="00065339">
        <w:t>ii)</w:t>
      </w:r>
      <w:r w:rsidR="003921A4" w:rsidRPr="00065339">
        <w:t>)</w:t>
      </w:r>
      <w:r w:rsidR="00F439C7" w:rsidRPr="00065339">
        <w:t xml:space="preserve">. Parties that are </w:t>
      </w:r>
      <w:r w:rsidR="002706CB">
        <w:t>European Union</w:t>
      </w:r>
      <w:r w:rsidR="00F439C7" w:rsidRPr="00065339">
        <w:t xml:space="preserve"> </w:t>
      </w:r>
      <w:r w:rsidR="003921A4" w:rsidRPr="00065339">
        <w:t>m</w:t>
      </w:r>
      <w:r w:rsidR="00F439C7" w:rsidRPr="00065339">
        <w:t>ember</w:t>
      </w:r>
      <w:r w:rsidR="003921A4" w:rsidRPr="00065339">
        <w:t>s</w:t>
      </w:r>
      <w:r w:rsidR="00F439C7" w:rsidRPr="00065339">
        <w:t xml:space="preserve"> should mention</w:t>
      </w:r>
      <w:r w:rsidR="00F439C7" w:rsidRPr="00065339">
        <w:rPr>
          <w:rFonts w:eastAsia="Lucida Sans Unicode"/>
        </w:rPr>
        <w:t xml:space="preserve"> whether they have implemented the waste-amount approach not only for reporting to the E-PRTR but also in their</w:t>
      </w:r>
      <w:r w:rsidR="00F67671" w:rsidRPr="00065339">
        <w:rPr>
          <w:rFonts w:eastAsia="Lucida Sans Unicode"/>
        </w:rPr>
        <w:t xml:space="preserve"> national reg</w:t>
      </w:r>
      <w:r w:rsidR="00F439C7" w:rsidRPr="00065339">
        <w:rPr>
          <w:rFonts w:eastAsia="Lucida Sans Unicode"/>
        </w:rPr>
        <w:t xml:space="preserve">isters and whether they additionally included pollutant amounts. </w:t>
      </w:r>
    </w:p>
    <w:p w14:paraId="4A2E5511" w14:textId="77777777" w:rsidR="00F439C7" w:rsidRPr="00065339" w:rsidRDefault="00493D3E" w:rsidP="00912E21">
      <w:pPr>
        <w:pStyle w:val="H4G"/>
      </w:pPr>
      <w:r w:rsidRPr="00065339">
        <w:tab/>
      </w:r>
      <w:r w:rsidRPr="00065339">
        <w:tab/>
      </w:r>
      <w:r w:rsidR="00F439C7" w:rsidRPr="00065339">
        <w:t>Selected g</w:t>
      </w:r>
      <w:r w:rsidR="00F439C7" w:rsidRPr="00065339">
        <w:rPr>
          <w:rFonts w:eastAsia="Lucida Sans Unicode"/>
        </w:rPr>
        <w:t>ood practice</w:t>
      </w:r>
      <w:r w:rsidR="00F439C7" w:rsidRPr="00065339">
        <w:t xml:space="preserve"> for reporting</w:t>
      </w:r>
    </w:p>
    <w:p w14:paraId="153929A8" w14:textId="1636E7DC" w:rsidR="00F439C7" w:rsidRPr="00065339" w:rsidRDefault="00D8692E" w:rsidP="006A1D15">
      <w:pPr>
        <w:pStyle w:val="SingleTxtG"/>
        <w:rPr>
          <w:rFonts w:eastAsia="Lucida Sans Unicode"/>
        </w:rPr>
      </w:pPr>
      <w:r>
        <w:t>60</w:t>
      </w:r>
      <w:r w:rsidR="00F439C7" w:rsidRPr="00065339">
        <w:t>.</w:t>
      </w:r>
      <w:r w:rsidR="00E928A2" w:rsidRPr="00065339">
        <w:tab/>
      </w:r>
      <w:r w:rsidR="00CA3DF5" w:rsidRPr="00065339">
        <w:t>W</w:t>
      </w:r>
      <w:r w:rsidR="00E928A2" w:rsidRPr="00065339">
        <w:t>hen</w:t>
      </w:r>
      <w:r w:rsidR="00F439C7" w:rsidRPr="00065339">
        <w:t xml:space="preserve"> reporting </w:t>
      </w:r>
      <w:r w:rsidR="00E928A2" w:rsidRPr="00065339">
        <w:t xml:space="preserve">on </w:t>
      </w:r>
      <w:r w:rsidR="00F439C7" w:rsidRPr="00065339">
        <w:t>the scope of information required under the national PRTR</w:t>
      </w:r>
      <w:r w:rsidR="00E928A2" w:rsidRPr="00065339">
        <w:t xml:space="preserve"> </w:t>
      </w:r>
      <w:r w:rsidR="00F439C7" w:rsidRPr="00065339">
        <w:t>system</w:t>
      </w:r>
      <w:r w:rsidR="00E928A2" w:rsidRPr="00065339">
        <w:t xml:space="preserve">, </w:t>
      </w:r>
      <w:r w:rsidR="00CA3DF5" w:rsidRPr="00065339">
        <w:t xml:space="preserve">a good practice is </w:t>
      </w:r>
      <w:r w:rsidR="00E928A2" w:rsidRPr="00065339">
        <w:t>to</w:t>
      </w:r>
      <w:r w:rsidR="00CA3DF5" w:rsidRPr="00065339">
        <w:t xml:space="preserve"> p</w:t>
      </w:r>
      <w:r w:rsidR="00F439C7" w:rsidRPr="00065339">
        <w:rPr>
          <w:rFonts w:eastAsia="Lucida Sans Unicode"/>
        </w:rPr>
        <w:t xml:space="preserve">rovide </w:t>
      </w:r>
      <w:r w:rsidR="00C67289" w:rsidRPr="00065339">
        <w:rPr>
          <w:rFonts w:eastAsia="Lucida Sans Unicode"/>
        </w:rPr>
        <w:t xml:space="preserve">the </w:t>
      </w:r>
      <w:r w:rsidR="00F439C7" w:rsidRPr="00065339">
        <w:rPr>
          <w:rFonts w:eastAsia="Lucida Sans Unicode"/>
        </w:rPr>
        <w:t xml:space="preserve">information </w:t>
      </w:r>
      <w:r w:rsidR="00C67289" w:rsidRPr="00065339">
        <w:rPr>
          <w:rFonts w:eastAsia="Lucida Sans Unicode"/>
        </w:rPr>
        <w:t xml:space="preserve">being supplied </w:t>
      </w:r>
      <w:r w:rsidR="00F439C7" w:rsidRPr="00065339">
        <w:rPr>
          <w:rFonts w:eastAsia="Lucida Sans Unicode"/>
        </w:rPr>
        <w:t>in addition to the central issues of facility reporting (art</w:t>
      </w:r>
      <w:r w:rsidR="00E928A2" w:rsidRPr="00065339">
        <w:rPr>
          <w:rFonts w:eastAsia="Lucida Sans Unicode"/>
        </w:rPr>
        <w:t>.</w:t>
      </w:r>
      <w:r w:rsidR="00F439C7" w:rsidRPr="00065339">
        <w:rPr>
          <w:rFonts w:eastAsia="Lucida Sans Unicode"/>
        </w:rPr>
        <w:t xml:space="preserve"> 7, para</w:t>
      </w:r>
      <w:r w:rsidR="00E928A2" w:rsidRPr="00065339">
        <w:rPr>
          <w:rFonts w:eastAsia="Lucida Sans Unicode"/>
        </w:rPr>
        <w:t>s.</w:t>
      </w:r>
      <w:r w:rsidR="00F439C7" w:rsidRPr="00065339">
        <w:rPr>
          <w:rFonts w:eastAsia="Lucida Sans Unicode"/>
        </w:rPr>
        <w:t xml:space="preserve"> 5 and 6) in a separate list,</w:t>
      </w:r>
      <w:r w:rsidR="00C67289" w:rsidRPr="00065339">
        <w:rPr>
          <w:rFonts w:eastAsia="Lucida Sans Unicode"/>
        </w:rPr>
        <w:t xml:space="preserve"> </w:t>
      </w:r>
      <w:r w:rsidR="00F439C7" w:rsidRPr="00065339">
        <w:rPr>
          <w:rFonts w:eastAsia="Lucida Sans Unicode"/>
        </w:rPr>
        <w:t xml:space="preserve">for example: </w:t>
      </w:r>
    </w:p>
    <w:p w14:paraId="4CFFCD99" w14:textId="31312423" w:rsidR="00F439C7" w:rsidRPr="00065339" w:rsidRDefault="000455A1" w:rsidP="006A1D15">
      <w:pPr>
        <w:pStyle w:val="SingleTxtG"/>
        <w:rPr>
          <w:rFonts w:eastAsia="Lucida Sans Unicode"/>
        </w:rPr>
      </w:pPr>
      <w:r w:rsidRPr="00065339">
        <w:rPr>
          <w:rFonts w:eastAsia="Lucida Sans Unicode"/>
        </w:rPr>
        <w:tab/>
      </w:r>
      <w:r w:rsidR="00694369" w:rsidRPr="00065339">
        <w:rPr>
          <w:rFonts w:eastAsia="Lucida Sans Unicode"/>
        </w:rPr>
        <w:t>(</w:t>
      </w:r>
      <w:r w:rsidR="00C67289" w:rsidRPr="00065339">
        <w:rPr>
          <w:rFonts w:eastAsia="Lucida Sans Unicode"/>
        </w:rPr>
        <w:t>a</w:t>
      </w:r>
      <w:r w:rsidR="00694369" w:rsidRPr="00065339">
        <w:rPr>
          <w:rFonts w:eastAsia="Lucida Sans Unicode"/>
        </w:rPr>
        <w:t>)</w:t>
      </w:r>
      <w:r w:rsidR="00694369" w:rsidRPr="00065339">
        <w:rPr>
          <w:rFonts w:eastAsia="Lucida Sans Unicode"/>
        </w:rPr>
        <w:tab/>
      </w:r>
      <w:r w:rsidR="00F439C7" w:rsidRPr="00065339">
        <w:rPr>
          <w:rFonts w:eastAsia="Lucida Sans Unicode"/>
        </w:rPr>
        <w:t xml:space="preserve">Number of employees or production volume; </w:t>
      </w:r>
    </w:p>
    <w:p w14:paraId="0C7F4FEF" w14:textId="45442450" w:rsidR="00F439C7" w:rsidRPr="00065339" w:rsidRDefault="000455A1" w:rsidP="006A1D15">
      <w:pPr>
        <w:pStyle w:val="SingleTxtG"/>
        <w:rPr>
          <w:rFonts w:eastAsia="Lucida Sans Unicode"/>
        </w:rPr>
      </w:pPr>
      <w:r w:rsidRPr="00065339">
        <w:rPr>
          <w:rFonts w:eastAsia="Lucida Sans Unicode"/>
        </w:rPr>
        <w:tab/>
      </w:r>
      <w:r w:rsidR="00694369" w:rsidRPr="00065339">
        <w:rPr>
          <w:rFonts w:eastAsia="Lucida Sans Unicode"/>
        </w:rPr>
        <w:t>(</w:t>
      </w:r>
      <w:r w:rsidR="00C67289" w:rsidRPr="00065339">
        <w:rPr>
          <w:rFonts w:eastAsia="Lucida Sans Unicode"/>
        </w:rPr>
        <w:t>b</w:t>
      </w:r>
      <w:r w:rsidR="00694369" w:rsidRPr="00065339">
        <w:rPr>
          <w:rFonts w:eastAsia="Lucida Sans Unicode"/>
        </w:rPr>
        <w:t>)</w:t>
      </w:r>
      <w:r w:rsidR="00694369" w:rsidRPr="00065339">
        <w:rPr>
          <w:rFonts w:eastAsia="Lucida Sans Unicode"/>
        </w:rPr>
        <w:tab/>
      </w:r>
      <w:r w:rsidR="00F439C7" w:rsidRPr="00065339">
        <w:rPr>
          <w:rFonts w:eastAsia="Lucida Sans Unicode"/>
        </w:rPr>
        <w:t>Energy and water consumption;</w:t>
      </w:r>
    </w:p>
    <w:p w14:paraId="0B2A4624" w14:textId="6231E37B" w:rsidR="00F439C7" w:rsidRPr="00065339" w:rsidRDefault="000455A1" w:rsidP="006A1D15">
      <w:pPr>
        <w:pStyle w:val="SingleTxtG"/>
        <w:rPr>
          <w:rFonts w:eastAsia="Lucida Sans Unicode"/>
        </w:rPr>
      </w:pPr>
      <w:r w:rsidRPr="00065339">
        <w:rPr>
          <w:rFonts w:eastAsia="Lucida Sans Unicode"/>
        </w:rPr>
        <w:tab/>
      </w:r>
      <w:r w:rsidR="00694369" w:rsidRPr="00065339">
        <w:rPr>
          <w:rFonts w:eastAsia="Lucida Sans Unicode"/>
        </w:rPr>
        <w:t>(</w:t>
      </w:r>
      <w:r w:rsidR="00C67289" w:rsidRPr="00065339">
        <w:rPr>
          <w:rFonts w:eastAsia="Lucida Sans Unicode"/>
        </w:rPr>
        <w:t>c</w:t>
      </w:r>
      <w:r w:rsidR="00694369" w:rsidRPr="00065339">
        <w:rPr>
          <w:rFonts w:eastAsia="Lucida Sans Unicode"/>
        </w:rPr>
        <w:t>)</w:t>
      </w:r>
      <w:r w:rsidR="00694369" w:rsidRPr="00065339">
        <w:rPr>
          <w:rFonts w:eastAsia="Lucida Sans Unicode"/>
        </w:rPr>
        <w:tab/>
      </w:r>
      <w:r w:rsidR="00F439C7" w:rsidRPr="00065339">
        <w:rPr>
          <w:rFonts w:eastAsia="Lucida Sans Unicode"/>
        </w:rPr>
        <w:t>Lower thresholds for waste amounts;</w:t>
      </w:r>
    </w:p>
    <w:p w14:paraId="6FD17D09" w14:textId="2EF0DE65" w:rsidR="00F439C7" w:rsidRPr="00065339" w:rsidRDefault="000455A1" w:rsidP="006A1D15">
      <w:pPr>
        <w:pStyle w:val="SingleTxtG"/>
        <w:rPr>
          <w:rFonts w:eastAsia="Lucida Sans Unicode"/>
        </w:rPr>
      </w:pPr>
      <w:r w:rsidRPr="00065339">
        <w:rPr>
          <w:rFonts w:eastAsia="Lucida Sans Unicode"/>
        </w:rPr>
        <w:tab/>
      </w:r>
      <w:r w:rsidR="00694369" w:rsidRPr="00065339">
        <w:rPr>
          <w:rFonts w:eastAsia="Lucida Sans Unicode"/>
        </w:rPr>
        <w:t>(</w:t>
      </w:r>
      <w:r w:rsidR="00C67289" w:rsidRPr="00065339">
        <w:rPr>
          <w:rFonts w:eastAsia="Lucida Sans Unicode"/>
        </w:rPr>
        <w:t>d</w:t>
      </w:r>
      <w:r w:rsidR="00694369" w:rsidRPr="00065339">
        <w:rPr>
          <w:rFonts w:eastAsia="Lucida Sans Unicode"/>
        </w:rPr>
        <w:t>)</w:t>
      </w:r>
      <w:r w:rsidR="00694369" w:rsidRPr="00065339">
        <w:rPr>
          <w:rFonts w:eastAsia="Lucida Sans Unicode"/>
        </w:rPr>
        <w:tab/>
      </w:r>
      <w:r w:rsidR="00F439C7" w:rsidRPr="00065339">
        <w:rPr>
          <w:rFonts w:eastAsia="Lucida Sans Unicode"/>
        </w:rPr>
        <w:t>Inclusion of waste codes;</w:t>
      </w:r>
    </w:p>
    <w:p w14:paraId="52B6B7AE" w14:textId="69909411" w:rsidR="00F439C7" w:rsidRPr="00782BE1" w:rsidRDefault="000455A1" w:rsidP="006A1D15">
      <w:pPr>
        <w:pStyle w:val="SingleTxtG"/>
        <w:rPr>
          <w:rFonts w:eastAsia="Lucida Sans Unicode"/>
          <w:lang w:val="fr-CH"/>
        </w:rPr>
      </w:pPr>
      <w:r w:rsidRPr="00065339">
        <w:rPr>
          <w:rFonts w:eastAsia="Lucida Sans Unicode"/>
        </w:rPr>
        <w:tab/>
      </w:r>
      <w:r w:rsidR="00694369" w:rsidRPr="00782BE1">
        <w:rPr>
          <w:rFonts w:eastAsia="Lucida Sans Unicode"/>
          <w:lang w:val="fr-CH"/>
        </w:rPr>
        <w:t>(</w:t>
      </w:r>
      <w:r w:rsidR="00C67289" w:rsidRPr="00782BE1">
        <w:rPr>
          <w:rFonts w:eastAsia="Lucida Sans Unicode"/>
          <w:lang w:val="fr-CH"/>
        </w:rPr>
        <w:t>e</w:t>
      </w:r>
      <w:r w:rsidR="00694369" w:rsidRPr="00782BE1">
        <w:rPr>
          <w:rFonts w:eastAsia="Lucida Sans Unicode"/>
          <w:lang w:val="fr-CH"/>
        </w:rPr>
        <w:t>)</w:t>
      </w:r>
      <w:r w:rsidR="00694369" w:rsidRPr="00782BE1">
        <w:rPr>
          <w:rFonts w:eastAsia="Lucida Sans Unicode"/>
          <w:lang w:val="fr-CH"/>
        </w:rPr>
        <w:tab/>
      </w:r>
      <w:proofErr w:type="spellStart"/>
      <w:r w:rsidR="00F439C7" w:rsidRPr="00782BE1">
        <w:rPr>
          <w:rFonts w:eastAsia="Lucida Sans Unicode"/>
          <w:lang w:val="fr-CH"/>
        </w:rPr>
        <w:t>Regional</w:t>
      </w:r>
      <w:proofErr w:type="spellEnd"/>
      <w:r w:rsidR="00F439C7" w:rsidRPr="00782BE1">
        <w:rPr>
          <w:rFonts w:eastAsia="Lucida Sans Unicode"/>
          <w:lang w:val="fr-CH"/>
        </w:rPr>
        <w:t xml:space="preserve"> codes;</w:t>
      </w:r>
    </w:p>
    <w:p w14:paraId="46B18054" w14:textId="6A8D4609" w:rsidR="00F439C7" w:rsidRPr="00782BE1" w:rsidRDefault="000455A1" w:rsidP="006A1D15">
      <w:pPr>
        <w:pStyle w:val="SingleTxtG"/>
        <w:rPr>
          <w:rFonts w:eastAsia="Lucida Sans Unicode"/>
          <w:lang w:val="fr-CH"/>
        </w:rPr>
      </w:pPr>
      <w:r w:rsidRPr="00782BE1">
        <w:rPr>
          <w:rFonts w:eastAsia="Lucida Sans Unicode"/>
          <w:lang w:val="fr-CH"/>
        </w:rPr>
        <w:tab/>
      </w:r>
      <w:r w:rsidR="00694369" w:rsidRPr="00782BE1">
        <w:rPr>
          <w:rFonts w:eastAsia="Lucida Sans Unicode"/>
          <w:lang w:val="fr-CH"/>
        </w:rPr>
        <w:t>(</w:t>
      </w:r>
      <w:r w:rsidR="00C67289" w:rsidRPr="00782BE1">
        <w:rPr>
          <w:rFonts w:eastAsia="Lucida Sans Unicode"/>
          <w:lang w:val="fr-CH"/>
        </w:rPr>
        <w:t>f</w:t>
      </w:r>
      <w:r w:rsidR="00694369" w:rsidRPr="00782BE1">
        <w:rPr>
          <w:rFonts w:eastAsia="Lucida Sans Unicode"/>
          <w:lang w:val="fr-CH"/>
        </w:rPr>
        <w:t>)</w:t>
      </w:r>
      <w:r w:rsidR="00694369" w:rsidRPr="00782BE1">
        <w:rPr>
          <w:rFonts w:eastAsia="Lucida Sans Unicode"/>
          <w:lang w:val="fr-CH"/>
        </w:rPr>
        <w:tab/>
      </w:r>
      <w:r w:rsidR="00F439C7" w:rsidRPr="00782BE1">
        <w:rPr>
          <w:rFonts w:eastAsia="Lucida Sans Unicode"/>
          <w:lang w:val="fr-CH"/>
        </w:rPr>
        <w:t xml:space="preserve">River basin district; </w:t>
      </w:r>
    </w:p>
    <w:p w14:paraId="2294E27F" w14:textId="48C4BCC2" w:rsidR="00F439C7" w:rsidRPr="00782BE1" w:rsidRDefault="000455A1" w:rsidP="006A1D15">
      <w:pPr>
        <w:pStyle w:val="SingleTxtG"/>
        <w:rPr>
          <w:rFonts w:eastAsia="Lucida Sans Unicode"/>
          <w:lang w:val="fr-CH"/>
        </w:rPr>
      </w:pPr>
      <w:r w:rsidRPr="00782BE1">
        <w:rPr>
          <w:rFonts w:eastAsia="Lucida Sans Unicode"/>
          <w:lang w:val="fr-CH"/>
        </w:rPr>
        <w:tab/>
      </w:r>
      <w:r w:rsidR="00694369" w:rsidRPr="00782BE1">
        <w:rPr>
          <w:rFonts w:eastAsia="Lucida Sans Unicode"/>
          <w:lang w:val="fr-CH"/>
        </w:rPr>
        <w:t>(</w:t>
      </w:r>
      <w:r w:rsidR="00C67289" w:rsidRPr="00782BE1">
        <w:rPr>
          <w:rFonts w:eastAsia="Lucida Sans Unicode"/>
          <w:lang w:val="fr-CH"/>
        </w:rPr>
        <w:t>g</w:t>
      </w:r>
      <w:r w:rsidR="00694369" w:rsidRPr="00782BE1">
        <w:rPr>
          <w:rFonts w:eastAsia="Lucida Sans Unicode"/>
          <w:lang w:val="fr-CH"/>
        </w:rPr>
        <w:t>)</w:t>
      </w:r>
      <w:r w:rsidR="00694369" w:rsidRPr="00782BE1">
        <w:rPr>
          <w:rFonts w:eastAsia="Lucida Sans Unicode"/>
          <w:lang w:val="fr-CH"/>
        </w:rPr>
        <w:tab/>
      </w:r>
      <w:r w:rsidR="00F439C7" w:rsidRPr="00782BE1">
        <w:rPr>
          <w:rFonts w:eastAsia="Lucida Sans Unicode"/>
          <w:lang w:val="fr-CH"/>
        </w:rPr>
        <w:t>NACE</w:t>
      </w:r>
      <w:r w:rsidR="00690002" w:rsidRPr="00065339">
        <w:rPr>
          <w:rStyle w:val="FootnoteReference"/>
          <w:rFonts w:eastAsia="Lucida Sans Unicode"/>
        </w:rPr>
        <w:footnoteReference w:id="7"/>
      </w:r>
      <w:r w:rsidR="00E928A2" w:rsidRPr="00782BE1">
        <w:rPr>
          <w:rFonts w:eastAsia="Lucida Sans Unicode"/>
          <w:lang w:val="fr-CH"/>
        </w:rPr>
        <w:t xml:space="preserve"> </w:t>
      </w:r>
      <w:r w:rsidR="00F439C7" w:rsidRPr="00782BE1">
        <w:rPr>
          <w:rFonts w:eastAsia="Lucida Sans Unicode"/>
          <w:lang w:val="fr-CH"/>
        </w:rPr>
        <w:t>codes.</w:t>
      </w:r>
    </w:p>
    <w:p w14:paraId="44C1DCA8" w14:textId="1A6FFAB8" w:rsidR="00F439C7" w:rsidRPr="00782BE1" w:rsidRDefault="00570DF5" w:rsidP="00570DF5">
      <w:pPr>
        <w:pStyle w:val="H23G"/>
        <w:rPr>
          <w:rFonts w:eastAsia="Lucida Sans Unicode"/>
          <w:lang w:val="fr-CH"/>
        </w:rPr>
      </w:pPr>
      <w:r w:rsidRPr="00782BE1">
        <w:rPr>
          <w:lang w:val="fr-CH"/>
        </w:rPr>
        <w:tab/>
      </w:r>
      <w:r w:rsidR="00163FF0" w:rsidRPr="00782BE1">
        <w:rPr>
          <w:lang w:val="fr-CH"/>
        </w:rPr>
        <w:tab/>
      </w:r>
      <w:r w:rsidR="00F439C7" w:rsidRPr="00782BE1">
        <w:rPr>
          <w:lang w:val="fr-CH"/>
        </w:rPr>
        <w:t>Diffuse sources</w:t>
      </w:r>
      <w:r w:rsidR="00C63795" w:rsidRPr="00782BE1">
        <w:rPr>
          <w:lang w:val="fr-CH"/>
        </w:rPr>
        <w:t xml:space="preserve"> — </w:t>
      </w:r>
      <w:proofErr w:type="spellStart"/>
      <w:r w:rsidR="00B24547" w:rsidRPr="00782BE1">
        <w:rPr>
          <w:lang w:val="fr-CH"/>
        </w:rPr>
        <w:t>sub</w:t>
      </w:r>
      <w:proofErr w:type="spellEnd"/>
      <w:r w:rsidR="00B24547" w:rsidRPr="00782BE1">
        <w:rPr>
          <w:lang w:val="fr-CH"/>
        </w:rPr>
        <w:t>-question</w:t>
      </w:r>
      <w:r w:rsidR="00F439C7" w:rsidRPr="00782BE1">
        <w:rPr>
          <w:lang w:val="fr-CH"/>
        </w:rPr>
        <w:t xml:space="preserve"> (</w:t>
      </w:r>
      <w:r w:rsidR="00F439C7" w:rsidRPr="00782BE1">
        <w:rPr>
          <w:rFonts w:eastAsia="Lucida Sans Unicode"/>
          <w:lang w:val="fr-CH"/>
        </w:rPr>
        <w:t>h)</w:t>
      </w:r>
    </w:p>
    <w:p w14:paraId="5C3AED8D" w14:textId="14205FB7" w:rsidR="00F439C7" w:rsidRPr="00065339" w:rsidRDefault="00817412" w:rsidP="00570DF5">
      <w:pPr>
        <w:pStyle w:val="SingleTxtG"/>
        <w:rPr>
          <w:rFonts w:eastAsia="Lucida Sans Unicode"/>
        </w:rPr>
      </w:pPr>
      <w:r w:rsidRPr="00065339">
        <w:rPr>
          <w:rFonts w:eastAsia="Lucida Sans Unicode"/>
        </w:rPr>
        <w:t>6</w:t>
      </w:r>
      <w:r w:rsidR="00D8692E">
        <w:rPr>
          <w:rFonts w:eastAsia="Lucida Sans Unicode"/>
        </w:rPr>
        <w:t>1</w:t>
      </w:r>
      <w:r w:rsidR="00F439C7" w:rsidRPr="00065339">
        <w:rPr>
          <w:rFonts w:eastAsia="Lucida Sans Unicode"/>
        </w:rPr>
        <w:t>.</w:t>
      </w:r>
      <w:r w:rsidR="00570DF5" w:rsidRPr="00065339">
        <w:rPr>
          <w:rFonts w:eastAsia="Lucida Sans Unicode"/>
        </w:rPr>
        <w:tab/>
      </w:r>
      <w:r w:rsidR="00F439C7" w:rsidRPr="00065339">
        <w:rPr>
          <w:rFonts w:eastAsia="Lucida Sans Unicode"/>
        </w:rPr>
        <w:t>According to the Protocol (art</w:t>
      </w:r>
      <w:r w:rsidR="00690002" w:rsidRPr="00065339">
        <w:rPr>
          <w:rFonts w:eastAsia="Lucida Sans Unicode"/>
        </w:rPr>
        <w:t>.</w:t>
      </w:r>
      <w:r w:rsidR="00F439C7" w:rsidRPr="00065339">
        <w:rPr>
          <w:rFonts w:eastAsia="Lucida Sans Unicode"/>
        </w:rPr>
        <w:t xml:space="preserve"> 7, paras</w:t>
      </w:r>
      <w:r w:rsidR="00690002" w:rsidRPr="00065339">
        <w:rPr>
          <w:rFonts w:eastAsia="Lucida Sans Unicode"/>
        </w:rPr>
        <w:t>.</w:t>
      </w:r>
      <w:r w:rsidR="00F439C7" w:rsidRPr="00065339">
        <w:rPr>
          <w:rFonts w:eastAsia="Lucida Sans Unicode"/>
        </w:rPr>
        <w:t xml:space="preserve"> 4 and 7) emissions from diffuse sources have to be included into the</w:t>
      </w:r>
      <w:r w:rsidR="00F67671" w:rsidRPr="00065339">
        <w:rPr>
          <w:rFonts w:eastAsia="Lucida Sans Unicode"/>
        </w:rPr>
        <w:t xml:space="preserve"> national reg</w:t>
      </w:r>
      <w:r w:rsidR="00F439C7" w:rsidRPr="00065339">
        <w:rPr>
          <w:rFonts w:eastAsia="Lucida Sans Unicode"/>
        </w:rPr>
        <w:t xml:space="preserve">isters provided that: </w:t>
      </w:r>
    </w:p>
    <w:p w14:paraId="5BB80FDD" w14:textId="1A241C68" w:rsidR="00F439C7" w:rsidRPr="00065339" w:rsidRDefault="000455A1" w:rsidP="006A1D15">
      <w:pPr>
        <w:pStyle w:val="SingleTxtG"/>
        <w:rPr>
          <w:rFonts w:eastAsia="Lucida Sans Unicode"/>
        </w:rPr>
      </w:pPr>
      <w:r w:rsidRPr="00065339">
        <w:rPr>
          <w:rFonts w:eastAsia="Lucida Sans Unicode"/>
        </w:rPr>
        <w:tab/>
      </w:r>
      <w:r w:rsidR="00C40207" w:rsidRPr="00065339">
        <w:rPr>
          <w:rFonts w:eastAsia="Lucida Sans Unicode"/>
        </w:rPr>
        <w:t>(a)</w:t>
      </w:r>
      <w:r w:rsidR="00C40207" w:rsidRPr="00065339">
        <w:rPr>
          <w:rFonts w:eastAsia="Lucida Sans Unicode"/>
        </w:rPr>
        <w:tab/>
      </w:r>
      <w:r w:rsidR="00F439C7" w:rsidRPr="00065339">
        <w:rPr>
          <w:rFonts w:eastAsia="Lucida Sans Unicode"/>
        </w:rPr>
        <w:t>The Party determines that data (e.g.</w:t>
      </w:r>
      <w:r w:rsidR="00690002" w:rsidRPr="00065339">
        <w:rPr>
          <w:rFonts w:eastAsia="Lucida Sans Unicode"/>
        </w:rPr>
        <w:t>,</w:t>
      </w:r>
      <w:r w:rsidR="00F439C7" w:rsidRPr="00065339">
        <w:rPr>
          <w:rFonts w:eastAsia="Lucida Sans Unicode"/>
        </w:rPr>
        <w:t xml:space="preserve"> from other reporting obligations or from research projects) are being collected by the relevant authorities; </w:t>
      </w:r>
    </w:p>
    <w:p w14:paraId="3F4582BA" w14:textId="76627CF9" w:rsidR="00F439C7" w:rsidRPr="00065339" w:rsidRDefault="000455A1" w:rsidP="006A1D15">
      <w:pPr>
        <w:pStyle w:val="SingleTxtG"/>
        <w:rPr>
          <w:rFonts w:eastAsia="Lucida Sans Unicode"/>
        </w:rPr>
      </w:pPr>
      <w:r w:rsidRPr="00065339">
        <w:rPr>
          <w:rFonts w:eastAsia="Lucida Sans Unicode"/>
        </w:rPr>
        <w:tab/>
      </w:r>
      <w:r w:rsidR="00C40207" w:rsidRPr="00065339">
        <w:rPr>
          <w:rFonts w:eastAsia="Lucida Sans Unicode"/>
        </w:rPr>
        <w:t>(b)</w:t>
      </w:r>
      <w:r w:rsidR="00C40207" w:rsidRPr="00065339">
        <w:rPr>
          <w:rFonts w:eastAsia="Lucida Sans Unicode"/>
        </w:rPr>
        <w:tab/>
      </w:r>
      <w:r w:rsidR="00F439C7" w:rsidRPr="00065339">
        <w:rPr>
          <w:rFonts w:eastAsia="Lucida Sans Unicode"/>
        </w:rPr>
        <w:t>They can practicably be included.</w:t>
      </w:r>
    </w:p>
    <w:p w14:paraId="68B4F38F" w14:textId="77777777" w:rsidR="00F439C7" w:rsidRPr="00065339" w:rsidRDefault="00F439C7" w:rsidP="00570DF5">
      <w:pPr>
        <w:pStyle w:val="SingleTxtG"/>
        <w:rPr>
          <w:rFonts w:eastAsia="Lucida Sans Unicode"/>
        </w:rPr>
      </w:pPr>
      <w:r w:rsidRPr="00065339">
        <w:rPr>
          <w:rFonts w:eastAsia="Lucida Sans Unicode"/>
        </w:rPr>
        <w:t>Where no data are available</w:t>
      </w:r>
      <w:r w:rsidR="009F3947" w:rsidRPr="00065339">
        <w:rPr>
          <w:rFonts w:eastAsia="Lucida Sans Unicode"/>
        </w:rPr>
        <w:t>,</w:t>
      </w:r>
      <w:r w:rsidRPr="00065339">
        <w:rPr>
          <w:rFonts w:eastAsia="Lucida Sans Unicode"/>
        </w:rPr>
        <w:t xml:space="preserve"> the Party has to take measures to initiate the collection of emissions from one or more diffuse sources in accordance with its national priorities.</w:t>
      </w:r>
    </w:p>
    <w:p w14:paraId="00F09490" w14:textId="77777777" w:rsidR="00F439C7" w:rsidRPr="00065339" w:rsidRDefault="00570DF5" w:rsidP="00570DF5">
      <w:pPr>
        <w:pStyle w:val="H4G"/>
      </w:pPr>
      <w:r w:rsidRPr="00065339">
        <w:tab/>
      </w:r>
      <w:r w:rsidRPr="00065339">
        <w:tab/>
      </w:r>
      <w:r w:rsidR="00F439C7" w:rsidRPr="00065339">
        <w:t>Recommendation</w:t>
      </w:r>
    </w:p>
    <w:p w14:paraId="28800319" w14:textId="00B5F0A6" w:rsidR="00F439C7" w:rsidRPr="00065339" w:rsidRDefault="00817412" w:rsidP="00570DF5">
      <w:pPr>
        <w:pStyle w:val="SingleTxtG"/>
      </w:pPr>
      <w:r w:rsidRPr="00065339">
        <w:t>6</w:t>
      </w:r>
      <w:r w:rsidR="00D8692E">
        <w:t>2</w:t>
      </w:r>
      <w:r w:rsidR="00F439C7" w:rsidRPr="00065339">
        <w:t>.</w:t>
      </w:r>
      <w:r w:rsidR="00570DF5" w:rsidRPr="00065339">
        <w:tab/>
      </w:r>
      <w:r w:rsidR="00F439C7" w:rsidRPr="00065339">
        <w:t>Parties should provide answers to the following questions:</w:t>
      </w:r>
    </w:p>
    <w:p w14:paraId="5203A50F" w14:textId="5DEC36AC" w:rsidR="00F439C7" w:rsidRPr="00065339" w:rsidRDefault="000455A1" w:rsidP="006A1D15">
      <w:pPr>
        <w:pStyle w:val="SingleTxtG"/>
      </w:pPr>
      <w:r w:rsidRPr="00065339">
        <w:rPr>
          <w:rFonts w:eastAsia="Lucida Sans Unicode"/>
        </w:rPr>
        <w:tab/>
      </w:r>
      <w:r w:rsidR="00570DF5" w:rsidRPr="00065339">
        <w:rPr>
          <w:rFonts w:eastAsia="Lucida Sans Unicode"/>
        </w:rPr>
        <w:t>(a)</w:t>
      </w:r>
      <w:r w:rsidR="00570DF5" w:rsidRPr="00065339">
        <w:rPr>
          <w:rFonts w:eastAsia="Lucida Sans Unicode"/>
        </w:rPr>
        <w:tab/>
      </w:r>
      <w:r w:rsidR="00F439C7" w:rsidRPr="00065339">
        <w:rPr>
          <w:rFonts w:eastAsia="Lucida Sans Unicode"/>
        </w:rPr>
        <w:t>Are the emissions from diffuse sources on an extra web</w:t>
      </w:r>
      <w:r w:rsidR="009B10F6" w:rsidRPr="00065339">
        <w:rPr>
          <w:rFonts w:eastAsia="Lucida Sans Unicode"/>
        </w:rPr>
        <w:t xml:space="preserve"> </w:t>
      </w:r>
      <w:r w:rsidR="00F439C7" w:rsidRPr="00065339">
        <w:rPr>
          <w:rFonts w:eastAsia="Lucida Sans Unicode"/>
        </w:rPr>
        <w:t xml:space="preserve">page(s) or directly included in the </w:t>
      </w:r>
      <w:r w:rsidR="00F439C7" w:rsidRPr="00065339">
        <w:t>register</w:t>
      </w:r>
      <w:proofErr w:type="gramStart"/>
      <w:r w:rsidR="00F439C7" w:rsidRPr="00065339">
        <w:t>?</w:t>
      </w:r>
      <w:r w:rsidR="009B10F6" w:rsidRPr="00065339">
        <w:t>;</w:t>
      </w:r>
      <w:proofErr w:type="gramEnd"/>
    </w:p>
    <w:p w14:paraId="70E000A8" w14:textId="49FA431E" w:rsidR="00F439C7" w:rsidRPr="00065339" w:rsidRDefault="000455A1" w:rsidP="006A1D15">
      <w:pPr>
        <w:pStyle w:val="SingleTxtG"/>
      </w:pPr>
      <w:r w:rsidRPr="00065339">
        <w:tab/>
      </w:r>
      <w:r w:rsidR="00570DF5" w:rsidRPr="00065339">
        <w:t>(b)</w:t>
      </w:r>
      <w:r w:rsidR="00570DF5" w:rsidRPr="00065339">
        <w:tab/>
      </w:r>
      <w:r w:rsidR="00F439C7" w:rsidRPr="00065339">
        <w:t>Which diffuse sources are covered? Concerning which media and from which sectors (</w:t>
      </w:r>
      <w:r w:rsidR="009B10F6" w:rsidRPr="00065339">
        <w:t>e.g.,</w:t>
      </w:r>
      <w:r w:rsidR="00F439C7" w:rsidRPr="00065339">
        <w:t xml:space="preserve"> household, traffic, agriculture)</w:t>
      </w:r>
      <w:proofErr w:type="gramStart"/>
      <w:r w:rsidR="00F439C7" w:rsidRPr="00065339">
        <w:t>?</w:t>
      </w:r>
      <w:r w:rsidR="009B10F6" w:rsidRPr="00065339">
        <w:t>;</w:t>
      </w:r>
      <w:proofErr w:type="gramEnd"/>
    </w:p>
    <w:p w14:paraId="5C862B36" w14:textId="20EDBF8D" w:rsidR="00F439C7" w:rsidRPr="00065339" w:rsidRDefault="000455A1" w:rsidP="006A1D15">
      <w:pPr>
        <w:pStyle w:val="SingleTxtG"/>
      </w:pPr>
      <w:r w:rsidRPr="00065339">
        <w:tab/>
      </w:r>
      <w:r w:rsidR="00570DF5" w:rsidRPr="00065339">
        <w:t>(c)</w:t>
      </w:r>
      <w:r w:rsidR="00570DF5" w:rsidRPr="00065339">
        <w:tab/>
      </w:r>
      <w:r w:rsidR="001D06A4" w:rsidRPr="00065339">
        <w:t xml:space="preserve">What are the </w:t>
      </w:r>
      <w:r w:rsidR="00F439C7" w:rsidRPr="00065339">
        <w:t>reference years</w:t>
      </w:r>
      <w:r w:rsidR="001D06A4" w:rsidRPr="00065339">
        <w:t xml:space="preserve"> for the sources covered</w:t>
      </w:r>
      <w:proofErr w:type="gramStart"/>
      <w:r w:rsidR="00F439C7" w:rsidRPr="00065339">
        <w:t>?</w:t>
      </w:r>
      <w:r w:rsidR="001D06A4" w:rsidRPr="00065339">
        <w:t>;</w:t>
      </w:r>
      <w:proofErr w:type="gramEnd"/>
    </w:p>
    <w:p w14:paraId="22348BF6" w14:textId="5BDA3C0B" w:rsidR="00F439C7" w:rsidRPr="00065339" w:rsidRDefault="000455A1" w:rsidP="00B35DBE">
      <w:pPr>
        <w:pStyle w:val="SingleTxtG"/>
      </w:pPr>
      <w:r w:rsidRPr="00065339">
        <w:tab/>
      </w:r>
      <w:r w:rsidR="001D06A4" w:rsidRPr="00065339">
        <w:t>(d)</w:t>
      </w:r>
      <w:r w:rsidR="001D06A4" w:rsidRPr="00065339">
        <w:tab/>
      </w:r>
      <w:r w:rsidR="00F439C7" w:rsidRPr="00065339">
        <w:t>Which pollutants are covered for which diffuse sources</w:t>
      </w:r>
      <w:proofErr w:type="gramStart"/>
      <w:r w:rsidR="00F439C7" w:rsidRPr="00065339">
        <w:t>?</w:t>
      </w:r>
      <w:r w:rsidR="001D06A4" w:rsidRPr="00065339">
        <w:t>;</w:t>
      </w:r>
      <w:proofErr w:type="gramEnd"/>
    </w:p>
    <w:p w14:paraId="54EA31EF" w14:textId="5E3E5832" w:rsidR="00F439C7" w:rsidRPr="00065339" w:rsidRDefault="000455A1" w:rsidP="00B35DBE">
      <w:pPr>
        <w:pStyle w:val="SingleTxtG"/>
      </w:pPr>
      <w:r w:rsidRPr="00065339">
        <w:tab/>
      </w:r>
      <w:r w:rsidR="001D06A4" w:rsidRPr="00065339">
        <w:t>(e)</w:t>
      </w:r>
      <w:r w:rsidR="001D06A4" w:rsidRPr="00065339">
        <w:tab/>
      </w:r>
      <w:r w:rsidR="00F439C7" w:rsidRPr="00065339">
        <w:t>Wh</w:t>
      </w:r>
      <w:r w:rsidR="00823563" w:rsidRPr="00065339">
        <w:t>at</w:t>
      </w:r>
      <w:r w:rsidR="00F439C7" w:rsidRPr="00065339">
        <w:t xml:space="preserve"> spatial disaggregation is used</w:t>
      </w:r>
      <w:proofErr w:type="gramStart"/>
      <w:r w:rsidR="00F439C7" w:rsidRPr="00065339">
        <w:t>?</w:t>
      </w:r>
      <w:r w:rsidR="001D06A4" w:rsidRPr="00065339">
        <w:t>;</w:t>
      </w:r>
      <w:proofErr w:type="gramEnd"/>
    </w:p>
    <w:p w14:paraId="589BA9B8" w14:textId="5F12A2E0" w:rsidR="00F439C7" w:rsidRPr="00065339" w:rsidRDefault="000455A1" w:rsidP="006A1D15">
      <w:pPr>
        <w:pStyle w:val="SingleTxtG"/>
        <w:rPr>
          <w:rFonts w:eastAsia="Lucida Sans Unicode"/>
          <w:kern w:val="1"/>
        </w:rPr>
      </w:pPr>
      <w:r w:rsidRPr="00065339">
        <w:tab/>
      </w:r>
      <w:r w:rsidR="00B35DBE" w:rsidRPr="00065339">
        <w:t>(f)</w:t>
      </w:r>
      <w:r w:rsidR="00B35DBE" w:rsidRPr="00065339">
        <w:tab/>
      </w:r>
      <w:r w:rsidR="00F439C7" w:rsidRPr="00065339">
        <w:t xml:space="preserve">If no emissions from diffuse sources are yet included, </w:t>
      </w:r>
      <w:r w:rsidR="001D06A4" w:rsidRPr="00065339">
        <w:t xml:space="preserve">what </w:t>
      </w:r>
      <w:r w:rsidR="00F439C7" w:rsidRPr="00065339">
        <w:t xml:space="preserve">measures </w:t>
      </w:r>
      <w:r w:rsidR="001D06A4" w:rsidRPr="00065339">
        <w:t>h</w:t>
      </w:r>
      <w:r w:rsidR="00B35DBE" w:rsidRPr="00065339">
        <w:t>a</w:t>
      </w:r>
      <w:r w:rsidR="001D06A4" w:rsidRPr="00065339">
        <w:t xml:space="preserve">ve been </w:t>
      </w:r>
      <w:r w:rsidR="00F439C7" w:rsidRPr="00065339">
        <w:t>taken to initiate the</w:t>
      </w:r>
      <w:r w:rsidR="001D06A4" w:rsidRPr="00065339">
        <w:t>ir</w:t>
      </w:r>
      <w:r w:rsidR="00F439C7" w:rsidRPr="00065339">
        <w:t xml:space="preserve"> inclusion</w:t>
      </w:r>
      <w:r w:rsidR="00B35DBE" w:rsidRPr="00065339">
        <w:t>, and what is the</w:t>
      </w:r>
      <w:r w:rsidR="00F439C7" w:rsidRPr="00065339">
        <w:t xml:space="preserve"> timeline </w:t>
      </w:r>
      <w:r w:rsidR="00F439C7" w:rsidRPr="00065339">
        <w:rPr>
          <w:rFonts w:eastAsia="Lucida Sans Unicode"/>
          <w:kern w:val="1"/>
        </w:rPr>
        <w:t xml:space="preserve">for </w:t>
      </w:r>
      <w:r w:rsidR="00B35DBE" w:rsidRPr="00065339">
        <w:rPr>
          <w:rFonts w:eastAsia="Lucida Sans Unicode"/>
          <w:kern w:val="1"/>
        </w:rPr>
        <w:t xml:space="preserve">their </w:t>
      </w:r>
      <w:r w:rsidR="00F439C7" w:rsidRPr="00065339">
        <w:rPr>
          <w:rFonts w:eastAsia="Lucida Sans Unicode"/>
          <w:kern w:val="1"/>
        </w:rPr>
        <w:t>inclusion and development?</w:t>
      </w:r>
    </w:p>
    <w:p w14:paraId="66CAD713" w14:textId="77777777" w:rsidR="00F439C7" w:rsidRPr="00065339" w:rsidRDefault="002F12B1" w:rsidP="00912E21">
      <w:pPr>
        <w:pStyle w:val="H4G"/>
      </w:pPr>
      <w:r w:rsidRPr="00065339">
        <w:tab/>
      </w:r>
      <w:r w:rsidRPr="00065339">
        <w:tab/>
      </w:r>
      <w:r w:rsidR="00F439C7" w:rsidRPr="00065339">
        <w:t>Selected good practice for reporting</w:t>
      </w:r>
      <w:r w:rsidR="00F439C7" w:rsidRPr="00065339" w:rsidDel="00D846C5">
        <w:t xml:space="preserve"> </w:t>
      </w:r>
    </w:p>
    <w:p w14:paraId="28402A68" w14:textId="7A50FC7C" w:rsidR="00F439C7" w:rsidRPr="00065339" w:rsidRDefault="00817412" w:rsidP="006A1D15">
      <w:pPr>
        <w:spacing w:after="120" w:line="240" w:lineRule="auto"/>
        <w:ind w:left="1134" w:right="1134"/>
        <w:jc w:val="both"/>
      </w:pPr>
      <w:r w:rsidRPr="00065339">
        <w:t>6</w:t>
      </w:r>
      <w:r w:rsidR="00D8692E">
        <w:t>3</w:t>
      </w:r>
      <w:r w:rsidR="00F439C7" w:rsidRPr="00065339">
        <w:t>.</w:t>
      </w:r>
      <w:r w:rsidR="002F12B1" w:rsidRPr="00065339">
        <w:tab/>
      </w:r>
      <w:r w:rsidR="00B35DBE" w:rsidRPr="00065339">
        <w:t xml:space="preserve">In reporting on </w:t>
      </w:r>
      <w:r w:rsidR="00F439C7" w:rsidRPr="00065339">
        <w:t>diffuse sources</w:t>
      </w:r>
      <w:r w:rsidR="00B35DBE" w:rsidRPr="00065339">
        <w:t xml:space="preserve">, as a good practice Parties should </w:t>
      </w:r>
      <w:r w:rsidR="00F439C7" w:rsidRPr="00065339">
        <w:t xml:space="preserve">briefly </w:t>
      </w:r>
      <w:r w:rsidR="00B35DBE" w:rsidRPr="00065339">
        <w:t xml:space="preserve">describe </w:t>
      </w:r>
      <w:r w:rsidR="00F439C7" w:rsidRPr="00065339">
        <w:t>the</w:t>
      </w:r>
      <w:r w:rsidR="00B35DBE" w:rsidRPr="00065339">
        <w:t>ir</w:t>
      </w:r>
      <w:r w:rsidR="00F439C7" w:rsidRPr="00065339">
        <w:t xml:space="preserve"> approach and use the sub-questions in the recommendations </w:t>
      </w:r>
      <w:r w:rsidR="00B35DBE" w:rsidRPr="00065339">
        <w:t xml:space="preserve">above as a guide </w:t>
      </w:r>
      <w:r w:rsidR="00F439C7" w:rsidRPr="00065339">
        <w:t xml:space="preserve">to </w:t>
      </w:r>
      <w:r w:rsidR="00B85550" w:rsidRPr="00065339">
        <w:t xml:space="preserve">ensure they </w:t>
      </w:r>
      <w:r w:rsidR="00F439C7" w:rsidRPr="00065339">
        <w:t>provide the relevant details.</w:t>
      </w:r>
    </w:p>
    <w:p w14:paraId="40A79A9E" w14:textId="68F72CC6" w:rsidR="00F439C7" w:rsidRPr="00065339" w:rsidRDefault="002F12B1" w:rsidP="002F12B1">
      <w:pPr>
        <w:pStyle w:val="H23G"/>
        <w:rPr>
          <w:rFonts w:eastAsia="Lucida Sans Unicode"/>
        </w:rPr>
      </w:pPr>
      <w:r w:rsidRPr="00065339">
        <w:tab/>
      </w:r>
      <w:r w:rsidR="00163FF0" w:rsidRPr="00065339">
        <w:tab/>
      </w:r>
      <w:r w:rsidR="00F439C7" w:rsidRPr="00065339">
        <w:t>Methodologies used for diffuse sources</w:t>
      </w:r>
      <w:r w:rsidR="00C63795" w:rsidRPr="00065339">
        <w:t xml:space="preserve"> — </w:t>
      </w:r>
      <w:r w:rsidR="00B24547" w:rsidRPr="00065339">
        <w:t>sub-question</w:t>
      </w:r>
      <w:r w:rsidR="00F439C7" w:rsidRPr="00065339">
        <w:t xml:space="preserve"> (</w:t>
      </w:r>
      <w:proofErr w:type="spellStart"/>
      <w:r w:rsidR="00F439C7" w:rsidRPr="00065339">
        <w:rPr>
          <w:rFonts w:eastAsia="Lucida Sans Unicode"/>
        </w:rPr>
        <w:t>i</w:t>
      </w:r>
      <w:proofErr w:type="spellEnd"/>
      <w:r w:rsidR="00F439C7" w:rsidRPr="00065339">
        <w:rPr>
          <w:rFonts w:eastAsia="Lucida Sans Unicode"/>
        </w:rPr>
        <w:t>)</w:t>
      </w:r>
    </w:p>
    <w:p w14:paraId="78E37A22" w14:textId="7C6C5023" w:rsidR="00F439C7" w:rsidRPr="00065339" w:rsidRDefault="00817412" w:rsidP="002F12B1">
      <w:pPr>
        <w:pStyle w:val="SingleTxtG"/>
        <w:rPr>
          <w:rFonts w:eastAsia="Lucida Sans Unicode"/>
        </w:rPr>
      </w:pPr>
      <w:r w:rsidRPr="00065339">
        <w:rPr>
          <w:rFonts w:eastAsia="Lucida Sans Unicode"/>
        </w:rPr>
        <w:t>6</w:t>
      </w:r>
      <w:r w:rsidR="00D8692E">
        <w:rPr>
          <w:rFonts w:eastAsia="Lucida Sans Unicode"/>
        </w:rPr>
        <w:t>4</w:t>
      </w:r>
      <w:r w:rsidR="00F439C7" w:rsidRPr="00065339">
        <w:rPr>
          <w:rFonts w:eastAsia="Lucida Sans Unicode"/>
        </w:rPr>
        <w:t>.</w:t>
      </w:r>
      <w:r w:rsidR="002F12B1" w:rsidRPr="00065339">
        <w:rPr>
          <w:rFonts w:eastAsia="Lucida Sans Unicode"/>
        </w:rPr>
        <w:tab/>
      </w:r>
      <w:r w:rsidR="00F439C7" w:rsidRPr="00065339">
        <w:rPr>
          <w:rFonts w:eastAsia="Lucida Sans Unicode"/>
        </w:rPr>
        <w:t xml:space="preserve">It is possible that each diffuse source and each pollutant requires </w:t>
      </w:r>
      <w:r w:rsidR="007D5F34" w:rsidRPr="00065339">
        <w:rPr>
          <w:rFonts w:eastAsia="Lucida Sans Unicode"/>
        </w:rPr>
        <w:t xml:space="preserve">a </w:t>
      </w:r>
      <w:r w:rsidR="00F439C7" w:rsidRPr="00065339">
        <w:rPr>
          <w:rFonts w:eastAsia="Lucida Sans Unicode"/>
        </w:rPr>
        <w:t xml:space="preserve">specific methodology. </w:t>
      </w:r>
      <w:r w:rsidR="007D5F34" w:rsidRPr="00065339">
        <w:rPr>
          <w:rFonts w:eastAsia="Lucida Sans Unicode"/>
        </w:rPr>
        <w:t>Data on e</w:t>
      </w:r>
      <w:r w:rsidR="00F439C7" w:rsidRPr="00065339">
        <w:rPr>
          <w:rFonts w:eastAsia="Lucida Sans Unicode"/>
        </w:rPr>
        <w:t>missions from diffuse sources are</w:t>
      </w:r>
      <w:r w:rsidR="007D5F34" w:rsidRPr="00065339">
        <w:rPr>
          <w:rFonts w:eastAsia="Lucida Sans Unicode"/>
        </w:rPr>
        <w:t>,</w:t>
      </w:r>
      <w:r w:rsidR="00F439C7" w:rsidRPr="00065339">
        <w:rPr>
          <w:rFonts w:eastAsia="Lucida Sans Unicode"/>
        </w:rPr>
        <w:t xml:space="preserve"> </w:t>
      </w:r>
      <w:r w:rsidR="007D5F34" w:rsidRPr="00065339">
        <w:rPr>
          <w:rFonts w:eastAsia="Lucida Sans Unicode"/>
        </w:rPr>
        <w:t xml:space="preserve">for example, already prepared </w:t>
      </w:r>
      <w:r w:rsidR="00DD6326" w:rsidRPr="00065339">
        <w:rPr>
          <w:rFonts w:eastAsia="Lucida Sans Unicode"/>
        </w:rPr>
        <w:t xml:space="preserve">in relation to </w:t>
      </w:r>
      <w:r w:rsidR="00F439C7" w:rsidRPr="00065339">
        <w:rPr>
          <w:rFonts w:eastAsia="Lucida Sans Unicode"/>
        </w:rPr>
        <w:t xml:space="preserve">other reporting obligations or are collected for research projects where </w:t>
      </w:r>
      <w:r w:rsidR="00DD6326" w:rsidRPr="00065339">
        <w:rPr>
          <w:rFonts w:eastAsia="Lucida Sans Unicode"/>
        </w:rPr>
        <w:t xml:space="preserve">the </w:t>
      </w:r>
      <w:r w:rsidR="00F439C7" w:rsidRPr="00065339">
        <w:rPr>
          <w:rFonts w:eastAsia="Lucida Sans Unicode"/>
        </w:rPr>
        <w:t>methodology would be adequately described. For several diffuse sources the methodology is part of the respective reporting obligation (e.g.</w:t>
      </w:r>
      <w:r w:rsidR="00DD6326" w:rsidRPr="00065339">
        <w:rPr>
          <w:rFonts w:eastAsia="Lucida Sans Unicode"/>
        </w:rPr>
        <w:t>,</w:t>
      </w:r>
      <w:r w:rsidR="00F439C7" w:rsidRPr="00065339">
        <w:rPr>
          <w:rFonts w:eastAsia="Lucida Sans Unicode"/>
        </w:rPr>
        <w:t xml:space="preserve"> </w:t>
      </w:r>
      <w:r w:rsidR="00DD6326" w:rsidRPr="00065339">
        <w:rPr>
          <w:rFonts w:eastAsia="Lucida Sans Unicode"/>
        </w:rPr>
        <w:t xml:space="preserve">see the Cooperative Programme for Monitoring and Evaluation of the Long-range Transmission of Air Pollutants in Europe </w:t>
      </w:r>
      <w:r w:rsidR="00F439C7" w:rsidRPr="00065339">
        <w:rPr>
          <w:rFonts w:eastAsia="Lucida Sans Unicode"/>
        </w:rPr>
        <w:t>(EMEP)</w:t>
      </w:r>
      <w:r w:rsidR="00DD6326" w:rsidRPr="00065339">
        <w:rPr>
          <w:rFonts w:eastAsia="Lucida Sans Unicode"/>
        </w:rPr>
        <w:t xml:space="preserve"> database)</w:t>
      </w:r>
      <w:r w:rsidR="00F439C7" w:rsidRPr="00065339">
        <w:rPr>
          <w:rFonts w:eastAsia="Lucida Sans Unicode"/>
          <w:sz w:val="18"/>
          <w:szCs w:val="18"/>
          <w:vertAlign w:val="superscript"/>
        </w:rPr>
        <w:footnoteReference w:id="8"/>
      </w:r>
      <w:r w:rsidR="00F439C7" w:rsidRPr="00065339">
        <w:rPr>
          <w:rFonts w:eastAsia="Lucida Sans Unicode"/>
          <w:sz w:val="18"/>
          <w:szCs w:val="18"/>
          <w:vertAlign w:val="superscript"/>
        </w:rPr>
        <w:t>)</w:t>
      </w:r>
      <w:r w:rsidR="00F439C7" w:rsidRPr="00065339">
        <w:rPr>
          <w:rFonts w:eastAsia="Lucida Sans Unicode"/>
        </w:rPr>
        <w:t xml:space="preserve"> and is described in detail</w:t>
      </w:r>
      <w:r w:rsidR="00522643" w:rsidRPr="00065339">
        <w:rPr>
          <w:rFonts w:eastAsia="Lucida Sans Unicode"/>
        </w:rPr>
        <w:t xml:space="preserve"> in the relevant rules governing that reporting</w:t>
      </w:r>
      <w:r w:rsidR="00F439C7" w:rsidRPr="00065339">
        <w:rPr>
          <w:rFonts w:eastAsia="Lucida Sans Unicode"/>
        </w:rPr>
        <w:t xml:space="preserve">. </w:t>
      </w:r>
      <w:r w:rsidR="00522643" w:rsidRPr="00065339">
        <w:rPr>
          <w:rFonts w:eastAsia="Lucida Sans Unicode"/>
        </w:rPr>
        <w:t>In r</w:t>
      </w:r>
      <w:r w:rsidR="00F439C7" w:rsidRPr="00065339">
        <w:rPr>
          <w:rFonts w:eastAsia="Lucida Sans Unicode"/>
        </w:rPr>
        <w:t>eport</w:t>
      </w:r>
      <w:r w:rsidR="00522643" w:rsidRPr="00065339">
        <w:rPr>
          <w:rFonts w:eastAsia="Lucida Sans Unicode"/>
        </w:rPr>
        <w:t>ing under the Protocol, Parties</w:t>
      </w:r>
      <w:r w:rsidR="00F439C7" w:rsidRPr="00065339">
        <w:rPr>
          <w:rFonts w:eastAsia="Lucida Sans Unicode"/>
        </w:rPr>
        <w:t xml:space="preserve"> should mention where such methodologies are used.</w:t>
      </w:r>
    </w:p>
    <w:p w14:paraId="49D16948" w14:textId="77777777" w:rsidR="00F439C7" w:rsidRPr="00065339" w:rsidRDefault="002F12B1" w:rsidP="002F12B1">
      <w:pPr>
        <w:pStyle w:val="H4G"/>
      </w:pPr>
      <w:r w:rsidRPr="00065339">
        <w:tab/>
      </w:r>
      <w:r w:rsidRPr="00065339">
        <w:tab/>
      </w:r>
      <w:r w:rsidR="00F439C7" w:rsidRPr="00065339">
        <w:t>Recommendation</w:t>
      </w:r>
    </w:p>
    <w:p w14:paraId="01C0BD9C" w14:textId="34967D8A" w:rsidR="00F439C7" w:rsidRPr="00065339" w:rsidRDefault="00D8692E" w:rsidP="002F12B1">
      <w:pPr>
        <w:pStyle w:val="SingleTxtG"/>
        <w:rPr>
          <w:rFonts w:eastAsia="Lucida Sans Unicode"/>
        </w:rPr>
      </w:pPr>
      <w:r>
        <w:t>65</w:t>
      </w:r>
      <w:r w:rsidR="00F439C7" w:rsidRPr="00065339">
        <w:t>.</w:t>
      </w:r>
      <w:r w:rsidR="002F12B1" w:rsidRPr="00065339">
        <w:tab/>
      </w:r>
      <w:r w:rsidR="00F439C7" w:rsidRPr="00065339">
        <w:t xml:space="preserve">For each diffuse source and pollutant a short explanation in </w:t>
      </w:r>
      <w:r w:rsidR="00937A74" w:rsidRPr="00065339">
        <w:t>easy-to-</w:t>
      </w:r>
      <w:r w:rsidR="00522643" w:rsidRPr="00065339">
        <w:t xml:space="preserve">follow language </w:t>
      </w:r>
      <w:r w:rsidR="00F439C7" w:rsidRPr="00065339">
        <w:t>and/or reference to available documentation will be helpful for those who are just starting to report on emissions from diffuse sources. Concerning new methodologies, e.g.</w:t>
      </w:r>
      <w:r w:rsidR="00522643" w:rsidRPr="00065339">
        <w:t>,</w:t>
      </w:r>
      <w:r w:rsidR="00F439C7" w:rsidRPr="00065339">
        <w:t xml:space="preserve"> from research projects, additional short explanatory text, including references to documents, will help others in their efforts.</w:t>
      </w:r>
    </w:p>
    <w:p w14:paraId="5A36C3F7" w14:textId="77777777" w:rsidR="00F439C7" w:rsidRPr="00065339" w:rsidRDefault="002F12B1" w:rsidP="00912E21">
      <w:pPr>
        <w:pStyle w:val="H4G"/>
      </w:pPr>
      <w:r w:rsidRPr="00065339">
        <w:tab/>
      </w:r>
      <w:r w:rsidRPr="00065339">
        <w:tab/>
      </w:r>
      <w:r w:rsidR="00F439C7" w:rsidRPr="00065339">
        <w:t>Selected good practice for reporting</w:t>
      </w:r>
      <w:r w:rsidR="00F439C7" w:rsidRPr="00065339" w:rsidDel="00D846C5">
        <w:t xml:space="preserve"> </w:t>
      </w:r>
    </w:p>
    <w:p w14:paraId="24D5D8C4" w14:textId="501CCD40" w:rsidR="00F439C7" w:rsidRPr="00065339" w:rsidRDefault="00D8692E" w:rsidP="006A1D15">
      <w:pPr>
        <w:pStyle w:val="SingleTxtG"/>
      </w:pPr>
      <w:r>
        <w:t>66</w:t>
      </w:r>
      <w:r w:rsidR="00F439C7" w:rsidRPr="00065339">
        <w:t>.</w:t>
      </w:r>
      <w:r w:rsidR="002F12B1" w:rsidRPr="00065339">
        <w:tab/>
      </w:r>
      <w:r w:rsidR="00A2614E" w:rsidRPr="00065339">
        <w:t xml:space="preserve">As a </w:t>
      </w:r>
      <w:r w:rsidR="00F439C7" w:rsidRPr="00065339">
        <w:t xml:space="preserve">good practice </w:t>
      </w:r>
      <w:r w:rsidR="00A2614E" w:rsidRPr="00065339">
        <w:t xml:space="preserve">in </w:t>
      </w:r>
      <w:r w:rsidR="00F439C7" w:rsidRPr="00065339">
        <w:t xml:space="preserve">reporting </w:t>
      </w:r>
      <w:r w:rsidR="00937A74" w:rsidRPr="00065339">
        <w:t xml:space="preserve">on the </w:t>
      </w:r>
      <w:r w:rsidR="00F439C7" w:rsidRPr="00065339">
        <w:t xml:space="preserve">methodologies used for </w:t>
      </w:r>
      <w:r w:rsidR="00937A74" w:rsidRPr="00065339">
        <w:t xml:space="preserve">reporting on </w:t>
      </w:r>
      <w:r w:rsidR="00F439C7" w:rsidRPr="00065339">
        <w:t>diffuse sources</w:t>
      </w:r>
      <w:r w:rsidR="00A2614E" w:rsidRPr="00065339">
        <w:t xml:space="preserve">, Parties should </w:t>
      </w:r>
      <w:r w:rsidR="00F439C7" w:rsidRPr="00065339">
        <w:t xml:space="preserve">briefly </w:t>
      </w:r>
      <w:r w:rsidR="00A2614E" w:rsidRPr="00065339">
        <w:t xml:space="preserve">describe </w:t>
      </w:r>
      <w:r w:rsidR="00F439C7" w:rsidRPr="00065339">
        <w:t>the</w:t>
      </w:r>
      <w:r w:rsidR="00A2614E" w:rsidRPr="00065339">
        <w:t>ir</w:t>
      </w:r>
      <w:r w:rsidR="00F439C7" w:rsidRPr="00065339">
        <w:t xml:space="preserve"> approach and use the above recommendations to </w:t>
      </w:r>
      <w:r w:rsidR="00A2614E" w:rsidRPr="00065339">
        <w:t xml:space="preserve">guide them in </w:t>
      </w:r>
      <w:r w:rsidR="00F439C7" w:rsidRPr="00065339">
        <w:t>provid</w:t>
      </w:r>
      <w:r w:rsidR="00A2614E" w:rsidRPr="00065339">
        <w:t>ing</w:t>
      </w:r>
      <w:r w:rsidR="00F439C7" w:rsidRPr="00065339">
        <w:t xml:space="preserve"> the relevant information.</w:t>
      </w:r>
    </w:p>
    <w:p w14:paraId="3AE99818" w14:textId="2D6435C2" w:rsidR="0066716C" w:rsidRPr="00065339" w:rsidRDefault="0066716C" w:rsidP="0066716C">
      <w:pPr>
        <w:pStyle w:val="H1G"/>
      </w:pPr>
      <w:r w:rsidRPr="00065339">
        <w:tab/>
        <w:t>C.</w:t>
      </w:r>
      <w:r w:rsidRPr="00065339">
        <w:tab/>
        <w:t>Reporting cycle</w:t>
      </w:r>
      <w:r w:rsidR="00C63795" w:rsidRPr="00065339">
        <w:t xml:space="preserve"> — </w:t>
      </w:r>
      <w:r w:rsidR="00B24547" w:rsidRPr="00065339">
        <w:t>a</w:t>
      </w:r>
      <w:r w:rsidRPr="00065339">
        <w:t>rticle 8</w:t>
      </w:r>
    </w:p>
    <w:p w14:paraId="2E7CA6BD" w14:textId="066FE525" w:rsidR="0066716C" w:rsidRPr="00065339" w:rsidRDefault="0066716C" w:rsidP="0066716C">
      <w:pPr>
        <w:pStyle w:val="H23G"/>
        <w:rPr>
          <w:rFonts w:eastAsia="Lucida Sans Unicode"/>
        </w:rPr>
      </w:pPr>
      <w:r w:rsidRPr="00065339">
        <w:tab/>
      </w:r>
      <w:r w:rsidR="00163FF0" w:rsidRPr="00065339">
        <w:tab/>
      </w:r>
      <w:r w:rsidRPr="00065339">
        <w:t>Reporting deadlines</w:t>
      </w:r>
      <w:r w:rsidR="00C63795" w:rsidRPr="00065339">
        <w:t xml:space="preserve"> — </w:t>
      </w:r>
      <w:r w:rsidR="00B24547" w:rsidRPr="00065339">
        <w:t>sub-question</w:t>
      </w:r>
      <w:r w:rsidRPr="00065339">
        <w:t xml:space="preserve"> (b</w:t>
      </w:r>
      <w:r w:rsidRPr="00065339">
        <w:rPr>
          <w:rFonts w:eastAsia="Lucida Sans Unicode"/>
        </w:rPr>
        <w:t>)</w:t>
      </w:r>
    </w:p>
    <w:p w14:paraId="7F156837" w14:textId="3BFF1656" w:rsidR="0066716C" w:rsidRPr="00065339" w:rsidRDefault="00D8692E" w:rsidP="0066716C">
      <w:pPr>
        <w:pStyle w:val="SingleTxtG"/>
      </w:pPr>
      <w:r>
        <w:t>67</w:t>
      </w:r>
      <w:r w:rsidR="0066716C" w:rsidRPr="00065339">
        <w:t>.</w:t>
      </w:r>
      <w:r w:rsidR="0066716C" w:rsidRPr="00065339">
        <w:tab/>
      </w:r>
      <w:r w:rsidR="006059B3" w:rsidRPr="00065339">
        <w:t xml:space="preserve">In responding to question 8 in the 2014 </w:t>
      </w:r>
      <w:r w:rsidR="0093675B" w:rsidRPr="00065339">
        <w:t xml:space="preserve">reporting </w:t>
      </w:r>
      <w:r w:rsidR="006059B3" w:rsidRPr="00065339">
        <w:t>round, a</w:t>
      </w:r>
      <w:r w:rsidR="0066716C" w:rsidRPr="00065339">
        <w:t xml:space="preserve"> number of Parties answer</w:t>
      </w:r>
      <w:r w:rsidR="006059B3" w:rsidRPr="00065339">
        <w:t>ed</w:t>
      </w:r>
      <w:r w:rsidR="0066716C" w:rsidRPr="00065339">
        <w:t xml:space="preserve"> briefly without describing relevant legal requirements, whil</w:t>
      </w:r>
      <w:r w:rsidR="00492488" w:rsidRPr="00065339">
        <w:t>e</w:t>
      </w:r>
      <w:r w:rsidR="0066716C" w:rsidRPr="00065339">
        <w:t xml:space="preserve"> other Parties describe</w:t>
      </w:r>
      <w:r w:rsidR="006059B3" w:rsidRPr="00065339">
        <w:t>d</w:t>
      </w:r>
      <w:r w:rsidR="0066716C" w:rsidRPr="00065339">
        <w:t xml:space="preserve"> the legal basis for their reporting deadline.</w:t>
      </w:r>
      <w:r w:rsidR="004538EC" w:rsidRPr="00065339">
        <w:t xml:space="preserve"> </w:t>
      </w:r>
      <w:r w:rsidR="00B2123C" w:rsidRPr="00065339">
        <w:t xml:space="preserve">The </w:t>
      </w:r>
      <w:r w:rsidR="004538EC" w:rsidRPr="00065339">
        <w:t xml:space="preserve">Committee considered that </w:t>
      </w:r>
      <w:r w:rsidR="001F384F" w:rsidRPr="00065339">
        <w:t xml:space="preserve">national </w:t>
      </w:r>
      <w:r w:rsidR="004538EC" w:rsidRPr="00065339">
        <w:t>reporting deadlines must be stipulated in a legally binding document.</w:t>
      </w:r>
    </w:p>
    <w:p w14:paraId="734BF1B9" w14:textId="77777777" w:rsidR="0066716C" w:rsidRPr="00065339" w:rsidRDefault="0066716C" w:rsidP="0066716C">
      <w:pPr>
        <w:pStyle w:val="H4G"/>
      </w:pPr>
      <w:r w:rsidRPr="00065339">
        <w:tab/>
      </w:r>
      <w:r w:rsidRPr="00065339">
        <w:tab/>
        <w:t>Recommendation</w:t>
      </w:r>
    </w:p>
    <w:p w14:paraId="43854E34" w14:textId="1D209043" w:rsidR="0066716C" w:rsidRPr="00065339" w:rsidRDefault="00817412" w:rsidP="0066716C">
      <w:pPr>
        <w:pStyle w:val="SingleTxtG"/>
      </w:pPr>
      <w:r w:rsidRPr="00065339">
        <w:t>6</w:t>
      </w:r>
      <w:r w:rsidR="00D8692E">
        <w:t>8</w:t>
      </w:r>
      <w:r w:rsidR="0066716C" w:rsidRPr="00065339">
        <w:t>.</w:t>
      </w:r>
      <w:r w:rsidR="0066716C" w:rsidRPr="00065339">
        <w:tab/>
        <w:t xml:space="preserve">Parties should name </w:t>
      </w:r>
      <w:r w:rsidR="00492488" w:rsidRPr="00065339">
        <w:t xml:space="preserve">the </w:t>
      </w:r>
      <w:r w:rsidR="0066716C" w:rsidRPr="00065339">
        <w:t xml:space="preserve">legislative and regulatory measures </w:t>
      </w:r>
      <w:r w:rsidR="00492488" w:rsidRPr="00065339">
        <w:t xml:space="preserve">that </w:t>
      </w:r>
      <w:r w:rsidR="0066716C" w:rsidRPr="00065339">
        <w:t>prescribe deadlines by which the owners or operators of facilities were required to report to the competent authority.</w:t>
      </w:r>
    </w:p>
    <w:p w14:paraId="6C15EE70" w14:textId="77777777" w:rsidR="0066716C" w:rsidRPr="00065339" w:rsidRDefault="0066716C" w:rsidP="00912E21">
      <w:pPr>
        <w:pStyle w:val="H4G"/>
      </w:pPr>
      <w:r w:rsidRPr="00065339">
        <w:tab/>
      </w:r>
      <w:r w:rsidRPr="00065339">
        <w:tab/>
        <w:t>Selected good practice for reporting</w:t>
      </w:r>
      <w:r w:rsidRPr="00065339" w:rsidDel="00D846C5">
        <w:t xml:space="preserve"> </w:t>
      </w:r>
    </w:p>
    <w:p w14:paraId="009BA2C9" w14:textId="795873A6" w:rsidR="0066716C" w:rsidRPr="00065339" w:rsidRDefault="00D8692E" w:rsidP="006A1D15">
      <w:pPr>
        <w:pStyle w:val="SingleTxtG"/>
      </w:pPr>
      <w:r>
        <w:t>69</w:t>
      </w:r>
      <w:r w:rsidR="0066716C" w:rsidRPr="00065339">
        <w:t>.</w:t>
      </w:r>
      <w:r w:rsidR="0066716C" w:rsidRPr="00065339">
        <w:tab/>
      </w:r>
      <w:r w:rsidR="00492488" w:rsidRPr="00065339">
        <w:t xml:space="preserve">A </w:t>
      </w:r>
      <w:r w:rsidR="0066716C" w:rsidRPr="00065339">
        <w:t xml:space="preserve">good practice for reporting </w:t>
      </w:r>
      <w:r w:rsidR="00492488" w:rsidRPr="00065339">
        <w:t xml:space="preserve">on </w:t>
      </w:r>
      <w:r w:rsidR="0066716C" w:rsidRPr="00065339">
        <w:t>reporting deadlines</w:t>
      </w:r>
      <w:r w:rsidR="00492488" w:rsidRPr="00065339">
        <w:t xml:space="preserve"> is to cite the relevant </w:t>
      </w:r>
      <w:r w:rsidR="0066716C" w:rsidRPr="00065339">
        <w:t>legislative measures (e.g.</w:t>
      </w:r>
      <w:r w:rsidR="00492488" w:rsidRPr="00065339">
        <w:t>,</w:t>
      </w:r>
      <w:r w:rsidR="0066716C" w:rsidRPr="00065339">
        <w:t xml:space="preserve"> see the </w:t>
      </w:r>
      <w:r w:rsidR="0057044B">
        <w:t>national implementation reports</w:t>
      </w:r>
      <w:r w:rsidR="0066716C" w:rsidRPr="00065339">
        <w:t xml:space="preserve"> submitted by Denmark, Germany, Ireland, Lithuania, the Netherlands, Portugal, Romania, Spain or the former Yugoslav Republic of Macedonia)</w:t>
      </w:r>
      <w:r w:rsidR="00492488" w:rsidRPr="00065339">
        <w:t>,</w:t>
      </w:r>
      <w:r w:rsidR="0066716C" w:rsidRPr="00065339">
        <w:t xml:space="preserve"> and </w:t>
      </w:r>
      <w:r w:rsidR="00492488" w:rsidRPr="00065339">
        <w:t xml:space="preserve">to </w:t>
      </w:r>
      <w:r w:rsidR="00F167B4" w:rsidRPr="00065339">
        <w:t xml:space="preserve">include </w:t>
      </w:r>
      <w:r w:rsidR="0066716C" w:rsidRPr="00065339">
        <w:t>details</w:t>
      </w:r>
      <w:r w:rsidR="00F167B4" w:rsidRPr="00065339">
        <w:t>,</w:t>
      </w:r>
      <w:r w:rsidR="0066716C" w:rsidRPr="00065339">
        <w:t xml:space="preserve"> such as where these deadlines are published, the scope at different levels (national/local) </w:t>
      </w:r>
      <w:r w:rsidR="00F167B4" w:rsidRPr="00065339">
        <w:t xml:space="preserve">and </w:t>
      </w:r>
      <w:r w:rsidR="0066716C" w:rsidRPr="00065339">
        <w:t>the reporting calendar.</w:t>
      </w:r>
    </w:p>
    <w:p w14:paraId="6DC097BD" w14:textId="77777777" w:rsidR="0066716C" w:rsidRPr="00065339" w:rsidRDefault="0066716C" w:rsidP="0066716C">
      <w:pPr>
        <w:pStyle w:val="H23G"/>
      </w:pPr>
      <w:r w:rsidRPr="00065339">
        <w:tab/>
      </w:r>
      <w:r w:rsidR="00163FF0" w:rsidRPr="00065339">
        <w:tab/>
      </w:r>
      <w:r w:rsidRPr="00065339">
        <w:t>Deadline for the public accessibility of data</w:t>
      </w:r>
      <w:r w:rsidR="00B24547" w:rsidRPr="00065339">
        <w:t xml:space="preserve"> — sub-question (c)</w:t>
      </w:r>
    </w:p>
    <w:p w14:paraId="108A19A3" w14:textId="742BFE0C" w:rsidR="0066716C" w:rsidRPr="00065339" w:rsidRDefault="00817412" w:rsidP="0066716C">
      <w:pPr>
        <w:pStyle w:val="SingleTxtG"/>
      </w:pPr>
      <w:r w:rsidRPr="00065339">
        <w:t>7</w:t>
      </w:r>
      <w:r w:rsidR="00D8692E">
        <w:t>0</w:t>
      </w:r>
      <w:r w:rsidR="0066716C" w:rsidRPr="00065339">
        <w:t>.</w:t>
      </w:r>
      <w:r w:rsidR="0066716C" w:rsidRPr="00065339">
        <w:tab/>
        <w:t>In order to provide the public with up-to-date information on pollutant releases and transfers, the Protocol sets a maximum deadline of 15 months after the end of the reporting year for making the reported data publicly available in the registers.</w:t>
      </w:r>
    </w:p>
    <w:p w14:paraId="1D06377E" w14:textId="77777777" w:rsidR="0066716C" w:rsidRPr="00065339" w:rsidRDefault="0066716C" w:rsidP="0066716C">
      <w:pPr>
        <w:pStyle w:val="H4G"/>
      </w:pPr>
      <w:r w:rsidRPr="00065339">
        <w:tab/>
      </w:r>
      <w:r w:rsidRPr="00065339">
        <w:tab/>
        <w:t>Recommendations</w:t>
      </w:r>
    </w:p>
    <w:p w14:paraId="128B95DF" w14:textId="5300A579" w:rsidR="0066716C" w:rsidRPr="00065339" w:rsidRDefault="00817412" w:rsidP="0066716C">
      <w:pPr>
        <w:pStyle w:val="SingleTxtG"/>
      </w:pPr>
      <w:r w:rsidRPr="00065339">
        <w:t>7</w:t>
      </w:r>
      <w:r w:rsidR="00D8692E">
        <w:t>1</w:t>
      </w:r>
      <w:r w:rsidR="0066716C" w:rsidRPr="00065339">
        <w:t>.</w:t>
      </w:r>
      <w:r w:rsidR="0066716C" w:rsidRPr="00065339">
        <w:tab/>
        <w:t xml:space="preserve">Parties should clearly indicate </w:t>
      </w:r>
      <w:r w:rsidR="00A3412D" w:rsidRPr="00065339">
        <w:t xml:space="preserve">what the </w:t>
      </w:r>
      <w:r w:rsidR="0066716C" w:rsidRPr="00065339">
        <w:t xml:space="preserve">deadline </w:t>
      </w:r>
      <w:r w:rsidR="00A3412D" w:rsidRPr="00065339">
        <w:t xml:space="preserve">is </w:t>
      </w:r>
      <w:r w:rsidR="0066716C" w:rsidRPr="00065339">
        <w:t>for public accessibility of the data</w:t>
      </w:r>
      <w:r w:rsidR="00A3412D" w:rsidRPr="00065339">
        <w:t>, as</w:t>
      </w:r>
      <w:r w:rsidR="0066716C" w:rsidRPr="00065339">
        <w:t xml:space="preserve"> set in the national legislation.</w:t>
      </w:r>
    </w:p>
    <w:p w14:paraId="10014F3A" w14:textId="45E736C8" w:rsidR="0066716C" w:rsidRPr="00065339" w:rsidRDefault="00D8692E" w:rsidP="0066716C">
      <w:pPr>
        <w:pStyle w:val="SingleTxtG"/>
      </w:pPr>
      <w:r>
        <w:t>72</w:t>
      </w:r>
      <w:r w:rsidR="0066716C" w:rsidRPr="00065339">
        <w:t>.</w:t>
      </w:r>
      <w:r w:rsidR="0066716C" w:rsidRPr="00065339">
        <w:tab/>
        <w:t>Whe</w:t>
      </w:r>
      <w:r w:rsidR="00F167B4" w:rsidRPr="00065339">
        <w:t>n</w:t>
      </w:r>
      <w:r w:rsidR="0066716C" w:rsidRPr="00065339">
        <w:t xml:space="preserve"> a Party does not meet the required deadline it should explain why, and report measures taken or planned to meet the deadline in future.</w:t>
      </w:r>
    </w:p>
    <w:p w14:paraId="1D4914ED" w14:textId="77777777" w:rsidR="0066716C" w:rsidRPr="00065339" w:rsidRDefault="0066716C" w:rsidP="00912E21">
      <w:pPr>
        <w:pStyle w:val="H4G"/>
      </w:pPr>
      <w:r w:rsidRPr="00065339">
        <w:tab/>
      </w:r>
      <w:r w:rsidRPr="00065339">
        <w:tab/>
        <w:t>Selected good practices for reporting</w:t>
      </w:r>
    </w:p>
    <w:p w14:paraId="17B48C0F" w14:textId="0C512F38" w:rsidR="0066716C" w:rsidRPr="00065339" w:rsidRDefault="00D8692E" w:rsidP="0066716C">
      <w:pPr>
        <w:pStyle w:val="SingleTxtG"/>
      </w:pPr>
      <w:r>
        <w:t>73</w:t>
      </w:r>
      <w:r w:rsidR="0066716C" w:rsidRPr="00065339">
        <w:t>.</w:t>
      </w:r>
      <w:r w:rsidR="0066716C" w:rsidRPr="00065339">
        <w:tab/>
      </w:r>
      <w:r w:rsidR="00F167B4" w:rsidRPr="00065339">
        <w:t>G</w:t>
      </w:r>
      <w:r w:rsidR="0066716C" w:rsidRPr="00065339">
        <w:t>ood practices for reporting regarding the deadline for the public accessibility of data</w:t>
      </w:r>
      <w:r w:rsidR="00F167B4" w:rsidRPr="00065339">
        <w:t xml:space="preserve"> include</w:t>
      </w:r>
      <w:r w:rsidR="0066716C" w:rsidRPr="00065339">
        <w:t>:</w:t>
      </w:r>
    </w:p>
    <w:p w14:paraId="046DEBA0" w14:textId="6F35B77B" w:rsidR="0066716C" w:rsidRPr="00065339" w:rsidRDefault="0066716C" w:rsidP="0066716C">
      <w:pPr>
        <w:pStyle w:val="SingleTxtG"/>
        <w:ind w:firstLine="567"/>
      </w:pPr>
      <w:r w:rsidRPr="00065339">
        <w:t>(a)</w:t>
      </w:r>
      <w:r w:rsidRPr="00065339">
        <w:tab/>
        <w:t>List</w:t>
      </w:r>
      <w:r w:rsidR="006828DD" w:rsidRPr="00065339">
        <w:t>ing</w:t>
      </w:r>
      <w:r w:rsidRPr="00065339">
        <w:t xml:space="preserve"> </w:t>
      </w:r>
      <w:r w:rsidR="00F167B4" w:rsidRPr="00065339">
        <w:t xml:space="preserve">the relevant </w:t>
      </w:r>
      <w:r w:rsidRPr="00065339">
        <w:t xml:space="preserve">legislative measures and </w:t>
      </w:r>
      <w:r w:rsidR="006828DD" w:rsidRPr="00065339">
        <w:t>providing</w:t>
      </w:r>
      <w:r w:rsidR="00F167B4" w:rsidRPr="00065339">
        <w:t xml:space="preserve"> a </w:t>
      </w:r>
      <w:r w:rsidRPr="00065339">
        <w:t xml:space="preserve">link to </w:t>
      </w:r>
      <w:r w:rsidR="00E52879" w:rsidRPr="00065339">
        <w:t>the websites were these can be accessed</w:t>
      </w:r>
      <w:r w:rsidRPr="00065339">
        <w:t>;</w:t>
      </w:r>
    </w:p>
    <w:p w14:paraId="07F51A3E" w14:textId="51D34E85" w:rsidR="0066716C" w:rsidRPr="00065339" w:rsidRDefault="0066716C" w:rsidP="0066716C">
      <w:pPr>
        <w:pStyle w:val="SingleTxtG"/>
        <w:ind w:firstLine="567"/>
      </w:pPr>
      <w:r w:rsidRPr="00065339">
        <w:t>(b)</w:t>
      </w:r>
      <w:r w:rsidRPr="00065339">
        <w:tab/>
        <w:t>Giv</w:t>
      </w:r>
      <w:r w:rsidR="006828DD" w:rsidRPr="00065339">
        <w:t>ing</w:t>
      </w:r>
      <w:r w:rsidRPr="00065339">
        <w:t xml:space="preserve"> examples of concrete deadlines (e.g.</w:t>
      </w:r>
      <w:r w:rsidR="00E52879" w:rsidRPr="00065339">
        <w:t>,</w:t>
      </w:r>
      <w:r w:rsidRPr="00065339">
        <w:t xml:space="preserve"> see the </w:t>
      </w:r>
      <w:r w:rsidR="0057044B">
        <w:t>national implementation report</w:t>
      </w:r>
      <w:r w:rsidRPr="00065339">
        <w:t xml:space="preserve"> submitted by Germany).</w:t>
      </w:r>
    </w:p>
    <w:p w14:paraId="60FC6A14" w14:textId="5075162D" w:rsidR="0066716C" w:rsidRPr="00065339" w:rsidRDefault="0066716C" w:rsidP="0066716C">
      <w:pPr>
        <w:pStyle w:val="H23G"/>
        <w:rPr>
          <w:rFonts w:eastAsia="Lucida Sans Unicode"/>
        </w:rPr>
      </w:pPr>
      <w:r w:rsidRPr="00065339">
        <w:tab/>
      </w:r>
      <w:r w:rsidR="00163FF0" w:rsidRPr="00065339">
        <w:tab/>
      </w:r>
      <w:r w:rsidRPr="00065339">
        <w:t>Meeting of deadlines by owners</w:t>
      </w:r>
      <w:r w:rsidR="00A570E2" w:rsidRPr="00065339">
        <w:t xml:space="preserve"> or operators</w:t>
      </w:r>
      <w:r w:rsidR="00C63795" w:rsidRPr="00065339">
        <w:t xml:space="preserve">— </w:t>
      </w:r>
      <w:r w:rsidR="00B24547" w:rsidRPr="00065339">
        <w:t>sub-question</w:t>
      </w:r>
      <w:r w:rsidRPr="00065339">
        <w:t xml:space="preserve"> (d</w:t>
      </w:r>
      <w:r w:rsidRPr="00065339">
        <w:rPr>
          <w:rFonts w:eastAsia="Lucida Sans Unicode"/>
        </w:rPr>
        <w:t>)</w:t>
      </w:r>
    </w:p>
    <w:p w14:paraId="4E7E6BE3" w14:textId="4031E624" w:rsidR="0066716C" w:rsidRPr="00065339" w:rsidRDefault="00817412" w:rsidP="0066716C">
      <w:pPr>
        <w:pStyle w:val="SingleTxtG"/>
      </w:pPr>
      <w:r w:rsidRPr="00065339">
        <w:t>7</w:t>
      </w:r>
      <w:r w:rsidR="00D8692E">
        <w:t>4</w:t>
      </w:r>
      <w:r w:rsidR="0066716C" w:rsidRPr="00065339">
        <w:t>.</w:t>
      </w:r>
      <w:r w:rsidR="0066716C" w:rsidRPr="00065339">
        <w:tab/>
        <w:t xml:space="preserve">Information about practical issues related to the way owners </w:t>
      </w:r>
      <w:r w:rsidR="00A570E2" w:rsidRPr="00065339">
        <w:t xml:space="preserve">or operators </w:t>
      </w:r>
      <w:r w:rsidR="0066716C" w:rsidRPr="00065339">
        <w:t xml:space="preserve">reported was </w:t>
      </w:r>
      <w:r w:rsidR="00E52879" w:rsidRPr="00065339">
        <w:t xml:space="preserve">provided by Parties </w:t>
      </w:r>
      <w:r w:rsidR="0066716C" w:rsidRPr="00065339">
        <w:t xml:space="preserve">in a way </w:t>
      </w:r>
      <w:r w:rsidR="00E52879" w:rsidRPr="00065339">
        <w:t xml:space="preserve">that was not conducive </w:t>
      </w:r>
      <w:r w:rsidR="0066716C" w:rsidRPr="00065339">
        <w:t>to shar</w:t>
      </w:r>
      <w:r w:rsidR="00E52879" w:rsidRPr="00065339">
        <w:t>ing</w:t>
      </w:r>
      <w:r w:rsidR="0066716C" w:rsidRPr="00065339">
        <w:t xml:space="preserve"> experience in this field. </w:t>
      </w:r>
    </w:p>
    <w:p w14:paraId="62FDCF82" w14:textId="77777777" w:rsidR="0066716C" w:rsidRPr="00065339" w:rsidRDefault="0066716C" w:rsidP="0066716C">
      <w:pPr>
        <w:pStyle w:val="H4G"/>
      </w:pPr>
      <w:r w:rsidRPr="00065339">
        <w:tab/>
      </w:r>
      <w:r w:rsidRPr="00065339">
        <w:tab/>
        <w:t>Recommendation</w:t>
      </w:r>
    </w:p>
    <w:p w14:paraId="3E0EAB95" w14:textId="7EE33AD3" w:rsidR="0066716C" w:rsidRPr="00065339" w:rsidRDefault="00817412" w:rsidP="0066716C">
      <w:pPr>
        <w:pStyle w:val="SingleTxtG"/>
      </w:pPr>
      <w:r w:rsidRPr="00065339">
        <w:t>7</w:t>
      </w:r>
      <w:r w:rsidR="00D8692E">
        <w:t>5</w:t>
      </w:r>
      <w:r w:rsidR="0066716C" w:rsidRPr="00065339">
        <w:t>.</w:t>
      </w:r>
      <w:r w:rsidR="0066716C" w:rsidRPr="00065339">
        <w:tab/>
        <w:t xml:space="preserve">Parties should provide information on whether the reporting deadlines were met by owners </w:t>
      </w:r>
      <w:r w:rsidR="00A570E2" w:rsidRPr="00065339">
        <w:t xml:space="preserve">or operators </w:t>
      </w:r>
      <w:r w:rsidR="0066716C" w:rsidRPr="00065339">
        <w:t>and published on time. If there were delays in reporting, Parties should list the reasons</w:t>
      </w:r>
      <w:r w:rsidR="00E52879" w:rsidRPr="00065339">
        <w:t>, if known</w:t>
      </w:r>
      <w:r w:rsidR="0066716C" w:rsidRPr="00065339">
        <w:t xml:space="preserve">. </w:t>
      </w:r>
    </w:p>
    <w:p w14:paraId="53D9488C" w14:textId="77777777" w:rsidR="0066716C" w:rsidRPr="00065339" w:rsidRDefault="0037703A" w:rsidP="00912E21">
      <w:pPr>
        <w:pStyle w:val="H4G"/>
      </w:pPr>
      <w:r w:rsidRPr="00065339">
        <w:tab/>
      </w:r>
      <w:r w:rsidRPr="00065339">
        <w:tab/>
      </w:r>
      <w:r w:rsidR="0066716C" w:rsidRPr="00065339">
        <w:t>Selected good practices for reporting</w:t>
      </w:r>
      <w:r w:rsidR="0066716C" w:rsidRPr="00065339" w:rsidDel="00D846C5">
        <w:t xml:space="preserve"> </w:t>
      </w:r>
    </w:p>
    <w:p w14:paraId="51C0FF65" w14:textId="3F349435" w:rsidR="0066716C" w:rsidRPr="00065339" w:rsidRDefault="00817412" w:rsidP="0037703A">
      <w:pPr>
        <w:pStyle w:val="SingleTxtG"/>
      </w:pPr>
      <w:r w:rsidRPr="00065339">
        <w:t>7</w:t>
      </w:r>
      <w:r w:rsidR="00D8692E">
        <w:t>6</w:t>
      </w:r>
      <w:r w:rsidR="0066716C" w:rsidRPr="00065339">
        <w:t>.</w:t>
      </w:r>
      <w:r w:rsidR="0037703A" w:rsidRPr="00065339">
        <w:tab/>
      </w:r>
      <w:r w:rsidR="00E52879" w:rsidRPr="00065339">
        <w:t>G</w:t>
      </w:r>
      <w:r w:rsidR="0066716C" w:rsidRPr="00065339">
        <w:t xml:space="preserve">ood practices for reporting </w:t>
      </w:r>
      <w:r w:rsidR="00E52879" w:rsidRPr="00065339">
        <w:t xml:space="preserve">on </w:t>
      </w:r>
      <w:r w:rsidR="0066716C" w:rsidRPr="00065339">
        <w:t>the meeting of deadlines by operators</w:t>
      </w:r>
      <w:r w:rsidR="00A3412D" w:rsidRPr="00065339">
        <w:t xml:space="preserve"> or </w:t>
      </w:r>
      <w:r w:rsidR="0066716C" w:rsidRPr="00065339">
        <w:t>owners</w:t>
      </w:r>
      <w:r w:rsidR="00E52879" w:rsidRPr="00065339">
        <w:t xml:space="preserve"> include</w:t>
      </w:r>
      <w:r w:rsidR="0066716C" w:rsidRPr="00065339">
        <w:t>:</w:t>
      </w:r>
    </w:p>
    <w:p w14:paraId="7412AC0A" w14:textId="327815EA" w:rsidR="0066716C" w:rsidRPr="00065339" w:rsidRDefault="0037703A" w:rsidP="0037703A">
      <w:pPr>
        <w:pStyle w:val="SingleTxtG"/>
        <w:ind w:firstLine="567"/>
      </w:pPr>
      <w:r w:rsidRPr="00065339">
        <w:t>(a)</w:t>
      </w:r>
      <w:r w:rsidRPr="00065339">
        <w:tab/>
      </w:r>
      <w:r w:rsidR="006828DD" w:rsidRPr="00065339">
        <w:t>Supplying</w:t>
      </w:r>
      <w:r w:rsidR="0066716C" w:rsidRPr="00065339">
        <w:t xml:space="preserve"> related statistics (e.g.</w:t>
      </w:r>
      <w:r w:rsidR="006828DD" w:rsidRPr="00065339">
        <w:t>,</w:t>
      </w:r>
      <w:r w:rsidR="0066716C" w:rsidRPr="00065339">
        <w:t xml:space="preserve"> see the </w:t>
      </w:r>
      <w:r w:rsidR="0057044B">
        <w:t>national implementation report</w:t>
      </w:r>
      <w:r w:rsidR="0066716C" w:rsidRPr="00065339">
        <w:t xml:space="preserve"> submitted by Israel);</w:t>
      </w:r>
    </w:p>
    <w:p w14:paraId="0B5F007C" w14:textId="32D5E6AE" w:rsidR="0066716C" w:rsidRPr="00065339" w:rsidRDefault="0037703A" w:rsidP="0037703A">
      <w:pPr>
        <w:pStyle w:val="SingleTxtG"/>
        <w:ind w:firstLine="567"/>
      </w:pPr>
      <w:r w:rsidRPr="00065339">
        <w:t>(b)</w:t>
      </w:r>
      <w:r w:rsidRPr="00065339">
        <w:tab/>
      </w:r>
      <w:r w:rsidR="006828DD" w:rsidRPr="00065339">
        <w:t>Providing</w:t>
      </w:r>
      <w:r w:rsidR="0066716C" w:rsidRPr="00065339">
        <w:t xml:space="preserve"> information </w:t>
      </w:r>
      <w:r w:rsidR="006828DD" w:rsidRPr="00065339">
        <w:t xml:space="preserve">on </w:t>
      </w:r>
      <w:r w:rsidR="0066716C" w:rsidRPr="00065339">
        <w:t xml:space="preserve">whether </w:t>
      </w:r>
      <w:r w:rsidR="006828DD" w:rsidRPr="00065339">
        <w:t xml:space="preserve">facts related to the reporting, such as the timeliness and </w:t>
      </w:r>
      <w:r w:rsidR="00B005F3" w:rsidRPr="00065339">
        <w:t>completeness</w:t>
      </w:r>
      <w:r w:rsidR="006828DD" w:rsidRPr="00065339">
        <w:t xml:space="preserve"> of </w:t>
      </w:r>
      <w:r w:rsidR="0066716C" w:rsidRPr="00065339">
        <w:t>reporting</w:t>
      </w:r>
      <w:r w:rsidR="00A3412D" w:rsidRPr="00065339">
        <w:t xml:space="preserve"> by the </w:t>
      </w:r>
      <w:r w:rsidR="00C136E6" w:rsidRPr="00065339">
        <w:t>owners</w:t>
      </w:r>
      <w:r w:rsidR="00A3412D" w:rsidRPr="00065339">
        <w:t xml:space="preserve"> or operators</w:t>
      </w:r>
      <w:r w:rsidR="006828DD" w:rsidRPr="00065339">
        <w:t>,</w:t>
      </w:r>
      <w:r w:rsidR="0066716C" w:rsidRPr="00065339">
        <w:t xml:space="preserve"> are made public, e.g.</w:t>
      </w:r>
      <w:r w:rsidR="006828DD" w:rsidRPr="00065339">
        <w:t>,</w:t>
      </w:r>
      <w:r w:rsidR="0066716C" w:rsidRPr="00065339">
        <w:t xml:space="preserve"> on the PRTR website;</w:t>
      </w:r>
    </w:p>
    <w:p w14:paraId="56A24A78" w14:textId="43ED846E" w:rsidR="0066716C" w:rsidRPr="00065339" w:rsidRDefault="0037703A" w:rsidP="0037703A">
      <w:pPr>
        <w:pStyle w:val="SingleTxtG"/>
        <w:ind w:firstLine="567"/>
        <w:rPr>
          <w:rFonts w:eastAsia="Calibri"/>
        </w:rPr>
      </w:pPr>
      <w:r w:rsidRPr="00065339">
        <w:t>(c)</w:t>
      </w:r>
      <w:r w:rsidRPr="00065339">
        <w:tab/>
      </w:r>
      <w:r w:rsidR="0066716C" w:rsidRPr="00065339">
        <w:t>List</w:t>
      </w:r>
      <w:r w:rsidR="00C136E6" w:rsidRPr="00065339">
        <w:t>ing</w:t>
      </w:r>
      <w:r w:rsidR="0066716C" w:rsidRPr="00065339">
        <w:t xml:space="preserve"> </w:t>
      </w:r>
      <w:r w:rsidR="00C136E6" w:rsidRPr="00065339">
        <w:t xml:space="preserve">the </w:t>
      </w:r>
      <w:r w:rsidR="0066716C" w:rsidRPr="00065339">
        <w:t>reasons</w:t>
      </w:r>
      <w:r w:rsidR="00C136E6" w:rsidRPr="00065339">
        <w:t>, if known,</w:t>
      </w:r>
      <w:r w:rsidR="0066716C" w:rsidRPr="00065339">
        <w:t xml:space="preserve"> </w:t>
      </w:r>
      <w:r w:rsidR="00C136E6" w:rsidRPr="00065339">
        <w:t xml:space="preserve">when </w:t>
      </w:r>
      <w:r w:rsidR="0066716C" w:rsidRPr="00065339">
        <w:t xml:space="preserve">deadlines </w:t>
      </w:r>
      <w:r w:rsidR="00C136E6" w:rsidRPr="00065339">
        <w:t xml:space="preserve">are not met </w:t>
      </w:r>
      <w:r w:rsidR="0066716C" w:rsidRPr="00065339">
        <w:t>(e.g.</w:t>
      </w:r>
      <w:r w:rsidR="00C136E6" w:rsidRPr="00065339">
        <w:t>,</w:t>
      </w:r>
      <w:r w:rsidR="0066716C" w:rsidRPr="00065339">
        <w:t xml:space="preserve"> see the </w:t>
      </w:r>
      <w:r w:rsidR="0057044B">
        <w:t>national implementation reports</w:t>
      </w:r>
      <w:r w:rsidR="0066716C" w:rsidRPr="00065339">
        <w:t xml:space="preserve"> submitted by Croatia or Poland).</w:t>
      </w:r>
    </w:p>
    <w:p w14:paraId="2B0FCAFE" w14:textId="04DCAB2C" w:rsidR="0066716C" w:rsidRPr="00065339" w:rsidRDefault="00234F00" w:rsidP="0037703A">
      <w:pPr>
        <w:pStyle w:val="H23G"/>
        <w:rPr>
          <w:rFonts w:eastAsia="Lucida Sans Unicode"/>
        </w:rPr>
      </w:pPr>
      <w:r w:rsidRPr="00065339">
        <w:tab/>
      </w:r>
      <w:r w:rsidR="00163FF0" w:rsidRPr="00065339">
        <w:tab/>
      </w:r>
      <w:r w:rsidR="0066716C" w:rsidRPr="00065339">
        <w:t>Electronic reporting</w:t>
      </w:r>
      <w:r w:rsidR="00C63795" w:rsidRPr="00065339">
        <w:t xml:space="preserve"> — </w:t>
      </w:r>
      <w:r w:rsidR="00B24547" w:rsidRPr="00065339">
        <w:t>sub-question</w:t>
      </w:r>
      <w:r w:rsidR="0066716C" w:rsidRPr="00065339">
        <w:t xml:space="preserve"> (e</w:t>
      </w:r>
      <w:r w:rsidR="0066716C" w:rsidRPr="00065339">
        <w:rPr>
          <w:rFonts w:eastAsia="Lucida Sans Unicode"/>
        </w:rPr>
        <w:t>)</w:t>
      </w:r>
    </w:p>
    <w:p w14:paraId="17EB2D3F" w14:textId="677FC40A" w:rsidR="0066716C" w:rsidRPr="00065339" w:rsidRDefault="00817412" w:rsidP="0037703A">
      <w:pPr>
        <w:pStyle w:val="SingleTxtG"/>
      </w:pPr>
      <w:r w:rsidRPr="00065339">
        <w:t>7</w:t>
      </w:r>
      <w:r w:rsidR="00D8692E">
        <w:t>7</w:t>
      </w:r>
      <w:r w:rsidR="0066716C" w:rsidRPr="00065339">
        <w:t>.</w:t>
      </w:r>
      <w:r w:rsidR="0037703A" w:rsidRPr="00065339">
        <w:tab/>
      </w:r>
      <w:r w:rsidR="0066716C" w:rsidRPr="00065339">
        <w:t>Electronic reporting can be a major benefit for</w:t>
      </w:r>
      <w:r w:rsidR="002661DB" w:rsidRPr="00065339">
        <w:t>,</w:t>
      </w:r>
      <w:r w:rsidR="0066716C" w:rsidRPr="00065339">
        <w:t xml:space="preserve"> e.g.</w:t>
      </w:r>
      <w:r w:rsidR="002661DB" w:rsidRPr="00065339">
        <w:t>,</w:t>
      </w:r>
      <w:r w:rsidR="0066716C" w:rsidRPr="00065339">
        <w:t xml:space="preserve"> owners </w:t>
      </w:r>
      <w:r w:rsidR="00A570E2" w:rsidRPr="00065339">
        <w:t xml:space="preserve">or operators </w:t>
      </w:r>
      <w:r w:rsidR="0066716C" w:rsidRPr="00065339">
        <w:t xml:space="preserve">when meeting their reporting obligations. </w:t>
      </w:r>
      <w:r w:rsidR="00592430" w:rsidRPr="00065339">
        <w:t xml:space="preserve">If Parties </w:t>
      </w:r>
      <w:r w:rsidR="0066716C" w:rsidRPr="00065339">
        <w:t>provide</w:t>
      </w:r>
      <w:r w:rsidR="00592430" w:rsidRPr="00065339">
        <w:t>d</w:t>
      </w:r>
      <w:r w:rsidR="0066716C" w:rsidRPr="00065339">
        <w:t xml:space="preserve"> more information on </w:t>
      </w:r>
      <w:r w:rsidR="00592430" w:rsidRPr="00065339">
        <w:t xml:space="preserve">their </w:t>
      </w:r>
      <w:r w:rsidR="0066716C" w:rsidRPr="00065339">
        <w:t xml:space="preserve">strategies in this field </w:t>
      </w:r>
      <w:r w:rsidR="00592430" w:rsidRPr="00065339">
        <w:t xml:space="preserve">it </w:t>
      </w:r>
      <w:r w:rsidR="0066716C" w:rsidRPr="00065339">
        <w:t xml:space="preserve">would allow for </w:t>
      </w:r>
      <w:r w:rsidR="00592430" w:rsidRPr="00065339">
        <w:t xml:space="preserve">a </w:t>
      </w:r>
      <w:r w:rsidR="0066716C" w:rsidRPr="00065339">
        <w:t>better exchange on approaches and active measures of implementation.</w:t>
      </w:r>
    </w:p>
    <w:p w14:paraId="34337B7E" w14:textId="77777777" w:rsidR="0066716C" w:rsidRPr="00065339" w:rsidRDefault="0037703A" w:rsidP="0037703A">
      <w:pPr>
        <w:pStyle w:val="H4G"/>
      </w:pPr>
      <w:r w:rsidRPr="00065339">
        <w:tab/>
      </w:r>
      <w:r w:rsidRPr="00065339">
        <w:tab/>
      </w:r>
      <w:r w:rsidR="0066716C" w:rsidRPr="00065339">
        <w:t>Recommendations</w:t>
      </w:r>
    </w:p>
    <w:p w14:paraId="36154DB1" w14:textId="68EE2ECF" w:rsidR="0066716C" w:rsidRPr="00065339" w:rsidRDefault="00817412" w:rsidP="0037703A">
      <w:pPr>
        <w:pStyle w:val="SingleTxtG"/>
      </w:pPr>
      <w:r w:rsidRPr="00065339">
        <w:t>7</w:t>
      </w:r>
      <w:r w:rsidR="00D8692E">
        <w:t>8</w:t>
      </w:r>
      <w:r w:rsidR="0066716C" w:rsidRPr="00065339">
        <w:t>.</w:t>
      </w:r>
      <w:r w:rsidR="0037703A" w:rsidRPr="00065339">
        <w:tab/>
      </w:r>
      <w:r w:rsidR="0066716C" w:rsidRPr="00065339">
        <w:t>Parties should indicate whether they envisage reporting entirely through electronic submissions, and should say when they intend to achieve this target.</w:t>
      </w:r>
    </w:p>
    <w:p w14:paraId="6A524CA0" w14:textId="0DBF47E4" w:rsidR="0066716C" w:rsidRPr="00065339" w:rsidRDefault="00D8692E" w:rsidP="0037703A">
      <w:pPr>
        <w:pStyle w:val="SingleTxtG"/>
      </w:pPr>
      <w:r>
        <w:t>79</w:t>
      </w:r>
      <w:r w:rsidR="0066716C" w:rsidRPr="00065339">
        <w:t>.</w:t>
      </w:r>
      <w:r w:rsidR="0037703A" w:rsidRPr="00065339">
        <w:tab/>
      </w:r>
      <w:r w:rsidR="0066716C" w:rsidRPr="00065339">
        <w:t>Parties should make a clear distinction between different types of electronic reporting, such as between online</w:t>
      </w:r>
      <w:r w:rsidR="00592430" w:rsidRPr="00065339">
        <w:t xml:space="preserve"> </w:t>
      </w:r>
      <w:r w:rsidR="0066716C" w:rsidRPr="00065339">
        <w:t>reporting through a web</w:t>
      </w:r>
      <w:r w:rsidR="00592430" w:rsidRPr="00065339">
        <w:t xml:space="preserve"> </w:t>
      </w:r>
      <w:r w:rsidR="0066716C" w:rsidRPr="00065339">
        <w:t>page or electronic submission of reported data through</w:t>
      </w:r>
      <w:r w:rsidR="00592430" w:rsidRPr="00065339">
        <w:t>,</w:t>
      </w:r>
      <w:r w:rsidR="0066716C" w:rsidRPr="00065339">
        <w:t xml:space="preserve"> e.g.</w:t>
      </w:r>
      <w:r w:rsidR="00592430" w:rsidRPr="00065339">
        <w:t>,</w:t>
      </w:r>
      <w:r w:rsidR="0066716C" w:rsidRPr="00065339">
        <w:t xml:space="preserve"> e</w:t>
      </w:r>
      <w:r w:rsidR="00592430" w:rsidRPr="00065339">
        <w:t>-</w:t>
      </w:r>
      <w:r w:rsidR="0066716C" w:rsidRPr="00065339">
        <w:t>mail.</w:t>
      </w:r>
    </w:p>
    <w:p w14:paraId="72528158" w14:textId="77777777" w:rsidR="0066716C" w:rsidRPr="00065339" w:rsidRDefault="0037703A" w:rsidP="00912E21">
      <w:pPr>
        <w:pStyle w:val="H4G"/>
      </w:pPr>
      <w:r w:rsidRPr="00065339">
        <w:tab/>
      </w:r>
      <w:r w:rsidRPr="00065339">
        <w:tab/>
      </w:r>
      <w:r w:rsidR="0066716C" w:rsidRPr="00065339">
        <w:t>Selected good practices for reporting</w:t>
      </w:r>
    </w:p>
    <w:p w14:paraId="62390A66" w14:textId="1C7EF2E5" w:rsidR="0066716C" w:rsidRPr="00065339" w:rsidRDefault="00D8692E" w:rsidP="0037703A">
      <w:pPr>
        <w:pStyle w:val="SingleTxtG"/>
      </w:pPr>
      <w:r>
        <w:t>80</w:t>
      </w:r>
      <w:r w:rsidR="0066716C" w:rsidRPr="00065339">
        <w:t>.</w:t>
      </w:r>
      <w:r w:rsidR="0037703A" w:rsidRPr="00065339">
        <w:tab/>
      </w:r>
      <w:r w:rsidR="003F0BDD" w:rsidRPr="00065339">
        <w:t xml:space="preserve">In responses to questions on </w:t>
      </w:r>
      <w:r w:rsidR="0066716C" w:rsidRPr="00065339">
        <w:t>electronic reporting</w:t>
      </w:r>
      <w:r w:rsidR="003F0BDD" w:rsidRPr="00065339">
        <w:t>, good practices include</w:t>
      </w:r>
      <w:r w:rsidR="0066716C" w:rsidRPr="00065339">
        <w:t>:</w:t>
      </w:r>
      <w:r w:rsidR="0066716C" w:rsidRPr="00065339" w:rsidDel="00D846C5">
        <w:t xml:space="preserve"> </w:t>
      </w:r>
    </w:p>
    <w:p w14:paraId="4150C797" w14:textId="09FE4250" w:rsidR="0066716C" w:rsidRPr="00065339" w:rsidRDefault="0037703A" w:rsidP="0037703A">
      <w:pPr>
        <w:pStyle w:val="SingleTxtG"/>
        <w:ind w:firstLine="567"/>
      </w:pPr>
      <w:r w:rsidRPr="00065339">
        <w:t>(a)</w:t>
      </w:r>
      <w:r w:rsidRPr="00065339">
        <w:tab/>
      </w:r>
      <w:r w:rsidR="0066716C" w:rsidRPr="00065339">
        <w:t>Report</w:t>
      </w:r>
      <w:r w:rsidR="003F0BDD" w:rsidRPr="00065339">
        <w:t>ing</w:t>
      </w:r>
      <w:r w:rsidR="0066716C" w:rsidRPr="00065339">
        <w:t xml:space="preserve"> on relevant specific requirements, such as whether online submissions are compulsory (although this is not the case under the Protocol) (e.g.</w:t>
      </w:r>
      <w:r w:rsidR="00CF180E" w:rsidRPr="00065339">
        <w:t>,</w:t>
      </w:r>
      <w:r w:rsidR="0066716C" w:rsidRPr="00065339">
        <w:t xml:space="preserve"> see the </w:t>
      </w:r>
      <w:r w:rsidR="0057044B">
        <w:t>national implementation report</w:t>
      </w:r>
      <w:r w:rsidR="0066716C" w:rsidRPr="00065339">
        <w:t xml:space="preserve"> submitted by the Netherlands); </w:t>
      </w:r>
    </w:p>
    <w:p w14:paraId="5305D235" w14:textId="1493C949" w:rsidR="0066716C" w:rsidRPr="00065339" w:rsidRDefault="0037703A" w:rsidP="0037703A">
      <w:pPr>
        <w:pStyle w:val="SingleTxtG"/>
        <w:ind w:firstLine="567"/>
      </w:pPr>
      <w:r w:rsidRPr="00065339">
        <w:t>(b)</w:t>
      </w:r>
      <w:r w:rsidRPr="00065339">
        <w:tab/>
      </w:r>
      <w:r w:rsidR="0066716C" w:rsidRPr="00065339">
        <w:t>Indicat</w:t>
      </w:r>
      <w:r w:rsidR="00CF180E" w:rsidRPr="00065339">
        <w:t>ing</w:t>
      </w:r>
      <w:r w:rsidR="0066716C" w:rsidRPr="00065339">
        <w:t xml:space="preserve"> which types</w:t>
      </w:r>
      <w:r w:rsidR="00CF180E" w:rsidRPr="00065339">
        <w:t xml:space="preserve"> </w:t>
      </w:r>
      <w:r w:rsidR="006F10CD">
        <w:t xml:space="preserve">of </w:t>
      </w:r>
      <w:r w:rsidR="00CF180E" w:rsidRPr="00065339">
        <w:t xml:space="preserve">or </w:t>
      </w:r>
      <w:r w:rsidR="0066716C" w:rsidRPr="00065339">
        <w:t xml:space="preserve">procedures </w:t>
      </w:r>
      <w:r w:rsidR="006F10CD">
        <w:t xml:space="preserve">for </w:t>
      </w:r>
      <w:r w:rsidR="0066716C" w:rsidRPr="00065339">
        <w:t>reporting</w:t>
      </w:r>
      <w:r w:rsidR="00CF180E" w:rsidRPr="00065339">
        <w:t xml:space="preserve"> or </w:t>
      </w:r>
      <w:r w:rsidR="0066716C" w:rsidRPr="00065339">
        <w:t>submission are possible</w:t>
      </w:r>
      <w:r w:rsidR="00CF180E" w:rsidRPr="00065339">
        <w:t>,</w:t>
      </w:r>
      <w:r w:rsidR="0066716C" w:rsidRPr="00065339">
        <w:t xml:space="preserve"> </w:t>
      </w:r>
      <w:r w:rsidR="00CF180E" w:rsidRPr="00065339">
        <w:t>a</w:t>
      </w:r>
      <w:r w:rsidR="0066716C" w:rsidRPr="00065339">
        <w:t>nd either describ</w:t>
      </w:r>
      <w:r w:rsidR="00CF180E" w:rsidRPr="00065339">
        <w:t>ing</w:t>
      </w:r>
      <w:r w:rsidR="0066716C" w:rsidRPr="00065339">
        <w:t xml:space="preserve"> these procedures </w:t>
      </w:r>
      <w:r w:rsidR="00CF180E" w:rsidRPr="00065339">
        <w:t>and/</w:t>
      </w:r>
      <w:r w:rsidR="0066716C" w:rsidRPr="00065339">
        <w:t xml:space="preserve">or </w:t>
      </w:r>
      <w:r w:rsidR="00CF180E" w:rsidRPr="00065339">
        <w:t xml:space="preserve">providing </w:t>
      </w:r>
      <w:r w:rsidR="0066716C" w:rsidRPr="00065339">
        <w:t>link</w:t>
      </w:r>
      <w:r w:rsidR="00CF180E" w:rsidRPr="00065339">
        <w:t>s</w:t>
      </w:r>
      <w:r w:rsidR="0066716C" w:rsidRPr="00065339">
        <w:t xml:space="preserve"> to </w:t>
      </w:r>
      <w:r w:rsidR="00CF180E" w:rsidRPr="00065339">
        <w:t xml:space="preserve">the </w:t>
      </w:r>
      <w:r w:rsidR="0066716C" w:rsidRPr="00065339">
        <w:t>relevant legislation</w:t>
      </w:r>
      <w:r w:rsidR="00CF180E" w:rsidRPr="00065339">
        <w:t xml:space="preserve"> or </w:t>
      </w:r>
      <w:r w:rsidR="0066716C" w:rsidRPr="00065339">
        <w:t>regulation</w:t>
      </w:r>
      <w:r w:rsidR="00CF180E" w:rsidRPr="00065339">
        <w:t>.</w:t>
      </w:r>
      <w:r w:rsidR="0066716C" w:rsidRPr="00065339">
        <w:t xml:space="preserve"> </w:t>
      </w:r>
      <w:r w:rsidR="00CF180E" w:rsidRPr="00065339">
        <w:t>S</w:t>
      </w:r>
      <w:r w:rsidR="0066716C" w:rsidRPr="00065339">
        <w:t xml:space="preserve">tatistical information </w:t>
      </w:r>
      <w:r w:rsidR="00CF180E" w:rsidRPr="00065339">
        <w:t xml:space="preserve">should be provided </w:t>
      </w:r>
      <w:r w:rsidR="0066716C" w:rsidRPr="00065339">
        <w:t>for each procedure</w:t>
      </w:r>
      <w:r w:rsidR="00CF180E" w:rsidRPr="00065339">
        <w:t>,</w:t>
      </w:r>
      <w:r w:rsidR="0066716C" w:rsidRPr="00065339">
        <w:t xml:space="preserve"> if possible.</w:t>
      </w:r>
    </w:p>
    <w:p w14:paraId="215E19BE" w14:textId="1F39CB81" w:rsidR="00910FB2" w:rsidRPr="00065339" w:rsidRDefault="00910FB2" w:rsidP="00910FB2">
      <w:pPr>
        <w:pStyle w:val="H1G"/>
      </w:pPr>
      <w:r w:rsidRPr="00065339">
        <w:tab/>
        <w:t>D.</w:t>
      </w:r>
      <w:r w:rsidRPr="00065339">
        <w:tab/>
        <w:t>Data collection and record-keeping</w:t>
      </w:r>
      <w:r w:rsidR="00C63795" w:rsidRPr="00065339">
        <w:t xml:space="preserve"> — </w:t>
      </w:r>
      <w:r w:rsidR="00B24547" w:rsidRPr="00065339">
        <w:t>a</w:t>
      </w:r>
      <w:r w:rsidRPr="00065339">
        <w:t>rticle 9</w:t>
      </w:r>
    </w:p>
    <w:p w14:paraId="320E4360" w14:textId="1ED7E8E3" w:rsidR="00910FB2" w:rsidRPr="00065339" w:rsidRDefault="00817412" w:rsidP="00910FB2">
      <w:pPr>
        <w:pStyle w:val="SingleTxtG"/>
      </w:pPr>
      <w:r w:rsidRPr="00065339">
        <w:t>8</w:t>
      </w:r>
      <w:r w:rsidR="00D8692E">
        <w:t>1</w:t>
      </w:r>
      <w:r w:rsidR="00910FB2" w:rsidRPr="00065339">
        <w:t>.</w:t>
      </w:r>
      <w:r w:rsidR="00910FB2" w:rsidRPr="00065339">
        <w:tab/>
        <w:t>While meeting the Protocol’s provision</w:t>
      </w:r>
      <w:r w:rsidR="009A500A" w:rsidRPr="00065339">
        <w:t>s</w:t>
      </w:r>
      <w:r w:rsidR="00910FB2" w:rsidRPr="00065339">
        <w:t xml:space="preserve"> is one aspect of reporting, much can be gained by sharing brief and well-structured information about the processes behind </w:t>
      </w:r>
      <w:r w:rsidR="009A500A" w:rsidRPr="00065339">
        <w:t xml:space="preserve">national </w:t>
      </w:r>
      <w:r w:rsidR="00910FB2" w:rsidRPr="00065339">
        <w:t>PRTR</w:t>
      </w:r>
      <w:r w:rsidR="009A500A" w:rsidRPr="00065339">
        <w:t xml:space="preserve"> </w:t>
      </w:r>
      <w:r w:rsidR="00910FB2" w:rsidRPr="00065339">
        <w:t>system</w:t>
      </w:r>
      <w:r w:rsidR="009A500A" w:rsidRPr="00065339">
        <w:t>s</w:t>
      </w:r>
      <w:r w:rsidR="00910FB2" w:rsidRPr="00065339">
        <w:t xml:space="preserve">. A comprehensive response </w:t>
      </w:r>
      <w:r w:rsidR="009A500A" w:rsidRPr="00065339">
        <w:t xml:space="preserve">to </w:t>
      </w:r>
      <w:r w:rsidR="00910FB2" w:rsidRPr="00065339">
        <w:t>th</w:t>
      </w:r>
      <w:r w:rsidR="009A500A" w:rsidRPr="00065339">
        <w:t>e</w:t>
      </w:r>
      <w:r w:rsidR="00910FB2" w:rsidRPr="00065339">
        <w:t xml:space="preserve"> question</w:t>
      </w:r>
      <w:r w:rsidR="009A500A" w:rsidRPr="00065339">
        <w:t xml:space="preserve"> on article 9 regarding data collection and record-keeping practices</w:t>
      </w:r>
      <w:r w:rsidR="00910FB2" w:rsidRPr="00065339">
        <w:t xml:space="preserve"> can help to identify good practices more easily. </w:t>
      </w:r>
    </w:p>
    <w:p w14:paraId="683B79F0" w14:textId="77777777" w:rsidR="00910FB2" w:rsidRPr="00065339" w:rsidRDefault="00910FB2" w:rsidP="00910FB2">
      <w:pPr>
        <w:pStyle w:val="H4G"/>
      </w:pPr>
      <w:r w:rsidRPr="00065339">
        <w:tab/>
      </w:r>
      <w:r w:rsidRPr="00065339">
        <w:tab/>
        <w:t>Recommendations</w:t>
      </w:r>
    </w:p>
    <w:p w14:paraId="4CC1D1A4" w14:textId="21EF5D67" w:rsidR="00910FB2" w:rsidRPr="00065339" w:rsidRDefault="00817412" w:rsidP="00910FB2">
      <w:pPr>
        <w:pStyle w:val="SingleTxtG"/>
      </w:pPr>
      <w:r w:rsidRPr="00065339">
        <w:t>8</w:t>
      </w:r>
      <w:r w:rsidR="00D8692E">
        <w:t>2</w:t>
      </w:r>
      <w:r w:rsidR="00910FB2" w:rsidRPr="00065339">
        <w:t>.</w:t>
      </w:r>
      <w:r w:rsidR="00910FB2" w:rsidRPr="00065339">
        <w:tab/>
        <w:t>Parties should provide a short description of the legally required methodolog</w:t>
      </w:r>
      <w:r w:rsidR="007B2EA7" w:rsidRPr="00065339">
        <w:t>ies</w:t>
      </w:r>
      <w:r w:rsidR="00910FB2" w:rsidRPr="00065339">
        <w:t xml:space="preserve"> related to data gathering, including the process of data gathering and record</w:t>
      </w:r>
      <w:r w:rsidR="007B2EA7" w:rsidRPr="00065339">
        <w:t>-</w:t>
      </w:r>
      <w:r w:rsidR="00910FB2" w:rsidRPr="00065339">
        <w:t xml:space="preserve">keeping. As part of the preparation of the report, it should be </w:t>
      </w:r>
      <w:r w:rsidR="007B2EA7" w:rsidRPr="00065339">
        <w:t xml:space="preserve">examined </w:t>
      </w:r>
      <w:r w:rsidR="00910FB2" w:rsidRPr="00065339">
        <w:t>whether the best available method was used</w:t>
      </w:r>
      <w:r w:rsidR="007B2EA7" w:rsidRPr="00065339">
        <w:t xml:space="preserve"> for the collection of data, and whether it was used effectively</w:t>
      </w:r>
      <w:r w:rsidR="00910FB2" w:rsidRPr="00065339">
        <w:t>.</w:t>
      </w:r>
    </w:p>
    <w:p w14:paraId="4294582B" w14:textId="6508F3F3" w:rsidR="00910FB2" w:rsidRPr="00065339" w:rsidRDefault="00817412" w:rsidP="00910FB2">
      <w:pPr>
        <w:pStyle w:val="SingleTxtG"/>
      </w:pPr>
      <w:r w:rsidRPr="00065339">
        <w:t>8</w:t>
      </w:r>
      <w:r w:rsidR="00D8692E">
        <w:t>3</w:t>
      </w:r>
      <w:r w:rsidR="00910FB2" w:rsidRPr="00065339">
        <w:t>.</w:t>
      </w:r>
      <w:r w:rsidR="00910FB2" w:rsidRPr="00065339">
        <w:tab/>
        <w:t xml:space="preserve">Parties should specify how many years reported data must be kept by the operator. </w:t>
      </w:r>
    </w:p>
    <w:p w14:paraId="5007506C" w14:textId="0D67D6EE" w:rsidR="00910FB2" w:rsidRPr="00065339" w:rsidRDefault="00817412" w:rsidP="00910FB2">
      <w:pPr>
        <w:pStyle w:val="SingleTxtG"/>
      </w:pPr>
      <w:r w:rsidRPr="00065339">
        <w:t>8</w:t>
      </w:r>
      <w:r w:rsidR="00D8692E">
        <w:t>4</w:t>
      </w:r>
      <w:r w:rsidR="00910FB2" w:rsidRPr="00065339">
        <w:t>.</w:t>
      </w:r>
      <w:r w:rsidR="00910FB2" w:rsidRPr="00065339">
        <w:tab/>
        <w:t>Parties should provide detailed information on any legal sanctions</w:t>
      </w:r>
      <w:r w:rsidR="007B2EA7" w:rsidRPr="00065339">
        <w:t xml:space="preserve"> applied</w:t>
      </w:r>
      <w:r w:rsidR="00910FB2" w:rsidRPr="00065339">
        <w:t xml:space="preserve"> </w:t>
      </w:r>
      <w:r w:rsidR="007B2EA7" w:rsidRPr="00065339">
        <w:t xml:space="preserve">in </w:t>
      </w:r>
      <w:r w:rsidR="00910FB2" w:rsidRPr="00065339">
        <w:t xml:space="preserve">the </w:t>
      </w:r>
      <w:r w:rsidR="007B2EA7" w:rsidRPr="00065339">
        <w:t xml:space="preserve">event </w:t>
      </w:r>
      <w:r w:rsidR="00910FB2" w:rsidRPr="00065339">
        <w:t>operator</w:t>
      </w:r>
      <w:r w:rsidR="007B2EA7" w:rsidRPr="00065339">
        <w:t>s</w:t>
      </w:r>
      <w:r w:rsidR="00910FB2" w:rsidRPr="00065339">
        <w:t xml:space="preserve"> or owner</w:t>
      </w:r>
      <w:r w:rsidR="007B2EA7" w:rsidRPr="00065339">
        <w:t>s</w:t>
      </w:r>
      <w:r w:rsidR="00910FB2" w:rsidRPr="00065339">
        <w:t xml:space="preserve"> </w:t>
      </w:r>
      <w:r w:rsidR="007B2EA7" w:rsidRPr="00065339">
        <w:t xml:space="preserve">have </w:t>
      </w:r>
      <w:r w:rsidR="00910FB2" w:rsidRPr="00065339">
        <w:t>fail</w:t>
      </w:r>
      <w:r w:rsidR="007B2EA7" w:rsidRPr="00065339">
        <w:t>ed</w:t>
      </w:r>
      <w:r w:rsidR="00910FB2" w:rsidRPr="00065339">
        <w:t xml:space="preserve"> to provide PRTR data.</w:t>
      </w:r>
    </w:p>
    <w:p w14:paraId="43A5212A" w14:textId="02B99C00" w:rsidR="00910FB2" w:rsidRPr="00065339" w:rsidRDefault="00817412" w:rsidP="00910FB2">
      <w:pPr>
        <w:pStyle w:val="SingleTxtG"/>
      </w:pPr>
      <w:r w:rsidRPr="00065339">
        <w:t>8</w:t>
      </w:r>
      <w:r w:rsidR="00D8692E">
        <w:t>5</w:t>
      </w:r>
      <w:r w:rsidR="00910FB2" w:rsidRPr="00065339">
        <w:t>.</w:t>
      </w:r>
      <w:r w:rsidR="00910FB2" w:rsidRPr="00065339">
        <w:tab/>
        <w:t xml:space="preserve">Parties should provide information about the distribution of </w:t>
      </w:r>
      <w:r w:rsidR="007B2EA7" w:rsidRPr="00065339">
        <w:t xml:space="preserve">the </w:t>
      </w:r>
      <w:r w:rsidR="00910FB2" w:rsidRPr="00065339">
        <w:t>analytical methods used, e.g.</w:t>
      </w:r>
      <w:r w:rsidR="007B2EA7" w:rsidRPr="00065339">
        <w:t>,</w:t>
      </w:r>
      <w:r w:rsidR="00910FB2" w:rsidRPr="00065339">
        <w:t xml:space="preserve"> </w:t>
      </w:r>
      <w:r w:rsidR="00A63EAB" w:rsidRPr="00065339">
        <w:t xml:space="preserve">the percentage of </w:t>
      </w:r>
      <w:r w:rsidR="00910FB2" w:rsidRPr="00065339">
        <w:t xml:space="preserve">data </w:t>
      </w:r>
      <w:r w:rsidR="00A63EAB" w:rsidRPr="00065339">
        <w:t xml:space="preserve">that </w:t>
      </w:r>
      <w:r w:rsidR="00910FB2" w:rsidRPr="00065339">
        <w:t xml:space="preserve">were indicated as being measured (M), calculated (C) </w:t>
      </w:r>
      <w:r w:rsidR="00A63EAB" w:rsidRPr="00065339">
        <w:t xml:space="preserve">or </w:t>
      </w:r>
      <w:r w:rsidR="00910FB2" w:rsidRPr="00065339">
        <w:t>estimated (E) in the</w:t>
      </w:r>
      <w:r w:rsidR="00A63EAB" w:rsidRPr="00065339">
        <w:t>ir</w:t>
      </w:r>
      <w:r w:rsidR="00910FB2" w:rsidRPr="00065339">
        <w:t xml:space="preserve"> PRTR.</w:t>
      </w:r>
    </w:p>
    <w:p w14:paraId="30F6319C" w14:textId="77777777" w:rsidR="00910FB2" w:rsidRPr="00065339" w:rsidRDefault="00910FB2" w:rsidP="00912E21">
      <w:pPr>
        <w:pStyle w:val="H4G"/>
      </w:pPr>
      <w:r w:rsidRPr="00065339">
        <w:tab/>
      </w:r>
      <w:r w:rsidRPr="00065339">
        <w:tab/>
        <w:t>Selected good practice for reporting</w:t>
      </w:r>
    </w:p>
    <w:p w14:paraId="16D866DF" w14:textId="63A840CD" w:rsidR="00910FB2" w:rsidRPr="00065339" w:rsidRDefault="00817412" w:rsidP="006A1D15">
      <w:pPr>
        <w:pStyle w:val="SingleTxtG"/>
      </w:pPr>
      <w:r w:rsidRPr="00065339">
        <w:t>8</w:t>
      </w:r>
      <w:r w:rsidR="00D8692E">
        <w:t>6</w:t>
      </w:r>
      <w:r w:rsidR="00910FB2" w:rsidRPr="00065339">
        <w:t>.</w:t>
      </w:r>
      <w:r w:rsidR="00910FB2" w:rsidRPr="00065339">
        <w:tab/>
      </w:r>
      <w:r w:rsidR="00A63EAB" w:rsidRPr="00065339">
        <w:t xml:space="preserve">A </w:t>
      </w:r>
      <w:r w:rsidR="00910FB2" w:rsidRPr="00065339">
        <w:t xml:space="preserve">good practice for reporting </w:t>
      </w:r>
      <w:r w:rsidR="00A63EAB" w:rsidRPr="00065339">
        <w:t xml:space="preserve">on </w:t>
      </w:r>
      <w:r w:rsidR="00910FB2" w:rsidRPr="00065339">
        <w:t>data collection and record-keeping</w:t>
      </w:r>
      <w:r w:rsidR="00A63EAB" w:rsidRPr="00065339">
        <w:t xml:space="preserve"> is for Parties to briefly d</w:t>
      </w:r>
      <w:r w:rsidR="00910FB2" w:rsidRPr="00065339">
        <w:t>escribe the</w:t>
      </w:r>
      <w:r w:rsidR="00A63EAB" w:rsidRPr="00065339">
        <w:t>ir</w:t>
      </w:r>
      <w:r w:rsidR="00910FB2" w:rsidRPr="00065339">
        <w:t xml:space="preserve"> approach and </w:t>
      </w:r>
      <w:r w:rsidR="00A63EAB" w:rsidRPr="00065339">
        <w:t xml:space="preserve">to </w:t>
      </w:r>
      <w:r w:rsidR="00910FB2" w:rsidRPr="00065339">
        <w:t xml:space="preserve">use the above recommendations as </w:t>
      </w:r>
      <w:r w:rsidR="009722A5">
        <w:t xml:space="preserve">an </w:t>
      </w:r>
      <w:r w:rsidR="00910FB2" w:rsidRPr="00065339">
        <w:t xml:space="preserve">aid to </w:t>
      </w:r>
      <w:r w:rsidR="00A63EAB" w:rsidRPr="00065339">
        <w:t xml:space="preserve">ensure they </w:t>
      </w:r>
      <w:r w:rsidR="00910FB2" w:rsidRPr="00065339">
        <w:t xml:space="preserve">provide </w:t>
      </w:r>
      <w:r w:rsidR="00A63EAB" w:rsidRPr="00065339">
        <w:t xml:space="preserve">the </w:t>
      </w:r>
      <w:r w:rsidR="00910FB2" w:rsidRPr="00065339">
        <w:t>relevant details.</w:t>
      </w:r>
    </w:p>
    <w:p w14:paraId="02F1FBC9" w14:textId="7304D4C6" w:rsidR="00910FB2" w:rsidRPr="00065339" w:rsidRDefault="007B3BBF" w:rsidP="007B3BBF">
      <w:pPr>
        <w:pStyle w:val="H1G"/>
      </w:pPr>
      <w:r w:rsidRPr="00065339">
        <w:tab/>
      </w:r>
      <w:r w:rsidR="00910FB2" w:rsidRPr="00065339">
        <w:t>E.</w:t>
      </w:r>
      <w:r w:rsidR="00910FB2" w:rsidRPr="00065339">
        <w:tab/>
        <w:t>Quality assessment</w:t>
      </w:r>
      <w:r w:rsidR="00C63795" w:rsidRPr="00065339">
        <w:t xml:space="preserve"> — </w:t>
      </w:r>
      <w:r w:rsidR="009C7BAE" w:rsidRPr="00065339">
        <w:t>a</w:t>
      </w:r>
      <w:r w:rsidR="00910FB2" w:rsidRPr="00065339">
        <w:t xml:space="preserve">rticle 10 </w:t>
      </w:r>
    </w:p>
    <w:p w14:paraId="18550CAA" w14:textId="28ED2D7C" w:rsidR="00910FB2" w:rsidRPr="00065339" w:rsidRDefault="00817412" w:rsidP="007B3BBF">
      <w:pPr>
        <w:pStyle w:val="SingleTxtG"/>
      </w:pPr>
      <w:r w:rsidRPr="00065339">
        <w:t>8</w:t>
      </w:r>
      <w:r w:rsidR="00D8692E">
        <w:t>7</w:t>
      </w:r>
      <w:r w:rsidR="00910FB2" w:rsidRPr="00065339">
        <w:t>.</w:t>
      </w:r>
      <w:r w:rsidR="007B3BBF" w:rsidRPr="00065339">
        <w:tab/>
      </w:r>
      <w:r w:rsidR="00910FB2" w:rsidRPr="00065339">
        <w:t>It is a major challenge to provide data of an adequate quality. Parties could make better use of the implementation reports as a platform to share knowledge and raise issues of concern with regard to data quality</w:t>
      </w:r>
      <w:r w:rsidR="00F57813" w:rsidRPr="00065339">
        <w:t xml:space="preserve"> when reporting on implementation of article 10</w:t>
      </w:r>
      <w:r w:rsidR="00910FB2" w:rsidRPr="00065339">
        <w:t xml:space="preserve">. </w:t>
      </w:r>
    </w:p>
    <w:p w14:paraId="11D3838B" w14:textId="77777777" w:rsidR="00910FB2" w:rsidRPr="00065339" w:rsidRDefault="007B3BBF" w:rsidP="007B3BBF">
      <w:pPr>
        <w:pStyle w:val="H4G"/>
      </w:pPr>
      <w:r w:rsidRPr="00065339">
        <w:tab/>
      </w:r>
      <w:r w:rsidRPr="00065339">
        <w:tab/>
      </w:r>
      <w:r w:rsidR="00910FB2" w:rsidRPr="00065339">
        <w:t>Recommendations</w:t>
      </w:r>
    </w:p>
    <w:p w14:paraId="7A6A354C" w14:textId="5B31631D" w:rsidR="00910FB2" w:rsidRPr="00065339" w:rsidRDefault="00D8692E" w:rsidP="007B3BBF">
      <w:pPr>
        <w:pStyle w:val="SingleTxtG"/>
      </w:pPr>
      <w:r>
        <w:t>88</w:t>
      </w:r>
      <w:r w:rsidR="00910FB2" w:rsidRPr="00065339">
        <w:t>.</w:t>
      </w:r>
      <w:r w:rsidR="007B3BBF" w:rsidRPr="00065339">
        <w:tab/>
      </w:r>
      <w:r w:rsidR="00317E08" w:rsidRPr="00065339">
        <w:t xml:space="preserve">In reporting on the assessment by the </w:t>
      </w:r>
      <w:r w:rsidR="00910FB2" w:rsidRPr="00065339">
        <w:t xml:space="preserve">competent authorities </w:t>
      </w:r>
      <w:r w:rsidR="00317E08" w:rsidRPr="00065339">
        <w:t xml:space="preserve">of the </w:t>
      </w:r>
      <w:r w:rsidR="00910FB2" w:rsidRPr="00065339">
        <w:t>completeness, consistency and credibility of data</w:t>
      </w:r>
      <w:r w:rsidR="00317E08" w:rsidRPr="00065339">
        <w:t>,</w:t>
      </w:r>
      <w:r w:rsidR="00910FB2" w:rsidRPr="00065339">
        <w:t xml:space="preserve"> and </w:t>
      </w:r>
      <w:r w:rsidR="00317E08" w:rsidRPr="00065339">
        <w:t xml:space="preserve">the </w:t>
      </w:r>
      <w:r w:rsidR="00910FB2" w:rsidRPr="00065339">
        <w:t xml:space="preserve">steps of </w:t>
      </w:r>
      <w:r w:rsidR="00317E08" w:rsidRPr="00065339">
        <w:t xml:space="preserve">the </w:t>
      </w:r>
      <w:r w:rsidR="00910FB2" w:rsidRPr="00065339">
        <w:t xml:space="preserve">data validation process, Parties should list any legislative, regulatory or alternative measures (such as validation procedures or guidance) ensuring the quality assessment of </w:t>
      </w:r>
      <w:r w:rsidR="00317E08" w:rsidRPr="00065339">
        <w:t xml:space="preserve">the </w:t>
      </w:r>
      <w:r w:rsidR="00910FB2" w:rsidRPr="00065339">
        <w:t>data</w:t>
      </w:r>
      <w:r w:rsidR="00317E08" w:rsidRPr="00065339">
        <w:t xml:space="preserve"> provided by the operators or owners</w:t>
      </w:r>
      <w:r w:rsidR="00910FB2" w:rsidRPr="00065339">
        <w:t>.</w:t>
      </w:r>
    </w:p>
    <w:p w14:paraId="578BA197" w14:textId="405AB60F" w:rsidR="00910FB2" w:rsidRPr="00065339" w:rsidRDefault="00D8692E" w:rsidP="007B3BBF">
      <w:pPr>
        <w:pStyle w:val="SingleTxtG"/>
      </w:pPr>
      <w:r>
        <w:t>89</w:t>
      </w:r>
      <w:r w:rsidR="00910FB2" w:rsidRPr="00065339">
        <w:t>.</w:t>
      </w:r>
      <w:r w:rsidR="007B3BBF" w:rsidRPr="00065339">
        <w:tab/>
      </w:r>
      <w:r w:rsidR="00910FB2" w:rsidRPr="00065339">
        <w:t xml:space="preserve">With regard to ways to improve the quality of data reported, Parties should describe successfully applied methodologies and procedures </w:t>
      </w:r>
      <w:r w:rsidR="00317E08" w:rsidRPr="00065339">
        <w:t xml:space="preserve">that have been </w:t>
      </w:r>
      <w:r w:rsidR="00910FB2" w:rsidRPr="00065339">
        <w:t xml:space="preserve">adopted by </w:t>
      </w:r>
      <w:r w:rsidR="00317E08" w:rsidRPr="00065339">
        <w:t xml:space="preserve">the </w:t>
      </w:r>
      <w:r w:rsidR="00910FB2" w:rsidRPr="00065339">
        <w:t xml:space="preserve">competent authorities. </w:t>
      </w:r>
    </w:p>
    <w:p w14:paraId="22C2F6CC" w14:textId="786AB1D5" w:rsidR="00910FB2" w:rsidRPr="00065339" w:rsidRDefault="00817412" w:rsidP="007B3BBF">
      <w:pPr>
        <w:pStyle w:val="SingleTxtG"/>
      </w:pPr>
      <w:r w:rsidRPr="00065339">
        <w:t>9</w:t>
      </w:r>
      <w:r w:rsidR="00D8692E">
        <w:t>0</w:t>
      </w:r>
      <w:r w:rsidR="00910FB2" w:rsidRPr="00065339">
        <w:t>.</w:t>
      </w:r>
      <w:r w:rsidR="007B3BBF" w:rsidRPr="00065339">
        <w:tab/>
      </w:r>
      <w:r w:rsidR="00910FB2" w:rsidRPr="00065339">
        <w:t>Parties should describe briefly the role of different competent authorities (</w:t>
      </w:r>
      <w:r w:rsidR="00317E08" w:rsidRPr="00065339">
        <w:t xml:space="preserve">at the </w:t>
      </w:r>
      <w:r w:rsidR="00910FB2" w:rsidRPr="00065339">
        <w:t>local, regional</w:t>
      </w:r>
      <w:r w:rsidR="00317E08" w:rsidRPr="00065339">
        <w:t xml:space="preserve"> and</w:t>
      </w:r>
      <w:r w:rsidR="00910FB2" w:rsidRPr="00065339">
        <w:t xml:space="preserve"> national</w:t>
      </w:r>
      <w:r w:rsidR="00317E08" w:rsidRPr="00065339">
        <w:t xml:space="preserve"> levels</w:t>
      </w:r>
      <w:r w:rsidR="00910FB2" w:rsidRPr="00065339">
        <w:t>) and their responsibilit</w:t>
      </w:r>
      <w:r w:rsidR="00012BDF" w:rsidRPr="00065339">
        <w:t>ies with regard</w:t>
      </w:r>
      <w:r w:rsidR="00910FB2" w:rsidRPr="00065339">
        <w:t xml:space="preserve"> </w:t>
      </w:r>
      <w:r w:rsidR="00012BDF" w:rsidRPr="00065339">
        <w:t xml:space="preserve">to </w:t>
      </w:r>
      <w:r w:rsidR="00910FB2" w:rsidRPr="00065339">
        <w:t xml:space="preserve">quality assessment, if applicable. </w:t>
      </w:r>
    </w:p>
    <w:p w14:paraId="2C82BAE4" w14:textId="6913C36C" w:rsidR="00910FB2" w:rsidRPr="00065339" w:rsidRDefault="00D8692E" w:rsidP="007B3BBF">
      <w:pPr>
        <w:pStyle w:val="SingleTxtG"/>
      </w:pPr>
      <w:r>
        <w:t>91</w:t>
      </w:r>
      <w:r w:rsidR="00910FB2" w:rsidRPr="00065339">
        <w:t>.</w:t>
      </w:r>
      <w:r w:rsidR="007B3BBF" w:rsidRPr="00065339">
        <w:tab/>
      </w:r>
      <w:r w:rsidR="00910FB2" w:rsidRPr="00065339">
        <w:t>Parties should take into account feedback from the public about the quality of data.</w:t>
      </w:r>
    </w:p>
    <w:p w14:paraId="2E487AF2" w14:textId="77777777" w:rsidR="00910FB2" w:rsidRPr="00065339" w:rsidRDefault="007B3BBF" w:rsidP="009722A5">
      <w:pPr>
        <w:pStyle w:val="H4G"/>
      </w:pPr>
      <w:r w:rsidRPr="00065339">
        <w:tab/>
      </w:r>
      <w:r w:rsidRPr="00065339">
        <w:tab/>
      </w:r>
      <w:r w:rsidR="00910FB2" w:rsidRPr="00065339">
        <w:t>Selected good practices for reporting</w:t>
      </w:r>
      <w:r w:rsidR="00910FB2" w:rsidRPr="00065339" w:rsidDel="00D846C5">
        <w:t xml:space="preserve"> </w:t>
      </w:r>
    </w:p>
    <w:p w14:paraId="2DA15FA5" w14:textId="5DED8B34" w:rsidR="00910FB2" w:rsidRPr="00065339" w:rsidRDefault="00817412" w:rsidP="00782BE1">
      <w:pPr>
        <w:pStyle w:val="SingleTxtG"/>
        <w:keepNext/>
      </w:pPr>
      <w:r w:rsidRPr="00065339">
        <w:t>9</w:t>
      </w:r>
      <w:r w:rsidR="00D8692E">
        <w:t>2</w:t>
      </w:r>
      <w:r w:rsidR="00910FB2" w:rsidRPr="00065339">
        <w:t>.</w:t>
      </w:r>
      <w:r w:rsidR="007B3BBF" w:rsidRPr="00065339">
        <w:tab/>
      </w:r>
      <w:r w:rsidR="00012BDF" w:rsidRPr="00065339">
        <w:t>G</w:t>
      </w:r>
      <w:r w:rsidR="00910FB2" w:rsidRPr="00065339">
        <w:t>ood practice</w:t>
      </w:r>
      <w:r w:rsidR="009722A5">
        <w:t>s</w:t>
      </w:r>
      <w:r w:rsidR="00910FB2" w:rsidRPr="00065339">
        <w:t xml:space="preserve"> for reporting </w:t>
      </w:r>
      <w:r w:rsidR="00012BDF" w:rsidRPr="00065339">
        <w:t xml:space="preserve">related to </w:t>
      </w:r>
      <w:r w:rsidR="00910FB2" w:rsidRPr="00065339">
        <w:t>quality assessment</w:t>
      </w:r>
      <w:r w:rsidR="00012BDF" w:rsidRPr="00065339">
        <w:t xml:space="preserve"> include</w:t>
      </w:r>
      <w:r w:rsidR="00910FB2" w:rsidRPr="00065339">
        <w:t>:</w:t>
      </w:r>
    </w:p>
    <w:p w14:paraId="22DF0C98" w14:textId="7412A00F" w:rsidR="00910FB2" w:rsidRPr="00065339" w:rsidRDefault="007B3BBF" w:rsidP="00782BE1">
      <w:pPr>
        <w:pStyle w:val="SingleTxtG"/>
        <w:keepNext/>
        <w:ind w:firstLine="567"/>
      </w:pPr>
      <w:r w:rsidRPr="00065339">
        <w:t>(a)</w:t>
      </w:r>
      <w:r w:rsidRPr="00065339">
        <w:tab/>
      </w:r>
      <w:r w:rsidR="00F57813" w:rsidRPr="00065339">
        <w:t>L</w:t>
      </w:r>
      <w:r w:rsidR="00910FB2" w:rsidRPr="00065339">
        <w:t>ist</w:t>
      </w:r>
      <w:r w:rsidR="00F57813" w:rsidRPr="00065339">
        <w:t>ing</w:t>
      </w:r>
      <w:r w:rsidR="00910FB2" w:rsidRPr="00065339">
        <w:t xml:space="preserve"> </w:t>
      </w:r>
      <w:r w:rsidR="00012BDF" w:rsidRPr="00065339">
        <w:t xml:space="preserve">the </w:t>
      </w:r>
      <w:r w:rsidR="00910FB2" w:rsidRPr="00065339">
        <w:t>procedures</w:t>
      </w:r>
      <w:r w:rsidR="00012BDF" w:rsidRPr="00065339">
        <w:t xml:space="preserve"> and</w:t>
      </w:r>
      <w:r w:rsidR="00910FB2" w:rsidRPr="00065339">
        <w:t xml:space="preserve"> standards </w:t>
      </w:r>
      <w:r w:rsidR="00012BDF" w:rsidRPr="00065339">
        <w:t xml:space="preserve">that are </w:t>
      </w:r>
      <w:r w:rsidR="00910FB2" w:rsidRPr="00065339">
        <w:t>used</w:t>
      </w:r>
      <w:r w:rsidR="00012BDF" w:rsidRPr="00065339">
        <w:t xml:space="preserve"> or </w:t>
      </w:r>
      <w:r w:rsidR="00910FB2" w:rsidRPr="00065339">
        <w:t>recommended and describ</w:t>
      </w:r>
      <w:r w:rsidR="00F57813" w:rsidRPr="00065339">
        <w:t>ing</w:t>
      </w:r>
      <w:r w:rsidR="00910FB2" w:rsidRPr="00065339">
        <w:t xml:space="preserve"> these procedures briefly or </w:t>
      </w:r>
      <w:r w:rsidR="00F57813" w:rsidRPr="00065339">
        <w:t>providing</w:t>
      </w:r>
      <w:r w:rsidR="00012BDF" w:rsidRPr="00065339">
        <w:t xml:space="preserve"> </w:t>
      </w:r>
      <w:r w:rsidR="00910FB2" w:rsidRPr="00065339">
        <w:t>link</w:t>
      </w:r>
      <w:r w:rsidR="00012BDF" w:rsidRPr="00065339">
        <w:t>s</w:t>
      </w:r>
      <w:r w:rsidR="00910FB2" w:rsidRPr="00065339">
        <w:t xml:space="preserve"> to </w:t>
      </w:r>
      <w:r w:rsidR="00012BDF" w:rsidRPr="00065339">
        <w:t xml:space="preserve">the </w:t>
      </w:r>
      <w:r w:rsidR="00910FB2" w:rsidRPr="00065339">
        <w:t>relevant legislation</w:t>
      </w:r>
      <w:r w:rsidR="00012BDF" w:rsidRPr="00065339">
        <w:t xml:space="preserve"> or </w:t>
      </w:r>
      <w:r w:rsidR="00910FB2" w:rsidRPr="00065339">
        <w:t>regulation;</w:t>
      </w:r>
    </w:p>
    <w:p w14:paraId="61F2D9EA" w14:textId="049DA57A" w:rsidR="00910FB2" w:rsidRPr="00065339" w:rsidRDefault="007B3BBF" w:rsidP="007B3BBF">
      <w:pPr>
        <w:pStyle w:val="SingleTxtG"/>
        <w:ind w:firstLine="567"/>
      </w:pPr>
      <w:r w:rsidRPr="00065339">
        <w:t>(b)</w:t>
      </w:r>
      <w:r w:rsidRPr="00065339">
        <w:tab/>
      </w:r>
      <w:r w:rsidR="00F57813" w:rsidRPr="00065339">
        <w:t>L</w:t>
      </w:r>
      <w:r w:rsidR="00910FB2" w:rsidRPr="00065339">
        <w:t>ist</w:t>
      </w:r>
      <w:r w:rsidR="00F57813" w:rsidRPr="00065339">
        <w:t>ing</w:t>
      </w:r>
      <w:r w:rsidR="00910FB2" w:rsidRPr="00065339">
        <w:t xml:space="preserve"> existing user manuals and sectoral legislation in which standards</w:t>
      </w:r>
      <w:r w:rsidR="00012BDF" w:rsidRPr="00065339">
        <w:t xml:space="preserve">, </w:t>
      </w:r>
      <w:r w:rsidR="00910FB2" w:rsidRPr="00065339">
        <w:t>methodologies</w:t>
      </w:r>
      <w:r w:rsidR="00012BDF" w:rsidRPr="00065339">
        <w:t xml:space="preserve"> or </w:t>
      </w:r>
      <w:r w:rsidR="00910FB2" w:rsidRPr="00065339">
        <w:t>procedures are described and provid</w:t>
      </w:r>
      <w:r w:rsidR="00F57813" w:rsidRPr="00065339">
        <w:t>ing</w:t>
      </w:r>
      <w:r w:rsidR="00910FB2" w:rsidRPr="00065339">
        <w:t xml:space="preserve"> links</w:t>
      </w:r>
      <w:r w:rsidR="00AE0A7C" w:rsidRPr="00065339">
        <w:t xml:space="preserve"> to where these can be accessed online,</w:t>
      </w:r>
      <w:r w:rsidR="00910FB2" w:rsidRPr="00065339">
        <w:t xml:space="preserve"> where available (e.g.</w:t>
      </w:r>
      <w:r w:rsidR="00012BDF" w:rsidRPr="00065339">
        <w:t>,</w:t>
      </w:r>
      <w:r w:rsidR="00910FB2" w:rsidRPr="00065339">
        <w:t xml:space="preserve"> see the </w:t>
      </w:r>
      <w:r w:rsidR="0057044B">
        <w:t>national implementation report</w:t>
      </w:r>
      <w:r w:rsidR="00910FB2" w:rsidRPr="00065339">
        <w:t xml:space="preserve"> submitted by the Netherlands).</w:t>
      </w:r>
    </w:p>
    <w:p w14:paraId="3C9ED6C7" w14:textId="7ECCF2BA" w:rsidR="00910FB2" w:rsidRPr="00065339" w:rsidRDefault="007B3BBF" w:rsidP="007B3BBF">
      <w:pPr>
        <w:pStyle w:val="H1G"/>
      </w:pPr>
      <w:r w:rsidRPr="00065339">
        <w:tab/>
      </w:r>
      <w:r w:rsidR="00910FB2" w:rsidRPr="00065339">
        <w:t>F.</w:t>
      </w:r>
      <w:r w:rsidR="00910FB2" w:rsidRPr="00065339">
        <w:tab/>
        <w:t>Public access to information</w:t>
      </w:r>
      <w:r w:rsidR="00C63795" w:rsidRPr="00065339">
        <w:t xml:space="preserve"> — </w:t>
      </w:r>
      <w:r w:rsidR="009C7BAE" w:rsidRPr="00065339">
        <w:t>a</w:t>
      </w:r>
      <w:r w:rsidR="00910FB2" w:rsidRPr="00065339">
        <w:t>rticle 11</w:t>
      </w:r>
    </w:p>
    <w:p w14:paraId="34A251EE" w14:textId="5826F753" w:rsidR="00910FB2" w:rsidRPr="00065339" w:rsidRDefault="00817412" w:rsidP="007B3BBF">
      <w:pPr>
        <w:pStyle w:val="SingleTxtG"/>
      </w:pPr>
      <w:r w:rsidRPr="00065339">
        <w:t>9</w:t>
      </w:r>
      <w:r w:rsidR="00D8692E">
        <w:t>3</w:t>
      </w:r>
      <w:r w:rsidR="00910FB2" w:rsidRPr="00065339">
        <w:t>.</w:t>
      </w:r>
      <w:r w:rsidR="007B3BBF" w:rsidRPr="00065339">
        <w:tab/>
      </w:r>
      <w:r w:rsidR="00910FB2" w:rsidRPr="00065339">
        <w:t>Parties mostly provided comprehensive information with regard to the implementation of the Protocol</w:t>
      </w:r>
      <w:r w:rsidR="00FF2D90" w:rsidRPr="00065339">
        <w:t>’s provisions</w:t>
      </w:r>
      <w:r w:rsidR="00910FB2" w:rsidRPr="00065339">
        <w:t xml:space="preserve"> on </w:t>
      </w:r>
      <w:r w:rsidR="00FF2D90" w:rsidRPr="00065339">
        <w:t xml:space="preserve">public </w:t>
      </w:r>
      <w:r w:rsidR="00910FB2" w:rsidRPr="00065339">
        <w:t>access to information</w:t>
      </w:r>
      <w:r w:rsidR="00FF2D90" w:rsidRPr="00065339">
        <w:t xml:space="preserve"> (art. 11)</w:t>
      </w:r>
      <w:r w:rsidR="00910FB2" w:rsidRPr="00065339">
        <w:t>. To monitor how stakeholders make use of this access to information can further help to improve the usefulness of PRTRs to the public.</w:t>
      </w:r>
    </w:p>
    <w:p w14:paraId="522DF5CB" w14:textId="77777777" w:rsidR="00910FB2" w:rsidRPr="00065339" w:rsidRDefault="00092C72" w:rsidP="007B3BBF">
      <w:pPr>
        <w:pStyle w:val="H4G"/>
      </w:pPr>
      <w:r w:rsidRPr="00065339">
        <w:tab/>
      </w:r>
      <w:r w:rsidRPr="00065339">
        <w:tab/>
      </w:r>
      <w:r w:rsidR="00910FB2" w:rsidRPr="00065339">
        <w:t>Recommendations</w:t>
      </w:r>
    </w:p>
    <w:p w14:paraId="483B60E3" w14:textId="7BF12A7D" w:rsidR="00910FB2" w:rsidRPr="00065339" w:rsidRDefault="00817412" w:rsidP="00910FB2">
      <w:pPr>
        <w:pStyle w:val="SingleTxtG"/>
      </w:pPr>
      <w:r w:rsidRPr="00065339">
        <w:t>9</w:t>
      </w:r>
      <w:r w:rsidR="00D8692E">
        <w:t>4</w:t>
      </w:r>
      <w:r w:rsidR="00910FB2" w:rsidRPr="00065339">
        <w:t>.</w:t>
      </w:r>
      <w:r w:rsidR="00092C72" w:rsidRPr="00065339">
        <w:tab/>
      </w:r>
      <w:r w:rsidR="00910FB2" w:rsidRPr="00065339">
        <w:t>Parties should refer specifically to the implementation of article 11, paragraph 5</w:t>
      </w:r>
      <w:r w:rsidR="00506A8E" w:rsidRPr="00065339">
        <w:t>, i.e., indicating how they facilitate electronic access to the register in publicly accessible locations in cases where the information is not otherwise easily accessible by direct electronic means</w:t>
      </w:r>
      <w:r w:rsidR="00910FB2" w:rsidRPr="00065339">
        <w:t>.</w:t>
      </w:r>
    </w:p>
    <w:p w14:paraId="2900ACC6" w14:textId="5D2E08C4" w:rsidR="00910FB2" w:rsidRPr="00065339" w:rsidRDefault="00817412" w:rsidP="00910FB2">
      <w:pPr>
        <w:pStyle w:val="SingleTxtG"/>
      </w:pPr>
      <w:r w:rsidRPr="00065339">
        <w:t>9</w:t>
      </w:r>
      <w:r w:rsidR="00D8692E">
        <w:t>5</w:t>
      </w:r>
      <w:r w:rsidR="00910FB2" w:rsidRPr="00065339">
        <w:t>.</w:t>
      </w:r>
      <w:r w:rsidR="00092C72" w:rsidRPr="00065339">
        <w:tab/>
      </w:r>
      <w:r w:rsidR="00910FB2" w:rsidRPr="00065339">
        <w:t>Parties should report on the collection of statistical data on the use of PRTR web</w:t>
      </w:r>
      <w:r w:rsidR="00AE0A7C" w:rsidRPr="00065339">
        <w:t xml:space="preserve"> </w:t>
      </w:r>
      <w:r w:rsidR="00910FB2" w:rsidRPr="00065339">
        <w:t>pages.</w:t>
      </w:r>
    </w:p>
    <w:p w14:paraId="19F0E646" w14:textId="77777777" w:rsidR="00910FB2" w:rsidRPr="00065339" w:rsidRDefault="00092C72" w:rsidP="00912E21">
      <w:pPr>
        <w:pStyle w:val="H4G"/>
      </w:pPr>
      <w:r w:rsidRPr="00065339">
        <w:tab/>
      </w:r>
      <w:r w:rsidRPr="00065339">
        <w:tab/>
      </w:r>
      <w:r w:rsidR="00910FB2" w:rsidRPr="00065339">
        <w:t>Selected good practices for reporting</w:t>
      </w:r>
      <w:r w:rsidR="00910FB2" w:rsidRPr="00065339" w:rsidDel="00D846C5">
        <w:t xml:space="preserve"> </w:t>
      </w:r>
    </w:p>
    <w:p w14:paraId="49BEC3B3" w14:textId="5ABF367A" w:rsidR="00910FB2" w:rsidRPr="00065339" w:rsidRDefault="00817412" w:rsidP="00092C72">
      <w:pPr>
        <w:pStyle w:val="SingleTxtG"/>
      </w:pPr>
      <w:r w:rsidRPr="00065339">
        <w:t>9</w:t>
      </w:r>
      <w:r w:rsidR="00D8692E">
        <w:t>6</w:t>
      </w:r>
      <w:r w:rsidR="00910FB2" w:rsidRPr="00065339">
        <w:t>.</w:t>
      </w:r>
      <w:r w:rsidR="00092C72" w:rsidRPr="00065339">
        <w:tab/>
      </w:r>
      <w:r w:rsidR="00AE0A7C" w:rsidRPr="00065339">
        <w:t xml:space="preserve">Among </w:t>
      </w:r>
      <w:r w:rsidR="00910FB2" w:rsidRPr="00065339">
        <w:t>good practices for reporting regarding public access to information</w:t>
      </w:r>
      <w:r w:rsidR="00AE0A7C" w:rsidRPr="00065339">
        <w:t>, Parties should</w:t>
      </w:r>
      <w:r w:rsidR="00910FB2" w:rsidRPr="00065339">
        <w:t>:</w:t>
      </w:r>
    </w:p>
    <w:p w14:paraId="366693AD" w14:textId="2EE1F663" w:rsidR="00910FB2" w:rsidRPr="00065339" w:rsidRDefault="00092C72" w:rsidP="00092C72">
      <w:pPr>
        <w:pStyle w:val="SingleTxtG"/>
        <w:ind w:firstLine="567"/>
      </w:pPr>
      <w:r w:rsidRPr="00065339">
        <w:t>(a)</w:t>
      </w:r>
      <w:r w:rsidRPr="00065339">
        <w:tab/>
      </w:r>
      <w:r w:rsidR="00910FB2" w:rsidRPr="00065339">
        <w:t>Provide information, including statistics (e.g.</w:t>
      </w:r>
      <w:r w:rsidR="00F84ACD" w:rsidRPr="00065339">
        <w:t>,</w:t>
      </w:r>
      <w:r w:rsidR="00910FB2" w:rsidRPr="00065339">
        <w:t xml:space="preserve"> see the </w:t>
      </w:r>
      <w:r w:rsidR="0057044B">
        <w:t>national implementation report</w:t>
      </w:r>
      <w:r w:rsidR="00910FB2" w:rsidRPr="00065339">
        <w:t xml:space="preserve"> submitted by Spain or Switzerland), about the different ways the public can access the information: </w:t>
      </w:r>
      <w:r w:rsidR="00F84ACD" w:rsidRPr="00065339">
        <w:t xml:space="preserve">i.e., </w:t>
      </w:r>
      <w:r w:rsidR="002061F0">
        <w:t xml:space="preserve">by means of the </w:t>
      </w:r>
      <w:r w:rsidR="00F84ACD" w:rsidRPr="00065339">
        <w:t xml:space="preserve">Internet, </w:t>
      </w:r>
      <w:r w:rsidR="00910FB2" w:rsidRPr="00065339">
        <w:t xml:space="preserve">e-mail, telephone, fax and/or administrative procedures; </w:t>
      </w:r>
    </w:p>
    <w:p w14:paraId="183C3209" w14:textId="2DB60F3B" w:rsidR="00910FB2" w:rsidRPr="00065339" w:rsidRDefault="00092C72" w:rsidP="00092C72">
      <w:pPr>
        <w:pStyle w:val="SingleTxtG"/>
        <w:ind w:firstLine="567"/>
      </w:pPr>
      <w:r w:rsidRPr="00065339">
        <w:t>(b)</w:t>
      </w:r>
      <w:r w:rsidRPr="00065339">
        <w:tab/>
      </w:r>
      <w:r w:rsidR="00910FB2" w:rsidRPr="00065339">
        <w:t>Refer to administrative procedures that ensure provision of data upon request within the meaning of article 11, paragraph 5 (e.g.</w:t>
      </w:r>
      <w:r w:rsidR="00F84ACD" w:rsidRPr="00065339">
        <w:t>,</w:t>
      </w:r>
      <w:r w:rsidR="00910FB2" w:rsidRPr="00065339">
        <w:t xml:space="preserve"> see the </w:t>
      </w:r>
      <w:r w:rsidR="0057044B">
        <w:t>national implementation reports</w:t>
      </w:r>
      <w:r w:rsidR="00910FB2" w:rsidRPr="00065339">
        <w:t xml:space="preserve"> submitted by Croatia, the Czech Republic, Estonia, Lithuania or Spain).</w:t>
      </w:r>
    </w:p>
    <w:p w14:paraId="5858431B" w14:textId="2535D842" w:rsidR="00910FB2" w:rsidRPr="00065339" w:rsidRDefault="00092C72" w:rsidP="00092C72">
      <w:pPr>
        <w:pStyle w:val="H1G"/>
      </w:pPr>
      <w:r w:rsidRPr="00065339">
        <w:tab/>
      </w:r>
      <w:r w:rsidR="00910FB2" w:rsidRPr="00065339">
        <w:t>G.</w:t>
      </w:r>
      <w:r w:rsidR="00910FB2" w:rsidRPr="00065339">
        <w:tab/>
        <w:t>Confidentiality</w:t>
      </w:r>
      <w:r w:rsidR="00C63795" w:rsidRPr="00065339">
        <w:t xml:space="preserve"> — </w:t>
      </w:r>
      <w:r w:rsidR="009C7BAE" w:rsidRPr="00065339">
        <w:t>a</w:t>
      </w:r>
      <w:r w:rsidR="00910FB2" w:rsidRPr="00065339">
        <w:t>rticle 12</w:t>
      </w:r>
    </w:p>
    <w:p w14:paraId="4D1359B8" w14:textId="4C4215FA" w:rsidR="00910FB2" w:rsidRPr="00065339" w:rsidRDefault="00817412" w:rsidP="00092C72">
      <w:pPr>
        <w:pStyle w:val="SingleTxtG"/>
      </w:pPr>
      <w:r w:rsidRPr="00065339">
        <w:t>9</w:t>
      </w:r>
      <w:r w:rsidR="00D8692E">
        <w:t>7</w:t>
      </w:r>
      <w:r w:rsidR="00910FB2" w:rsidRPr="00065339">
        <w:t>.</w:t>
      </w:r>
      <w:r w:rsidR="00092C72" w:rsidRPr="00065339">
        <w:tab/>
      </w:r>
      <w:r w:rsidR="00910FB2" w:rsidRPr="00065339">
        <w:t xml:space="preserve">Before any other consideration </w:t>
      </w:r>
      <w:r w:rsidR="00906824" w:rsidRPr="00065339">
        <w:t xml:space="preserve">in reporting on </w:t>
      </w:r>
      <w:r w:rsidR="003E61E9" w:rsidRPr="00065339">
        <w:t xml:space="preserve">confidentiality </w:t>
      </w:r>
      <w:r w:rsidR="00906824" w:rsidRPr="00065339">
        <w:t xml:space="preserve">and national </w:t>
      </w:r>
      <w:r w:rsidR="003E61E9" w:rsidRPr="00065339">
        <w:t>register</w:t>
      </w:r>
      <w:r w:rsidR="00906824" w:rsidRPr="00065339">
        <w:t>s</w:t>
      </w:r>
      <w:r w:rsidR="00910FB2" w:rsidRPr="00065339">
        <w:t xml:space="preserve">, </w:t>
      </w:r>
      <w:r w:rsidR="00310809" w:rsidRPr="00065339">
        <w:t xml:space="preserve">it is underscored </w:t>
      </w:r>
      <w:r w:rsidR="00910FB2" w:rsidRPr="00065339">
        <w:t>that</w:t>
      </w:r>
      <w:r w:rsidR="003E61E9" w:rsidRPr="00065339">
        <w:t>,</w:t>
      </w:r>
      <w:r w:rsidR="00910FB2" w:rsidRPr="00065339">
        <w:t xml:space="preserve"> according to article 12</w:t>
      </w:r>
      <w:r w:rsidR="00310809" w:rsidRPr="00065339">
        <w:t xml:space="preserve"> of the Protocol</w:t>
      </w:r>
      <w:r w:rsidR="00910FB2" w:rsidRPr="00065339">
        <w:t xml:space="preserve">, the grounds for </w:t>
      </w:r>
      <w:r w:rsidR="004C0E61" w:rsidRPr="00065339">
        <w:t>claim</w:t>
      </w:r>
      <w:r w:rsidR="003E61E9" w:rsidRPr="00065339">
        <w:t xml:space="preserve">ing </w:t>
      </w:r>
      <w:r w:rsidR="00910FB2" w:rsidRPr="00065339">
        <w:t>confidentiality should be interpreted in a restrictive way. This implies that any claim of confidentiality is to be treated as a sensitive issue requiring careful consideration.</w:t>
      </w:r>
    </w:p>
    <w:p w14:paraId="7A65CBCB" w14:textId="483DB73D" w:rsidR="00910FB2" w:rsidRPr="00065339" w:rsidRDefault="00817412" w:rsidP="00092C72">
      <w:pPr>
        <w:pStyle w:val="SingleTxtG"/>
      </w:pPr>
      <w:r w:rsidRPr="00065339">
        <w:t>9</w:t>
      </w:r>
      <w:r w:rsidR="00D8692E">
        <w:t>8</w:t>
      </w:r>
      <w:r w:rsidR="00910FB2" w:rsidRPr="00065339">
        <w:t>.</w:t>
      </w:r>
      <w:r w:rsidR="00092C72" w:rsidRPr="00065339">
        <w:tab/>
      </w:r>
      <w:r w:rsidR="00910FB2" w:rsidRPr="00065339">
        <w:t>Several Parties did not report in a clear and concise way on their legislation</w:t>
      </w:r>
      <w:r w:rsidR="00310809" w:rsidRPr="00065339">
        <w:t xml:space="preserve"> related to confidentiality</w:t>
      </w:r>
      <w:r w:rsidR="00910FB2" w:rsidRPr="00065339">
        <w:t xml:space="preserve">. While the wording of the question </w:t>
      </w:r>
      <w:r w:rsidR="00310809" w:rsidRPr="00065339">
        <w:t xml:space="preserve">on article 12 </w:t>
      </w:r>
      <w:r w:rsidR="00910FB2" w:rsidRPr="00065339">
        <w:t>does not explicitly ask for reporting on legislation, the request to “give an indication of the types of information that may be withheld” will in most cases require reporting on legislation</w:t>
      </w:r>
      <w:r w:rsidR="00906824" w:rsidRPr="00065339">
        <w:t>,</w:t>
      </w:r>
      <w:r w:rsidR="00910FB2" w:rsidRPr="00065339">
        <w:t xml:space="preserve"> as this issue has to be regulated in a generally binding legal document. </w:t>
      </w:r>
    </w:p>
    <w:p w14:paraId="2E4836CA" w14:textId="08F173CB" w:rsidR="00910FB2" w:rsidRPr="00065339" w:rsidRDefault="00D8692E" w:rsidP="00092C72">
      <w:pPr>
        <w:pStyle w:val="SingleTxtG"/>
      </w:pPr>
      <w:r>
        <w:t>99</w:t>
      </w:r>
      <w:r w:rsidR="00910FB2" w:rsidRPr="00065339">
        <w:t>.</w:t>
      </w:r>
      <w:r w:rsidR="00092C72" w:rsidRPr="00065339">
        <w:tab/>
      </w:r>
      <w:r w:rsidR="00910FB2" w:rsidRPr="00065339">
        <w:t xml:space="preserve">The wording of the question indicates that the main focus of the reporting should be on practical experience, including the description of </w:t>
      </w:r>
      <w:r w:rsidR="00906824" w:rsidRPr="00065339">
        <w:t xml:space="preserve">the </w:t>
      </w:r>
      <w:r w:rsidR="00910FB2" w:rsidRPr="00065339">
        <w:t>types or groups of cases of requests for confidentiality. However, some Parties only reported on legislation and not on practical experience at all.</w:t>
      </w:r>
    </w:p>
    <w:p w14:paraId="236AA998" w14:textId="77777777" w:rsidR="00910FB2" w:rsidRPr="00065339" w:rsidRDefault="00092C72" w:rsidP="00092C72">
      <w:pPr>
        <w:pStyle w:val="H4G"/>
      </w:pPr>
      <w:r w:rsidRPr="00065339">
        <w:tab/>
      </w:r>
      <w:r w:rsidRPr="00065339">
        <w:tab/>
      </w:r>
      <w:r w:rsidR="00910FB2" w:rsidRPr="00065339">
        <w:t>Recommendations</w:t>
      </w:r>
    </w:p>
    <w:p w14:paraId="4DF8E743" w14:textId="76946D32" w:rsidR="00910FB2" w:rsidRPr="00065339" w:rsidRDefault="00817412" w:rsidP="00092C72">
      <w:pPr>
        <w:pStyle w:val="SingleTxtG"/>
      </w:pPr>
      <w:r w:rsidRPr="00065339">
        <w:t>10</w:t>
      </w:r>
      <w:r w:rsidR="00D8692E">
        <w:t>0</w:t>
      </w:r>
      <w:r w:rsidR="00910FB2" w:rsidRPr="00065339">
        <w:t>.</w:t>
      </w:r>
      <w:r w:rsidR="00092C72" w:rsidRPr="00065339">
        <w:tab/>
      </w:r>
      <w:r w:rsidR="00910FB2" w:rsidRPr="00065339">
        <w:t>Parties should bear in mind that</w:t>
      </w:r>
      <w:r w:rsidR="00ED036D" w:rsidRPr="00065339">
        <w:t>, according to the Protocol,</w:t>
      </w:r>
      <w:r w:rsidR="00910FB2" w:rsidRPr="00065339">
        <w:t xml:space="preserve"> claims </w:t>
      </w:r>
      <w:r w:rsidR="00ED036D" w:rsidRPr="00065339">
        <w:t xml:space="preserve">of </w:t>
      </w:r>
      <w:r w:rsidR="00910FB2" w:rsidRPr="00065339">
        <w:t xml:space="preserve">confidentiality </w:t>
      </w:r>
      <w:r w:rsidR="00ED036D" w:rsidRPr="00065339">
        <w:t xml:space="preserve">regarding the </w:t>
      </w:r>
      <w:r w:rsidR="00910FB2" w:rsidRPr="00065339">
        <w:t>PRTR “shall be interpreted in a restrictive way</w:t>
      </w:r>
      <w:r w:rsidR="00ED036D" w:rsidRPr="00065339">
        <w:t>,</w:t>
      </w:r>
      <w:r w:rsidR="00910FB2" w:rsidRPr="00065339">
        <w:t xml:space="preserve"> taking into account the public interest served by disclosure and whether the information relates to releases into the environment”</w:t>
      </w:r>
      <w:r w:rsidR="00ED036D" w:rsidRPr="00065339">
        <w:t xml:space="preserve"> (art. 12, para. 1).</w:t>
      </w:r>
    </w:p>
    <w:p w14:paraId="60CCD446" w14:textId="019F3111" w:rsidR="00910FB2" w:rsidRPr="00065339" w:rsidRDefault="00D8692E" w:rsidP="00092C72">
      <w:pPr>
        <w:pStyle w:val="SingleTxtG"/>
      </w:pPr>
      <w:r>
        <w:rPr>
          <w:rFonts w:eastAsia="Calibri"/>
        </w:rPr>
        <w:t>101</w:t>
      </w:r>
      <w:r w:rsidR="00910FB2" w:rsidRPr="00065339">
        <w:rPr>
          <w:rFonts w:eastAsia="Calibri"/>
        </w:rPr>
        <w:t>.</w:t>
      </w:r>
      <w:r w:rsidR="00092C72" w:rsidRPr="00065339">
        <w:rPr>
          <w:rFonts w:eastAsia="Calibri"/>
        </w:rPr>
        <w:tab/>
      </w:r>
      <w:r w:rsidR="00910FB2" w:rsidRPr="00065339">
        <w:rPr>
          <w:rFonts w:eastAsia="Calibri"/>
        </w:rPr>
        <w:t xml:space="preserve">Parties should concentrate also on practical application related to </w:t>
      </w:r>
      <w:r w:rsidR="00ED036D" w:rsidRPr="00065339">
        <w:rPr>
          <w:rFonts w:eastAsia="Calibri"/>
        </w:rPr>
        <w:t xml:space="preserve">the </w:t>
      </w:r>
      <w:r w:rsidR="00910FB2" w:rsidRPr="00065339">
        <w:rPr>
          <w:rFonts w:eastAsia="Calibri"/>
        </w:rPr>
        <w:t xml:space="preserve">treatment of </w:t>
      </w:r>
      <w:r w:rsidR="004C0E61" w:rsidRPr="00065339">
        <w:rPr>
          <w:rFonts w:eastAsia="Calibri"/>
        </w:rPr>
        <w:t xml:space="preserve">claims of </w:t>
      </w:r>
      <w:r w:rsidR="00910FB2" w:rsidRPr="00065339">
        <w:rPr>
          <w:rFonts w:eastAsia="Calibri"/>
        </w:rPr>
        <w:t xml:space="preserve">confidentiality and possible systemic issues. Reporting on legislation and reporting on practical arrangements, such as </w:t>
      </w:r>
      <w:r w:rsidR="004C0E61" w:rsidRPr="00065339">
        <w:rPr>
          <w:rFonts w:eastAsia="Calibri"/>
        </w:rPr>
        <w:t xml:space="preserve">the </w:t>
      </w:r>
      <w:r w:rsidR="00910FB2" w:rsidRPr="00065339">
        <w:rPr>
          <w:rFonts w:eastAsia="Calibri"/>
        </w:rPr>
        <w:t>design of reporting forms and related procedures</w:t>
      </w:r>
      <w:r w:rsidR="004C0E61" w:rsidRPr="00065339">
        <w:rPr>
          <w:rFonts w:eastAsia="Calibri"/>
        </w:rPr>
        <w:t>,</w:t>
      </w:r>
      <w:r w:rsidR="00910FB2" w:rsidRPr="00065339">
        <w:rPr>
          <w:rFonts w:eastAsia="Calibri"/>
        </w:rPr>
        <w:t xml:space="preserve"> is an important p</w:t>
      </w:r>
      <w:r w:rsidR="00910FB2" w:rsidRPr="00065339">
        <w:t>art of the information to be provided</w:t>
      </w:r>
      <w:r w:rsidR="004C0E61" w:rsidRPr="00065339">
        <w:t>,</w:t>
      </w:r>
      <w:r w:rsidR="00910FB2" w:rsidRPr="00065339">
        <w:t xml:space="preserve"> but </w:t>
      </w:r>
      <w:r w:rsidR="004C0E61" w:rsidRPr="00065339">
        <w:t xml:space="preserve">it is </w:t>
      </w:r>
      <w:r w:rsidR="00910FB2" w:rsidRPr="00065339">
        <w:t>not sufficient.</w:t>
      </w:r>
    </w:p>
    <w:p w14:paraId="2CF86097" w14:textId="0C15C927" w:rsidR="00910FB2" w:rsidRPr="00065339" w:rsidRDefault="00D8692E" w:rsidP="00092C72">
      <w:pPr>
        <w:pStyle w:val="SingleTxtG"/>
      </w:pPr>
      <w:r>
        <w:t>102</w:t>
      </w:r>
      <w:r w:rsidR="00910FB2" w:rsidRPr="00065339">
        <w:t>.</w:t>
      </w:r>
      <w:r w:rsidR="00092C72" w:rsidRPr="00065339">
        <w:tab/>
      </w:r>
      <w:r w:rsidR="00910FB2" w:rsidRPr="00065339">
        <w:t>The question puts a special focus on “the requirements set out in paragraph 2”</w:t>
      </w:r>
      <w:r w:rsidR="00310809" w:rsidRPr="00065339">
        <w:t xml:space="preserve"> of article 12</w:t>
      </w:r>
      <w:r w:rsidR="00910FB2" w:rsidRPr="00065339">
        <w:t>. Parties should thus report in more detail on the arrangements made regarding this particular consideration for disclosure.</w:t>
      </w:r>
    </w:p>
    <w:p w14:paraId="4F9E4E8E" w14:textId="1A7D6183" w:rsidR="00910FB2" w:rsidRPr="00065339" w:rsidRDefault="00D8692E" w:rsidP="00092C72">
      <w:pPr>
        <w:pStyle w:val="SingleTxtG"/>
      </w:pPr>
      <w:r>
        <w:t>103</w:t>
      </w:r>
      <w:r w:rsidR="00910FB2" w:rsidRPr="00065339">
        <w:t>.</w:t>
      </w:r>
      <w:r w:rsidR="00092C72" w:rsidRPr="00065339">
        <w:tab/>
      </w:r>
      <w:r w:rsidR="00910FB2" w:rsidRPr="00065339">
        <w:t>If information was withheld, Parties should report specifically on the subject matter of article 12, paragraph 3, concerning details about withheld information and how they impl</w:t>
      </w:r>
      <w:r w:rsidR="004C0E61" w:rsidRPr="00065339">
        <w:t>eme</w:t>
      </w:r>
      <w:r w:rsidR="00910FB2" w:rsidRPr="00065339">
        <w:t xml:space="preserve">nted this provision. </w:t>
      </w:r>
    </w:p>
    <w:p w14:paraId="0738854A" w14:textId="77777777" w:rsidR="00910FB2" w:rsidRPr="00065339" w:rsidRDefault="00092C72" w:rsidP="00912E21">
      <w:pPr>
        <w:pStyle w:val="H4G"/>
      </w:pPr>
      <w:r w:rsidRPr="00065339">
        <w:tab/>
      </w:r>
      <w:r w:rsidRPr="00065339">
        <w:tab/>
      </w:r>
      <w:r w:rsidR="00910FB2" w:rsidRPr="00065339">
        <w:t>Selected good practices for reporting</w:t>
      </w:r>
      <w:r w:rsidR="00910FB2" w:rsidRPr="00065339" w:rsidDel="00D846C5">
        <w:t xml:space="preserve"> </w:t>
      </w:r>
    </w:p>
    <w:p w14:paraId="0491AE3F" w14:textId="08FA3EA9" w:rsidR="00910FB2" w:rsidRPr="00065339" w:rsidRDefault="00D8692E" w:rsidP="006A1D15">
      <w:pPr>
        <w:pStyle w:val="SingleTxtG"/>
      </w:pPr>
      <w:r>
        <w:t>104</w:t>
      </w:r>
      <w:r w:rsidR="00910FB2" w:rsidRPr="00065339">
        <w:t>.</w:t>
      </w:r>
      <w:r w:rsidR="00092C72" w:rsidRPr="00065339">
        <w:tab/>
      </w:r>
      <w:r w:rsidR="00910FB2" w:rsidRPr="00065339">
        <w:t>The best practice will be no claims for confidentiality</w:t>
      </w:r>
      <w:r w:rsidR="0022226C" w:rsidRPr="00065339">
        <w:t xml:space="preserve">. </w:t>
      </w:r>
      <w:r w:rsidR="00910FB2" w:rsidRPr="00065339">
        <w:t>In addition</w:t>
      </w:r>
      <w:r w:rsidR="0022226C" w:rsidRPr="00065339">
        <w:t xml:space="preserve">, a best practice in reporting on confidentiality would be for Parties </w:t>
      </w:r>
      <w:r w:rsidR="00910FB2" w:rsidRPr="00065339">
        <w:t>to</w:t>
      </w:r>
      <w:r w:rsidR="0022226C" w:rsidRPr="00065339">
        <w:t xml:space="preserve"> </w:t>
      </w:r>
      <w:r w:rsidR="00910FB2" w:rsidRPr="00065339">
        <w:t>provid</w:t>
      </w:r>
      <w:r w:rsidR="0022226C" w:rsidRPr="00065339">
        <w:t>e</w:t>
      </w:r>
      <w:r w:rsidR="00910FB2" w:rsidRPr="00065339">
        <w:t xml:space="preserve"> information on </w:t>
      </w:r>
      <w:r w:rsidR="0022226C" w:rsidRPr="00065339">
        <w:t xml:space="preserve">the </w:t>
      </w:r>
      <w:r w:rsidR="00910FB2" w:rsidRPr="00065339">
        <w:t>practical arrangements</w:t>
      </w:r>
      <w:r w:rsidR="0022226C" w:rsidRPr="00065339">
        <w:t xml:space="preserve"> and</w:t>
      </w:r>
      <w:r w:rsidR="00910FB2" w:rsidRPr="00065339">
        <w:t xml:space="preserve"> </w:t>
      </w:r>
      <w:r w:rsidR="0022226C" w:rsidRPr="00065339">
        <w:t xml:space="preserve">to </w:t>
      </w:r>
      <w:r w:rsidR="00910FB2" w:rsidRPr="00065339">
        <w:t>ensure that information on legislation concerning the issue of confidentiality is provided (e.g.</w:t>
      </w:r>
      <w:r w:rsidR="00556C34" w:rsidRPr="00065339">
        <w:t>,</w:t>
      </w:r>
      <w:r w:rsidR="00910FB2" w:rsidRPr="00065339">
        <w:t xml:space="preserve"> see the </w:t>
      </w:r>
      <w:r w:rsidR="0057044B">
        <w:t>national implementation reports</w:t>
      </w:r>
      <w:r w:rsidR="00910FB2" w:rsidRPr="00065339">
        <w:t xml:space="preserve"> submitted by Cyprus or Germany).</w:t>
      </w:r>
    </w:p>
    <w:p w14:paraId="2F52EA9C" w14:textId="668C8D07" w:rsidR="00910FB2" w:rsidRPr="00065339" w:rsidRDefault="00092C72" w:rsidP="00092C72">
      <w:pPr>
        <w:pStyle w:val="H1G"/>
      </w:pPr>
      <w:r w:rsidRPr="00065339">
        <w:tab/>
      </w:r>
      <w:r w:rsidR="00910FB2" w:rsidRPr="00065339">
        <w:t>H.</w:t>
      </w:r>
      <w:r w:rsidR="00910FB2" w:rsidRPr="00065339">
        <w:tab/>
        <w:t>Public participation in the development of national pollutant release and transfer registers</w:t>
      </w:r>
      <w:r w:rsidR="00C63795" w:rsidRPr="00065339">
        <w:t xml:space="preserve"> — </w:t>
      </w:r>
      <w:r w:rsidR="009C7BAE" w:rsidRPr="00065339">
        <w:t>a</w:t>
      </w:r>
      <w:r w:rsidR="00910FB2" w:rsidRPr="00065339">
        <w:t>rticle 13</w:t>
      </w:r>
    </w:p>
    <w:p w14:paraId="1AFF1E78" w14:textId="2504BD5A" w:rsidR="00910FB2" w:rsidRPr="00065339" w:rsidRDefault="00D8692E" w:rsidP="00092C72">
      <w:pPr>
        <w:pStyle w:val="SingleTxtG"/>
      </w:pPr>
      <w:r>
        <w:t>105</w:t>
      </w:r>
      <w:r w:rsidR="00910FB2" w:rsidRPr="00065339">
        <w:t>.</w:t>
      </w:r>
      <w:r w:rsidR="00092C72" w:rsidRPr="00065339">
        <w:tab/>
      </w:r>
      <w:r w:rsidR="00910FB2" w:rsidRPr="00065339">
        <w:t xml:space="preserve">While the question </w:t>
      </w:r>
      <w:r w:rsidR="00556C34" w:rsidRPr="00065339">
        <w:t xml:space="preserve">on article 13 </w:t>
      </w:r>
      <w:r w:rsidR="00910FB2" w:rsidRPr="00065339">
        <w:t xml:space="preserve">is straightforward and not prone to misunderstanding, its implications cover a wide range of possible actions. Answers </w:t>
      </w:r>
      <w:r w:rsidR="0022226C" w:rsidRPr="00065339">
        <w:t xml:space="preserve">in the 2014 reporting round </w:t>
      </w:r>
      <w:r w:rsidR="00910FB2" w:rsidRPr="00065339">
        <w:t xml:space="preserve">did not always reflect the full status of implementation </w:t>
      </w:r>
      <w:r w:rsidR="00556C34" w:rsidRPr="00065339">
        <w:t xml:space="preserve">by </w:t>
      </w:r>
      <w:r w:rsidR="00910FB2" w:rsidRPr="00065339">
        <w:t>Parties. The following recommendations aim to provide a more complete listing of related sub</w:t>
      </w:r>
      <w:r w:rsidR="0022226C" w:rsidRPr="00065339">
        <w:noBreakHyphen/>
      </w:r>
      <w:r w:rsidR="00910FB2" w:rsidRPr="00065339">
        <w:t xml:space="preserve">questions, which should help to reach completeness in the information </w:t>
      </w:r>
      <w:r w:rsidR="00556C34" w:rsidRPr="00065339">
        <w:t xml:space="preserve">reported </w:t>
      </w:r>
      <w:r w:rsidR="00910FB2" w:rsidRPr="00065339">
        <w:t>with regard to implementation of article 13.</w:t>
      </w:r>
    </w:p>
    <w:p w14:paraId="4840931F" w14:textId="77777777" w:rsidR="00910FB2" w:rsidRPr="00065339" w:rsidRDefault="00092C72" w:rsidP="00092C72">
      <w:pPr>
        <w:pStyle w:val="H4G"/>
      </w:pPr>
      <w:r w:rsidRPr="00065339">
        <w:tab/>
      </w:r>
      <w:r w:rsidRPr="00065339">
        <w:tab/>
      </w:r>
      <w:r w:rsidR="00910FB2" w:rsidRPr="00065339">
        <w:t>Recommendations</w:t>
      </w:r>
    </w:p>
    <w:p w14:paraId="7058E892" w14:textId="5FC8F524" w:rsidR="00910FB2" w:rsidRPr="00065339" w:rsidRDefault="00D8692E" w:rsidP="00092C72">
      <w:pPr>
        <w:pStyle w:val="SingleTxtG"/>
      </w:pPr>
      <w:r>
        <w:t>106</w:t>
      </w:r>
      <w:r w:rsidR="00910FB2" w:rsidRPr="00065339">
        <w:t>.</w:t>
      </w:r>
      <w:r w:rsidR="00092C72" w:rsidRPr="00065339">
        <w:tab/>
      </w:r>
      <w:r w:rsidR="00910FB2" w:rsidRPr="00065339">
        <w:t>Parties should indicate if their legislation provides the public with appropriate opportunit</w:t>
      </w:r>
      <w:r w:rsidR="00556C34" w:rsidRPr="00065339">
        <w:t>ies</w:t>
      </w:r>
      <w:r w:rsidR="00910FB2" w:rsidRPr="00065339">
        <w:t xml:space="preserve"> for free public access to the information on the proposed measures concerning the development of </w:t>
      </w:r>
      <w:r w:rsidR="00556C34" w:rsidRPr="00065339">
        <w:t xml:space="preserve">the </w:t>
      </w:r>
      <w:r w:rsidR="00910FB2" w:rsidRPr="00065339">
        <w:t xml:space="preserve">national PRTR. Related law(s), regulation(s) and/or examples of good practice in this regard should be clearly identified. </w:t>
      </w:r>
    </w:p>
    <w:p w14:paraId="1DDF20DA" w14:textId="029F8CB2" w:rsidR="00910FB2" w:rsidRPr="00065339" w:rsidRDefault="00817412" w:rsidP="00092C72">
      <w:pPr>
        <w:pStyle w:val="SingleTxtG"/>
      </w:pPr>
      <w:r w:rsidRPr="00065339">
        <w:t>10</w:t>
      </w:r>
      <w:r w:rsidR="00D8692E">
        <w:t>7</w:t>
      </w:r>
      <w:r w:rsidR="00910FB2" w:rsidRPr="00065339">
        <w:t>.</w:t>
      </w:r>
      <w:r w:rsidR="00A12176" w:rsidRPr="00065339">
        <w:tab/>
      </w:r>
      <w:r w:rsidR="00910FB2" w:rsidRPr="00065339">
        <w:t>Parties should provide details on possible limitations to public access to the information concerning measures related to the development of the PRTR. Parties should clarify</w:t>
      </w:r>
      <w:r w:rsidR="00556C34" w:rsidRPr="00065339">
        <w:t>,</w:t>
      </w:r>
      <w:r w:rsidR="00910FB2" w:rsidRPr="00065339">
        <w:t xml:space="preserve"> inter alia:</w:t>
      </w:r>
    </w:p>
    <w:p w14:paraId="13FC0FC2" w14:textId="77777777" w:rsidR="00910FB2" w:rsidRPr="00065339" w:rsidRDefault="00A12176" w:rsidP="00A12176">
      <w:pPr>
        <w:pStyle w:val="SingleTxtG"/>
        <w:ind w:firstLine="567"/>
      </w:pPr>
      <w:r w:rsidRPr="00065339">
        <w:t>(a)</w:t>
      </w:r>
      <w:r w:rsidRPr="00065339">
        <w:tab/>
      </w:r>
      <w:r w:rsidR="00910FB2" w:rsidRPr="00065339">
        <w:t>Are there any fees to be paid by public for access to information</w:t>
      </w:r>
      <w:proofErr w:type="gramStart"/>
      <w:r w:rsidR="00910FB2" w:rsidRPr="00065339">
        <w:t>?</w:t>
      </w:r>
      <w:r w:rsidR="00E813B0" w:rsidRPr="00065339">
        <w:t>;</w:t>
      </w:r>
      <w:proofErr w:type="gramEnd"/>
    </w:p>
    <w:p w14:paraId="47F540AB" w14:textId="77777777" w:rsidR="00910FB2" w:rsidRPr="00065339" w:rsidRDefault="00A12176" w:rsidP="00A12176">
      <w:pPr>
        <w:pStyle w:val="SingleTxtG"/>
        <w:ind w:firstLine="567"/>
      </w:pPr>
      <w:r w:rsidRPr="00065339">
        <w:t>(b)</w:t>
      </w:r>
      <w:r w:rsidRPr="00065339">
        <w:tab/>
      </w:r>
      <w:r w:rsidR="00910FB2" w:rsidRPr="00065339">
        <w:t>What are the time frames for notifying the public about the availability of the relevant information and for the public to access the relevant information</w:t>
      </w:r>
      <w:proofErr w:type="gramStart"/>
      <w:r w:rsidR="00910FB2" w:rsidRPr="00065339">
        <w:t>?</w:t>
      </w:r>
      <w:r w:rsidR="00E813B0" w:rsidRPr="00065339">
        <w:t>;</w:t>
      </w:r>
      <w:proofErr w:type="gramEnd"/>
    </w:p>
    <w:p w14:paraId="26BECCFE" w14:textId="46C6FBF9" w:rsidR="00910FB2" w:rsidRPr="00065339" w:rsidRDefault="00A12176" w:rsidP="00A12176">
      <w:pPr>
        <w:pStyle w:val="SingleTxtG"/>
        <w:ind w:firstLine="567"/>
      </w:pPr>
      <w:r w:rsidRPr="00065339">
        <w:t>(c)</w:t>
      </w:r>
      <w:r w:rsidRPr="00065339">
        <w:tab/>
      </w:r>
      <w:r w:rsidR="00910FB2" w:rsidRPr="00065339">
        <w:t xml:space="preserve">What is the legal effect of failing to duly provide the public with free access to the information on the proposed measures concerning the development of </w:t>
      </w:r>
      <w:r w:rsidR="00E813B0" w:rsidRPr="00065339">
        <w:t xml:space="preserve">the </w:t>
      </w:r>
      <w:r w:rsidR="00910FB2" w:rsidRPr="00065339">
        <w:t xml:space="preserve">national PRTR? </w:t>
      </w:r>
    </w:p>
    <w:p w14:paraId="00CB0332" w14:textId="1B86822E" w:rsidR="00910FB2" w:rsidRPr="00065339" w:rsidRDefault="00817412" w:rsidP="00092C72">
      <w:pPr>
        <w:pStyle w:val="SingleTxtG"/>
      </w:pPr>
      <w:r w:rsidRPr="00065339">
        <w:t>10</w:t>
      </w:r>
      <w:r w:rsidR="00D8692E">
        <w:t>8</w:t>
      </w:r>
      <w:r w:rsidR="00910FB2" w:rsidRPr="00065339">
        <w:t>.</w:t>
      </w:r>
      <w:r w:rsidR="00A12176" w:rsidRPr="00065339">
        <w:tab/>
      </w:r>
      <w:r w:rsidR="00910FB2" w:rsidRPr="00065339">
        <w:t xml:space="preserve">Parties should indicate if legislation provides the public with appropriate opportunities for the submission of any comments, information, analyses or opinions that are relevant to the decision-making process related to PRTR. </w:t>
      </w:r>
      <w:r w:rsidR="004F7494" w:rsidRPr="00065339">
        <w:t xml:space="preserve">They should </w:t>
      </w:r>
      <w:r w:rsidR="00910FB2" w:rsidRPr="00065339">
        <w:t xml:space="preserve">name particular law(s), regulation(s) and/or examples of existing good practice in this regard. </w:t>
      </w:r>
      <w:r w:rsidR="004F7494" w:rsidRPr="00065339">
        <w:t xml:space="preserve">They should </w:t>
      </w:r>
      <w:r w:rsidR="00E813B0" w:rsidRPr="00065339">
        <w:t xml:space="preserve">also </w:t>
      </w:r>
      <w:r w:rsidR="00910FB2" w:rsidRPr="00065339">
        <w:t>clarify</w:t>
      </w:r>
      <w:r w:rsidR="00E813B0" w:rsidRPr="00065339">
        <w:t>,</w:t>
      </w:r>
      <w:r w:rsidR="00910FB2" w:rsidRPr="00065339">
        <w:t xml:space="preserve"> inter alia:</w:t>
      </w:r>
    </w:p>
    <w:p w14:paraId="07463D41" w14:textId="104057AC" w:rsidR="00910FB2" w:rsidRPr="00065339" w:rsidRDefault="00A12176" w:rsidP="00A12176">
      <w:pPr>
        <w:pStyle w:val="SingleTxtG"/>
        <w:ind w:firstLine="567"/>
      </w:pPr>
      <w:r w:rsidRPr="00065339">
        <w:t>(a)</w:t>
      </w:r>
      <w:r w:rsidRPr="00065339">
        <w:tab/>
      </w:r>
      <w:r w:rsidR="00E813B0" w:rsidRPr="00065339">
        <w:t xml:space="preserve">At </w:t>
      </w:r>
      <w:r w:rsidR="004F7494" w:rsidRPr="00065339">
        <w:t xml:space="preserve">what </w:t>
      </w:r>
      <w:r w:rsidR="00910FB2" w:rsidRPr="00065339">
        <w:t>stage of decision-making is public involvement made possible</w:t>
      </w:r>
      <w:proofErr w:type="gramStart"/>
      <w:r w:rsidR="00910FB2" w:rsidRPr="00065339">
        <w:t>?</w:t>
      </w:r>
      <w:r w:rsidR="00E813B0" w:rsidRPr="00065339">
        <w:t>;</w:t>
      </w:r>
      <w:proofErr w:type="gramEnd"/>
    </w:p>
    <w:p w14:paraId="2CA8A0E9" w14:textId="3121367D" w:rsidR="00910FB2" w:rsidRPr="00065339" w:rsidRDefault="00A12176" w:rsidP="00A12176">
      <w:pPr>
        <w:pStyle w:val="SingleTxtG"/>
        <w:ind w:firstLine="567"/>
      </w:pPr>
      <w:r w:rsidRPr="00065339">
        <w:t>(b)</w:t>
      </w:r>
      <w:r w:rsidRPr="00065339">
        <w:tab/>
      </w:r>
      <w:r w:rsidR="00910FB2" w:rsidRPr="00065339">
        <w:t xml:space="preserve">In case a number of consecutive decisions are required, does </w:t>
      </w:r>
      <w:r w:rsidR="00E813B0" w:rsidRPr="00065339">
        <w:t xml:space="preserve">national </w:t>
      </w:r>
      <w:r w:rsidR="00910FB2" w:rsidRPr="00065339">
        <w:t>legislation provide the public with the opportunity to provide input in relation to: (</w:t>
      </w:r>
      <w:proofErr w:type="spellStart"/>
      <w:r w:rsidR="00910FB2" w:rsidRPr="00065339">
        <w:t>i</w:t>
      </w:r>
      <w:proofErr w:type="spellEnd"/>
      <w:r w:rsidR="00910FB2" w:rsidRPr="00065339">
        <w:t xml:space="preserve">) one of </w:t>
      </w:r>
      <w:r w:rsidR="00E813B0" w:rsidRPr="00065339">
        <w:t xml:space="preserve">these </w:t>
      </w:r>
      <w:r w:rsidR="00910FB2" w:rsidRPr="00065339">
        <w:t>decisions (which one?)</w:t>
      </w:r>
      <w:r w:rsidR="00E813B0" w:rsidRPr="00065339">
        <w:t>,</w:t>
      </w:r>
      <w:r w:rsidR="00910FB2" w:rsidRPr="00065339">
        <w:t xml:space="preserve"> (ii) some of them (which ones?)</w:t>
      </w:r>
      <w:r w:rsidR="00E813B0" w:rsidRPr="00065339">
        <w:t>,</w:t>
      </w:r>
      <w:r w:rsidR="00910FB2" w:rsidRPr="00065339">
        <w:t xml:space="preserve"> or (ii) all of them</w:t>
      </w:r>
      <w:proofErr w:type="gramStart"/>
      <w:r w:rsidR="00910FB2" w:rsidRPr="00065339">
        <w:t>?</w:t>
      </w:r>
      <w:r w:rsidR="00E813B0" w:rsidRPr="00065339">
        <w:t>;</w:t>
      </w:r>
      <w:proofErr w:type="gramEnd"/>
      <w:r w:rsidR="00910FB2" w:rsidRPr="00065339">
        <w:t xml:space="preserve"> </w:t>
      </w:r>
    </w:p>
    <w:p w14:paraId="5C31D5C2" w14:textId="4271CA18" w:rsidR="00910FB2" w:rsidRPr="00065339" w:rsidRDefault="00A12176" w:rsidP="00A12176">
      <w:pPr>
        <w:pStyle w:val="SingleTxtG"/>
        <w:ind w:firstLine="567"/>
      </w:pPr>
      <w:r w:rsidRPr="00065339">
        <w:t>(c)</w:t>
      </w:r>
      <w:r w:rsidRPr="00065339">
        <w:tab/>
      </w:r>
      <w:r w:rsidR="00910FB2" w:rsidRPr="00065339">
        <w:t xml:space="preserve">How much time is usually allocated for public participation? Is there an appropriate minimum period prescribed by law? What are the time frames </w:t>
      </w:r>
      <w:r w:rsidR="00E813B0" w:rsidRPr="00065339">
        <w:t xml:space="preserve">for </w:t>
      </w:r>
      <w:r w:rsidR="00910FB2" w:rsidRPr="00065339">
        <w:t xml:space="preserve">the public </w:t>
      </w:r>
      <w:r w:rsidR="00E813B0" w:rsidRPr="00065339">
        <w:t xml:space="preserve">to </w:t>
      </w:r>
      <w:r w:rsidR="00910FB2" w:rsidRPr="00065339">
        <w:t>submi</w:t>
      </w:r>
      <w:r w:rsidR="00E813B0" w:rsidRPr="00065339">
        <w:t>t</w:t>
      </w:r>
      <w:r w:rsidR="00910FB2" w:rsidRPr="00065339">
        <w:t xml:space="preserve"> any comments, information, analyses or opinions</w:t>
      </w:r>
      <w:proofErr w:type="gramStart"/>
      <w:r w:rsidR="00910FB2" w:rsidRPr="00065339">
        <w:t>?</w:t>
      </w:r>
      <w:r w:rsidR="00E813B0" w:rsidRPr="00065339">
        <w:t>;</w:t>
      </w:r>
      <w:proofErr w:type="gramEnd"/>
    </w:p>
    <w:p w14:paraId="7EE26421" w14:textId="2262C726" w:rsidR="00910FB2" w:rsidRPr="00065339" w:rsidRDefault="00A12176" w:rsidP="00A12176">
      <w:pPr>
        <w:pStyle w:val="SingleTxtG"/>
        <w:ind w:firstLine="567"/>
      </w:pPr>
      <w:r w:rsidRPr="00065339">
        <w:t>(d)</w:t>
      </w:r>
      <w:r w:rsidRPr="00065339">
        <w:tab/>
      </w:r>
      <w:r w:rsidR="00910FB2" w:rsidRPr="00065339">
        <w:t>What role does direct electronic access through public telecommunications networks play in th</w:t>
      </w:r>
      <w:r w:rsidR="00776863" w:rsidRPr="00065339">
        <w:t>e</w:t>
      </w:r>
      <w:r w:rsidR="00910FB2" w:rsidRPr="00065339">
        <w:t xml:space="preserve"> decision-making procedure</w:t>
      </w:r>
      <w:proofErr w:type="gramStart"/>
      <w:r w:rsidR="00910FB2" w:rsidRPr="00065339">
        <w:t>?</w:t>
      </w:r>
      <w:r w:rsidR="00776863" w:rsidRPr="00065339">
        <w:t>;</w:t>
      </w:r>
      <w:proofErr w:type="gramEnd"/>
      <w:r w:rsidR="00910FB2" w:rsidRPr="00065339">
        <w:t xml:space="preserve"> </w:t>
      </w:r>
    </w:p>
    <w:p w14:paraId="4E2836AE" w14:textId="77777777" w:rsidR="00910FB2" w:rsidRPr="00065339" w:rsidRDefault="00A12176" w:rsidP="00A12176">
      <w:pPr>
        <w:pStyle w:val="SingleTxtG"/>
        <w:ind w:firstLine="567"/>
      </w:pPr>
      <w:r w:rsidRPr="00065339">
        <w:t>(e)</w:t>
      </w:r>
      <w:r w:rsidRPr="00065339">
        <w:tab/>
      </w:r>
      <w:r w:rsidR="00910FB2" w:rsidRPr="00065339">
        <w:t>Do multilateral discussion techniques (e.g.</w:t>
      </w:r>
      <w:r w:rsidR="00776863" w:rsidRPr="00065339">
        <w:t>,</w:t>
      </w:r>
      <w:r w:rsidR="00910FB2" w:rsidRPr="00065339">
        <w:t xml:space="preserve"> public hearings, clarification meetings) play any role in the environmental decision-making procedures</w:t>
      </w:r>
      <w:proofErr w:type="gramStart"/>
      <w:r w:rsidR="00910FB2" w:rsidRPr="00065339">
        <w:t>?</w:t>
      </w:r>
      <w:r w:rsidR="00776863" w:rsidRPr="00065339">
        <w:t>;</w:t>
      </w:r>
      <w:proofErr w:type="gramEnd"/>
    </w:p>
    <w:p w14:paraId="77C6923D" w14:textId="427EBAC5" w:rsidR="00910FB2" w:rsidRPr="00065339" w:rsidRDefault="00A12176" w:rsidP="00A12176">
      <w:pPr>
        <w:pStyle w:val="SingleTxtG"/>
        <w:ind w:firstLine="567"/>
      </w:pPr>
      <w:r w:rsidRPr="00065339">
        <w:t>(f)</w:t>
      </w:r>
      <w:r w:rsidRPr="00065339">
        <w:tab/>
      </w:r>
      <w:r w:rsidR="00910FB2" w:rsidRPr="00065339">
        <w:t xml:space="preserve">Can comments </w:t>
      </w:r>
      <w:r w:rsidR="00776863" w:rsidRPr="00065339">
        <w:t xml:space="preserve">that </w:t>
      </w:r>
      <w:r w:rsidR="00910FB2" w:rsidRPr="00065339">
        <w:t xml:space="preserve">were submitted by the public be viewed by other members of the public throughout the commenting procedure? </w:t>
      </w:r>
    </w:p>
    <w:p w14:paraId="17E536FB" w14:textId="4651DF54" w:rsidR="00910FB2" w:rsidRPr="00065339" w:rsidRDefault="00817412" w:rsidP="00092C72">
      <w:pPr>
        <w:pStyle w:val="SingleTxtG"/>
      </w:pPr>
      <w:r w:rsidRPr="00065339">
        <w:t>1</w:t>
      </w:r>
      <w:r w:rsidR="00D8692E">
        <w:t>09</w:t>
      </w:r>
      <w:r w:rsidR="00910FB2" w:rsidRPr="00065339">
        <w:t>.</w:t>
      </w:r>
      <w:r w:rsidR="00A12176" w:rsidRPr="00065339">
        <w:tab/>
      </w:r>
      <w:r w:rsidR="00910FB2" w:rsidRPr="00065339">
        <w:t xml:space="preserve">Parties should indicate whether </w:t>
      </w:r>
      <w:r w:rsidR="00D66B37">
        <w:t xml:space="preserve">the </w:t>
      </w:r>
      <w:r w:rsidR="00910FB2" w:rsidRPr="00065339">
        <w:t xml:space="preserve">legislation includes particular requirements for the relevant authority to take due account of public input (public comments, information, analyses or opinions that are relevant for the decision-making process related to </w:t>
      </w:r>
      <w:r w:rsidR="00776863" w:rsidRPr="00065339">
        <w:t xml:space="preserve">the </w:t>
      </w:r>
      <w:r w:rsidR="00910FB2" w:rsidRPr="00065339">
        <w:t xml:space="preserve">PRTR). </w:t>
      </w:r>
      <w:r w:rsidR="004F7494" w:rsidRPr="00065339">
        <w:t xml:space="preserve">Parties should </w:t>
      </w:r>
      <w:r w:rsidR="00910FB2" w:rsidRPr="00065339">
        <w:t xml:space="preserve">name </w:t>
      </w:r>
      <w:r w:rsidR="004F7494" w:rsidRPr="00065339">
        <w:t xml:space="preserve">the </w:t>
      </w:r>
      <w:r w:rsidR="00910FB2" w:rsidRPr="00065339">
        <w:t xml:space="preserve">particular law(s), regulation(s) and/or </w:t>
      </w:r>
      <w:r w:rsidR="004F7494" w:rsidRPr="00065339">
        <w:t xml:space="preserve">provide </w:t>
      </w:r>
      <w:r w:rsidR="00910FB2" w:rsidRPr="00065339">
        <w:t>examples of existing good</w:t>
      </w:r>
      <w:r w:rsidR="0012167A" w:rsidRPr="00065339">
        <w:t xml:space="preserve"> practice in this regard. Parties</w:t>
      </w:r>
      <w:r w:rsidR="00910FB2" w:rsidRPr="00065339">
        <w:t xml:space="preserve"> should clarify</w:t>
      </w:r>
      <w:r w:rsidR="00776863" w:rsidRPr="00065339">
        <w:t>,</w:t>
      </w:r>
      <w:r w:rsidR="00910FB2" w:rsidRPr="00065339">
        <w:t xml:space="preserve"> inter alia:</w:t>
      </w:r>
    </w:p>
    <w:p w14:paraId="4F7B08BC" w14:textId="0E37A4D4" w:rsidR="00910FB2" w:rsidRPr="00065339" w:rsidRDefault="000455A1" w:rsidP="006A1D15">
      <w:pPr>
        <w:pStyle w:val="SingleTxtG"/>
      </w:pPr>
      <w:r w:rsidRPr="00065339">
        <w:tab/>
      </w:r>
      <w:r w:rsidR="004F7494" w:rsidRPr="00065339">
        <w:t>(a)</w:t>
      </w:r>
      <w:r w:rsidR="004F7494" w:rsidRPr="00065339">
        <w:tab/>
      </w:r>
      <w:r w:rsidR="00910FB2" w:rsidRPr="00065339">
        <w:t>Are there practical techniques for taking due account of public input in cases where many comments</w:t>
      </w:r>
      <w:r w:rsidR="00776863" w:rsidRPr="00065339">
        <w:t xml:space="preserve"> or a large amount of </w:t>
      </w:r>
      <w:r w:rsidR="00910FB2" w:rsidRPr="00065339">
        <w:t>information ha</w:t>
      </w:r>
      <w:r w:rsidR="00776863" w:rsidRPr="00065339">
        <w:t>s</w:t>
      </w:r>
      <w:r w:rsidR="00910FB2" w:rsidRPr="00065339">
        <w:t xml:space="preserve"> been received? Are there legal regulations to this end</w:t>
      </w:r>
      <w:proofErr w:type="gramStart"/>
      <w:r w:rsidR="00910FB2" w:rsidRPr="00065339">
        <w:t>?</w:t>
      </w:r>
      <w:r w:rsidR="00776863" w:rsidRPr="00065339">
        <w:t>;</w:t>
      </w:r>
      <w:proofErr w:type="gramEnd"/>
    </w:p>
    <w:p w14:paraId="3E0AEE10" w14:textId="07BB157D" w:rsidR="00910FB2" w:rsidRPr="00065339" w:rsidRDefault="000455A1" w:rsidP="006A1D15">
      <w:pPr>
        <w:pStyle w:val="SingleTxtG"/>
      </w:pPr>
      <w:r w:rsidRPr="00065339">
        <w:tab/>
      </w:r>
      <w:r w:rsidR="004F7494" w:rsidRPr="00065339">
        <w:t>(b)</w:t>
      </w:r>
      <w:r w:rsidR="004F7494" w:rsidRPr="00065339">
        <w:tab/>
      </w:r>
      <w:r w:rsidR="00910FB2" w:rsidRPr="00065339">
        <w:t>What is the legal effect of failing to take due account of such public input?</w:t>
      </w:r>
    </w:p>
    <w:p w14:paraId="445BA684" w14:textId="42A9BE51" w:rsidR="00910FB2" w:rsidRPr="00065339" w:rsidRDefault="00817412" w:rsidP="00910FB2">
      <w:pPr>
        <w:pStyle w:val="SingleTxtG"/>
      </w:pPr>
      <w:r w:rsidRPr="00065339">
        <w:t>11</w:t>
      </w:r>
      <w:r w:rsidR="00D8692E">
        <w:t>0</w:t>
      </w:r>
      <w:r w:rsidR="00910FB2" w:rsidRPr="00065339">
        <w:t>.</w:t>
      </w:r>
      <w:r w:rsidR="00A12176" w:rsidRPr="00065339">
        <w:tab/>
      </w:r>
      <w:r w:rsidR="00910FB2" w:rsidRPr="00065339">
        <w:t xml:space="preserve">Parties should indicate whether legislation exists </w:t>
      </w:r>
      <w:r w:rsidR="00776863" w:rsidRPr="00065339">
        <w:t xml:space="preserve">that </w:t>
      </w:r>
      <w:r w:rsidR="00910FB2" w:rsidRPr="00065339">
        <w:t xml:space="preserve">includes any particular requirements to ensure that, when a decision to establish or significantly change the register has been taken, information on the decision and the considerations on which it is based are made publicly available in a timely manner. </w:t>
      </w:r>
      <w:r w:rsidR="002C04E4" w:rsidRPr="00065339">
        <w:t xml:space="preserve">Parties should </w:t>
      </w:r>
      <w:r w:rsidR="00910FB2" w:rsidRPr="00065339">
        <w:t xml:space="preserve">name </w:t>
      </w:r>
      <w:r w:rsidR="00776863" w:rsidRPr="00065339">
        <w:t xml:space="preserve">the </w:t>
      </w:r>
      <w:r w:rsidR="00910FB2" w:rsidRPr="00065339">
        <w:t xml:space="preserve">particular law(s), regulation(s) and/or </w:t>
      </w:r>
      <w:r w:rsidR="002C04E4" w:rsidRPr="00065339">
        <w:t xml:space="preserve">provide </w:t>
      </w:r>
      <w:r w:rsidR="00910FB2" w:rsidRPr="00065339">
        <w:t xml:space="preserve">examples of existing good practice in this regard, if any. </w:t>
      </w:r>
      <w:r w:rsidR="002C04E4" w:rsidRPr="00065339">
        <w:t xml:space="preserve">They should </w:t>
      </w:r>
      <w:r w:rsidR="00910FB2" w:rsidRPr="00065339">
        <w:t>clarify</w:t>
      </w:r>
      <w:r w:rsidR="00776863" w:rsidRPr="00065339">
        <w:t>,</w:t>
      </w:r>
      <w:r w:rsidR="00910FB2" w:rsidRPr="00065339">
        <w:t xml:space="preserve"> inter alia:</w:t>
      </w:r>
    </w:p>
    <w:p w14:paraId="0B0FF378" w14:textId="52899ACB" w:rsidR="00910FB2" w:rsidRPr="00065339" w:rsidRDefault="00910FB2" w:rsidP="00A12176">
      <w:pPr>
        <w:pStyle w:val="SingleTxtG"/>
        <w:numPr>
          <w:ilvl w:val="0"/>
          <w:numId w:val="8"/>
        </w:numPr>
        <w:ind w:left="1134" w:firstLine="567"/>
      </w:pPr>
      <w:r w:rsidRPr="00065339">
        <w:t xml:space="preserve">What are the forms and time frames provided by legislation and/or established in the practice for ensuring availability </w:t>
      </w:r>
      <w:r w:rsidR="00776863" w:rsidRPr="00065339">
        <w:t xml:space="preserve">to </w:t>
      </w:r>
      <w:r w:rsidRPr="00065339">
        <w:t>the public of information on these decisions and the considerations on which they are based?</w:t>
      </w:r>
      <w:r w:rsidR="00776863" w:rsidRPr="00065339">
        <w:t>;</w:t>
      </w:r>
    </w:p>
    <w:p w14:paraId="7DFBEA14" w14:textId="77777777" w:rsidR="00910FB2" w:rsidRPr="00065339" w:rsidRDefault="00910FB2" w:rsidP="00A12176">
      <w:pPr>
        <w:pStyle w:val="SingleTxtG"/>
        <w:numPr>
          <w:ilvl w:val="0"/>
          <w:numId w:val="8"/>
        </w:numPr>
        <w:ind w:left="1134" w:firstLine="567"/>
      </w:pPr>
      <w:r w:rsidRPr="00065339">
        <w:t>What is the legal effect of failing to duly notify the public about decision</w:t>
      </w:r>
      <w:r w:rsidR="00776863" w:rsidRPr="00065339">
        <w:t>s</w:t>
      </w:r>
      <w:r w:rsidRPr="00065339">
        <w:t xml:space="preserve"> to establish or significantly change the register? </w:t>
      </w:r>
    </w:p>
    <w:p w14:paraId="444FF6E7" w14:textId="140E5053" w:rsidR="00910FB2" w:rsidRPr="00065339" w:rsidRDefault="00817412" w:rsidP="00910FB2">
      <w:pPr>
        <w:pStyle w:val="SingleTxtG"/>
      </w:pPr>
      <w:r w:rsidRPr="00065339">
        <w:t>11</w:t>
      </w:r>
      <w:r w:rsidR="00D8692E">
        <w:t>1</w:t>
      </w:r>
      <w:r w:rsidR="00910FB2" w:rsidRPr="00065339">
        <w:t>.</w:t>
      </w:r>
      <w:r w:rsidR="00A12176" w:rsidRPr="00065339">
        <w:tab/>
      </w:r>
      <w:r w:rsidR="00910FB2" w:rsidRPr="00065339">
        <w:t>Parties should indicate if any specific laws</w:t>
      </w:r>
      <w:r w:rsidR="00A01986" w:rsidRPr="00065339">
        <w:t xml:space="preserve"> or </w:t>
      </w:r>
      <w:r w:rsidR="00910FB2" w:rsidRPr="00065339">
        <w:t xml:space="preserve">regulations were developed for the implementation of article 13 of the Protocol. </w:t>
      </w:r>
    </w:p>
    <w:p w14:paraId="4ABFDCA6" w14:textId="4AC9390B" w:rsidR="00910FB2" w:rsidRPr="00065339" w:rsidRDefault="00D8692E" w:rsidP="00910FB2">
      <w:pPr>
        <w:pStyle w:val="SingleTxtG"/>
      </w:pPr>
      <w:r>
        <w:t>112</w:t>
      </w:r>
      <w:r w:rsidR="00910FB2" w:rsidRPr="00065339">
        <w:t>.</w:t>
      </w:r>
      <w:r w:rsidR="00A12176" w:rsidRPr="00065339">
        <w:tab/>
      </w:r>
      <w:r w:rsidR="00910FB2" w:rsidRPr="00065339">
        <w:t xml:space="preserve">Parties should identify if any relevant draft laws and/or draft regulations are under development at the date of submission of </w:t>
      </w:r>
      <w:r w:rsidR="00A01986" w:rsidRPr="00065339">
        <w:t xml:space="preserve">their </w:t>
      </w:r>
      <w:r w:rsidR="00910FB2" w:rsidRPr="00065339">
        <w:t>report.</w:t>
      </w:r>
    </w:p>
    <w:p w14:paraId="3D80B940" w14:textId="087EB69B" w:rsidR="00910FB2" w:rsidRPr="00065339" w:rsidRDefault="00D8692E" w:rsidP="00910FB2">
      <w:pPr>
        <w:pStyle w:val="SingleTxtG"/>
      </w:pPr>
      <w:r>
        <w:t>113</w:t>
      </w:r>
      <w:r w:rsidR="00910FB2" w:rsidRPr="00065339">
        <w:t>.</w:t>
      </w:r>
      <w:r w:rsidR="00A12176" w:rsidRPr="00065339">
        <w:tab/>
      </w:r>
      <w:r w:rsidR="00910FB2" w:rsidRPr="00065339">
        <w:t xml:space="preserve">Parties should indicate if any practical measures were undertaken for the implementation of article 13 of the Protocol.  </w:t>
      </w:r>
    </w:p>
    <w:p w14:paraId="0E4FAA23" w14:textId="4DB13628" w:rsidR="00910FB2" w:rsidRPr="00065339" w:rsidRDefault="00817412" w:rsidP="00910FB2">
      <w:pPr>
        <w:pStyle w:val="SingleTxtG"/>
      </w:pPr>
      <w:r w:rsidRPr="00065339">
        <w:t>11</w:t>
      </w:r>
      <w:r w:rsidR="00D8692E">
        <w:t>4</w:t>
      </w:r>
      <w:r w:rsidR="00910FB2" w:rsidRPr="00065339">
        <w:t>.</w:t>
      </w:r>
      <w:r w:rsidR="00A12176" w:rsidRPr="00065339">
        <w:tab/>
      </w:r>
      <w:r w:rsidR="00910FB2" w:rsidRPr="00065339">
        <w:t xml:space="preserve">Parties should list any special measures taken to encourage public participation and to raise public awareness in development of the PRTR. </w:t>
      </w:r>
    </w:p>
    <w:p w14:paraId="213ECB0C" w14:textId="77777777" w:rsidR="00910FB2" w:rsidRPr="00065339" w:rsidRDefault="00A12176" w:rsidP="00F42C1A">
      <w:pPr>
        <w:pStyle w:val="H4G"/>
      </w:pPr>
      <w:r w:rsidRPr="00065339">
        <w:tab/>
      </w:r>
      <w:r w:rsidR="00F42C1A" w:rsidRPr="00065339">
        <w:tab/>
      </w:r>
      <w:r w:rsidR="00910FB2" w:rsidRPr="00065339">
        <w:t>Selected good practice for reporting</w:t>
      </w:r>
      <w:r w:rsidR="00910FB2" w:rsidRPr="00065339" w:rsidDel="00D846C5">
        <w:t xml:space="preserve"> </w:t>
      </w:r>
    </w:p>
    <w:p w14:paraId="028B5D01" w14:textId="5E15E2C6" w:rsidR="00910FB2" w:rsidRPr="00065339" w:rsidRDefault="00817412" w:rsidP="006A1D15">
      <w:pPr>
        <w:pStyle w:val="SingleTxtG"/>
      </w:pPr>
      <w:r w:rsidRPr="00065339">
        <w:t>11</w:t>
      </w:r>
      <w:r w:rsidR="00D8692E">
        <w:t>5</w:t>
      </w:r>
      <w:r w:rsidR="00910FB2" w:rsidRPr="00065339">
        <w:t>.</w:t>
      </w:r>
      <w:r w:rsidR="00A12176" w:rsidRPr="00065339">
        <w:tab/>
      </w:r>
      <w:r w:rsidR="002C04E4" w:rsidRPr="00065339">
        <w:t xml:space="preserve">As a </w:t>
      </w:r>
      <w:r w:rsidR="00910FB2" w:rsidRPr="00065339">
        <w:t>good practice for reporting regarding public participation in the development of national PRTRs</w:t>
      </w:r>
      <w:r w:rsidR="002C04E4" w:rsidRPr="00065339">
        <w:t>,</w:t>
      </w:r>
      <w:r w:rsidR="00A01986" w:rsidRPr="00065339">
        <w:t xml:space="preserve"> Parties </w:t>
      </w:r>
      <w:r w:rsidR="002C04E4" w:rsidRPr="00065339">
        <w:t xml:space="preserve">should </w:t>
      </w:r>
      <w:r w:rsidR="00A01986" w:rsidRPr="00065339">
        <w:t>d</w:t>
      </w:r>
      <w:r w:rsidR="00910FB2" w:rsidRPr="00065339">
        <w:t>escribe briefly the</w:t>
      </w:r>
      <w:r w:rsidR="00A01986" w:rsidRPr="00065339">
        <w:t>ir</w:t>
      </w:r>
      <w:r w:rsidR="00910FB2" w:rsidRPr="00065339">
        <w:t xml:space="preserve"> approach and use the sub-questions in the above recommendations to </w:t>
      </w:r>
      <w:r w:rsidR="00A01986" w:rsidRPr="00065339">
        <w:t xml:space="preserve">ensure that they </w:t>
      </w:r>
      <w:r w:rsidR="00910FB2" w:rsidRPr="00065339">
        <w:t xml:space="preserve">provide </w:t>
      </w:r>
      <w:r w:rsidR="00A01986" w:rsidRPr="00065339">
        <w:t xml:space="preserve">all the </w:t>
      </w:r>
      <w:r w:rsidR="00910FB2" w:rsidRPr="00065339">
        <w:t>relevant details.</w:t>
      </w:r>
    </w:p>
    <w:p w14:paraId="377B9667" w14:textId="0095DC1F" w:rsidR="00910FB2" w:rsidRPr="00065339" w:rsidRDefault="00A12176" w:rsidP="00A12176">
      <w:pPr>
        <w:pStyle w:val="H1G"/>
      </w:pPr>
      <w:r w:rsidRPr="00065339">
        <w:tab/>
      </w:r>
      <w:r w:rsidR="00910FB2" w:rsidRPr="00065339">
        <w:t>I.</w:t>
      </w:r>
      <w:r w:rsidR="00910FB2" w:rsidRPr="00065339">
        <w:tab/>
        <w:t>Access to justice</w:t>
      </w:r>
      <w:r w:rsidR="00C63795" w:rsidRPr="00065339">
        <w:t xml:space="preserve"> — </w:t>
      </w:r>
      <w:r w:rsidR="009C7BAE" w:rsidRPr="00065339">
        <w:t>a</w:t>
      </w:r>
      <w:r w:rsidR="00910FB2" w:rsidRPr="00065339">
        <w:t xml:space="preserve">rticle 14 </w:t>
      </w:r>
    </w:p>
    <w:p w14:paraId="1B45C4BF" w14:textId="6EF2D3C5" w:rsidR="00910FB2" w:rsidRPr="00065339" w:rsidRDefault="00817412" w:rsidP="00A12176">
      <w:pPr>
        <w:pStyle w:val="SingleTxtG"/>
      </w:pPr>
      <w:r w:rsidRPr="00065339">
        <w:t>11</w:t>
      </w:r>
      <w:r w:rsidR="00D8692E">
        <w:t>6</w:t>
      </w:r>
      <w:r w:rsidR="00910FB2" w:rsidRPr="00065339">
        <w:t>.</w:t>
      </w:r>
      <w:r w:rsidR="00A12176" w:rsidRPr="00065339">
        <w:tab/>
      </w:r>
      <w:r w:rsidR="00910FB2" w:rsidRPr="00065339">
        <w:t>Article 14, paragraph 1</w:t>
      </w:r>
      <w:r w:rsidR="009E3BEC" w:rsidRPr="00065339">
        <w:t>,</w:t>
      </w:r>
      <w:r w:rsidR="00910FB2" w:rsidRPr="00065339">
        <w:t xml:space="preserve"> of the Protocol defines the scope of review procedures that </w:t>
      </w:r>
      <w:r w:rsidR="009E3BEC" w:rsidRPr="00065339">
        <w:t xml:space="preserve">must </w:t>
      </w:r>
      <w:r w:rsidR="00910FB2" w:rsidRPr="00065339">
        <w:t xml:space="preserve">be </w:t>
      </w:r>
      <w:r w:rsidR="009E3BEC" w:rsidRPr="00065339">
        <w:t xml:space="preserve">made </w:t>
      </w:r>
      <w:r w:rsidR="00910FB2" w:rsidRPr="00065339">
        <w:t xml:space="preserve">available to those who consider that their request </w:t>
      </w:r>
      <w:r w:rsidR="009E3BEC" w:rsidRPr="00065339">
        <w:t xml:space="preserve">for </w:t>
      </w:r>
      <w:r w:rsidR="00910FB2" w:rsidRPr="00065339">
        <w:t xml:space="preserve">information contained in the register has been ignored, wrongfully refused, whether in part or in full, inadequately answered, or otherwise not dealt with in accordance with the provisions of article 11, paragraph 2. According to the wording of the article 14, available review procedures may involve either </w:t>
      </w:r>
      <w:r w:rsidR="009E3BEC" w:rsidRPr="00065339">
        <w:t xml:space="preserve">a </w:t>
      </w:r>
      <w:r w:rsidR="00910FB2" w:rsidRPr="00065339">
        <w:t>court of law or another independent and impartial body established by law (such as tribunals, commissions, commissioner’s offices, administrative bodies</w:t>
      </w:r>
      <w:r w:rsidR="009E3BEC" w:rsidRPr="00065339">
        <w:t>,</w:t>
      </w:r>
      <w:r w:rsidR="00910FB2" w:rsidRPr="00065339">
        <w:t xml:space="preserve"> etc.). </w:t>
      </w:r>
    </w:p>
    <w:p w14:paraId="5E999E04" w14:textId="1695ECAA" w:rsidR="00910FB2" w:rsidRPr="00065339" w:rsidRDefault="00817412" w:rsidP="00A12176">
      <w:pPr>
        <w:pStyle w:val="SingleTxtG"/>
      </w:pPr>
      <w:r w:rsidRPr="00065339">
        <w:t>11</w:t>
      </w:r>
      <w:r w:rsidR="00D8692E">
        <w:t>7</w:t>
      </w:r>
      <w:r w:rsidR="00910FB2" w:rsidRPr="00065339">
        <w:t>.</w:t>
      </w:r>
      <w:r w:rsidR="00A12176" w:rsidRPr="00065339">
        <w:tab/>
      </w:r>
      <w:r w:rsidR="00910FB2" w:rsidRPr="00065339">
        <w:t xml:space="preserve">For the first reporting period most of the Parties reported on the accessibility of both courts and other non-judicial bodies, or either courts or non-judicial bodies. Only </w:t>
      </w:r>
      <w:r w:rsidR="009E3BEC" w:rsidRPr="00065339">
        <w:t xml:space="preserve">a </w:t>
      </w:r>
      <w:r w:rsidR="00910FB2" w:rsidRPr="00065339">
        <w:t>few Parties provide</w:t>
      </w:r>
      <w:r w:rsidR="009E3BEC" w:rsidRPr="00065339">
        <w:t>d</w:t>
      </w:r>
      <w:r w:rsidR="00910FB2" w:rsidRPr="00065339">
        <w:t xml:space="preserve"> no information on available remedies. To achieve completeness in </w:t>
      </w:r>
      <w:r w:rsidR="009E3BEC" w:rsidRPr="00065339">
        <w:t xml:space="preserve">the </w:t>
      </w:r>
      <w:r w:rsidR="00910FB2" w:rsidRPr="00065339">
        <w:t>description of review procedures, it is highly recommended that all Parties provide information on the entire systems available to review cases on access to PRTR data (access to environmental information), including non-judicial</w:t>
      </w:r>
      <w:r w:rsidR="005E2118" w:rsidRPr="00065339">
        <w:t xml:space="preserve"> or </w:t>
      </w:r>
      <w:r w:rsidR="00910FB2" w:rsidRPr="00065339">
        <w:t xml:space="preserve">judicial procedures or both, and </w:t>
      </w:r>
      <w:r w:rsidR="005E2118" w:rsidRPr="00065339">
        <w:t xml:space="preserve">the </w:t>
      </w:r>
      <w:r w:rsidR="00910FB2" w:rsidRPr="00065339">
        <w:t xml:space="preserve">stages involved in each procedure. Parties are encouraged to search, identify and explicitly state </w:t>
      </w:r>
      <w:r w:rsidR="005E2118" w:rsidRPr="00065339">
        <w:t xml:space="preserve">the </w:t>
      </w:r>
      <w:r w:rsidR="00910FB2" w:rsidRPr="00065339">
        <w:t xml:space="preserve">existence or non-existence of </w:t>
      </w:r>
      <w:r w:rsidR="005E2118" w:rsidRPr="00065339">
        <w:t xml:space="preserve">any </w:t>
      </w:r>
      <w:r w:rsidR="00910FB2" w:rsidRPr="00065339">
        <w:t>relevant cases</w:t>
      </w:r>
      <w:r w:rsidR="005E2118" w:rsidRPr="00065339">
        <w:t xml:space="preserve"> brought in this regard</w:t>
      </w:r>
      <w:r w:rsidR="00910FB2" w:rsidRPr="00065339">
        <w:t xml:space="preserve">. </w:t>
      </w:r>
    </w:p>
    <w:p w14:paraId="464FD5FF" w14:textId="77777777" w:rsidR="00910FB2" w:rsidRPr="00065339" w:rsidRDefault="00A12176" w:rsidP="00A12176">
      <w:pPr>
        <w:pStyle w:val="H4G"/>
      </w:pPr>
      <w:r w:rsidRPr="00065339">
        <w:tab/>
      </w:r>
      <w:r w:rsidRPr="00065339">
        <w:tab/>
      </w:r>
      <w:r w:rsidR="00910FB2" w:rsidRPr="00065339">
        <w:t>Recommendations</w:t>
      </w:r>
    </w:p>
    <w:p w14:paraId="7FD1699B" w14:textId="22E1E578" w:rsidR="00910FB2" w:rsidRPr="00065339" w:rsidRDefault="00817412" w:rsidP="00A12176">
      <w:pPr>
        <w:pStyle w:val="SingleTxtG"/>
      </w:pPr>
      <w:r w:rsidRPr="00065339">
        <w:t>11</w:t>
      </w:r>
      <w:r w:rsidR="00D8692E">
        <w:t>8</w:t>
      </w:r>
      <w:r w:rsidR="00910FB2" w:rsidRPr="00065339">
        <w:t>.</w:t>
      </w:r>
      <w:r w:rsidR="00A12176" w:rsidRPr="00065339">
        <w:tab/>
      </w:r>
      <w:r w:rsidR="00910FB2" w:rsidRPr="00065339">
        <w:t>Parties should report on the availability and possible stages of non-judicial as well as judicial review procedures.</w:t>
      </w:r>
    </w:p>
    <w:p w14:paraId="1FCD5493" w14:textId="0AA5014C" w:rsidR="00910FB2" w:rsidRPr="00065339" w:rsidRDefault="00817412" w:rsidP="00A12176">
      <w:pPr>
        <w:pStyle w:val="SingleTxtG"/>
      </w:pPr>
      <w:r w:rsidRPr="00065339">
        <w:t>1</w:t>
      </w:r>
      <w:r w:rsidR="00D8692E">
        <w:t>19</w:t>
      </w:r>
      <w:r w:rsidR="00910FB2" w:rsidRPr="00065339">
        <w:t>.</w:t>
      </w:r>
      <w:r w:rsidR="00A12176" w:rsidRPr="00065339">
        <w:tab/>
      </w:r>
      <w:r w:rsidR="00910FB2" w:rsidRPr="00065339">
        <w:t>Parties should clarify whether non-judicial review procedures need to be exhausted before judicial review can be initiated, as well as the level of judicial review at which an appeal can be initiated (e.g.</w:t>
      </w:r>
      <w:r w:rsidR="005E2118" w:rsidRPr="00065339">
        <w:t>,</w:t>
      </w:r>
      <w:r w:rsidR="00910FB2" w:rsidRPr="00065339">
        <w:t xml:space="preserve"> first instance court, second instance</w:t>
      </w:r>
      <w:r w:rsidR="005E2118" w:rsidRPr="00065339">
        <w:t>,</w:t>
      </w:r>
      <w:r w:rsidR="00910FB2" w:rsidRPr="00065339">
        <w:t xml:space="preserve"> etc.). </w:t>
      </w:r>
    </w:p>
    <w:p w14:paraId="23324938" w14:textId="0B01A12D" w:rsidR="00910FB2" w:rsidRPr="00065339" w:rsidRDefault="00D8692E" w:rsidP="00A12176">
      <w:pPr>
        <w:pStyle w:val="SingleTxtG"/>
      </w:pPr>
      <w:r>
        <w:t>120</w:t>
      </w:r>
      <w:r w:rsidR="00910FB2" w:rsidRPr="00065339">
        <w:t>.</w:t>
      </w:r>
      <w:r w:rsidR="00A12176" w:rsidRPr="00065339">
        <w:tab/>
      </w:r>
      <w:r w:rsidR="00910FB2" w:rsidRPr="00065339">
        <w:t xml:space="preserve">Parties should report on any specific cases concerning the use of review procedures. </w:t>
      </w:r>
    </w:p>
    <w:p w14:paraId="5B2FBD90" w14:textId="77777777" w:rsidR="00910FB2" w:rsidRPr="00065339" w:rsidRDefault="00A12176" w:rsidP="00912E21">
      <w:pPr>
        <w:pStyle w:val="H4G"/>
      </w:pPr>
      <w:r w:rsidRPr="00065339">
        <w:tab/>
      </w:r>
      <w:r w:rsidRPr="00065339">
        <w:tab/>
      </w:r>
      <w:r w:rsidR="00910FB2" w:rsidRPr="00065339">
        <w:t>Selected good practices for reporting</w:t>
      </w:r>
      <w:r w:rsidR="00910FB2" w:rsidRPr="00065339" w:rsidDel="00D846C5">
        <w:t xml:space="preserve"> </w:t>
      </w:r>
    </w:p>
    <w:p w14:paraId="51881D72" w14:textId="3C2B886B" w:rsidR="00910FB2" w:rsidRPr="00065339" w:rsidRDefault="00D8692E" w:rsidP="00A12176">
      <w:pPr>
        <w:pStyle w:val="SingleTxtG"/>
      </w:pPr>
      <w:r>
        <w:t>121</w:t>
      </w:r>
      <w:r w:rsidR="00910FB2" w:rsidRPr="00065339">
        <w:t>.</w:t>
      </w:r>
      <w:r w:rsidR="00A12176" w:rsidRPr="00065339">
        <w:tab/>
      </w:r>
      <w:r w:rsidR="005E2118" w:rsidRPr="00065339">
        <w:t>G</w:t>
      </w:r>
      <w:r w:rsidR="00910FB2" w:rsidRPr="00065339">
        <w:t>ood practices for reporting regarding access to justice</w:t>
      </w:r>
      <w:r w:rsidR="005E2118" w:rsidRPr="00065339">
        <w:t xml:space="preserve"> include</w:t>
      </w:r>
      <w:r w:rsidR="00910FB2" w:rsidRPr="00065339">
        <w:t>:</w:t>
      </w:r>
    </w:p>
    <w:p w14:paraId="6DDE79F9" w14:textId="23E2558A" w:rsidR="00910FB2" w:rsidRPr="00065339" w:rsidRDefault="00A12176" w:rsidP="00A12176">
      <w:pPr>
        <w:pStyle w:val="SingleTxtG"/>
        <w:ind w:firstLine="567"/>
      </w:pPr>
      <w:r w:rsidRPr="00065339">
        <w:t>(a)</w:t>
      </w:r>
      <w:r w:rsidRPr="00065339">
        <w:tab/>
      </w:r>
      <w:r w:rsidR="00910FB2" w:rsidRPr="00065339">
        <w:t>Provid</w:t>
      </w:r>
      <w:r w:rsidR="005E2118" w:rsidRPr="00065339">
        <w:t>ing</w:t>
      </w:r>
      <w:r w:rsidR="00910FB2" w:rsidRPr="00065339">
        <w:t xml:space="preserve"> a comprehensive explanation of the review procedures and us</w:t>
      </w:r>
      <w:r w:rsidR="005E2118" w:rsidRPr="00065339">
        <w:t>ing</w:t>
      </w:r>
      <w:r w:rsidR="00910FB2" w:rsidRPr="00065339">
        <w:t xml:space="preserve"> the above recommendations to ensure complete reporting (</w:t>
      </w:r>
      <w:r w:rsidR="005E2118" w:rsidRPr="00065339">
        <w:t xml:space="preserve">also </w:t>
      </w:r>
      <w:r w:rsidR="00910FB2" w:rsidRPr="00065339">
        <w:t>see</w:t>
      </w:r>
      <w:r w:rsidR="005E2118" w:rsidRPr="00065339">
        <w:t>,</w:t>
      </w:r>
      <w:r w:rsidR="00910FB2" w:rsidRPr="00065339">
        <w:t xml:space="preserve"> e.g.</w:t>
      </w:r>
      <w:r w:rsidR="005E2118" w:rsidRPr="00065339">
        <w:t>,</w:t>
      </w:r>
      <w:r w:rsidR="00910FB2" w:rsidRPr="00065339">
        <w:t xml:space="preserve"> the </w:t>
      </w:r>
      <w:r w:rsidR="0057044B">
        <w:t>national implementation reports</w:t>
      </w:r>
      <w:r w:rsidR="00910FB2" w:rsidRPr="00065339">
        <w:t xml:space="preserve"> submitted by Finland, France or the U</w:t>
      </w:r>
      <w:r w:rsidR="005E2118" w:rsidRPr="00065339">
        <w:t>nited Kingdom of Great Britain and Northern Ireland</w:t>
      </w:r>
      <w:r w:rsidR="00910FB2" w:rsidRPr="00065339">
        <w:t>);</w:t>
      </w:r>
    </w:p>
    <w:p w14:paraId="0AFA4450" w14:textId="203371E4" w:rsidR="00910FB2" w:rsidRPr="00065339" w:rsidRDefault="00A12176" w:rsidP="00A12176">
      <w:pPr>
        <w:pStyle w:val="SingleTxtG"/>
        <w:ind w:firstLine="567"/>
      </w:pPr>
      <w:r w:rsidRPr="00065339">
        <w:t>(b)</w:t>
      </w:r>
      <w:r w:rsidRPr="00065339">
        <w:tab/>
      </w:r>
      <w:r w:rsidR="00910FB2" w:rsidRPr="00065339">
        <w:t>Explicitly stat</w:t>
      </w:r>
      <w:r w:rsidR="003E0025">
        <w:t>ing</w:t>
      </w:r>
      <w:r w:rsidR="00910FB2" w:rsidRPr="00065339">
        <w:t xml:space="preserve"> the absence of cases under </w:t>
      </w:r>
      <w:r w:rsidR="002B7ED5" w:rsidRPr="00065339">
        <w:t>paragraph 123</w:t>
      </w:r>
      <w:r w:rsidR="00910FB2" w:rsidRPr="00065339">
        <w:t xml:space="preserve"> of </w:t>
      </w:r>
      <w:r w:rsidR="002B7ED5" w:rsidRPr="00065339">
        <w:t xml:space="preserve">the </w:t>
      </w:r>
      <w:r w:rsidR="00910FB2" w:rsidRPr="00065339">
        <w:t>above recommendation</w:t>
      </w:r>
      <w:r w:rsidR="002B7ED5" w:rsidRPr="00065339">
        <w:t>s</w:t>
      </w:r>
      <w:r w:rsidR="00910FB2" w:rsidRPr="00065339">
        <w:t xml:space="preserve"> (e.g.</w:t>
      </w:r>
      <w:r w:rsidR="002B7ED5" w:rsidRPr="00065339">
        <w:t>,</w:t>
      </w:r>
      <w:r w:rsidR="00910FB2" w:rsidRPr="00065339">
        <w:t xml:space="preserve"> see the </w:t>
      </w:r>
      <w:r w:rsidR="0057044B">
        <w:t>national implementation reports</w:t>
      </w:r>
      <w:r w:rsidR="00910FB2" w:rsidRPr="00065339">
        <w:t xml:space="preserve"> submitted by the Czech Republic, France, Ireland, Slovakia or Switzerland).  </w:t>
      </w:r>
    </w:p>
    <w:p w14:paraId="3E1B7878" w14:textId="48CEF87B" w:rsidR="00910FB2" w:rsidRPr="00065339" w:rsidRDefault="00A12176" w:rsidP="00A12176">
      <w:pPr>
        <w:pStyle w:val="H1G"/>
      </w:pPr>
      <w:r w:rsidRPr="00065339">
        <w:tab/>
      </w:r>
      <w:r w:rsidR="00910FB2" w:rsidRPr="00065339">
        <w:t>J.</w:t>
      </w:r>
      <w:r w:rsidR="00910FB2" w:rsidRPr="00065339">
        <w:tab/>
        <w:t>Capacity-building</w:t>
      </w:r>
      <w:r w:rsidR="00C63795" w:rsidRPr="00065339">
        <w:t xml:space="preserve"> — </w:t>
      </w:r>
      <w:r w:rsidR="009C7BAE" w:rsidRPr="00065339">
        <w:t>a</w:t>
      </w:r>
      <w:r w:rsidR="00910FB2" w:rsidRPr="00065339">
        <w:t xml:space="preserve">rticle 15 </w:t>
      </w:r>
    </w:p>
    <w:p w14:paraId="3EE97168" w14:textId="15977303" w:rsidR="00910FB2" w:rsidRPr="00065339" w:rsidRDefault="00817412" w:rsidP="00A12176">
      <w:pPr>
        <w:pStyle w:val="SingleTxtG"/>
      </w:pPr>
      <w:r w:rsidRPr="00065339">
        <w:t>12</w:t>
      </w:r>
      <w:r w:rsidR="00D8692E">
        <w:t>2</w:t>
      </w:r>
      <w:r w:rsidR="00910FB2" w:rsidRPr="00065339">
        <w:t>.</w:t>
      </w:r>
      <w:r w:rsidR="00A12176" w:rsidRPr="00065339">
        <w:tab/>
      </w:r>
      <w:r w:rsidR="00910FB2" w:rsidRPr="00065339">
        <w:t xml:space="preserve">The question </w:t>
      </w:r>
      <w:r w:rsidR="002B7ED5" w:rsidRPr="00065339">
        <w:t xml:space="preserve">on article 15, capacity-building, </w:t>
      </w:r>
      <w:r w:rsidR="00910FB2" w:rsidRPr="00065339">
        <w:t xml:space="preserve">is formulated very clearly and most </w:t>
      </w:r>
      <w:r w:rsidR="002B7ED5" w:rsidRPr="00065339">
        <w:t>P</w:t>
      </w:r>
      <w:r w:rsidR="00910FB2" w:rsidRPr="00065339">
        <w:t xml:space="preserve">arties properly understood it and responded accordingly. However, some Parties jointly reported for </w:t>
      </w:r>
      <w:r w:rsidR="002B7ED5" w:rsidRPr="00065339">
        <w:t xml:space="preserve">sub-questions </w:t>
      </w:r>
      <w:r w:rsidR="00910FB2" w:rsidRPr="00065339">
        <w:t xml:space="preserve">(a) and (b). In general, Parties interpreted the question differently, which led to a wide range of content reported in the </w:t>
      </w:r>
      <w:r w:rsidR="0057044B">
        <w:t>national implementation reports</w:t>
      </w:r>
      <w:r w:rsidR="00910FB2" w:rsidRPr="00065339">
        <w:t xml:space="preserve"> of the 2014 reporting cycle. The variety of capacity</w:t>
      </w:r>
      <w:r w:rsidR="00F804C7" w:rsidRPr="00065339">
        <w:t>-</w:t>
      </w:r>
      <w:r w:rsidR="00910FB2" w:rsidRPr="00065339">
        <w:t xml:space="preserve">building measures </w:t>
      </w:r>
      <w:r w:rsidR="00F76DBC" w:rsidRPr="00065339">
        <w:t xml:space="preserve">established </w:t>
      </w:r>
      <w:r w:rsidR="00910FB2" w:rsidRPr="00065339">
        <w:t>by the Parties is very broad, both in type and in scope. Some Parties did not answer this question at all</w:t>
      </w:r>
      <w:r w:rsidR="00F804C7" w:rsidRPr="00065339">
        <w:t>,</w:t>
      </w:r>
      <w:r w:rsidR="00910FB2" w:rsidRPr="00065339">
        <w:t xml:space="preserve"> which might indicate that they did not </w:t>
      </w:r>
      <w:r w:rsidR="00F76DBC" w:rsidRPr="00065339">
        <w:t xml:space="preserve">provide </w:t>
      </w:r>
      <w:r w:rsidR="00910FB2" w:rsidRPr="00065339">
        <w:t>any capacity</w:t>
      </w:r>
      <w:r w:rsidR="00F804C7" w:rsidRPr="00065339">
        <w:t>-</w:t>
      </w:r>
      <w:r w:rsidR="00910FB2" w:rsidRPr="00065339">
        <w:t>building measures. Other Parties only report</w:t>
      </w:r>
      <w:r w:rsidR="00F804C7" w:rsidRPr="00065339">
        <w:t>ed</w:t>
      </w:r>
      <w:r w:rsidR="00910FB2" w:rsidRPr="00065339">
        <w:t xml:space="preserve"> about a contact point for questions</w:t>
      </w:r>
      <w:r w:rsidR="00F804C7" w:rsidRPr="00065339">
        <w:t>,</w:t>
      </w:r>
      <w:r w:rsidR="00910FB2" w:rsidRPr="00065339">
        <w:t xml:space="preserve"> which could be understood </w:t>
      </w:r>
      <w:r w:rsidR="00F804C7" w:rsidRPr="00065339">
        <w:t xml:space="preserve">to mean </w:t>
      </w:r>
      <w:r w:rsidR="00910FB2" w:rsidRPr="00065339">
        <w:t xml:space="preserve">that no active public awareness measures </w:t>
      </w:r>
      <w:r w:rsidR="00F804C7" w:rsidRPr="00065339">
        <w:t>were in place</w:t>
      </w:r>
      <w:r w:rsidR="00910FB2" w:rsidRPr="00065339">
        <w:t xml:space="preserve">. </w:t>
      </w:r>
      <w:r w:rsidR="00F804C7" w:rsidRPr="00065339">
        <w:t>In general,</w:t>
      </w:r>
      <w:r w:rsidR="00910FB2" w:rsidRPr="00065339">
        <w:t xml:space="preserve"> it </w:t>
      </w:r>
      <w:r w:rsidR="00F804C7" w:rsidRPr="00065339">
        <w:t xml:space="preserve">appears </w:t>
      </w:r>
      <w:r w:rsidR="00910FB2" w:rsidRPr="00065339">
        <w:t>that some Parties focus on capacity</w:t>
      </w:r>
      <w:r w:rsidR="00F804C7" w:rsidRPr="00065339">
        <w:t>-</w:t>
      </w:r>
      <w:r w:rsidR="00910FB2" w:rsidRPr="00065339">
        <w:t>building for officials and operators, i.e.</w:t>
      </w:r>
      <w:r w:rsidR="00F804C7" w:rsidRPr="00065339">
        <w:t>,</w:t>
      </w:r>
      <w:r w:rsidR="00910FB2" w:rsidRPr="00065339">
        <w:t xml:space="preserve"> those who have to build up the system and keep it running, while other</w:t>
      </w:r>
      <w:r w:rsidR="00F804C7" w:rsidRPr="00065339">
        <w:t>s</w:t>
      </w:r>
      <w:r w:rsidR="00910FB2" w:rsidRPr="00065339">
        <w:t xml:space="preserve"> focus on creating public awareness among the (potential) users.</w:t>
      </w:r>
    </w:p>
    <w:p w14:paraId="1CB06625" w14:textId="77777777" w:rsidR="00910FB2" w:rsidRPr="00065339" w:rsidRDefault="00A12176" w:rsidP="00A12176">
      <w:pPr>
        <w:pStyle w:val="H4G"/>
      </w:pPr>
      <w:r w:rsidRPr="00065339">
        <w:tab/>
      </w:r>
      <w:r w:rsidRPr="00065339">
        <w:tab/>
      </w:r>
      <w:r w:rsidR="00910FB2" w:rsidRPr="00065339">
        <w:t>Recommendation</w:t>
      </w:r>
    </w:p>
    <w:p w14:paraId="364B583B" w14:textId="7301A97C" w:rsidR="00910FB2" w:rsidRPr="00065339" w:rsidRDefault="00817412" w:rsidP="00A12176">
      <w:pPr>
        <w:pStyle w:val="SingleTxtG"/>
      </w:pPr>
      <w:r w:rsidRPr="00065339">
        <w:t>12</w:t>
      </w:r>
      <w:r w:rsidR="00D8692E">
        <w:t>3</w:t>
      </w:r>
      <w:r w:rsidR="00910FB2" w:rsidRPr="00065339">
        <w:t>.</w:t>
      </w:r>
      <w:r w:rsidR="00A12176" w:rsidRPr="00065339">
        <w:tab/>
      </w:r>
      <w:r w:rsidR="00910FB2" w:rsidRPr="00065339">
        <w:t xml:space="preserve">No difficulties were faced with regard to this question. However, Parties that did not </w:t>
      </w:r>
      <w:r w:rsidR="00F804C7" w:rsidRPr="00065339">
        <w:t xml:space="preserve">put in place </w:t>
      </w:r>
      <w:r w:rsidR="00910FB2" w:rsidRPr="00065339">
        <w:t>any capacity</w:t>
      </w:r>
      <w:r w:rsidR="00F804C7" w:rsidRPr="00065339">
        <w:t>-</w:t>
      </w:r>
      <w:r w:rsidR="00910FB2" w:rsidRPr="00065339">
        <w:t xml:space="preserve">building measures should explain the reasons </w:t>
      </w:r>
      <w:r w:rsidR="00F804C7" w:rsidRPr="00065339">
        <w:t xml:space="preserve">why </w:t>
      </w:r>
      <w:r w:rsidR="00910FB2" w:rsidRPr="00065339">
        <w:t>and report on their future plans.</w:t>
      </w:r>
    </w:p>
    <w:p w14:paraId="0384B185" w14:textId="77777777" w:rsidR="00910FB2" w:rsidRPr="00065339" w:rsidRDefault="00A12176" w:rsidP="00912E21">
      <w:pPr>
        <w:pStyle w:val="H4G"/>
      </w:pPr>
      <w:r w:rsidRPr="00065339">
        <w:tab/>
      </w:r>
      <w:r w:rsidRPr="00065339">
        <w:tab/>
      </w:r>
      <w:r w:rsidR="00910FB2" w:rsidRPr="00065339">
        <w:t>Selected good practice for reporting</w:t>
      </w:r>
      <w:r w:rsidR="00910FB2" w:rsidRPr="00065339" w:rsidDel="00D846C5">
        <w:t xml:space="preserve"> </w:t>
      </w:r>
    </w:p>
    <w:p w14:paraId="1571A2D0" w14:textId="1B5360EC" w:rsidR="00910FB2" w:rsidRPr="00065339" w:rsidRDefault="00D8692E" w:rsidP="006A1D15">
      <w:pPr>
        <w:pStyle w:val="SingleTxtG"/>
      </w:pPr>
      <w:r>
        <w:t>124</w:t>
      </w:r>
      <w:r w:rsidR="00910FB2" w:rsidRPr="00065339">
        <w:t>.</w:t>
      </w:r>
      <w:r w:rsidR="00A12176" w:rsidRPr="00065339">
        <w:tab/>
      </w:r>
      <w:r w:rsidR="00910FB2" w:rsidRPr="00065339">
        <w:t xml:space="preserve">A good example for raising awareness on </w:t>
      </w:r>
      <w:r w:rsidR="0012678C">
        <w:t xml:space="preserve">a </w:t>
      </w:r>
      <w:r w:rsidR="00910FB2" w:rsidRPr="00065339">
        <w:t>PRTR among the general public</w:t>
      </w:r>
      <w:r w:rsidR="00F804C7" w:rsidRPr="00065339">
        <w:t xml:space="preserve">, which can serve as good practice </w:t>
      </w:r>
      <w:r w:rsidR="0090399F">
        <w:t xml:space="preserve">for </w:t>
      </w:r>
      <w:r w:rsidR="00F804C7" w:rsidRPr="00065339">
        <w:t xml:space="preserve">reporting in this regard, </w:t>
      </w:r>
      <w:r w:rsidR="00910FB2" w:rsidRPr="00065339">
        <w:t xml:space="preserve">is provided by Spain. In </w:t>
      </w:r>
      <w:r w:rsidR="00F76DBC" w:rsidRPr="00065339">
        <w:t xml:space="preserve">its </w:t>
      </w:r>
      <w:r w:rsidR="0057044B">
        <w:t>national implementation report</w:t>
      </w:r>
      <w:r w:rsidR="00F76DBC" w:rsidRPr="00065339">
        <w:t>,</w:t>
      </w:r>
      <w:r w:rsidR="00910FB2" w:rsidRPr="00065339">
        <w:t xml:space="preserve"> </w:t>
      </w:r>
      <w:r w:rsidR="00F76DBC" w:rsidRPr="00065339">
        <w:t xml:space="preserve">Spain </w:t>
      </w:r>
      <w:r w:rsidR="00910FB2" w:rsidRPr="00065339">
        <w:t>specifically mention</w:t>
      </w:r>
      <w:r w:rsidR="00F76DBC" w:rsidRPr="00065339">
        <w:t>s</w:t>
      </w:r>
      <w:r w:rsidR="00910FB2" w:rsidRPr="00065339">
        <w:t xml:space="preserve"> that (</w:t>
      </w:r>
      <w:r w:rsidR="00F804C7" w:rsidRPr="00065339">
        <w:t>a</w:t>
      </w:r>
      <w:r w:rsidR="00910FB2" w:rsidRPr="00065339">
        <w:t>) PRTR-</w:t>
      </w:r>
      <w:proofErr w:type="spellStart"/>
      <w:r w:rsidR="00910FB2" w:rsidRPr="00065339">
        <w:t>España</w:t>
      </w:r>
      <w:proofErr w:type="spellEnd"/>
      <w:r w:rsidR="00910FB2" w:rsidRPr="00065339">
        <w:t xml:space="preserve"> can also be followed via social networks (</w:t>
      </w:r>
      <w:r w:rsidR="00F804C7" w:rsidRPr="00065339">
        <w:t>T</w:t>
      </w:r>
      <w:r w:rsidR="00910FB2" w:rsidRPr="00065339">
        <w:t xml:space="preserve">witter, </w:t>
      </w:r>
      <w:r w:rsidR="00F804C7" w:rsidRPr="00065339">
        <w:t>F</w:t>
      </w:r>
      <w:r w:rsidR="00910FB2" w:rsidRPr="00065339">
        <w:t xml:space="preserve">acebook), which is </w:t>
      </w:r>
      <w:r w:rsidR="00F804C7" w:rsidRPr="00065339">
        <w:t xml:space="preserve">a </w:t>
      </w:r>
      <w:r w:rsidR="00910FB2" w:rsidRPr="00065339">
        <w:t xml:space="preserve">good </w:t>
      </w:r>
      <w:r w:rsidR="00F804C7" w:rsidRPr="00065339">
        <w:t xml:space="preserve">way </w:t>
      </w:r>
      <w:r w:rsidR="00910FB2" w:rsidRPr="00065339">
        <w:t xml:space="preserve">to make </w:t>
      </w:r>
      <w:r w:rsidR="0090399F">
        <w:t xml:space="preserve">a </w:t>
      </w:r>
      <w:r w:rsidR="00910FB2" w:rsidRPr="00065339">
        <w:t>PRTR more widely known</w:t>
      </w:r>
      <w:r w:rsidR="00602E2A" w:rsidRPr="00065339">
        <w:t>;</w:t>
      </w:r>
      <w:r w:rsidR="00910FB2" w:rsidRPr="00065339">
        <w:t xml:space="preserve"> (</w:t>
      </w:r>
      <w:r w:rsidR="00602E2A" w:rsidRPr="00065339">
        <w:t>b</w:t>
      </w:r>
      <w:r w:rsidR="00910FB2" w:rsidRPr="00065339">
        <w:t>) any new action, modification, new view, the publishing of annual data, new search options, etc., is disseminated through several diffusion channels, both institutional and others, to</w:t>
      </w:r>
      <w:r w:rsidR="00602E2A" w:rsidRPr="00065339">
        <w:t xml:space="preserve"> i</w:t>
      </w:r>
      <w:r w:rsidR="00910FB2" w:rsidRPr="00065339">
        <w:t xml:space="preserve">ndustry organizations, </w:t>
      </w:r>
      <w:r w:rsidR="00602E2A" w:rsidRPr="00065339">
        <w:t>non-governmental organizations</w:t>
      </w:r>
      <w:r w:rsidR="00910FB2" w:rsidRPr="00065339">
        <w:t>, institutional</w:t>
      </w:r>
      <w:r w:rsidR="00602E2A" w:rsidRPr="00065339">
        <w:t xml:space="preserve"> or </w:t>
      </w:r>
      <w:r w:rsidR="00910FB2" w:rsidRPr="00065339">
        <w:t xml:space="preserve">private </w:t>
      </w:r>
      <w:r w:rsidR="00602E2A" w:rsidRPr="00065339">
        <w:t>t</w:t>
      </w:r>
      <w:r w:rsidR="00910FB2" w:rsidRPr="00065339">
        <w:t xml:space="preserve">echnological </w:t>
      </w:r>
      <w:r w:rsidR="00602E2A" w:rsidRPr="00065339">
        <w:t>c</w:t>
      </w:r>
      <w:r w:rsidR="00910FB2" w:rsidRPr="00065339">
        <w:t>entr</w:t>
      </w:r>
      <w:r w:rsidR="00602E2A" w:rsidRPr="00065339">
        <w:t>e</w:t>
      </w:r>
      <w:r w:rsidR="00910FB2" w:rsidRPr="00065339">
        <w:t xml:space="preserve">s, </w:t>
      </w:r>
      <w:r w:rsidR="00602E2A" w:rsidRPr="00065339">
        <w:t>a</w:t>
      </w:r>
      <w:r w:rsidR="00910FB2" w:rsidRPr="00065339">
        <w:t xml:space="preserve">cademia, </w:t>
      </w:r>
      <w:r w:rsidR="00602E2A" w:rsidRPr="00065339">
        <w:t>c</w:t>
      </w:r>
      <w:r w:rsidR="00910FB2" w:rsidRPr="00065339">
        <w:t xml:space="preserve">ity </w:t>
      </w:r>
      <w:r w:rsidR="00602E2A" w:rsidRPr="00065339">
        <w:t>c</w:t>
      </w:r>
      <w:r w:rsidR="00910FB2" w:rsidRPr="00065339">
        <w:t xml:space="preserve">ouncils, </w:t>
      </w:r>
      <w:r w:rsidR="00602E2A" w:rsidRPr="00065339">
        <w:t>m</w:t>
      </w:r>
      <w:r w:rsidR="00910FB2" w:rsidRPr="00065339">
        <w:t xml:space="preserve">unicipalities, </w:t>
      </w:r>
      <w:r w:rsidR="00602E2A" w:rsidRPr="00065339">
        <w:t>r</w:t>
      </w:r>
      <w:r w:rsidR="00910FB2" w:rsidRPr="00065339">
        <w:t xml:space="preserve">egional </w:t>
      </w:r>
      <w:r w:rsidR="00602E2A" w:rsidRPr="00065339">
        <w:t>g</w:t>
      </w:r>
      <w:r w:rsidR="00910FB2" w:rsidRPr="00065339">
        <w:t>overnments (</w:t>
      </w:r>
      <w:r w:rsidR="00602E2A" w:rsidRPr="00065339">
        <w:t>a</w:t>
      </w:r>
      <w:r w:rsidR="00910FB2" w:rsidRPr="00065339">
        <w:t xml:space="preserve">utonomous </w:t>
      </w:r>
      <w:r w:rsidR="00602E2A" w:rsidRPr="00065339">
        <w:t>c</w:t>
      </w:r>
      <w:r w:rsidR="00910FB2" w:rsidRPr="00065339">
        <w:t xml:space="preserve">ommunities), </w:t>
      </w:r>
      <w:r w:rsidR="00602E2A" w:rsidRPr="00065339">
        <w:t>w</w:t>
      </w:r>
      <w:r w:rsidR="00910FB2" w:rsidRPr="00065339">
        <w:t xml:space="preserve">orking </w:t>
      </w:r>
      <w:r w:rsidR="00602E2A" w:rsidRPr="00065339">
        <w:t>g</w:t>
      </w:r>
      <w:r w:rsidR="00910FB2" w:rsidRPr="00065339">
        <w:t xml:space="preserve">roups at </w:t>
      </w:r>
      <w:r w:rsidR="00602E2A" w:rsidRPr="00065339">
        <w:t xml:space="preserve">both the </w:t>
      </w:r>
      <w:r w:rsidR="00910FB2" w:rsidRPr="00065339">
        <w:t xml:space="preserve">national and international level, users and stakeholders; </w:t>
      </w:r>
      <w:r w:rsidR="0090399F">
        <w:t xml:space="preserve">and </w:t>
      </w:r>
      <w:r w:rsidR="00910FB2" w:rsidRPr="00065339">
        <w:t>(</w:t>
      </w:r>
      <w:r w:rsidR="00602E2A" w:rsidRPr="00065339">
        <w:t>c</w:t>
      </w:r>
      <w:r w:rsidR="00910FB2" w:rsidRPr="00065339">
        <w:t>) specific diffusion and awareness</w:t>
      </w:r>
      <w:r w:rsidR="007839D9" w:rsidRPr="00065339">
        <w:t xml:space="preserve">-raising </w:t>
      </w:r>
      <w:r w:rsidR="00910FB2" w:rsidRPr="00065339">
        <w:t>actions are also done via national and international conferences.</w:t>
      </w:r>
    </w:p>
    <w:p w14:paraId="437FB046" w14:textId="3E8CB353" w:rsidR="00910FB2" w:rsidRPr="00065339" w:rsidRDefault="00A12176" w:rsidP="00FA3F68">
      <w:pPr>
        <w:pStyle w:val="H1G"/>
      </w:pPr>
      <w:r w:rsidRPr="00065339">
        <w:tab/>
      </w:r>
      <w:r w:rsidR="00910FB2" w:rsidRPr="00065339">
        <w:t>K.</w:t>
      </w:r>
      <w:r w:rsidR="00910FB2" w:rsidRPr="00065339">
        <w:tab/>
        <w:t>International cooperation</w:t>
      </w:r>
      <w:r w:rsidR="00C63795" w:rsidRPr="00065339">
        <w:t xml:space="preserve"> — </w:t>
      </w:r>
      <w:r w:rsidR="009C7BAE" w:rsidRPr="00065339">
        <w:t>a</w:t>
      </w:r>
      <w:r w:rsidR="00910FB2" w:rsidRPr="00065339">
        <w:t xml:space="preserve">rticle 16 </w:t>
      </w:r>
    </w:p>
    <w:p w14:paraId="149A3570" w14:textId="44A60567" w:rsidR="00910FB2" w:rsidRPr="00065339" w:rsidRDefault="00817412" w:rsidP="00FA3F68">
      <w:pPr>
        <w:pStyle w:val="SingleTxtG"/>
      </w:pPr>
      <w:r w:rsidRPr="00065339">
        <w:t>12</w:t>
      </w:r>
      <w:r w:rsidR="00D8692E">
        <w:t>5</w:t>
      </w:r>
      <w:r w:rsidR="00910FB2" w:rsidRPr="00065339">
        <w:t>.</w:t>
      </w:r>
      <w:r w:rsidR="00A12176" w:rsidRPr="00065339">
        <w:tab/>
      </w:r>
      <w:r w:rsidR="007839D9" w:rsidRPr="00065339">
        <w:t>A lesson learned f</w:t>
      </w:r>
      <w:r w:rsidR="00910FB2" w:rsidRPr="00065339">
        <w:t xml:space="preserve">rom the </w:t>
      </w:r>
      <w:r w:rsidR="007839D9" w:rsidRPr="00065339">
        <w:t xml:space="preserve">2014 </w:t>
      </w:r>
      <w:r w:rsidR="00910FB2" w:rsidRPr="00065339">
        <w:t xml:space="preserve">reporting cycle </w:t>
      </w:r>
      <w:r w:rsidR="007839D9" w:rsidRPr="00065339">
        <w:t xml:space="preserve">is </w:t>
      </w:r>
      <w:r w:rsidR="00910FB2" w:rsidRPr="00065339">
        <w:t xml:space="preserve">that incomplete reporting </w:t>
      </w:r>
      <w:r w:rsidR="007839D9" w:rsidRPr="00065339">
        <w:t xml:space="preserve">on article 16 </w:t>
      </w:r>
      <w:r w:rsidR="00910FB2" w:rsidRPr="00065339">
        <w:t xml:space="preserve">can be reduced to a minimum if sub-questions (a) to (e) </w:t>
      </w:r>
      <w:r w:rsidR="007839D9" w:rsidRPr="00065339">
        <w:t xml:space="preserve">are </w:t>
      </w:r>
      <w:r w:rsidR="00910FB2" w:rsidRPr="00065339">
        <w:t xml:space="preserve">answered individually. Good examples </w:t>
      </w:r>
      <w:r w:rsidR="00AB2073" w:rsidRPr="00065339">
        <w:t xml:space="preserve">of this </w:t>
      </w:r>
      <w:r w:rsidR="00910FB2" w:rsidRPr="00065339">
        <w:t>were given by a number of Parties (e.g.</w:t>
      </w:r>
      <w:r w:rsidR="00AB2073" w:rsidRPr="00065339">
        <w:t>,</w:t>
      </w:r>
      <w:r w:rsidR="00910FB2" w:rsidRPr="00065339">
        <w:t xml:space="preserve"> </w:t>
      </w:r>
      <w:r w:rsidR="00AB2073" w:rsidRPr="00065339">
        <w:t xml:space="preserve">see </w:t>
      </w:r>
      <w:r w:rsidR="0057044B">
        <w:t>national implementation reports</w:t>
      </w:r>
      <w:r w:rsidR="00AB2073" w:rsidRPr="00065339">
        <w:t xml:space="preserve"> </w:t>
      </w:r>
      <w:r w:rsidR="0090399F">
        <w:t xml:space="preserve">submitted by </w:t>
      </w:r>
      <w:r w:rsidR="00910FB2" w:rsidRPr="00065339">
        <w:t xml:space="preserve">Austria, </w:t>
      </w:r>
      <w:r w:rsidR="00AB2073" w:rsidRPr="00065339">
        <w:t xml:space="preserve">the </w:t>
      </w:r>
      <w:r w:rsidR="00910FB2" w:rsidRPr="00065339">
        <w:t>Czech Republic, Germany, Slovakia</w:t>
      </w:r>
      <w:r w:rsidR="00AB2073" w:rsidRPr="00065339">
        <w:t xml:space="preserve"> or </w:t>
      </w:r>
      <w:r w:rsidR="00910FB2" w:rsidRPr="00065339">
        <w:t>the United Kingdom).</w:t>
      </w:r>
    </w:p>
    <w:p w14:paraId="7B00D284" w14:textId="5C718E4D" w:rsidR="00910FB2" w:rsidRPr="00065339" w:rsidRDefault="00817412" w:rsidP="00FA3F68">
      <w:pPr>
        <w:pStyle w:val="SingleTxtG"/>
      </w:pPr>
      <w:r w:rsidRPr="00065339">
        <w:t>12</w:t>
      </w:r>
      <w:r w:rsidR="00D8692E">
        <w:t>6</w:t>
      </w:r>
      <w:r w:rsidR="00910FB2" w:rsidRPr="00065339">
        <w:t>.</w:t>
      </w:r>
      <w:r w:rsidR="00A12176" w:rsidRPr="00065339">
        <w:tab/>
      </w:r>
      <w:r w:rsidR="00910FB2" w:rsidRPr="00BA5823">
        <w:t xml:space="preserve">Bilateral activities </w:t>
      </w:r>
      <w:r w:rsidR="00AB2073" w:rsidRPr="00BA5823">
        <w:t>in the 2014 reports we</w:t>
      </w:r>
      <w:r w:rsidR="00910FB2" w:rsidRPr="00BA5823">
        <w:t xml:space="preserve">re mentioned by only one of the Parties </w:t>
      </w:r>
      <w:r w:rsidR="00AB2073" w:rsidRPr="00BA5823">
        <w:t xml:space="preserve">involved, </w:t>
      </w:r>
      <w:r w:rsidR="00910FB2" w:rsidRPr="00BA5823">
        <w:t>while the other Party mentioned no bilateral activity</w:t>
      </w:r>
      <w:r w:rsidR="00910FB2" w:rsidRPr="00065339">
        <w:t xml:space="preserve">. </w:t>
      </w:r>
    </w:p>
    <w:p w14:paraId="69990112" w14:textId="77777777" w:rsidR="00910FB2" w:rsidRPr="00065339" w:rsidRDefault="00FA3F68" w:rsidP="00FA3F68">
      <w:pPr>
        <w:pStyle w:val="H4G"/>
      </w:pPr>
      <w:r w:rsidRPr="00065339">
        <w:tab/>
      </w:r>
      <w:r w:rsidRPr="00065339">
        <w:tab/>
      </w:r>
      <w:r w:rsidR="00910FB2" w:rsidRPr="00065339">
        <w:t>Recommendations</w:t>
      </w:r>
    </w:p>
    <w:p w14:paraId="2DCAF7C4" w14:textId="6E56B6A1" w:rsidR="00910FB2" w:rsidRPr="00065339" w:rsidRDefault="00817412" w:rsidP="00FA3F68">
      <w:pPr>
        <w:pStyle w:val="SingleTxtG"/>
      </w:pPr>
      <w:r w:rsidRPr="00065339">
        <w:t>12</w:t>
      </w:r>
      <w:r w:rsidR="00D8692E">
        <w:t>7</w:t>
      </w:r>
      <w:r w:rsidR="00910FB2" w:rsidRPr="00065339">
        <w:t>.</w:t>
      </w:r>
      <w:r w:rsidR="00FA3F68" w:rsidRPr="00065339">
        <w:tab/>
      </w:r>
      <w:r w:rsidR="00910FB2" w:rsidRPr="00065339">
        <w:t>If Parties consider they have nothing to report under activities related to article 16, they should elaborate to some exten</w:t>
      </w:r>
      <w:r w:rsidR="00AB2073" w:rsidRPr="00065339">
        <w:t>t</w:t>
      </w:r>
      <w:r w:rsidR="00910FB2" w:rsidRPr="00065339">
        <w:t xml:space="preserve"> on </w:t>
      </w:r>
      <w:r w:rsidR="00AB2073" w:rsidRPr="00065339">
        <w:t xml:space="preserve">the </w:t>
      </w:r>
      <w:r w:rsidR="00910FB2" w:rsidRPr="00065339">
        <w:t xml:space="preserve">possible reasons </w:t>
      </w:r>
      <w:r w:rsidR="00AB2073" w:rsidRPr="00065339">
        <w:t xml:space="preserve">for that </w:t>
      </w:r>
      <w:r w:rsidR="00910FB2" w:rsidRPr="00065339">
        <w:t>and solutions.</w:t>
      </w:r>
    </w:p>
    <w:p w14:paraId="5E8FE714" w14:textId="68C5F5D7" w:rsidR="00910FB2" w:rsidRPr="00065339" w:rsidRDefault="00817412" w:rsidP="00FA3F68">
      <w:pPr>
        <w:pStyle w:val="SingleTxtG"/>
      </w:pPr>
      <w:r w:rsidRPr="00065339">
        <w:t>12</w:t>
      </w:r>
      <w:r w:rsidR="00D8692E">
        <w:t>8</w:t>
      </w:r>
      <w:r w:rsidR="00FA3F68" w:rsidRPr="00065339">
        <w:t>.</w:t>
      </w:r>
      <w:r w:rsidR="00FA3F68" w:rsidRPr="00065339">
        <w:tab/>
      </w:r>
      <w:r w:rsidR="00AB2073" w:rsidRPr="00065339">
        <w:t xml:space="preserve">In preparing the report, </w:t>
      </w:r>
      <w:r w:rsidR="00910FB2" w:rsidRPr="00065339">
        <w:t>Parties should contact the focal points of other Parties with which they had common activities to raise awareness of past and ongoing cooperation, where appropriate. In general, national focal points should always inform their respective counterparts about planned and ongoing projects related to PRTRs in their respective area of responsibility.</w:t>
      </w:r>
    </w:p>
    <w:p w14:paraId="51A0D20A" w14:textId="77777777" w:rsidR="00910FB2" w:rsidRPr="00065339" w:rsidRDefault="00FA3F68" w:rsidP="006A50C7">
      <w:pPr>
        <w:pStyle w:val="H4G"/>
      </w:pPr>
      <w:r w:rsidRPr="006A50C7">
        <w:tab/>
      </w:r>
      <w:r w:rsidR="00912E21" w:rsidRPr="00065339">
        <w:tab/>
      </w:r>
      <w:r w:rsidR="00910FB2" w:rsidRPr="00065339">
        <w:t>Selected good practice</w:t>
      </w:r>
      <w:r w:rsidR="000D31A0" w:rsidRPr="00065339">
        <w:t>s</w:t>
      </w:r>
      <w:r w:rsidR="00910FB2" w:rsidRPr="00065339">
        <w:t xml:space="preserve"> for reporting </w:t>
      </w:r>
    </w:p>
    <w:p w14:paraId="21A6B96E" w14:textId="269BD7C8" w:rsidR="00910FB2" w:rsidRPr="00065339" w:rsidRDefault="00817412" w:rsidP="00D8692E">
      <w:pPr>
        <w:pStyle w:val="SingleTxtG"/>
        <w:keepNext/>
        <w:keepLines/>
      </w:pPr>
      <w:r w:rsidRPr="00065339">
        <w:t>1</w:t>
      </w:r>
      <w:r w:rsidR="00D8692E">
        <w:t>29</w:t>
      </w:r>
      <w:r w:rsidR="00910FB2" w:rsidRPr="00065339">
        <w:t>.</w:t>
      </w:r>
      <w:r w:rsidR="00FA3F68" w:rsidRPr="00065339">
        <w:tab/>
      </w:r>
      <w:r w:rsidR="00910FB2" w:rsidRPr="00065339">
        <w:t>S</w:t>
      </w:r>
      <w:r w:rsidR="0070723A" w:rsidRPr="00065339">
        <w:t xml:space="preserve">ome </w:t>
      </w:r>
      <w:r w:rsidR="00910FB2" w:rsidRPr="00065339">
        <w:t>good practices for reporting regarding international cooperation</w:t>
      </w:r>
      <w:r w:rsidR="0070723A" w:rsidRPr="00065339">
        <w:t xml:space="preserve"> include</w:t>
      </w:r>
      <w:r w:rsidR="00910FB2" w:rsidRPr="00065339">
        <w:t>:</w:t>
      </w:r>
    </w:p>
    <w:p w14:paraId="142464BD" w14:textId="5C7A132B" w:rsidR="00910FB2" w:rsidRPr="00065339" w:rsidRDefault="00FA3F68" w:rsidP="00D8692E">
      <w:pPr>
        <w:pStyle w:val="SingleTxtG"/>
        <w:keepNext/>
        <w:keepLines/>
        <w:ind w:firstLine="567"/>
      </w:pPr>
      <w:r w:rsidRPr="00065339">
        <w:t>(a)</w:t>
      </w:r>
      <w:r w:rsidRPr="00065339">
        <w:tab/>
      </w:r>
      <w:r w:rsidR="00910FB2" w:rsidRPr="00065339">
        <w:t xml:space="preserve">With a view to the worldwide interest on this issue, </w:t>
      </w:r>
      <w:r w:rsidR="00DB034A" w:rsidRPr="00065339">
        <w:t xml:space="preserve">Parties should </w:t>
      </w:r>
      <w:r w:rsidR="00910FB2" w:rsidRPr="00065339">
        <w:t xml:space="preserve">provide </w:t>
      </w:r>
      <w:r w:rsidR="00DB034A" w:rsidRPr="00065339">
        <w:t xml:space="preserve">information on </w:t>
      </w:r>
      <w:r w:rsidR="00910FB2" w:rsidRPr="00065339">
        <w:t xml:space="preserve">activities carried out in promoting the Protocol both </w:t>
      </w:r>
      <w:r w:rsidR="00DB034A" w:rsidRPr="00065339">
        <w:t xml:space="preserve">within </w:t>
      </w:r>
      <w:r w:rsidR="00910FB2" w:rsidRPr="00065339">
        <w:t>and beyond the ECE region, (e.g.</w:t>
      </w:r>
      <w:r w:rsidR="00DB034A" w:rsidRPr="00065339">
        <w:t>,</w:t>
      </w:r>
      <w:r w:rsidR="00910FB2" w:rsidRPr="00065339">
        <w:t xml:space="preserve"> see the </w:t>
      </w:r>
      <w:r w:rsidR="0057044B">
        <w:t>national implementation report</w:t>
      </w:r>
      <w:r w:rsidR="00910FB2" w:rsidRPr="00065339">
        <w:t xml:space="preserve"> submitted by Spain);</w:t>
      </w:r>
    </w:p>
    <w:p w14:paraId="53396DD7" w14:textId="77777777" w:rsidR="00910FB2" w:rsidRPr="00065339" w:rsidRDefault="00FA3F68" w:rsidP="00FA3F68">
      <w:pPr>
        <w:pStyle w:val="SingleTxtG"/>
        <w:ind w:firstLine="567"/>
      </w:pPr>
      <w:r w:rsidRPr="00065339">
        <w:t>(b)</w:t>
      </w:r>
      <w:r w:rsidRPr="00065339">
        <w:tab/>
      </w:r>
      <w:r w:rsidR="00910FB2" w:rsidRPr="00065339">
        <w:t>For reporting on implementation of most of the activities related to article 16, Parties should use the following as a checklist</w:t>
      </w:r>
      <w:r w:rsidR="00EC3C5C" w:rsidRPr="00065339">
        <w:t xml:space="preserve">, and should include relevant information where the response to the question </w:t>
      </w:r>
      <w:r w:rsidR="00875B3B" w:rsidRPr="00065339">
        <w:t xml:space="preserve">is </w:t>
      </w:r>
      <w:r w:rsidR="00EC3C5C" w:rsidRPr="00065339">
        <w:t>positive</w:t>
      </w:r>
      <w:r w:rsidR="00910FB2" w:rsidRPr="00065339">
        <w:t>:</w:t>
      </w:r>
    </w:p>
    <w:p w14:paraId="5D37C05F" w14:textId="3B6DD9CF" w:rsidR="00910FB2" w:rsidRPr="00065339" w:rsidRDefault="00694369" w:rsidP="006A1D15">
      <w:pPr>
        <w:pStyle w:val="SingleTxtG"/>
        <w:ind w:left="1701" w:hanging="567"/>
      </w:pPr>
      <w:r w:rsidRPr="00065339">
        <w:tab/>
        <w:t>(</w:t>
      </w:r>
      <w:proofErr w:type="spellStart"/>
      <w:r w:rsidRPr="00065339">
        <w:t>i</w:t>
      </w:r>
      <w:proofErr w:type="spellEnd"/>
      <w:r w:rsidRPr="00065339">
        <w:t>)</w:t>
      </w:r>
      <w:r w:rsidRPr="00065339">
        <w:tab/>
      </w:r>
      <w:r w:rsidR="00EC3C5C" w:rsidRPr="00065339">
        <w:t xml:space="preserve">Is the Party a </w:t>
      </w:r>
      <w:r w:rsidR="00910FB2" w:rsidRPr="00065339">
        <w:t xml:space="preserve">member of international groups </w:t>
      </w:r>
      <w:r w:rsidR="00EC3C5C" w:rsidRPr="00065339">
        <w:t xml:space="preserve">or </w:t>
      </w:r>
      <w:r w:rsidR="00910FB2" w:rsidRPr="00065339">
        <w:t>committees related to PRTR</w:t>
      </w:r>
      <w:r w:rsidR="00EC3C5C" w:rsidRPr="00065339">
        <w:t>s</w:t>
      </w:r>
      <w:proofErr w:type="gramStart"/>
      <w:r w:rsidR="00EC3C5C" w:rsidRPr="00065339">
        <w:t>?</w:t>
      </w:r>
      <w:r w:rsidR="00910FB2" w:rsidRPr="00065339">
        <w:t>;</w:t>
      </w:r>
      <w:proofErr w:type="gramEnd"/>
    </w:p>
    <w:p w14:paraId="3EDBF299" w14:textId="1D0353A4" w:rsidR="00910FB2" w:rsidRPr="00065339" w:rsidRDefault="00694369" w:rsidP="006A1D15">
      <w:pPr>
        <w:pStyle w:val="SingleTxtG"/>
        <w:ind w:left="1701" w:hanging="567"/>
      </w:pPr>
      <w:r w:rsidRPr="00065339">
        <w:tab/>
        <w:t>(ii)</w:t>
      </w:r>
      <w:r w:rsidRPr="00065339">
        <w:tab/>
      </w:r>
      <w:r w:rsidR="00EC3C5C" w:rsidRPr="00065339">
        <w:t>What bilateral or multilateral c</w:t>
      </w:r>
      <w:r w:rsidR="00910FB2" w:rsidRPr="00065339">
        <w:t>apacity-building activities</w:t>
      </w:r>
      <w:r w:rsidR="00EC3C5C" w:rsidRPr="00065339">
        <w:t xml:space="preserve"> or </w:t>
      </w:r>
      <w:r w:rsidR="00910FB2" w:rsidRPr="00065339">
        <w:t xml:space="preserve">projects </w:t>
      </w:r>
      <w:r w:rsidR="00EC3C5C" w:rsidRPr="00065339">
        <w:t xml:space="preserve">have been </w:t>
      </w:r>
      <w:r w:rsidR="00910FB2" w:rsidRPr="00065339">
        <w:t>funded</w:t>
      </w:r>
      <w:r w:rsidR="00EC3C5C" w:rsidRPr="00065339">
        <w:t xml:space="preserve"> on PRTRs</w:t>
      </w:r>
      <w:proofErr w:type="gramStart"/>
      <w:r w:rsidR="00EC3C5C" w:rsidRPr="00065339">
        <w:t>?</w:t>
      </w:r>
      <w:r w:rsidR="00910FB2" w:rsidRPr="00065339">
        <w:t>;</w:t>
      </w:r>
      <w:proofErr w:type="gramEnd"/>
    </w:p>
    <w:p w14:paraId="16F6BB9D" w14:textId="76FD6F12" w:rsidR="00910FB2" w:rsidRPr="00065339" w:rsidRDefault="00694369" w:rsidP="006A1D15">
      <w:pPr>
        <w:pStyle w:val="SingleTxtG"/>
        <w:ind w:left="1701" w:hanging="567"/>
      </w:pPr>
      <w:r w:rsidRPr="00065339">
        <w:tab/>
        <w:t>(iii)</w:t>
      </w:r>
      <w:r w:rsidRPr="00065339">
        <w:tab/>
      </w:r>
      <w:r w:rsidR="00875B3B" w:rsidRPr="00065339">
        <w:t xml:space="preserve">For which </w:t>
      </w:r>
      <w:r w:rsidR="00CF399E" w:rsidRPr="00065339">
        <w:t xml:space="preserve">bilateral or multilateral </w:t>
      </w:r>
      <w:r w:rsidR="00875B3B" w:rsidRPr="00065339">
        <w:t>p</w:t>
      </w:r>
      <w:r w:rsidR="00910FB2" w:rsidRPr="00065339">
        <w:t xml:space="preserve">rojects and capacity-building activities </w:t>
      </w:r>
      <w:r w:rsidR="00875B3B" w:rsidRPr="00065339">
        <w:t xml:space="preserve">has </w:t>
      </w:r>
      <w:r w:rsidR="00910FB2" w:rsidRPr="00065339">
        <w:t xml:space="preserve">technical support </w:t>
      </w:r>
      <w:r w:rsidR="00875B3B" w:rsidRPr="00065339">
        <w:t>been provided</w:t>
      </w:r>
      <w:proofErr w:type="gramStart"/>
      <w:r w:rsidR="00875B3B" w:rsidRPr="00065339">
        <w:t>?</w:t>
      </w:r>
      <w:r w:rsidR="00910FB2" w:rsidRPr="00065339">
        <w:t>;</w:t>
      </w:r>
      <w:proofErr w:type="gramEnd"/>
    </w:p>
    <w:p w14:paraId="12883C52" w14:textId="7509C835" w:rsidR="00910FB2" w:rsidRPr="00065339" w:rsidRDefault="00694369" w:rsidP="006A1D15">
      <w:pPr>
        <w:pStyle w:val="SingleTxtG"/>
        <w:ind w:left="1701" w:hanging="567"/>
      </w:pPr>
      <w:r w:rsidRPr="00065339">
        <w:tab/>
      </w:r>
      <w:proofErr w:type="gramStart"/>
      <w:r w:rsidRPr="00065339">
        <w:t>(iv)</w:t>
      </w:r>
      <w:r w:rsidR="00875B3B" w:rsidRPr="00065339">
        <w:tab/>
        <w:t>What</w:t>
      </w:r>
      <w:proofErr w:type="gramEnd"/>
      <w:r w:rsidR="00875B3B" w:rsidRPr="00065339">
        <w:t xml:space="preserve"> o</w:t>
      </w:r>
      <w:r w:rsidR="00910FB2" w:rsidRPr="00065339">
        <w:t xml:space="preserve">ther initiatives and international projects </w:t>
      </w:r>
      <w:r w:rsidR="00875B3B" w:rsidRPr="00065339">
        <w:t xml:space="preserve">have there been in which the Party </w:t>
      </w:r>
      <w:r w:rsidR="00910FB2" w:rsidRPr="00065339">
        <w:t>has participated in awareness</w:t>
      </w:r>
      <w:r w:rsidR="00875B3B" w:rsidRPr="00065339">
        <w:t xml:space="preserve"> or</w:t>
      </w:r>
      <w:r w:rsidR="00910FB2" w:rsidRPr="00065339">
        <w:t xml:space="preserve"> promotion</w:t>
      </w:r>
      <w:r w:rsidR="00875B3B" w:rsidRPr="00065339">
        <w:t>al</w:t>
      </w:r>
      <w:r w:rsidR="00910FB2" w:rsidRPr="00065339">
        <w:t xml:space="preserve"> activities</w:t>
      </w:r>
      <w:r w:rsidR="00875B3B" w:rsidRPr="00065339">
        <w:t xml:space="preserve"> in this regard?</w:t>
      </w:r>
    </w:p>
    <w:p w14:paraId="0F7ED7CE" w14:textId="77777777" w:rsidR="00ED5FFD" w:rsidRPr="00065339" w:rsidRDefault="00534031" w:rsidP="00534031">
      <w:pPr>
        <w:pStyle w:val="Bullet1G"/>
        <w:numPr>
          <w:ilvl w:val="0"/>
          <w:numId w:val="0"/>
        </w:numPr>
        <w:spacing w:before="240" w:after="0"/>
        <w:ind w:left="1134"/>
        <w:jc w:val="center"/>
        <w:rPr>
          <w:u w:val="single"/>
        </w:rPr>
      </w:pPr>
      <w:r w:rsidRPr="00065339">
        <w:rPr>
          <w:u w:val="single"/>
        </w:rPr>
        <w:tab/>
      </w:r>
      <w:r w:rsidRPr="00065339">
        <w:rPr>
          <w:u w:val="single"/>
        </w:rPr>
        <w:tab/>
      </w:r>
      <w:r w:rsidRPr="00065339">
        <w:rPr>
          <w:u w:val="single"/>
        </w:rPr>
        <w:tab/>
      </w:r>
    </w:p>
    <w:sectPr w:rsidR="00ED5FFD" w:rsidRPr="00065339" w:rsidSect="00CE7DC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4ADE" w14:textId="77777777" w:rsidR="00F1782E" w:rsidRDefault="00F1782E"/>
  </w:endnote>
  <w:endnote w:type="continuationSeparator" w:id="0">
    <w:p w14:paraId="61597E6D" w14:textId="77777777" w:rsidR="00F1782E" w:rsidRDefault="00F1782E"/>
  </w:endnote>
  <w:endnote w:type="continuationNotice" w:id="1">
    <w:p w14:paraId="502ED680" w14:textId="77777777" w:rsidR="00F1782E" w:rsidRDefault="00F1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864D" w14:textId="77777777" w:rsidR="00C91F49" w:rsidRPr="000375F9" w:rsidRDefault="00C91F49" w:rsidP="000375F9">
    <w:pPr>
      <w:pStyle w:val="Footer"/>
      <w:tabs>
        <w:tab w:val="right" w:pos="9638"/>
      </w:tabs>
      <w:rPr>
        <w:sz w:val="18"/>
      </w:rPr>
    </w:pPr>
    <w:r w:rsidRPr="000375F9">
      <w:rPr>
        <w:b/>
        <w:sz w:val="18"/>
      </w:rPr>
      <w:fldChar w:fldCharType="begin"/>
    </w:r>
    <w:r w:rsidRPr="000375F9">
      <w:rPr>
        <w:b/>
        <w:sz w:val="18"/>
      </w:rPr>
      <w:instrText xml:space="preserve"> PAGE  \* MERGEFORMAT </w:instrText>
    </w:r>
    <w:r w:rsidRPr="000375F9">
      <w:rPr>
        <w:b/>
        <w:sz w:val="18"/>
      </w:rPr>
      <w:fldChar w:fldCharType="separate"/>
    </w:r>
    <w:r w:rsidR="004B4096">
      <w:rPr>
        <w:b/>
        <w:noProof/>
        <w:sz w:val="18"/>
      </w:rPr>
      <w:t>20</w:t>
    </w:r>
    <w:r w:rsidRPr="000375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6561" w14:textId="77777777" w:rsidR="00C91F49" w:rsidRPr="000375F9" w:rsidRDefault="00C91F49" w:rsidP="000375F9">
    <w:pPr>
      <w:pStyle w:val="Footer"/>
      <w:tabs>
        <w:tab w:val="right" w:pos="9638"/>
      </w:tabs>
      <w:rPr>
        <w:b/>
        <w:sz w:val="18"/>
      </w:rPr>
    </w:pPr>
    <w:r>
      <w:tab/>
    </w:r>
    <w:r w:rsidRPr="000375F9">
      <w:rPr>
        <w:b/>
        <w:sz w:val="18"/>
      </w:rPr>
      <w:fldChar w:fldCharType="begin"/>
    </w:r>
    <w:r w:rsidRPr="000375F9">
      <w:rPr>
        <w:b/>
        <w:sz w:val="18"/>
      </w:rPr>
      <w:instrText xml:space="preserve"> PAGE  \* MERGEFORMAT </w:instrText>
    </w:r>
    <w:r w:rsidRPr="000375F9">
      <w:rPr>
        <w:b/>
        <w:sz w:val="18"/>
      </w:rPr>
      <w:fldChar w:fldCharType="separate"/>
    </w:r>
    <w:r w:rsidR="004B4096">
      <w:rPr>
        <w:b/>
        <w:noProof/>
        <w:sz w:val="18"/>
      </w:rPr>
      <w:t>19</w:t>
    </w:r>
    <w:r w:rsidRPr="000375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50F3" w14:textId="6F1577C1" w:rsidR="004B4096" w:rsidRDefault="004B4096" w:rsidP="004B409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249DD8E6" wp14:editId="5696B7C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5A009DF" w14:textId="749120C2" w:rsidR="004B4096" w:rsidRDefault="004B4096" w:rsidP="004B4096">
    <w:pPr>
      <w:pStyle w:val="Footer"/>
      <w:ind w:right="1134"/>
      <w:rPr>
        <w:sz w:val="20"/>
      </w:rPr>
    </w:pPr>
    <w:r>
      <w:rPr>
        <w:sz w:val="20"/>
      </w:rPr>
      <w:t>GE.16-14847(E)</w:t>
    </w:r>
  </w:p>
  <w:p w14:paraId="7EA2B273" w14:textId="590C98FB" w:rsidR="004B4096" w:rsidRPr="004B4096" w:rsidRDefault="004B4096" w:rsidP="004B40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F90AF93" wp14:editId="6D455D47">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MP.PRTR/WG.1/201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2E036" w14:textId="77777777" w:rsidR="00F1782E" w:rsidRPr="000B175B" w:rsidRDefault="00F1782E" w:rsidP="000B175B">
      <w:pPr>
        <w:tabs>
          <w:tab w:val="right" w:pos="2155"/>
        </w:tabs>
        <w:spacing w:after="80"/>
        <w:ind w:left="680"/>
        <w:rPr>
          <w:u w:val="single"/>
        </w:rPr>
      </w:pPr>
      <w:r>
        <w:rPr>
          <w:u w:val="single"/>
        </w:rPr>
        <w:tab/>
      </w:r>
    </w:p>
  </w:footnote>
  <w:footnote w:type="continuationSeparator" w:id="0">
    <w:p w14:paraId="4A87DDF0" w14:textId="77777777" w:rsidR="00F1782E" w:rsidRPr="00FC68B7" w:rsidRDefault="00F1782E" w:rsidP="00FC68B7">
      <w:pPr>
        <w:tabs>
          <w:tab w:val="left" w:pos="2155"/>
        </w:tabs>
        <w:spacing w:after="80"/>
        <w:ind w:left="680"/>
        <w:rPr>
          <w:u w:val="single"/>
        </w:rPr>
      </w:pPr>
      <w:r>
        <w:rPr>
          <w:u w:val="single"/>
        </w:rPr>
        <w:tab/>
      </w:r>
    </w:p>
  </w:footnote>
  <w:footnote w:type="continuationNotice" w:id="1">
    <w:p w14:paraId="700A1732" w14:textId="77777777" w:rsidR="00F1782E" w:rsidRDefault="00F1782E"/>
  </w:footnote>
  <w:footnote w:id="2">
    <w:p w14:paraId="5CE02ABB" w14:textId="13BCC590" w:rsidR="00C91F49" w:rsidRPr="007923A5" w:rsidRDefault="00C91F49" w:rsidP="00A01BF9">
      <w:pPr>
        <w:pStyle w:val="FootnoteText"/>
      </w:pPr>
      <w:r>
        <w:tab/>
      </w:r>
      <w:r w:rsidRPr="00EE794B">
        <w:rPr>
          <w:rStyle w:val="FootnoteReference"/>
        </w:rPr>
        <w:footnoteRef/>
      </w:r>
      <w:r>
        <w:tab/>
      </w:r>
      <w:proofErr w:type="gramStart"/>
      <w:r w:rsidRPr="007923A5">
        <w:t xml:space="preserve">Available from </w:t>
      </w:r>
      <w:hyperlink r:id="rId1" w:anchor="/" w:history="1">
        <w:r w:rsidRPr="00B31AE8">
          <w:rPr>
            <w:rStyle w:val="Hyperlink"/>
          </w:rPr>
          <w:t>http://www.unece.org/env/pp/mopp1.html#/</w:t>
        </w:r>
      </w:hyperlink>
      <w:r>
        <w:t xml:space="preserve"> and </w:t>
      </w:r>
      <w:hyperlink r:id="rId2" w:anchor="/" w:history="1">
        <w:r w:rsidRPr="00E62E2F">
          <w:rPr>
            <w:rStyle w:val="Hyperlink"/>
          </w:rPr>
          <w:t>http://www.unece.org/prtrmopp2_docs.html#/</w:t>
        </w:r>
      </w:hyperlink>
      <w:r w:rsidRPr="007923A5">
        <w:t>.</w:t>
      </w:r>
      <w:proofErr w:type="gramEnd"/>
    </w:p>
  </w:footnote>
  <w:footnote w:id="3">
    <w:p w14:paraId="1ED41FFA" w14:textId="14EC13C6" w:rsidR="00C91F49" w:rsidRPr="00D91285" w:rsidRDefault="00C91F49" w:rsidP="00ED5FFD">
      <w:pPr>
        <w:pStyle w:val="FootnoteText"/>
      </w:pPr>
      <w:r>
        <w:tab/>
      </w:r>
      <w:r>
        <w:rPr>
          <w:rStyle w:val="FootnoteReference"/>
        </w:rPr>
        <w:footnoteRef/>
      </w:r>
      <w:r>
        <w:tab/>
      </w:r>
      <w:r w:rsidRPr="00D91285">
        <w:t xml:space="preserve">All </w:t>
      </w:r>
      <w:r>
        <w:t>national implementation reports</w:t>
      </w:r>
      <w:r w:rsidRPr="00D91285">
        <w:t xml:space="preserve"> are available from </w:t>
      </w:r>
      <w:hyperlink r:id="rId3" w:history="1">
        <w:r w:rsidRPr="00E62E2F">
          <w:rPr>
            <w:rStyle w:val="Hyperlink"/>
          </w:rPr>
          <w:t>http://www.unece.org/env/pp/prtr_reports_implementation_2014.html</w:t>
        </w:r>
      </w:hyperlink>
      <w:r>
        <w:t>.</w:t>
      </w:r>
    </w:p>
  </w:footnote>
  <w:footnote w:id="4">
    <w:p w14:paraId="617251F5" w14:textId="0F2DA9BC" w:rsidR="00C91F49" w:rsidRPr="007D2A01" w:rsidRDefault="00C91F49" w:rsidP="00737F99">
      <w:pPr>
        <w:pStyle w:val="FootnoteText"/>
      </w:pPr>
      <w:r>
        <w:tab/>
      </w:r>
      <w:r w:rsidRPr="00A10DB8">
        <w:rPr>
          <w:vertAlign w:val="superscript"/>
        </w:rPr>
        <w:footnoteRef/>
      </w:r>
      <w:r>
        <w:tab/>
      </w:r>
      <w:hyperlink r:id="rId4" w:history="1">
        <w:r w:rsidRPr="00EB0614">
          <w:rPr>
            <w:rStyle w:val="Hyperlink"/>
          </w:rPr>
          <w:t>See http://www2.unece.org/prtr-nir/</w:t>
        </w:r>
      </w:hyperlink>
      <w:r w:rsidRPr="007D2A01">
        <w:t>.</w:t>
      </w:r>
    </w:p>
  </w:footnote>
  <w:footnote w:id="5">
    <w:p w14:paraId="79BF0F99" w14:textId="3FBF5F6F" w:rsidR="00C91F49" w:rsidRPr="00F705CA" w:rsidRDefault="00C91F49" w:rsidP="00D37ADA">
      <w:pPr>
        <w:pStyle w:val="FootnoteText"/>
      </w:pPr>
      <w:r>
        <w:rPr>
          <w:vertAlign w:val="superscript"/>
        </w:rPr>
        <w:tab/>
      </w:r>
      <w:r w:rsidRPr="00A10DB8">
        <w:rPr>
          <w:vertAlign w:val="superscript"/>
        </w:rPr>
        <w:footnoteRef/>
      </w:r>
      <w:r w:rsidRPr="00A10DB8">
        <w:rPr>
          <w:vertAlign w:val="superscript"/>
        </w:rPr>
        <w:t xml:space="preserve"> </w:t>
      </w:r>
      <w:r>
        <w:rPr>
          <w:vertAlign w:val="superscript"/>
        </w:rPr>
        <w:tab/>
      </w:r>
      <w:proofErr w:type="gramStart"/>
      <w:r w:rsidRPr="00AB62D7">
        <w:t xml:space="preserve">Available from </w:t>
      </w:r>
      <w:hyperlink r:id="rId5" w:anchor="/" w:history="1">
        <w:r w:rsidRPr="00E62E2F">
          <w:rPr>
            <w:rStyle w:val="Hyperlink"/>
          </w:rPr>
          <w:t>http://www.unece.org/prtrmopp2_docs.html#/</w:t>
        </w:r>
      </w:hyperlink>
      <w:r>
        <w:t>.</w:t>
      </w:r>
      <w:proofErr w:type="gramEnd"/>
    </w:p>
  </w:footnote>
  <w:footnote w:id="6">
    <w:p w14:paraId="218A5BA2" w14:textId="05650121" w:rsidR="00C91F49" w:rsidRDefault="00C91F49" w:rsidP="006A1D15">
      <w:pPr>
        <w:pStyle w:val="FootnoteText"/>
        <w:widowControl w:val="0"/>
      </w:pPr>
      <w:r>
        <w:tab/>
      </w:r>
      <w:r>
        <w:rPr>
          <w:rStyle w:val="FootnoteReference"/>
        </w:rPr>
        <w:footnoteRef/>
      </w:r>
      <w:r>
        <w:tab/>
        <w:t>Regulation (EC) No 166/2006 of the European Parliament and of the Council of 18 January 2006 concerning the establishment of a European Pollutant Release and Transfer Register and amending Council Directives 91/689/EEC and 96/61/EC, 2006 O.J. (L 33), pp. 1–17.</w:t>
      </w:r>
    </w:p>
  </w:footnote>
  <w:footnote w:id="7">
    <w:p w14:paraId="53EA10BF" w14:textId="77777777" w:rsidR="00C91F49" w:rsidRPr="006A1D15" w:rsidRDefault="00C91F49">
      <w:pPr>
        <w:pStyle w:val="FootnoteText"/>
        <w:rPr>
          <w:lang w:val="fr-CH"/>
        </w:rPr>
      </w:pPr>
      <w:r>
        <w:tab/>
      </w:r>
      <w:r>
        <w:rPr>
          <w:rStyle w:val="FootnoteReference"/>
        </w:rPr>
        <w:footnoteRef/>
      </w:r>
      <w:r w:rsidRPr="006A1D15">
        <w:rPr>
          <w:lang w:val="fr-CH"/>
        </w:rPr>
        <w:tab/>
        <w:t xml:space="preserve">NACE </w:t>
      </w:r>
      <w:proofErr w:type="spellStart"/>
      <w:r w:rsidRPr="006A1D15">
        <w:rPr>
          <w:lang w:val="fr-CH"/>
        </w:rPr>
        <w:t>is</w:t>
      </w:r>
      <w:proofErr w:type="spellEnd"/>
      <w:r w:rsidRPr="006A1D15">
        <w:rPr>
          <w:lang w:val="fr-CH"/>
        </w:rPr>
        <w:t xml:space="preserve"> the “</w:t>
      </w:r>
      <w:proofErr w:type="spellStart"/>
      <w:r w:rsidRPr="006A1D15">
        <w:rPr>
          <w:lang w:val="fr-CH"/>
        </w:rPr>
        <w:t>statistical</w:t>
      </w:r>
      <w:proofErr w:type="spellEnd"/>
      <w:r w:rsidRPr="006A1D15">
        <w:rPr>
          <w:lang w:val="fr-CH"/>
        </w:rPr>
        <w:t xml:space="preserve"> classification of </w:t>
      </w:r>
      <w:proofErr w:type="spellStart"/>
      <w:r w:rsidRPr="006A1D15">
        <w:rPr>
          <w:lang w:val="fr-CH"/>
        </w:rPr>
        <w:t>economic</w:t>
      </w:r>
      <w:proofErr w:type="spellEnd"/>
      <w:r w:rsidRPr="006A1D15">
        <w:rPr>
          <w:lang w:val="fr-CH"/>
        </w:rPr>
        <w:t xml:space="preserve"> </w:t>
      </w:r>
      <w:proofErr w:type="spellStart"/>
      <w:r w:rsidRPr="006A1D15">
        <w:rPr>
          <w:lang w:val="fr-CH"/>
        </w:rPr>
        <w:t>activities</w:t>
      </w:r>
      <w:proofErr w:type="spellEnd"/>
      <w:r w:rsidRPr="006A1D15">
        <w:rPr>
          <w:lang w:val="fr-CH"/>
        </w:rPr>
        <w:t xml:space="preserve"> in the </w:t>
      </w:r>
      <w:proofErr w:type="spellStart"/>
      <w:r w:rsidRPr="006A1D15">
        <w:rPr>
          <w:lang w:val="fr-CH"/>
        </w:rPr>
        <w:t>European</w:t>
      </w:r>
      <w:proofErr w:type="spellEnd"/>
      <w:r w:rsidRPr="006A1D15">
        <w:rPr>
          <w:lang w:val="fr-CH"/>
        </w:rPr>
        <w:t xml:space="preserve"> </w:t>
      </w:r>
      <w:proofErr w:type="spellStart"/>
      <w:r w:rsidRPr="006A1D15">
        <w:rPr>
          <w:lang w:val="fr-CH"/>
        </w:rPr>
        <w:t>Community</w:t>
      </w:r>
      <w:proofErr w:type="spellEnd"/>
      <w:r w:rsidRPr="006A1D15">
        <w:rPr>
          <w:lang w:val="fr-CH"/>
        </w:rPr>
        <w:t>” (“</w:t>
      </w:r>
      <w:r w:rsidRPr="006A1D15">
        <w:rPr>
          <w:b/>
          <w:lang w:val="fr-CH"/>
        </w:rPr>
        <w:t>n</w:t>
      </w:r>
      <w:r w:rsidRPr="006A1D15">
        <w:rPr>
          <w:lang w:val="fr-CH"/>
        </w:rPr>
        <w:t xml:space="preserve">omenclature statistique des </w:t>
      </w:r>
      <w:r w:rsidRPr="006A1D15">
        <w:rPr>
          <w:b/>
          <w:lang w:val="fr-CH"/>
        </w:rPr>
        <w:t>a</w:t>
      </w:r>
      <w:r w:rsidRPr="006A1D15">
        <w:rPr>
          <w:lang w:val="fr-CH"/>
        </w:rPr>
        <w:t xml:space="preserve">ctivités économiques dans la </w:t>
      </w:r>
      <w:r w:rsidRPr="006A1D15">
        <w:rPr>
          <w:b/>
          <w:lang w:val="fr-CH"/>
        </w:rPr>
        <w:t>C</w:t>
      </w:r>
      <w:r w:rsidRPr="006A1D15">
        <w:rPr>
          <w:lang w:val="fr-CH"/>
        </w:rPr>
        <w:t xml:space="preserve">ommunauté </w:t>
      </w:r>
      <w:r w:rsidRPr="006A1D15">
        <w:rPr>
          <w:b/>
          <w:lang w:val="fr-CH"/>
        </w:rPr>
        <w:t>e</w:t>
      </w:r>
      <w:r w:rsidRPr="006A1D15">
        <w:rPr>
          <w:lang w:val="fr-CH"/>
        </w:rPr>
        <w:t>uropéenne”).</w:t>
      </w:r>
    </w:p>
  </w:footnote>
  <w:footnote w:id="8">
    <w:p w14:paraId="55914062" w14:textId="4A3242E4" w:rsidR="00C91F49" w:rsidRPr="007D2A01" w:rsidRDefault="00C91F49" w:rsidP="00F439C7">
      <w:pPr>
        <w:pStyle w:val="FootnoteText"/>
      </w:pPr>
      <w:r w:rsidRPr="006A1D15">
        <w:rPr>
          <w:lang w:val="fr-CH"/>
        </w:rPr>
        <w:tab/>
      </w:r>
      <w:r w:rsidRPr="007D2A01">
        <w:rPr>
          <w:rStyle w:val="FootnoteReference"/>
        </w:rPr>
        <w:footnoteRef/>
      </w:r>
      <w:r>
        <w:tab/>
      </w:r>
      <w:r w:rsidRPr="007D2A01">
        <w:t xml:space="preserve">See </w:t>
      </w:r>
      <w:hyperlink r:id="rId6" w:history="1">
        <w:r w:rsidRPr="001363FF">
          <w:rPr>
            <w:rStyle w:val="Hyperlink"/>
          </w:rPr>
          <w:t>http://www.ceip.at/emission-data-webdab/</w:t>
        </w:r>
      </w:hyperlink>
      <w:r w:rsidRPr="007D2A0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6A01" w14:textId="01E07D81" w:rsidR="00C91F49" w:rsidRPr="000375F9" w:rsidRDefault="00C91F49">
    <w:pPr>
      <w:pStyle w:val="Header"/>
    </w:pPr>
    <w:r w:rsidRPr="00103DCC">
      <w:rPr>
        <w:noProof/>
      </w:rPr>
      <w:t>ECE/MP.PRTR/WG.1/2016/6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83BC" w14:textId="0572D721" w:rsidR="00C91F49" w:rsidRPr="000375F9" w:rsidRDefault="00C91F49" w:rsidP="000375F9">
    <w:pPr>
      <w:pStyle w:val="Header"/>
      <w:jc w:val="right"/>
    </w:pPr>
    <w:r w:rsidRPr="00103DCC">
      <w:rPr>
        <w:noProof/>
      </w:rPr>
      <w:t>ECE/MP.PRTR/WG.1/2016/6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EB7678"/>
    <w:multiLevelType w:val="hybridMultilevel"/>
    <w:tmpl w:val="314C8DB2"/>
    <w:lvl w:ilvl="0" w:tplc="E95640C4">
      <w:start w:val="1"/>
      <w:numFmt w:val="lowerLetter"/>
      <w:lvlText w:val="(%1)"/>
      <w:lvlJc w:val="left"/>
      <w:pPr>
        <w:ind w:left="1070" w:hanging="360"/>
      </w:pPr>
      <w:rPr>
        <w:rFonts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7D365B5"/>
    <w:multiLevelType w:val="hybridMultilevel"/>
    <w:tmpl w:val="2FB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24055"/>
    <w:multiLevelType w:val="hybridMultilevel"/>
    <w:tmpl w:val="2B20B00A"/>
    <w:lvl w:ilvl="0" w:tplc="1F6CE10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1BA3246"/>
    <w:multiLevelType w:val="hybridMultilevel"/>
    <w:tmpl w:val="97480A70"/>
    <w:lvl w:ilvl="0" w:tplc="E95640C4">
      <w:start w:val="1"/>
      <w:numFmt w:val="lowerLetter"/>
      <w:lvlText w:val="(%1)"/>
      <w:lvlJc w:val="left"/>
      <w:pPr>
        <w:ind w:left="1890" w:hanging="360"/>
      </w:pPr>
      <w:rPr>
        <w:rFont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167A75CA"/>
    <w:multiLevelType w:val="hybridMultilevel"/>
    <w:tmpl w:val="34DE99E2"/>
    <w:lvl w:ilvl="0" w:tplc="E95640C4">
      <w:start w:val="1"/>
      <w:numFmt w:val="lowerLetter"/>
      <w:lvlText w:val="(%1)"/>
      <w:lvlJc w:val="left"/>
      <w:pPr>
        <w:ind w:left="720" w:hanging="360"/>
      </w:pPr>
      <w:rPr>
        <w:rFonts w:cs="Times New Roman"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17708BF"/>
    <w:multiLevelType w:val="hybridMultilevel"/>
    <w:tmpl w:val="4B9E77E2"/>
    <w:lvl w:ilvl="0" w:tplc="E95640C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68901C1"/>
    <w:multiLevelType w:val="hybridMultilevel"/>
    <w:tmpl w:val="19F090E4"/>
    <w:lvl w:ilvl="0" w:tplc="E95640C4">
      <w:start w:val="1"/>
      <w:numFmt w:val="lowerLetter"/>
      <w:lvlText w:val="(%1)"/>
      <w:lvlJc w:val="left"/>
      <w:pPr>
        <w:ind w:left="1890" w:hanging="360"/>
      </w:pPr>
      <w:rPr>
        <w:rFonts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A3A26DD"/>
    <w:multiLevelType w:val="hybridMultilevel"/>
    <w:tmpl w:val="2BFA6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A65135E"/>
    <w:multiLevelType w:val="hybridMultilevel"/>
    <w:tmpl w:val="497CB1CE"/>
    <w:lvl w:ilvl="0" w:tplc="26888046">
      <w:numFmt w:val="bullet"/>
      <w:lvlText w:val="•"/>
      <w:lvlJc w:val="left"/>
      <w:pPr>
        <w:ind w:left="2880" w:hanging="450"/>
      </w:pPr>
      <w:rPr>
        <w:rFonts w:ascii="Times New Roman" w:eastAsia="Times New Roman" w:hAnsi="Times New Roman" w:cs="Times New Roman" w:hint="default"/>
      </w:rPr>
    </w:lvl>
    <w:lvl w:ilvl="1" w:tplc="100C0001">
      <w:start w:val="1"/>
      <w:numFmt w:val="bullet"/>
      <w:lvlText w:val=""/>
      <w:lvlJc w:val="left"/>
      <w:pPr>
        <w:ind w:left="2160" w:hanging="360"/>
      </w:pPr>
      <w:rPr>
        <w:rFonts w:ascii="Symbol" w:hAnsi="Symbo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nsid w:val="325C2D6C"/>
    <w:multiLevelType w:val="hybridMultilevel"/>
    <w:tmpl w:val="19F090E4"/>
    <w:lvl w:ilvl="0" w:tplc="E95640C4">
      <w:start w:val="1"/>
      <w:numFmt w:val="lowerLetter"/>
      <w:lvlText w:val="(%1)"/>
      <w:lvlJc w:val="left"/>
      <w:pPr>
        <w:ind w:left="1890" w:hanging="360"/>
      </w:pPr>
      <w:rPr>
        <w:rFonts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65925DC1"/>
    <w:multiLevelType w:val="hybridMultilevel"/>
    <w:tmpl w:val="FAA66F24"/>
    <w:lvl w:ilvl="0" w:tplc="8C4849AC">
      <w:start w:val="1"/>
      <w:numFmt w:val="bullet"/>
      <w:pStyle w:val="Bullet1G"/>
      <w:lvlText w:val="•"/>
      <w:lvlJc w:val="left"/>
      <w:pPr>
        <w:tabs>
          <w:tab w:val="num" w:pos="2439"/>
        </w:tabs>
        <w:ind w:left="2439" w:hanging="170"/>
      </w:pPr>
      <w:rPr>
        <w:rFonts w:ascii="Times New Roman" w:hAnsi="Times New Roman" w:cs="Times New Roman" w:hint="default"/>
        <w:b w:val="0"/>
        <w:i w:val="0"/>
        <w:sz w:val="20"/>
      </w:rPr>
    </w:lvl>
    <w:lvl w:ilvl="1" w:tplc="040C0003">
      <w:start w:val="1"/>
      <w:numFmt w:val="bullet"/>
      <w:lvlText w:val="o"/>
      <w:lvlJc w:val="left"/>
      <w:pPr>
        <w:tabs>
          <w:tab w:val="num" w:pos="2178"/>
        </w:tabs>
        <w:ind w:left="2178" w:hanging="360"/>
      </w:pPr>
      <w:rPr>
        <w:rFonts w:ascii="Courier New" w:hAnsi="Courier New" w:cs="Courier New" w:hint="default"/>
      </w:rPr>
    </w:lvl>
    <w:lvl w:ilvl="2" w:tplc="040C0005" w:tentative="1">
      <w:start w:val="1"/>
      <w:numFmt w:val="bullet"/>
      <w:lvlText w:val=""/>
      <w:lvlJc w:val="left"/>
      <w:pPr>
        <w:tabs>
          <w:tab w:val="num" w:pos="2898"/>
        </w:tabs>
        <w:ind w:left="2898" w:hanging="360"/>
      </w:pPr>
      <w:rPr>
        <w:rFonts w:ascii="Wingdings" w:hAnsi="Wingdings" w:hint="default"/>
      </w:rPr>
    </w:lvl>
    <w:lvl w:ilvl="3" w:tplc="040C0001" w:tentative="1">
      <w:start w:val="1"/>
      <w:numFmt w:val="bullet"/>
      <w:lvlText w:val=""/>
      <w:lvlJc w:val="left"/>
      <w:pPr>
        <w:tabs>
          <w:tab w:val="num" w:pos="3618"/>
        </w:tabs>
        <w:ind w:left="3618" w:hanging="360"/>
      </w:pPr>
      <w:rPr>
        <w:rFonts w:ascii="Symbol" w:hAnsi="Symbol" w:hint="default"/>
      </w:rPr>
    </w:lvl>
    <w:lvl w:ilvl="4" w:tplc="040C0003" w:tentative="1">
      <w:start w:val="1"/>
      <w:numFmt w:val="bullet"/>
      <w:lvlText w:val="o"/>
      <w:lvlJc w:val="left"/>
      <w:pPr>
        <w:tabs>
          <w:tab w:val="num" w:pos="4338"/>
        </w:tabs>
        <w:ind w:left="4338" w:hanging="360"/>
      </w:pPr>
      <w:rPr>
        <w:rFonts w:ascii="Courier New" w:hAnsi="Courier New" w:cs="Courier New" w:hint="default"/>
      </w:rPr>
    </w:lvl>
    <w:lvl w:ilvl="5" w:tplc="040C0005" w:tentative="1">
      <w:start w:val="1"/>
      <w:numFmt w:val="bullet"/>
      <w:lvlText w:val=""/>
      <w:lvlJc w:val="left"/>
      <w:pPr>
        <w:tabs>
          <w:tab w:val="num" w:pos="5058"/>
        </w:tabs>
        <w:ind w:left="5058" w:hanging="360"/>
      </w:pPr>
      <w:rPr>
        <w:rFonts w:ascii="Wingdings" w:hAnsi="Wingdings" w:hint="default"/>
      </w:rPr>
    </w:lvl>
    <w:lvl w:ilvl="6" w:tplc="040C0001" w:tentative="1">
      <w:start w:val="1"/>
      <w:numFmt w:val="bullet"/>
      <w:lvlText w:val=""/>
      <w:lvlJc w:val="left"/>
      <w:pPr>
        <w:tabs>
          <w:tab w:val="num" w:pos="5778"/>
        </w:tabs>
        <w:ind w:left="5778" w:hanging="360"/>
      </w:pPr>
      <w:rPr>
        <w:rFonts w:ascii="Symbol" w:hAnsi="Symbol" w:hint="default"/>
      </w:rPr>
    </w:lvl>
    <w:lvl w:ilvl="7" w:tplc="040C0003" w:tentative="1">
      <w:start w:val="1"/>
      <w:numFmt w:val="bullet"/>
      <w:lvlText w:val="o"/>
      <w:lvlJc w:val="left"/>
      <w:pPr>
        <w:tabs>
          <w:tab w:val="num" w:pos="6498"/>
        </w:tabs>
        <w:ind w:left="6498" w:hanging="360"/>
      </w:pPr>
      <w:rPr>
        <w:rFonts w:ascii="Courier New" w:hAnsi="Courier New" w:cs="Courier New" w:hint="default"/>
      </w:rPr>
    </w:lvl>
    <w:lvl w:ilvl="8" w:tplc="040C0005" w:tentative="1">
      <w:start w:val="1"/>
      <w:numFmt w:val="bullet"/>
      <w:lvlText w:val=""/>
      <w:lvlJc w:val="left"/>
      <w:pPr>
        <w:tabs>
          <w:tab w:val="num" w:pos="7218"/>
        </w:tabs>
        <w:ind w:left="7218" w:hanging="360"/>
      </w:pPr>
      <w:rPr>
        <w:rFonts w:ascii="Wingdings" w:hAnsi="Wingdings" w:hint="default"/>
      </w:rPr>
    </w:lvl>
  </w:abstractNum>
  <w:abstractNum w:abstractNumId="12">
    <w:nsid w:val="71EB1BB8"/>
    <w:multiLevelType w:val="hybridMultilevel"/>
    <w:tmpl w:val="14D6D216"/>
    <w:lvl w:ilvl="0" w:tplc="E95640C4">
      <w:start w:val="1"/>
      <w:numFmt w:val="lowerLetter"/>
      <w:lvlText w:val="(%1)"/>
      <w:lvlJc w:val="left"/>
      <w:pPr>
        <w:ind w:left="3132" w:hanging="360"/>
      </w:pPr>
      <w:rPr>
        <w:rFonts w:cs="Times New Roman" w:hint="default"/>
      </w:rPr>
    </w:lvl>
    <w:lvl w:ilvl="1" w:tplc="04190019" w:tentative="1">
      <w:start w:val="1"/>
      <w:numFmt w:val="lowerLetter"/>
      <w:lvlText w:val="%2."/>
      <w:lvlJc w:val="left"/>
      <w:pPr>
        <w:ind w:left="3852" w:hanging="360"/>
      </w:pPr>
    </w:lvl>
    <w:lvl w:ilvl="2" w:tplc="0419001B" w:tentative="1">
      <w:start w:val="1"/>
      <w:numFmt w:val="lowerRoman"/>
      <w:lvlText w:val="%3."/>
      <w:lvlJc w:val="right"/>
      <w:pPr>
        <w:ind w:left="4572" w:hanging="180"/>
      </w:pPr>
    </w:lvl>
    <w:lvl w:ilvl="3" w:tplc="0419000F" w:tentative="1">
      <w:start w:val="1"/>
      <w:numFmt w:val="decimal"/>
      <w:lvlText w:val="%4."/>
      <w:lvlJc w:val="left"/>
      <w:pPr>
        <w:ind w:left="5292" w:hanging="360"/>
      </w:pPr>
    </w:lvl>
    <w:lvl w:ilvl="4" w:tplc="04190019" w:tentative="1">
      <w:start w:val="1"/>
      <w:numFmt w:val="lowerLetter"/>
      <w:lvlText w:val="%5."/>
      <w:lvlJc w:val="left"/>
      <w:pPr>
        <w:ind w:left="6012" w:hanging="360"/>
      </w:pPr>
    </w:lvl>
    <w:lvl w:ilvl="5" w:tplc="0419001B" w:tentative="1">
      <w:start w:val="1"/>
      <w:numFmt w:val="lowerRoman"/>
      <w:lvlText w:val="%6."/>
      <w:lvlJc w:val="right"/>
      <w:pPr>
        <w:ind w:left="6732" w:hanging="180"/>
      </w:pPr>
    </w:lvl>
    <w:lvl w:ilvl="6" w:tplc="0419000F" w:tentative="1">
      <w:start w:val="1"/>
      <w:numFmt w:val="decimal"/>
      <w:lvlText w:val="%7."/>
      <w:lvlJc w:val="left"/>
      <w:pPr>
        <w:ind w:left="7452" w:hanging="360"/>
      </w:pPr>
    </w:lvl>
    <w:lvl w:ilvl="7" w:tplc="04190019" w:tentative="1">
      <w:start w:val="1"/>
      <w:numFmt w:val="lowerLetter"/>
      <w:lvlText w:val="%8."/>
      <w:lvlJc w:val="left"/>
      <w:pPr>
        <w:ind w:left="8172" w:hanging="360"/>
      </w:pPr>
    </w:lvl>
    <w:lvl w:ilvl="8" w:tplc="0419001B" w:tentative="1">
      <w:start w:val="1"/>
      <w:numFmt w:val="lowerRoman"/>
      <w:lvlText w:val="%9."/>
      <w:lvlJc w:val="right"/>
      <w:pPr>
        <w:ind w:left="8892" w:hanging="180"/>
      </w:pPr>
    </w:lvl>
  </w:abstractNum>
  <w:abstractNum w:abstractNumId="13">
    <w:nsid w:val="72A9195F"/>
    <w:multiLevelType w:val="hybridMultilevel"/>
    <w:tmpl w:val="AEA6B6F4"/>
    <w:lvl w:ilvl="0" w:tplc="3612973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72812F9"/>
    <w:multiLevelType w:val="hybridMultilevel"/>
    <w:tmpl w:val="2FE267C0"/>
    <w:lvl w:ilvl="0" w:tplc="08090001">
      <w:start w:val="1"/>
      <w:numFmt w:val="bullet"/>
      <w:lvlText w:val=""/>
      <w:lvlJc w:val="left"/>
      <w:pPr>
        <w:ind w:left="1890" w:hanging="360"/>
      </w:pPr>
      <w:rPr>
        <w:rFonts w:ascii="Symbol" w:hAnsi="Symbol" w:hint="default"/>
      </w:rPr>
    </w:lvl>
    <w:lvl w:ilvl="1" w:tplc="E95640C4">
      <w:start w:val="1"/>
      <w:numFmt w:val="lowerLetter"/>
      <w:lvlText w:val="(%2)"/>
      <w:lvlJc w:val="left"/>
      <w:pPr>
        <w:ind w:left="2204" w:hanging="360"/>
      </w:pPr>
      <w:rPr>
        <w:rFonts w:cs="Times New Roman" w:hint="default"/>
      </w:rPr>
    </w:lvl>
    <w:lvl w:ilvl="2" w:tplc="08090005">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num w:numId="1">
    <w:abstractNumId w:val="11"/>
  </w:num>
  <w:num w:numId="2">
    <w:abstractNumId w:val="14"/>
  </w:num>
  <w:num w:numId="3">
    <w:abstractNumId w:val="13"/>
  </w:num>
  <w:num w:numId="4">
    <w:abstractNumId w:val="3"/>
  </w:num>
  <w:num w:numId="5">
    <w:abstractNumId w:val="7"/>
  </w:num>
  <w:num w:numId="6">
    <w:abstractNumId w:val="10"/>
  </w:num>
  <w:num w:numId="7">
    <w:abstractNumId w:val="4"/>
  </w:num>
  <w:num w:numId="8">
    <w:abstractNumId w:val="12"/>
  </w:num>
  <w:num w:numId="9">
    <w:abstractNumId w:val="15"/>
  </w:num>
  <w:num w:numId="10">
    <w:abstractNumId w:val="5"/>
  </w:num>
  <w:num w:numId="11">
    <w:abstractNumId w:val="9"/>
  </w:num>
  <w:num w:numId="12">
    <w:abstractNumId w:val="6"/>
  </w:num>
  <w:num w:numId="13">
    <w:abstractNumId w:val="1"/>
  </w:num>
  <w:num w:numId="14">
    <w:abstractNumId w:val="11"/>
  </w:num>
  <w:num w:numId="15">
    <w:abstractNumId w:val="11"/>
  </w:num>
  <w:num w:numId="16">
    <w:abstractNumId w:val="8"/>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F9"/>
    <w:rsid w:val="00002A7D"/>
    <w:rsid w:val="000038A8"/>
    <w:rsid w:val="0000390F"/>
    <w:rsid w:val="00006790"/>
    <w:rsid w:val="0000687E"/>
    <w:rsid w:val="00012BDF"/>
    <w:rsid w:val="00015B1F"/>
    <w:rsid w:val="00016419"/>
    <w:rsid w:val="00020BDD"/>
    <w:rsid w:val="00027624"/>
    <w:rsid w:val="000364C3"/>
    <w:rsid w:val="000375F9"/>
    <w:rsid w:val="000455A1"/>
    <w:rsid w:val="00050F6B"/>
    <w:rsid w:val="000552B2"/>
    <w:rsid w:val="00057FD0"/>
    <w:rsid w:val="000630CF"/>
    <w:rsid w:val="00065339"/>
    <w:rsid w:val="000678CD"/>
    <w:rsid w:val="00072C8C"/>
    <w:rsid w:val="00081CE0"/>
    <w:rsid w:val="00084D30"/>
    <w:rsid w:val="00090320"/>
    <w:rsid w:val="00092AC0"/>
    <w:rsid w:val="00092C72"/>
    <w:rsid w:val="000931C0"/>
    <w:rsid w:val="00096FDD"/>
    <w:rsid w:val="000A2E09"/>
    <w:rsid w:val="000B175B"/>
    <w:rsid w:val="000B3A0F"/>
    <w:rsid w:val="000C68D2"/>
    <w:rsid w:val="000D31A0"/>
    <w:rsid w:val="000E0415"/>
    <w:rsid w:val="000F7715"/>
    <w:rsid w:val="00103DCC"/>
    <w:rsid w:val="0011308D"/>
    <w:rsid w:val="0012167A"/>
    <w:rsid w:val="001256A7"/>
    <w:rsid w:val="0012678C"/>
    <w:rsid w:val="001363FF"/>
    <w:rsid w:val="00137455"/>
    <w:rsid w:val="0015329E"/>
    <w:rsid w:val="00154B84"/>
    <w:rsid w:val="00156B99"/>
    <w:rsid w:val="00163FF0"/>
    <w:rsid w:val="00166124"/>
    <w:rsid w:val="00184DDA"/>
    <w:rsid w:val="001900CD"/>
    <w:rsid w:val="001A0452"/>
    <w:rsid w:val="001A21C0"/>
    <w:rsid w:val="001A7278"/>
    <w:rsid w:val="001A783A"/>
    <w:rsid w:val="001B4B04"/>
    <w:rsid w:val="001B5875"/>
    <w:rsid w:val="001C1C6C"/>
    <w:rsid w:val="001C4B9C"/>
    <w:rsid w:val="001C6663"/>
    <w:rsid w:val="001C7895"/>
    <w:rsid w:val="001D06A4"/>
    <w:rsid w:val="001D26DF"/>
    <w:rsid w:val="001D3D10"/>
    <w:rsid w:val="001D6815"/>
    <w:rsid w:val="001E1BC1"/>
    <w:rsid w:val="001F1599"/>
    <w:rsid w:val="001F19C4"/>
    <w:rsid w:val="001F384F"/>
    <w:rsid w:val="002043F0"/>
    <w:rsid w:val="00204998"/>
    <w:rsid w:val="002061F0"/>
    <w:rsid w:val="00211DF5"/>
    <w:rsid w:val="00211E0B"/>
    <w:rsid w:val="00214863"/>
    <w:rsid w:val="0022226C"/>
    <w:rsid w:val="00232575"/>
    <w:rsid w:val="00234F00"/>
    <w:rsid w:val="002422F0"/>
    <w:rsid w:val="00247258"/>
    <w:rsid w:val="00257CAC"/>
    <w:rsid w:val="002629B9"/>
    <w:rsid w:val="002661DB"/>
    <w:rsid w:val="0026688C"/>
    <w:rsid w:val="002706CB"/>
    <w:rsid w:val="0027237A"/>
    <w:rsid w:val="0028510C"/>
    <w:rsid w:val="00294D01"/>
    <w:rsid w:val="002974E9"/>
    <w:rsid w:val="002A71DD"/>
    <w:rsid w:val="002A7F94"/>
    <w:rsid w:val="002B109A"/>
    <w:rsid w:val="002B7ED5"/>
    <w:rsid w:val="002C04E4"/>
    <w:rsid w:val="002C52CC"/>
    <w:rsid w:val="002C5311"/>
    <w:rsid w:val="002C5AA0"/>
    <w:rsid w:val="002C6D45"/>
    <w:rsid w:val="002D6E53"/>
    <w:rsid w:val="002F046D"/>
    <w:rsid w:val="002F12B1"/>
    <w:rsid w:val="002F45CA"/>
    <w:rsid w:val="00300C63"/>
    <w:rsid w:val="00301764"/>
    <w:rsid w:val="0030703D"/>
    <w:rsid w:val="00307B55"/>
    <w:rsid w:val="00310809"/>
    <w:rsid w:val="00310E69"/>
    <w:rsid w:val="00317E08"/>
    <w:rsid w:val="003229D8"/>
    <w:rsid w:val="00336C97"/>
    <w:rsid w:val="00337F88"/>
    <w:rsid w:val="00342432"/>
    <w:rsid w:val="0035223F"/>
    <w:rsid w:val="00352D4B"/>
    <w:rsid w:val="0035638C"/>
    <w:rsid w:val="00363B0C"/>
    <w:rsid w:val="003672C4"/>
    <w:rsid w:val="00372BB8"/>
    <w:rsid w:val="0037703A"/>
    <w:rsid w:val="003778DD"/>
    <w:rsid w:val="00387C76"/>
    <w:rsid w:val="003921A4"/>
    <w:rsid w:val="003A46BB"/>
    <w:rsid w:val="003A4EC7"/>
    <w:rsid w:val="003A5CAA"/>
    <w:rsid w:val="003A7295"/>
    <w:rsid w:val="003B1F60"/>
    <w:rsid w:val="003C2CC4"/>
    <w:rsid w:val="003D0B00"/>
    <w:rsid w:val="003D0B89"/>
    <w:rsid w:val="003D4B23"/>
    <w:rsid w:val="003E0025"/>
    <w:rsid w:val="003E278A"/>
    <w:rsid w:val="003E2B8E"/>
    <w:rsid w:val="003E61E9"/>
    <w:rsid w:val="003F0BDD"/>
    <w:rsid w:val="003F10A9"/>
    <w:rsid w:val="00401F72"/>
    <w:rsid w:val="00410A31"/>
    <w:rsid w:val="00413520"/>
    <w:rsid w:val="00415B1E"/>
    <w:rsid w:val="004325CB"/>
    <w:rsid w:val="00440A07"/>
    <w:rsid w:val="004538EC"/>
    <w:rsid w:val="004545B7"/>
    <w:rsid w:val="00462880"/>
    <w:rsid w:val="0046515B"/>
    <w:rsid w:val="00472810"/>
    <w:rsid w:val="00476F24"/>
    <w:rsid w:val="004812EF"/>
    <w:rsid w:val="00486C98"/>
    <w:rsid w:val="00492488"/>
    <w:rsid w:val="00493D3E"/>
    <w:rsid w:val="00495EA5"/>
    <w:rsid w:val="004B4096"/>
    <w:rsid w:val="004C0E61"/>
    <w:rsid w:val="004C55B0"/>
    <w:rsid w:val="004C650F"/>
    <w:rsid w:val="004D78B0"/>
    <w:rsid w:val="004E16B3"/>
    <w:rsid w:val="004E7256"/>
    <w:rsid w:val="004F625A"/>
    <w:rsid w:val="004F6BA0"/>
    <w:rsid w:val="004F7494"/>
    <w:rsid w:val="00503BEA"/>
    <w:rsid w:val="00506A8E"/>
    <w:rsid w:val="00511975"/>
    <w:rsid w:val="00515C30"/>
    <w:rsid w:val="00522643"/>
    <w:rsid w:val="005271B2"/>
    <w:rsid w:val="00533616"/>
    <w:rsid w:val="00534031"/>
    <w:rsid w:val="00535ABA"/>
    <w:rsid w:val="00536C47"/>
    <w:rsid w:val="0053768B"/>
    <w:rsid w:val="00540823"/>
    <w:rsid w:val="00541153"/>
    <w:rsid w:val="005420F2"/>
    <w:rsid w:val="0054285C"/>
    <w:rsid w:val="00544DE5"/>
    <w:rsid w:val="00556C34"/>
    <w:rsid w:val="0057044B"/>
    <w:rsid w:val="00570DF5"/>
    <w:rsid w:val="00573394"/>
    <w:rsid w:val="00577FE0"/>
    <w:rsid w:val="005812A9"/>
    <w:rsid w:val="00584173"/>
    <w:rsid w:val="00584654"/>
    <w:rsid w:val="00592430"/>
    <w:rsid w:val="00595520"/>
    <w:rsid w:val="005978EA"/>
    <w:rsid w:val="005A0B13"/>
    <w:rsid w:val="005A1393"/>
    <w:rsid w:val="005A289D"/>
    <w:rsid w:val="005A44B9"/>
    <w:rsid w:val="005A7334"/>
    <w:rsid w:val="005B1BA0"/>
    <w:rsid w:val="005B3DB3"/>
    <w:rsid w:val="005D15CA"/>
    <w:rsid w:val="005D24F5"/>
    <w:rsid w:val="005D39ED"/>
    <w:rsid w:val="005E2118"/>
    <w:rsid w:val="005E3BFD"/>
    <w:rsid w:val="005F3066"/>
    <w:rsid w:val="005F3E61"/>
    <w:rsid w:val="00602D35"/>
    <w:rsid w:val="00602E2A"/>
    <w:rsid w:val="00604DDD"/>
    <w:rsid w:val="006059B3"/>
    <w:rsid w:val="006115CC"/>
    <w:rsid w:val="00611FC4"/>
    <w:rsid w:val="006176FB"/>
    <w:rsid w:val="006205B3"/>
    <w:rsid w:val="00630FCB"/>
    <w:rsid w:val="006364FA"/>
    <w:rsid w:val="00640B26"/>
    <w:rsid w:val="0065115E"/>
    <w:rsid w:val="006567A0"/>
    <w:rsid w:val="0066684A"/>
    <w:rsid w:val="0066716C"/>
    <w:rsid w:val="006770B2"/>
    <w:rsid w:val="006828DD"/>
    <w:rsid w:val="00690002"/>
    <w:rsid w:val="0069227A"/>
    <w:rsid w:val="006940E1"/>
    <w:rsid w:val="00694369"/>
    <w:rsid w:val="006A1D15"/>
    <w:rsid w:val="006A3C72"/>
    <w:rsid w:val="006A50C7"/>
    <w:rsid w:val="006A7392"/>
    <w:rsid w:val="006A77C4"/>
    <w:rsid w:val="006B03A1"/>
    <w:rsid w:val="006B5D4D"/>
    <w:rsid w:val="006B67D9"/>
    <w:rsid w:val="006C221D"/>
    <w:rsid w:val="006C5535"/>
    <w:rsid w:val="006D0589"/>
    <w:rsid w:val="006E564B"/>
    <w:rsid w:val="006E575B"/>
    <w:rsid w:val="006E7154"/>
    <w:rsid w:val="006F10CD"/>
    <w:rsid w:val="006F1244"/>
    <w:rsid w:val="007003CD"/>
    <w:rsid w:val="007048A2"/>
    <w:rsid w:val="0070701E"/>
    <w:rsid w:val="0070723A"/>
    <w:rsid w:val="00715279"/>
    <w:rsid w:val="007156D1"/>
    <w:rsid w:val="0072632A"/>
    <w:rsid w:val="00732B51"/>
    <w:rsid w:val="007358E8"/>
    <w:rsid w:val="00736ECE"/>
    <w:rsid w:val="00737F99"/>
    <w:rsid w:val="0074533B"/>
    <w:rsid w:val="007643BC"/>
    <w:rsid w:val="0077066D"/>
    <w:rsid w:val="0077534A"/>
    <w:rsid w:val="0077662E"/>
    <w:rsid w:val="00776863"/>
    <w:rsid w:val="00782BE1"/>
    <w:rsid w:val="007839D9"/>
    <w:rsid w:val="0078607E"/>
    <w:rsid w:val="0079209F"/>
    <w:rsid w:val="00795218"/>
    <w:rsid w:val="007959FE"/>
    <w:rsid w:val="007A0CF1"/>
    <w:rsid w:val="007A50CB"/>
    <w:rsid w:val="007B1BFD"/>
    <w:rsid w:val="007B2EA7"/>
    <w:rsid w:val="007B3BBF"/>
    <w:rsid w:val="007B501B"/>
    <w:rsid w:val="007B6BA5"/>
    <w:rsid w:val="007C3390"/>
    <w:rsid w:val="007C3779"/>
    <w:rsid w:val="007C42D8"/>
    <w:rsid w:val="007C4F4B"/>
    <w:rsid w:val="007D5F34"/>
    <w:rsid w:val="007D7362"/>
    <w:rsid w:val="007E45C9"/>
    <w:rsid w:val="007E4B65"/>
    <w:rsid w:val="007F0B67"/>
    <w:rsid w:val="007F4A61"/>
    <w:rsid w:val="007F5CE2"/>
    <w:rsid w:val="007F6611"/>
    <w:rsid w:val="0081010C"/>
    <w:rsid w:val="00810BAC"/>
    <w:rsid w:val="00813F22"/>
    <w:rsid w:val="00817412"/>
    <w:rsid w:val="008175E9"/>
    <w:rsid w:val="00823563"/>
    <w:rsid w:val="008242D7"/>
    <w:rsid w:val="0082577B"/>
    <w:rsid w:val="00857DB8"/>
    <w:rsid w:val="008632A7"/>
    <w:rsid w:val="00866893"/>
    <w:rsid w:val="00866F02"/>
    <w:rsid w:val="00867D18"/>
    <w:rsid w:val="00871F9A"/>
    <w:rsid w:val="00871FD5"/>
    <w:rsid w:val="00875B3B"/>
    <w:rsid w:val="00880A9F"/>
    <w:rsid w:val="0088172E"/>
    <w:rsid w:val="00881EFA"/>
    <w:rsid w:val="008879CB"/>
    <w:rsid w:val="008929B6"/>
    <w:rsid w:val="008947D2"/>
    <w:rsid w:val="008979B1"/>
    <w:rsid w:val="008A2D36"/>
    <w:rsid w:val="008A6B25"/>
    <w:rsid w:val="008A6C4F"/>
    <w:rsid w:val="008B3671"/>
    <w:rsid w:val="008B389E"/>
    <w:rsid w:val="008C4716"/>
    <w:rsid w:val="008C4869"/>
    <w:rsid w:val="008D045E"/>
    <w:rsid w:val="008D2B17"/>
    <w:rsid w:val="008D3F25"/>
    <w:rsid w:val="008D4D82"/>
    <w:rsid w:val="008E0E46"/>
    <w:rsid w:val="008E1298"/>
    <w:rsid w:val="008E40B9"/>
    <w:rsid w:val="008E7116"/>
    <w:rsid w:val="008F143B"/>
    <w:rsid w:val="008F1FE1"/>
    <w:rsid w:val="008F3882"/>
    <w:rsid w:val="008F4B7C"/>
    <w:rsid w:val="00902F2A"/>
    <w:rsid w:val="009032AD"/>
    <w:rsid w:val="0090399F"/>
    <w:rsid w:val="0090429A"/>
    <w:rsid w:val="00906824"/>
    <w:rsid w:val="00910FB2"/>
    <w:rsid w:val="00912E21"/>
    <w:rsid w:val="00925631"/>
    <w:rsid w:val="00925914"/>
    <w:rsid w:val="00926E47"/>
    <w:rsid w:val="009315E1"/>
    <w:rsid w:val="0093675B"/>
    <w:rsid w:val="00937A74"/>
    <w:rsid w:val="00947162"/>
    <w:rsid w:val="00955C1A"/>
    <w:rsid w:val="009610D0"/>
    <w:rsid w:val="0096375C"/>
    <w:rsid w:val="00964400"/>
    <w:rsid w:val="0096589E"/>
    <w:rsid w:val="009662E6"/>
    <w:rsid w:val="0097095E"/>
    <w:rsid w:val="009722A5"/>
    <w:rsid w:val="00974AE7"/>
    <w:rsid w:val="00981031"/>
    <w:rsid w:val="0098592B"/>
    <w:rsid w:val="00985FC4"/>
    <w:rsid w:val="00990766"/>
    <w:rsid w:val="00991261"/>
    <w:rsid w:val="009964C4"/>
    <w:rsid w:val="009A44D4"/>
    <w:rsid w:val="009A500A"/>
    <w:rsid w:val="009A7B81"/>
    <w:rsid w:val="009B10F6"/>
    <w:rsid w:val="009C67E3"/>
    <w:rsid w:val="009C7BAE"/>
    <w:rsid w:val="009D01C0"/>
    <w:rsid w:val="009D10AF"/>
    <w:rsid w:val="009D6A08"/>
    <w:rsid w:val="009E0A16"/>
    <w:rsid w:val="009E3BEC"/>
    <w:rsid w:val="009E6CB7"/>
    <w:rsid w:val="009E7970"/>
    <w:rsid w:val="009F2EAC"/>
    <w:rsid w:val="009F3947"/>
    <w:rsid w:val="009F57E3"/>
    <w:rsid w:val="00A00E07"/>
    <w:rsid w:val="00A01986"/>
    <w:rsid w:val="00A01BF9"/>
    <w:rsid w:val="00A05C73"/>
    <w:rsid w:val="00A10DB8"/>
    <w:rsid w:val="00A10F4F"/>
    <w:rsid w:val="00A11067"/>
    <w:rsid w:val="00A12176"/>
    <w:rsid w:val="00A13B88"/>
    <w:rsid w:val="00A15E60"/>
    <w:rsid w:val="00A1704A"/>
    <w:rsid w:val="00A2614E"/>
    <w:rsid w:val="00A274DF"/>
    <w:rsid w:val="00A3412D"/>
    <w:rsid w:val="00A425EB"/>
    <w:rsid w:val="00A5174D"/>
    <w:rsid w:val="00A54CF2"/>
    <w:rsid w:val="00A570E2"/>
    <w:rsid w:val="00A63EAB"/>
    <w:rsid w:val="00A72F22"/>
    <w:rsid w:val="00A733BC"/>
    <w:rsid w:val="00A748A6"/>
    <w:rsid w:val="00A76A69"/>
    <w:rsid w:val="00A8272A"/>
    <w:rsid w:val="00A846C0"/>
    <w:rsid w:val="00A860E5"/>
    <w:rsid w:val="00A879A4"/>
    <w:rsid w:val="00A91D1D"/>
    <w:rsid w:val="00A97198"/>
    <w:rsid w:val="00AA0FF8"/>
    <w:rsid w:val="00AB2073"/>
    <w:rsid w:val="00AB75B0"/>
    <w:rsid w:val="00AC0F2C"/>
    <w:rsid w:val="00AC2DB0"/>
    <w:rsid w:val="00AC502A"/>
    <w:rsid w:val="00AC7F57"/>
    <w:rsid w:val="00AD4203"/>
    <w:rsid w:val="00AD7BB4"/>
    <w:rsid w:val="00AD7C04"/>
    <w:rsid w:val="00AE0A7C"/>
    <w:rsid w:val="00AE3C38"/>
    <w:rsid w:val="00AE6DB3"/>
    <w:rsid w:val="00AF49F9"/>
    <w:rsid w:val="00AF58C1"/>
    <w:rsid w:val="00B005F3"/>
    <w:rsid w:val="00B04A3F"/>
    <w:rsid w:val="00B06643"/>
    <w:rsid w:val="00B06DCE"/>
    <w:rsid w:val="00B07D9E"/>
    <w:rsid w:val="00B15055"/>
    <w:rsid w:val="00B2123C"/>
    <w:rsid w:val="00B23B12"/>
    <w:rsid w:val="00B24547"/>
    <w:rsid w:val="00B30179"/>
    <w:rsid w:val="00B31AE8"/>
    <w:rsid w:val="00B35DBE"/>
    <w:rsid w:val="00B37B15"/>
    <w:rsid w:val="00B45C02"/>
    <w:rsid w:val="00B631E6"/>
    <w:rsid w:val="00B7200E"/>
    <w:rsid w:val="00B72A1E"/>
    <w:rsid w:val="00B75B44"/>
    <w:rsid w:val="00B76470"/>
    <w:rsid w:val="00B81E12"/>
    <w:rsid w:val="00B8367A"/>
    <w:rsid w:val="00B85550"/>
    <w:rsid w:val="00B90F8F"/>
    <w:rsid w:val="00BA339B"/>
    <w:rsid w:val="00BA357F"/>
    <w:rsid w:val="00BA5823"/>
    <w:rsid w:val="00BC1E7E"/>
    <w:rsid w:val="00BC2B2A"/>
    <w:rsid w:val="00BC4532"/>
    <w:rsid w:val="00BC74E9"/>
    <w:rsid w:val="00BC7F91"/>
    <w:rsid w:val="00BD58E7"/>
    <w:rsid w:val="00BE36A9"/>
    <w:rsid w:val="00BE618E"/>
    <w:rsid w:val="00BE7BEC"/>
    <w:rsid w:val="00BF0A5A"/>
    <w:rsid w:val="00BF0E63"/>
    <w:rsid w:val="00BF12A3"/>
    <w:rsid w:val="00BF16D7"/>
    <w:rsid w:val="00BF2373"/>
    <w:rsid w:val="00BF6D10"/>
    <w:rsid w:val="00C044E2"/>
    <w:rsid w:val="00C048CB"/>
    <w:rsid w:val="00C066F3"/>
    <w:rsid w:val="00C136E6"/>
    <w:rsid w:val="00C153FC"/>
    <w:rsid w:val="00C172DB"/>
    <w:rsid w:val="00C1789D"/>
    <w:rsid w:val="00C21C05"/>
    <w:rsid w:val="00C40207"/>
    <w:rsid w:val="00C402AF"/>
    <w:rsid w:val="00C42EEE"/>
    <w:rsid w:val="00C43668"/>
    <w:rsid w:val="00C463DD"/>
    <w:rsid w:val="00C54B40"/>
    <w:rsid w:val="00C6003E"/>
    <w:rsid w:val="00C63795"/>
    <w:rsid w:val="00C67289"/>
    <w:rsid w:val="00C745C3"/>
    <w:rsid w:val="00C91F49"/>
    <w:rsid w:val="00CA1985"/>
    <w:rsid w:val="00CA24A4"/>
    <w:rsid w:val="00CA3DF5"/>
    <w:rsid w:val="00CB348D"/>
    <w:rsid w:val="00CD01D2"/>
    <w:rsid w:val="00CD46F5"/>
    <w:rsid w:val="00CE4A8F"/>
    <w:rsid w:val="00CE7DC9"/>
    <w:rsid w:val="00CF071D"/>
    <w:rsid w:val="00CF180E"/>
    <w:rsid w:val="00CF399E"/>
    <w:rsid w:val="00CF4BC9"/>
    <w:rsid w:val="00D15B04"/>
    <w:rsid w:val="00D1761F"/>
    <w:rsid w:val="00D2031B"/>
    <w:rsid w:val="00D25FE2"/>
    <w:rsid w:val="00D3412C"/>
    <w:rsid w:val="00D34146"/>
    <w:rsid w:val="00D342C1"/>
    <w:rsid w:val="00D35693"/>
    <w:rsid w:val="00D37ADA"/>
    <w:rsid w:val="00D37DA9"/>
    <w:rsid w:val="00D406A7"/>
    <w:rsid w:val="00D40FB0"/>
    <w:rsid w:val="00D43252"/>
    <w:rsid w:val="00D43C3E"/>
    <w:rsid w:val="00D44D86"/>
    <w:rsid w:val="00D50B7D"/>
    <w:rsid w:val="00D52012"/>
    <w:rsid w:val="00D66B37"/>
    <w:rsid w:val="00D704E5"/>
    <w:rsid w:val="00D72727"/>
    <w:rsid w:val="00D76D38"/>
    <w:rsid w:val="00D8692E"/>
    <w:rsid w:val="00D920CC"/>
    <w:rsid w:val="00D978C6"/>
    <w:rsid w:val="00DA0157"/>
    <w:rsid w:val="00DA0956"/>
    <w:rsid w:val="00DA357F"/>
    <w:rsid w:val="00DA3E12"/>
    <w:rsid w:val="00DB034A"/>
    <w:rsid w:val="00DB334D"/>
    <w:rsid w:val="00DB6DCE"/>
    <w:rsid w:val="00DC18AD"/>
    <w:rsid w:val="00DD6326"/>
    <w:rsid w:val="00DD7266"/>
    <w:rsid w:val="00DE213A"/>
    <w:rsid w:val="00DE77D9"/>
    <w:rsid w:val="00DF1ADE"/>
    <w:rsid w:val="00DF7893"/>
    <w:rsid w:val="00DF7CAE"/>
    <w:rsid w:val="00E02FC9"/>
    <w:rsid w:val="00E35D32"/>
    <w:rsid w:val="00E423C0"/>
    <w:rsid w:val="00E52879"/>
    <w:rsid w:val="00E55974"/>
    <w:rsid w:val="00E5762E"/>
    <w:rsid w:val="00E62E2F"/>
    <w:rsid w:val="00E6414C"/>
    <w:rsid w:val="00E673E7"/>
    <w:rsid w:val="00E7260F"/>
    <w:rsid w:val="00E813B0"/>
    <w:rsid w:val="00E83D9D"/>
    <w:rsid w:val="00E8702D"/>
    <w:rsid w:val="00E916A9"/>
    <w:rsid w:val="00E916DE"/>
    <w:rsid w:val="00E925AD"/>
    <w:rsid w:val="00E928A2"/>
    <w:rsid w:val="00E96630"/>
    <w:rsid w:val="00E971AB"/>
    <w:rsid w:val="00EB0614"/>
    <w:rsid w:val="00EB4439"/>
    <w:rsid w:val="00EC3C5C"/>
    <w:rsid w:val="00ED036D"/>
    <w:rsid w:val="00ED18DC"/>
    <w:rsid w:val="00ED36F0"/>
    <w:rsid w:val="00ED5FFD"/>
    <w:rsid w:val="00ED6201"/>
    <w:rsid w:val="00ED7A2A"/>
    <w:rsid w:val="00EF1D7F"/>
    <w:rsid w:val="00EF4D8C"/>
    <w:rsid w:val="00EF613F"/>
    <w:rsid w:val="00F0137E"/>
    <w:rsid w:val="00F02868"/>
    <w:rsid w:val="00F10652"/>
    <w:rsid w:val="00F167B4"/>
    <w:rsid w:val="00F1782E"/>
    <w:rsid w:val="00F2141E"/>
    <w:rsid w:val="00F21786"/>
    <w:rsid w:val="00F25B7A"/>
    <w:rsid w:val="00F33AB8"/>
    <w:rsid w:val="00F348EF"/>
    <w:rsid w:val="00F3742B"/>
    <w:rsid w:val="00F41FDB"/>
    <w:rsid w:val="00F42C1A"/>
    <w:rsid w:val="00F439C7"/>
    <w:rsid w:val="00F46851"/>
    <w:rsid w:val="00F50504"/>
    <w:rsid w:val="00F507EC"/>
    <w:rsid w:val="00F56D63"/>
    <w:rsid w:val="00F57813"/>
    <w:rsid w:val="00F609A9"/>
    <w:rsid w:val="00F67671"/>
    <w:rsid w:val="00F76DBC"/>
    <w:rsid w:val="00F804C7"/>
    <w:rsid w:val="00F80C99"/>
    <w:rsid w:val="00F84ACD"/>
    <w:rsid w:val="00F867EC"/>
    <w:rsid w:val="00F90EAB"/>
    <w:rsid w:val="00F91B2B"/>
    <w:rsid w:val="00F9604C"/>
    <w:rsid w:val="00FA1052"/>
    <w:rsid w:val="00FA3F68"/>
    <w:rsid w:val="00FB25F1"/>
    <w:rsid w:val="00FB2EE7"/>
    <w:rsid w:val="00FB41F4"/>
    <w:rsid w:val="00FB6BB6"/>
    <w:rsid w:val="00FC03CD"/>
    <w:rsid w:val="00FC0646"/>
    <w:rsid w:val="00FC68B7"/>
    <w:rsid w:val="00FD4F02"/>
    <w:rsid w:val="00FD6013"/>
    <w:rsid w:val="00FE1505"/>
    <w:rsid w:val="00FE2FCD"/>
    <w:rsid w:val="00FE6985"/>
    <w:rsid w:val="00FF2D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0D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Ref,de nota al pie"/>
    <w:basedOn w:val="DefaultParagraphFon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0375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75F9"/>
    <w:rPr>
      <w:rFonts w:ascii="Tahoma" w:hAnsi="Tahoma" w:cs="Tahoma"/>
      <w:sz w:val="16"/>
      <w:szCs w:val="16"/>
      <w:lang w:eastAsia="en-US"/>
    </w:rPr>
  </w:style>
  <w:style w:type="character" w:customStyle="1" w:styleId="SingleTxtGChar">
    <w:name w:val="_ Single Txt_G Char"/>
    <w:link w:val="SingleTxtG"/>
    <w:rsid w:val="00ED5FFD"/>
    <w:rPr>
      <w:lang w:eastAsia="en-US"/>
    </w:rPr>
  </w:style>
  <w:style w:type="character" w:customStyle="1" w:styleId="FootnoteTextChar">
    <w:name w:val="Footnote Text Char"/>
    <w:aliases w:val="5_G Char,fn Char,footnote text Char,Footnotes Char,Footnote ak Char"/>
    <w:link w:val="FootnoteText"/>
    <w:rsid w:val="00ED5FFD"/>
    <w:rPr>
      <w:sz w:val="18"/>
      <w:lang w:eastAsia="en-US"/>
    </w:rPr>
  </w:style>
  <w:style w:type="paragraph" w:styleId="ListParagraph">
    <w:name w:val="List Paragraph"/>
    <w:basedOn w:val="Normal"/>
    <w:uiPriority w:val="34"/>
    <w:qFormat/>
    <w:rsid w:val="005271B2"/>
    <w:pPr>
      <w:ind w:left="720"/>
      <w:contextualSpacing/>
    </w:pPr>
  </w:style>
  <w:style w:type="paragraph" w:customStyle="1" w:styleId="Listamulticolor-nfasis11">
    <w:name w:val="Lista multicolor - Énfasis 11"/>
    <w:basedOn w:val="Normal"/>
    <w:uiPriority w:val="34"/>
    <w:rsid w:val="00D37ADA"/>
    <w:pPr>
      <w:suppressAutoHyphens w:val="0"/>
      <w:spacing w:after="200" w:line="276" w:lineRule="auto"/>
      <w:ind w:left="720"/>
      <w:contextualSpacing/>
    </w:pPr>
    <w:rPr>
      <w:rFonts w:eastAsia="MS PMincho"/>
      <w:sz w:val="22"/>
      <w:szCs w:val="22"/>
      <w:lang w:val="ru-RU" w:eastAsia="es-ES"/>
    </w:rPr>
  </w:style>
  <w:style w:type="character" w:styleId="CommentReference">
    <w:name w:val="annotation reference"/>
    <w:basedOn w:val="DefaultParagraphFont"/>
    <w:rsid w:val="000D31A0"/>
    <w:rPr>
      <w:sz w:val="16"/>
      <w:szCs w:val="16"/>
    </w:rPr>
  </w:style>
  <w:style w:type="paragraph" w:styleId="CommentText">
    <w:name w:val="annotation text"/>
    <w:basedOn w:val="Normal"/>
    <w:link w:val="CommentTextChar"/>
    <w:rsid w:val="000D31A0"/>
    <w:pPr>
      <w:spacing w:line="240" w:lineRule="auto"/>
    </w:pPr>
  </w:style>
  <w:style w:type="character" w:customStyle="1" w:styleId="CommentTextChar">
    <w:name w:val="Comment Text Char"/>
    <w:basedOn w:val="DefaultParagraphFont"/>
    <w:link w:val="CommentText"/>
    <w:rsid w:val="000D31A0"/>
    <w:rPr>
      <w:lang w:eastAsia="en-US"/>
    </w:rPr>
  </w:style>
  <w:style w:type="paragraph" w:styleId="CommentSubject">
    <w:name w:val="annotation subject"/>
    <w:basedOn w:val="CommentText"/>
    <w:next w:val="CommentText"/>
    <w:link w:val="CommentSubjectChar"/>
    <w:rsid w:val="000D31A0"/>
    <w:rPr>
      <w:b/>
      <w:bCs/>
    </w:rPr>
  </w:style>
  <w:style w:type="character" w:customStyle="1" w:styleId="CommentSubjectChar">
    <w:name w:val="Comment Subject Char"/>
    <w:basedOn w:val="CommentTextChar"/>
    <w:link w:val="CommentSubject"/>
    <w:rsid w:val="000D31A0"/>
    <w:rPr>
      <w:b/>
      <w:bCs/>
      <w:lang w:eastAsia="en-US"/>
    </w:rPr>
  </w:style>
  <w:style w:type="paragraph" w:styleId="Revision">
    <w:name w:val="Revision"/>
    <w:hidden/>
    <w:uiPriority w:val="99"/>
    <w:semiHidden/>
    <w:rsid w:val="007766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Ref,de nota al pie"/>
    <w:basedOn w:val="DefaultParagraphFon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0375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75F9"/>
    <w:rPr>
      <w:rFonts w:ascii="Tahoma" w:hAnsi="Tahoma" w:cs="Tahoma"/>
      <w:sz w:val="16"/>
      <w:szCs w:val="16"/>
      <w:lang w:eastAsia="en-US"/>
    </w:rPr>
  </w:style>
  <w:style w:type="character" w:customStyle="1" w:styleId="SingleTxtGChar">
    <w:name w:val="_ Single Txt_G Char"/>
    <w:link w:val="SingleTxtG"/>
    <w:rsid w:val="00ED5FFD"/>
    <w:rPr>
      <w:lang w:eastAsia="en-US"/>
    </w:rPr>
  </w:style>
  <w:style w:type="character" w:customStyle="1" w:styleId="FootnoteTextChar">
    <w:name w:val="Footnote Text Char"/>
    <w:aliases w:val="5_G Char,fn Char,footnote text Char,Footnotes Char,Footnote ak Char"/>
    <w:link w:val="FootnoteText"/>
    <w:rsid w:val="00ED5FFD"/>
    <w:rPr>
      <w:sz w:val="18"/>
      <w:lang w:eastAsia="en-US"/>
    </w:rPr>
  </w:style>
  <w:style w:type="paragraph" w:styleId="ListParagraph">
    <w:name w:val="List Paragraph"/>
    <w:basedOn w:val="Normal"/>
    <w:uiPriority w:val="34"/>
    <w:qFormat/>
    <w:rsid w:val="005271B2"/>
    <w:pPr>
      <w:ind w:left="720"/>
      <w:contextualSpacing/>
    </w:pPr>
  </w:style>
  <w:style w:type="paragraph" w:customStyle="1" w:styleId="Listamulticolor-nfasis11">
    <w:name w:val="Lista multicolor - Énfasis 11"/>
    <w:basedOn w:val="Normal"/>
    <w:uiPriority w:val="34"/>
    <w:rsid w:val="00D37ADA"/>
    <w:pPr>
      <w:suppressAutoHyphens w:val="0"/>
      <w:spacing w:after="200" w:line="276" w:lineRule="auto"/>
      <w:ind w:left="720"/>
      <w:contextualSpacing/>
    </w:pPr>
    <w:rPr>
      <w:rFonts w:eastAsia="MS PMincho"/>
      <w:sz w:val="22"/>
      <w:szCs w:val="22"/>
      <w:lang w:val="ru-RU" w:eastAsia="es-ES"/>
    </w:rPr>
  </w:style>
  <w:style w:type="character" w:styleId="CommentReference">
    <w:name w:val="annotation reference"/>
    <w:basedOn w:val="DefaultParagraphFont"/>
    <w:rsid w:val="000D31A0"/>
    <w:rPr>
      <w:sz w:val="16"/>
      <w:szCs w:val="16"/>
    </w:rPr>
  </w:style>
  <w:style w:type="paragraph" w:styleId="CommentText">
    <w:name w:val="annotation text"/>
    <w:basedOn w:val="Normal"/>
    <w:link w:val="CommentTextChar"/>
    <w:rsid w:val="000D31A0"/>
    <w:pPr>
      <w:spacing w:line="240" w:lineRule="auto"/>
    </w:pPr>
  </w:style>
  <w:style w:type="character" w:customStyle="1" w:styleId="CommentTextChar">
    <w:name w:val="Comment Text Char"/>
    <w:basedOn w:val="DefaultParagraphFont"/>
    <w:link w:val="CommentText"/>
    <w:rsid w:val="000D31A0"/>
    <w:rPr>
      <w:lang w:eastAsia="en-US"/>
    </w:rPr>
  </w:style>
  <w:style w:type="paragraph" w:styleId="CommentSubject">
    <w:name w:val="annotation subject"/>
    <w:basedOn w:val="CommentText"/>
    <w:next w:val="CommentText"/>
    <w:link w:val="CommentSubjectChar"/>
    <w:rsid w:val="000D31A0"/>
    <w:rPr>
      <w:b/>
      <w:bCs/>
    </w:rPr>
  </w:style>
  <w:style w:type="character" w:customStyle="1" w:styleId="CommentSubjectChar">
    <w:name w:val="Comment Subject Char"/>
    <w:basedOn w:val="CommentTextChar"/>
    <w:link w:val="CommentSubject"/>
    <w:rsid w:val="000D31A0"/>
    <w:rPr>
      <w:b/>
      <w:bCs/>
      <w:lang w:eastAsia="en-US"/>
    </w:rPr>
  </w:style>
  <w:style w:type="paragraph" w:styleId="Revision">
    <w:name w:val="Revision"/>
    <w:hidden/>
    <w:uiPriority w:val="99"/>
    <w:semiHidden/>
    <w:rsid w:val="007766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38459">
      <w:bodyDiv w:val="1"/>
      <w:marLeft w:val="0"/>
      <w:marRight w:val="0"/>
      <w:marTop w:val="0"/>
      <w:marBottom w:val="0"/>
      <w:divBdr>
        <w:top w:val="none" w:sz="0" w:space="0" w:color="auto"/>
        <w:left w:val="none" w:sz="0" w:space="0" w:color="auto"/>
        <w:bottom w:val="none" w:sz="0" w:space="0" w:color="auto"/>
        <w:right w:val="none" w:sz="0" w:space="0" w:color="auto"/>
      </w:divBdr>
      <w:divsChild>
        <w:div w:id="2146386857">
          <w:marLeft w:val="0"/>
          <w:marRight w:val="0"/>
          <w:marTop w:val="0"/>
          <w:marBottom w:val="0"/>
          <w:divBdr>
            <w:top w:val="none" w:sz="0" w:space="0" w:color="auto"/>
            <w:left w:val="none" w:sz="0" w:space="0" w:color="auto"/>
            <w:bottom w:val="none" w:sz="0" w:space="0" w:color="auto"/>
            <w:right w:val="none" w:sz="0" w:space="0" w:color="auto"/>
          </w:divBdr>
        </w:div>
        <w:div w:id="1265528017">
          <w:marLeft w:val="0"/>
          <w:marRight w:val="0"/>
          <w:marTop w:val="0"/>
          <w:marBottom w:val="0"/>
          <w:divBdr>
            <w:top w:val="none" w:sz="0" w:space="0" w:color="auto"/>
            <w:left w:val="none" w:sz="0" w:space="0" w:color="auto"/>
            <w:bottom w:val="none" w:sz="0" w:space="0" w:color="auto"/>
            <w:right w:val="none" w:sz="0" w:space="0" w:color="auto"/>
          </w:divBdr>
        </w:div>
        <w:div w:id="598680379">
          <w:marLeft w:val="0"/>
          <w:marRight w:val="0"/>
          <w:marTop w:val="0"/>
          <w:marBottom w:val="0"/>
          <w:divBdr>
            <w:top w:val="none" w:sz="0" w:space="0" w:color="auto"/>
            <w:left w:val="none" w:sz="0" w:space="0" w:color="auto"/>
            <w:bottom w:val="none" w:sz="0" w:space="0" w:color="auto"/>
            <w:right w:val="none" w:sz="0" w:space="0" w:color="auto"/>
          </w:divBdr>
        </w:div>
        <w:div w:id="390158788">
          <w:marLeft w:val="0"/>
          <w:marRight w:val="0"/>
          <w:marTop w:val="0"/>
          <w:marBottom w:val="0"/>
          <w:divBdr>
            <w:top w:val="none" w:sz="0" w:space="0" w:color="auto"/>
            <w:left w:val="none" w:sz="0" w:space="0" w:color="auto"/>
            <w:bottom w:val="none" w:sz="0" w:space="0" w:color="auto"/>
            <w:right w:val="none" w:sz="0" w:space="0" w:color="auto"/>
          </w:divBdr>
        </w:div>
        <w:div w:id="1647390585">
          <w:marLeft w:val="0"/>
          <w:marRight w:val="0"/>
          <w:marTop w:val="0"/>
          <w:marBottom w:val="0"/>
          <w:divBdr>
            <w:top w:val="none" w:sz="0" w:space="0" w:color="auto"/>
            <w:left w:val="none" w:sz="0" w:space="0" w:color="auto"/>
            <w:bottom w:val="none" w:sz="0" w:space="0" w:color="auto"/>
            <w:right w:val="none" w:sz="0" w:space="0" w:color="auto"/>
          </w:divBdr>
        </w:div>
        <w:div w:id="1055858021">
          <w:marLeft w:val="0"/>
          <w:marRight w:val="0"/>
          <w:marTop w:val="0"/>
          <w:marBottom w:val="0"/>
          <w:divBdr>
            <w:top w:val="none" w:sz="0" w:space="0" w:color="auto"/>
            <w:left w:val="none" w:sz="0" w:space="0" w:color="auto"/>
            <w:bottom w:val="none" w:sz="0" w:space="0" w:color="auto"/>
            <w:right w:val="none" w:sz="0" w:space="0" w:color="auto"/>
          </w:divBdr>
        </w:div>
        <w:div w:id="1093815106">
          <w:marLeft w:val="0"/>
          <w:marRight w:val="0"/>
          <w:marTop w:val="0"/>
          <w:marBottom w:val="0"/>
          <w:divBdr>
            <w:top w:val="none" w:sz="0" w:space="0" w:color="auto"/>
            <w:left w:val="none" w:sz="0" w:space="0" w:color="auto"/>
            <w:bottom w:val="none" w:sz="0" w:space="0" w:color="auto"/>
            <w:right w:val="none" w:sz="0" w:space="0" w:color="auto"/>
          </w:divBdr>
        </w:div>
        <w:div w:id="1172183519">
          <w:marLeft w:val="0"/>
          <w:marRight w:val="0"/>
          <w:marTop w:val="0"/>
          <w:marBottom w:val="0"/>
          <w:divBdr>
            <w:top w:val="none" w:sz="0" w:space="0" w:color="auto"/>
            <w:left w:val="none" w:sz="0" w:space="0" w:color="auto"/>
            <w:bottom w:val="none" w:sz="0" w:space="0" w:color="auto"/>
            <w:right w:val="none" w:sz="0" w:space="0" w:color="auto"/>
          </w:divBdr>
        </w:div>
        <w:div w:id="494496997">
          <w:marLeft w:val="0"/>
          <w:marRight w:val="0"/>
          <w:marTop w:val="0"/>
          <w:marBottom w:val="0"/>
          <w:divBdr>
            <w:top w:val="none" w:sz="0" w:space="0" w:color="auto"/>
            <w:left w:val="none" w:sz="0" w:space="0" w:color="auto"/>
            <w:bottom w:val="none" w:sz="0" w:space="0" w:color="auto"/>
            <w:right w:val="none" w:sz="0" w:space="0" w:color="auto"/>
          </w:divBdr>
        </w:div>
        <w:div w:id="706830851">
          <w:marLeft w:val="0"/>
          <w:marRight w:val="0"/>
          <w:marTop w:val="0"/>
          <w:marBottom w:val="0"/>
          <w:divBdr>
            <w:top w:val="none" w:sz="0" w:space="0" w:color="auto"/>
            <w:left w:val="none" w:sz="0" w:space="0" w:color="auto"/>
            <w:bottom w:val="none" w:sz="0" w:space="0" w:color="auto"/>
            <w:right w:val="none" w:sz="0" w:space="0" w:color="auto"/>
          </w:divBdr>
        </w:div>
        <w:div w:id="659651660">
          <w:marLeft w:val="0"/>
          <w:marRight w:val="0"/>
          <w:marTop w:val="0"/>
          <w:marBottom w:val="0"/>
          <w:divBdr>
            <w:top w:val="none" w:sz="0" w:space="0" w:color="auto"/>
            <w:left w:val="none" w:sz="0" w:space="0" w:color="auto"/>
            <w:bottom w:val="none" w:sz="0" w:space="0" w:color="auto"/>
            <w:right w:val="none" w:sz="0" w:space="0" w:color="auto"/>
          </w:divBdr>
        </w:div>
        <w:div w:id="549609881">
          <w:marLeft w:val="0"/>
          <w:marRight w:val="0"/>
          <w:marTop w:val="0"/>
          <w:marBottom w:val="0"/>
          <w:divBdr>
            <w:top w:val="none" w:sz="0" w:space="0" w:color="auto"/>
            <w:left w:val="none" w:sz="0" w:space="0" w:color="auto"/>
            <w:bottom w:val="none" w:sz="0" w:space="0" w:color="auto"/>
            <w:right w:val="none" w:sz="0" w:space="0" w:color="auto"/>
          </w:divBdr>
        </w:div>
        <w:div w:id="1251500059">
          <w:marLeft w:val="0"/>
          <w:marRight w:val="0"/>
          <w:marTop w:val="0"/>
          <w:marBottom w:val="0"/>
          <w:divBdr>
            <w:top w:val="none" w:sz="0" w:space="0" w:color="auto"/>
            <w:left w:val="none" w:sz="0" w:space="0" w:color="auto"/>
            <w:bottom w:val="none" w:sz="0" w:space="0" w:color="auto"/>
            <w:right w:val="none" w:sz="0" w:space="0" w:color="auto"/>
          </w:divBdr>
        </w:div>
        <w:div w:id="418449376">
          <w:marLeft w:val="0"/>
          <w:marRight w:val="0"/>
          <w:marTop w:val="0"/>
          <w:marBottom w:val="0"/>
          <w:divBdr>
            <w:top w:val="none" w:sz="0" w:space="0" w:color="auto"/>
            <w:left w:val="none" w:sz="0" w:space="0" w:color="auto"/>
            <w:bottom w:val="none" w:sz="0" w:space="0" w:color="auto"/>
            <w:right w:val="none" w:sz="0" w:space="0" w:color="auto"/>
          </w:divBdr>
        </w:div>
        <w:div w:id="806624279">
          <w:marLeft w:val="0"/>
          <w:marRight w:val="0"/>
          <w:marTop w:val="0"/>
          <w:marBottom w:val="0"/>
          <w:divBdr>
            <w:top w:val="none" w:sz="0" w:space="0" w:color="auto"/>
            <w:left w:val="none" w:sz="0" w:space="0" w:color="auto"/>
            <w:bottom w:val="none" w:sz="0" w:space="0" w:color="auto"/>
            <w:right w:val="none" w:sz="0" w:space="0" w:color="auto"/>
          </w:divBdr>
        </w:div>
        <w:div w:id="985861412">
          <w:marLeft w:val="0"/>
          <w:marRight w:val="0"/>
          <w:marTop w:val="0"/>
          <w:marBottom w:val="0"/>
          <w:divBdr>
            <w:top w:val="none" w:sz="0" w:space="0" w:color="auto"/>
            <w:left w:val="none" w:sz="0" w:space="0" w:color="auto"/>
            <w:bottom w:val="none" w:sz="0" w:space="0" w:color="auto"/>
            <w:right w:val="none" w:sz="0" w:space="0" w:color="auto"/>
          </w:divBdr>
        </w:div>
        <w:div w:id="50902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pp/prtr_reports_implementation_2014.html"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env/pp/mopp1.html" TargetMode="External"/><Relationship Id="rId6" Type="http://schemas.openxmlformats.org/officeDocument/2006/relationships/hyperlink" Target="http://www.ceip.at/emission-data-webdab/" TargetMode="External"/><Relationship Id="rId5" Type="http://schemas.openxmlformats.org/officeDocument/2006/relationships/hyperlink" Target="http://www.unece.org/prtrmopp2_docs.html" TargetMode="External"/><Relationship Id="rId4" Type="http://schemas.openxmlformats.org/officeDocument/2006/relationships/hyperlink" Target="http://www2.unece.org/prtr-n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B941-9AB4-432B-8E66-14C2622D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20</Pages>
  <Words>8126</Words>
  <Characters>45628</Characters>
  <Application>Microsoft Office Word</Application>
  <DocSecurity>0</DocSecurity>
  <Lines>783</Lines>
  <Paragraphs>319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1614847</dc:title>
  <dc:subject>ECE/MP.PRTR/WG.1/2016/6</dc:subject>
  <dc:creator>james</dc:creator>
  <cp:keywords/>
  <dc:description/>
  <cp:lastModifiedBy>pdfeng</cp:lastModifiedBy>
  <cp:revision>2</cp:revision>
  <cp:lastPrinted>2015-09-04T10:38:00Z</cp:lastPrinted>
  <dcterms:created xsi:type="dcterms:W3CDTF">2016-08-29T06:07:00Z</dcterms:created>
  <dcterms:modified xsi:type="dcterms:W3CDTF">2016-08-29T06:07:00Z</dcterms:modified>
</cp:coreProperties>
</file>