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00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000F7" w:rsidP="005000F7">
            <w:pPr>
              <w:jc w:val="right"/>
            </w:pPr>
            <w:r w:rsidRPr="005000F7">
              <w:rPr>
                <w:sz w:val="40"/>
              </w:rPr>
              <w:t>ECE</w:t>
            </w:r>
            <w:r>
              <w:t>/MP.PP/2017/24</w:t>
            </w:r>
          </w:p>
        </w:tc>
      </w:tr>
      <w:tr w:rsidR="002D5AAC" w:rsidRPr="0054604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000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000F7" w:rsidRDefault="005000F7" w:rsidP="00500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5000F7" w:rsidRDefault="005000F7" w:rsidP="00500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000F7" w:rsidRPr="008D53B6" w:rsidRDefault="005000F7" w:rsidP="00500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000F7" w:rsidRPr="005000F7" w:rsidRDefault="005000F7" w:rsidP="00B15C0F">
      <w:pPr>
        <w:spacing w:before="120"/>
        <w:rPr>
          <w:sz w:val="28"/>
          <w:szCs w:val="28"/>
        </w:rPr>
      </w:pPr>
      <w:r w:rsidRPr="005000F7">
        <w:rPr>
          <w:sz w:val="28"/>
          <w:szCs w:val="28"/>
        </w:rPr>
        <w:t xml:space="preserve">Совещание Сторон Конвенции о доступе </w:t>
      </w:r>
      <w:r w:rsidR="00B15C0F">
        <w:rPr>
          <w:sz w:val="28"/>
          <w:szCs w:val="28"/>
        </w:rPr>
        <w:br/>
      </w:r>
      <w:r w:rsidRPr="005000F7">
        <w:rPr>
          <w:sz w:val="28"/>
          <w:szCs w:val="28"/>
        </w:rPr>
        <w:t xml:space="preserve">к информации, участии общественности </w:t>
      </w:r>
      <w:r w:rsidR="00B15C0F">
        <w:rPr>
          <w:sz w:val="28"/>
          <w:szCs w:val="28"/>
        </w:rPr>
        <w:br/>
      </w:r>
      <w:r w:rsidRPr="005000F7">
        <w:rPr>
          <w:sz w:val="28"/>
          <w:szCs w:val="28"/>
        </w:rPr>
        <w:t xml:space="preserve">в процессе принятия решений и доступе </w:t>
      </w:r>
      <w:r w:rsidR="00B15C0F">
        <w:rPr>
          <w:sz w:val="28"/>
          <w:szCs w:val="28"/>
        </w:rPr>
        <w:br/>
      </w:r>
      <w:r w:rsidRPr="005000F7">
        <w:rPr>
          <w:sz w:val="28"/>
          <w:szCs w:val="28"/>
        </w:rPr>
        <w:t xml:space="preserve">к правосудию по вопросам, касающимся </w:t>
      </w:r>
      <w:r w:rsidR="00B15C0F">
        <w:rPr>
          <w:sz w:val="28"/>
          <w:szCs w:val="28"/>
        </w:rPr>
        <w:br/>
      </w:r>
      <w:r w:rsidRPr="005000F7">
        <w:rPr>
          <w:sz w:val="28"/>
          <w:szCs w:val="28"/>
        </w:rPr>
        <w:t>окружающей среды</w:t>
      </w:r>
    </w:p>
    <w:p w:rsidR="005000F7" w:rsidRPr="005000F7" w:rsidRDefault="005000F7" w:rsidP="00B15C0F">
      <w:pPr>
        <w:spacing w:before="120"/>
        <w:rPr>
          <w:b/>
          <w:bCs/>
        </w:rPr>
      </w:pPr>
      <w:r w:rsidRPr="005000F7">
        <w:rPr>
          <w:b/>
          <w:bCs/>
        </w:rPr>
        <w:t xml:space="preserve">Шестая сессия, </w:t>
      </w:r>
    </w:p>
    <w:p w:rsidR="005000F7" w:rsidRPr="005000F7" w:rsidRDefault="005000F7" w:rsidP="005000F7">
      <w:r w:rsidRPr="005000F7">
        <w:t>Будва, Черногория, 11–13 сентября 2017 года</w:t>
      </w:r>
    </w:p>
    <w:p w:rsidR="005000F7" w:rsidRPr="005000F7" w:rsidRDefault="005000F7" w:rsidP="005000F7">
      <w:r w:rsidRPr="005000F7">
        <w:t>Пункт 7 b) предварительной повестки дня</w:t>
      </w:r>
    </w:p>
    <w:p w:rsidR="00E12C5F" w:rsidRDefault="005000F7" w:rsidP="005000F7">
      <w:pPr>
        <w:rPr>
          <w:b/>
          <w:bCs/>
        </w:rPr>
      </w:pPr>
      <w:r w:rsidRPr="005000F7">
        <w:rPr>
          <w:b/>
          <w:bCs/>
        </w:rPr>
        <w:t xml:space="preserve">Процедуры и механизмы, способствующие </w:t>
      </w:r>
      <w:r w:rsidR="00B15C0F">
        <w:rPr>
          <w:b/>
          <w:bCs/>
        </w:rPr>
        <w:br/>
      </w:r>
      <w:r w:rsidRPr="005000F7">
        <w:rPr>
          <w:b/>
          <w:bCs/>
        </w:rPr>
        <w:t>осуществлению Конвенции:</w:t>
      </w:r>
      <w:r w:rsidR="00B15C0F" w:rsidRPr="00B15C0F">
        <w:rPr>
          <w:b/>
          <w:bCs/>
        </w:rPr>
        <w:t xml:space="preserve"> </w:t>
      </w:r>
      <w:r w:rsidRPr="005000F7">
        <w:rPr>
          <w:b/>
          <w:bCs/>
        </w:rPr>
        <w:t>механизм соблюдения</w:t>
      </w:r>
    </w:p>
    <w:p w:rsidR="00B15C0F" w:rsidRPr="00B15C0F" w:rsidRDefault="00B15C0F" w:rsidP="00B15C0F">
      <w:pPr>
        <w:pStyle w:val="HChGR"/>
      </w:pPr>
      <w:r w:rsidRPr="00B15C0F">
        <w:tab/>
      </w:r>
      <w:r>
        <w:tab/>
      </w:r>
      <w:r w:rsidRPr="00B15C0F">
        <w:t>Проект решения V</w:t>
      </w:r>
      <w:r w:rsidR="002C1271">
        <w:t>I</w:t>
      </w:r>
      <w:r w:rsidRPr="00B15C0F">
        <w:t>/8е о соблюдении Чехией своих обязательств по Конвенции</w:t>
      </w:r>
      <w:bookmarkStart w:id="0" w:name="OLE_LINK2"/>
      <w:bookmarkEnd w:id="0"/>
    </w:p>
    <w:p w:rsidR="00B15C0F" w:rsidRPr="00B15C0F" w:rsidRDefault="00B15C0F" w:rsidP="00B15C0F">
      <w:pPr>
        <w:pStyle w:val="H1GR"/>
        <w:rPr>
          <w:i/>
          <w:iCs/>
        </w:rPr>
      </w:pPr>
      <w:r w:rsidRPr="00B15C0F">
        <w:tab/>
      </w:r>
      <w:r w:rsidRPr="00B15C0F">
        <w:tab/>
        <w:t xml:space="preserve">Подготовлен Президиумом </w:t>
      </w:r>
    </w:p>
    <w:p w:rsidR="00B15C0F" w:rsidRPr="00B15C0F" w:rsidRDefault="00B15C0F" w:rsidP="00B15C0F">
      <w:pPr>
        <w:pStyle w:val="SingleTxtGR"/>
        <w:rPr>
          <w:i/>
        </w:rPr>
      </w:pPr>
      <w:r w:rsidRPr="00B15C0F">
        <w:tab/>
      </w:r>
      <w:r w:rsidRPr="00B15C0F">
        <w:rPr>
          <w:i/>
          <w:iCs/>
        </w:rPr>
        <w:t>Совещание Сторон</w:t>
      </w:r>
      <w:r w:rsidRPr="00B15C0F">
        <w:t xml:space="preserve">, </w:t>
      </w:r>
    </w:p>
    <w:p w:rsidR="00B15C0F" w:rsidRPr="00B15C0F" w:rsidRDefault="00B15C0F" w:rsidP="00B15C0F">
      <w:pPr>
        <w:pStyle w:val="SingleTxtGR"/>
      </w:pPr>
      <w:r w:rsidRPr="00B15C0F">
        <w:tab/>
      </w:r>
      <w:r w:rsidRPr="00B15C0F">
        <w:rPr>
          <w:i/>
          <w:iCs/>
        </w:rPr>
        <w:t>действуя</w:t>
      </w:r>
      <w:r w:rsidRPr="00B15C0F">
        <w:t xml:space="preserve"> в соответствии с пунктом 37 приложения к его решению I/7 о</w:t>
      </w:r>
      <w:r w:rsidR="004C0B8F">
        <w:t> </w:t>
      </w:r>
      <w:r w:rsidRPr="00B15C0F">
        <w:t>рассмотрении соблюдения</w:t>
      </w:r>
      <w:r w:rsidR="004C0B8F">
        <w:t xml:space="preserve"> </w:t>
      </w:r>
      <w:r w:rsidRPr="00B15C0F">
        <w:t xml:space="preserve">(ECE/MP.PP/2/Add.8), </w:t>
      </w:r>
    </w:p>
    <w:p w:rsidR="00B15C0F" w:rsidRPr="00B15C0F" w:rsidRDefault="00B15C0F" w:rsidP="00B15C0F">
      <w:pPr>
        <w:pStyle w:val="SingleTxtGR"/>
      </w:pPr>
      <w:r w:rsidRPr="00B15C0F">
        <w:tab/>
      </w:r>
      <w:r w:rsidRPr="00B15C0F">
        <w:rPr>
          <w:i/>
          <w:iCs/>
        </w:rPr>
        <w:t>памятуя</w:t>
      </w:r>
      <w:r w:rsidRPr="00B15C0F">
        <w:t xml:space="preserve"> о выводах и рекомендациях, изложенных в его решении V/9f в</w:t>
      </w:r>
      <w:r w:rsidR="004C0B8F">
        <w:t> </w:t>
      </w:r>
      <w:r w:rsidRPr="00B15C0F">
        <w:t xml:space="preserve">отношении соблюдения </w:t>
      </w:r>
      <w:r w:rsidR="004C0B8F">
        <w:t xml:space="preserve">своих обязательств </w:t>
      </w:r>
      <w:r w:rsidRPr="00B15C0F">
        <w:t>Чехи</w:t>
      </w:r>
      <w:r w:rsidR="004C0B8F">
        <w:t>ей</w:t>
      </w:r>
      <w:r w:rsidRPr="00B15C0F">
        <w:t xml:space="preserve"> (см. ECE/MP.PP/2014/</w:t>
      </w:r>
      <w:r w:rsidR="004C0B8F">
        <w:t xml:space="preserve"> </w:t>
      </w:r>
      <w:r w:rsidRPr="00B15C0F">
        <w:t>Add.1),</w:t>
      </w:r>
    </w:p>
    <w:p w:rsidR="00B15C0F" w:rsidRPr="00B15C0F" w:rsidRDefault="00B15C0F" w:rsidP="00B15C0F">
      <w:pPr>
        <w:pStyle w:val="SingleTxtGR"/>
      </w:pPr>
      <w:r w:rsidRPr="00B15C0F">
        <w:tab/>
      </w:r>
      <w:r w:rsidRPr="00B15C0F">
        <w:rPr>
          <w:i/>
          <w:iCs/>
        </w:rPr>
        <w:t>принимая к сведению</w:t>
      </w:r>
      <w:r w:rsidRPr="00B15C0F"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осуществления решения V/9f о соблюдении Чехией ее обязательств по Конвенции (ECE/MP.PP/2017/38), а также выводы Комитета по сообщению ACCC/C/2012/71 (ECE/MP.PP/C.1/2017/3) относительно возможности для представителей общественности в Германии участвовать в процессе принятия решений в отношении Темелинской атомной электростанции,</w:t>
      </w:r>
    </w:p>
    <w:p w:rsidR="00B15C0F" w:rsidRPr="00B15C0F" w:rsidRDefault="00B15C0F" w:rsidP="00B15C0F">
      <w:pPr>
        <w:pStyle w:val="SingleTxtGR"/>
      </w:pPr>
      <w:r w:rsidRPr="00B15C0F">
        <w:tab/>
      </w:r>
      <w:r w:rsidRPr="00B15C0F">
        <w:rPr>
          <w:i/>
          <w:iCs/>
        </w:rPr>
        <w:t>будучи воодушевлено</w:t>
      </w:r>
      <w:r w:rsidRPr="00B15C0F">
        <w:t xml:space="preserve"> готовностью Чехии</w:t>
      </w:r>
      <w:r w:rsidR="004C0B8F">
        <w:t xml:space="preserve"> </w:t>
      </w:r>
      <w:r w:rsidRPr="00B15C0F">
        <w:t xml:space="preserve">конструктивно обсуждать с Комитетом соответствующие вопросы соблюдения, 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1.</w:t>
      </w:r>
      <w:r w:rsidRPr="00B15C0F">
        <w:tab/>
      </w:r>
      <w:r w:rsidR="005D33E9">
        <w:rPr>
          <w:i/>
          <w:iCs/>
        </w:rPr>
        <w:t>одобряет</w:t>
      </w:r>
      <w:r w:rsidRPr="00B15C0F">
        <w:t xml:space="preserve"> вывод Комитета о том, что соответствующая Сторона выполнила требования, содержащиеся в</w:t>
      </w:r>
      <w:r w:rsidR="005D33E9">
        <w:t xml:space="preserve"> под</w:t>
      </w:r>
      <w:r w:rsidRPr="00B15C0F">
        <w:t>пункт</w:t>
      </w:r>
      <w:r w:rsidR="005D33E9">
        <w:t>ах</w:t>
      </w:r>
      <w:r w:rsidRPr="00B15C0F">
        <w:t xml:space="preserve"> а), b), с) и d) </w:t>
      </w:r>
      <w:r w:rsidR="005D33E9">
        <w:t xml:space="preserve">пункта 4 </w:t>
      </w:r>
      <w:r w:rsidR="005D33E9">
        <w:br/>
      </w:r>
      <w:r w:rsidRPr="00B15C0F">
        <w:t>решения V/9f;</w:t>
      </w:r>
    </w:p>
    <w:p w:rsidR="00B15C0F" w:rsidRPr="00B15C0F" w:rsidRDefault="00B15C0F" w:rsidP="005D33E9">
      <w:pPr>
        <w:pStyle w:val="SingleTxtGR"/>
        <w:keepNext/>
        <w:keepLines/>
      </w:pPr>
      <w:r>
        <w:lastRenderedPageBreak/>
        <w:tab/>
      </w:r>
      <w:r w:rsidRPr="00B15C0F">
        <w:t>2.</w:t>
      </w:r>
      <w:r w:rsidRPr="00B15C0F">
        <w:tab/>
      </w:r>
      <w:r w:rsidRPr="00B15C0F">
        <w:rPr>
          <w:i/>
          <w:iCs/>
        </w:rPr>
        <w:t xml:space="preserve">одобряет также </w:t>
      </w:r>
      <w:r w:rsidRPr="00B15C0F">
        <w:t xml:space="preserve">вывод </w:t>
      </w:r>
      <w:r w:rsidR="005D33E9">
        <w:t>К</w:t>
      </w:r>
      <w:r w:rsidRPr="00B15C0F">
        <w:t>омитета о том, что соответствующая Сторона пока не полностью выполнила рекомендации, изложенные в пункте 4</w:t>
      </w:r>
      <w:r w:rsidR="005D33E9">
        <w:t> </w:t>
      </w:r>
      <w:r w:rsidRPr="00B15C0F">
        <w:t>е) и</w:t>
      </w:r>
      <w:r w:rsidR="004C0B8F">
        <w:t> </w:t>
      </w:r>
      <w:r w:rsidRPr="00B15C0F">
        <w:t xml:space="preserve">пункте 6 решения V/9f, однако приветствует шаги, предпринятые соответствующей Стороной в этом направлении; 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3.</w:t>
      </w:r>
      <w:r w:rsidRPr="00B15C0F">
        <w:tab/>
      </w:r>
      <w:r w:rsidRPr="00B15C0F">
        <w:rPr>
          <w:i/>
          <w:iCs/>
        </w:rPr>
        <w:t>подтверждает</w:t>
      </w:r>
      <w:r w:rsidRPr="00B15C0F">
        <w:t xml:space="preserve"> решение V/9f и предлагает соответствующей Стороне принять необходимые законодательные, регулятивные и административные меры для обеспечения того, чтобы:</w:t>
      </w:r>
    </w:p>
    <w:p w:rsidR="00B15C0F" w:rsidRPr="00B15C0F" w:rsidRDefault="00B15C0F" w:rsidP="00B15C0F">
      <w:pPr>
        <w:pStyle w:val="SingleTxtGR"/>
      </w:pPr>
      <w:r>
        <w:tab/>
        <w:t>а)</w:t>
      </w:r>
      <w:r>
        <w:tab/>
      </w:r>
      <w:r w:rsidRPr="00B15C0F">
        <w:t>представители общественности имели доступ к административным или судебным процедурам для оспаривания действий или бездействия оператора или компетентного органа в тех случаях, когда оператор нарушает положения национального законодательства, касающиеся допустимого уровня шума;</w:t>
      </w:r>
    </w:p>
    <w:p w:rsidR="00B15C0F" w:rsidRPr="00B15C0F" w:rsidDel="00A65485" w:rsidRDefault="00B15C0F" w:rsidP="00B15C0F">
      <w:pPr>
        <w:pStyle w:val="SingleTxtGR"/>
      </w:pPr>
      <w:r>
        <w:tab/>
      </w:r>
      <w:r w:rsidRPr="00B15C0F">
        <w:t>b)</w:t>
      </w:r>
      <w:r w:rsidRPr="00B15C0F">
        <w:tab/>
        <w:t>соответствующая Сторона в будущем представляла планы и программы, сходные по характеру с Национальным инвестиционным планом, для целей участия общественности, как того требует статья 7 в сочетании с соответствующими пунктами статьи 6 Конвенции;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4.</w:t>
      </w:r>
      <w:r w:rsidRPr="00B15C0F">
        <w:tab/>
      </w:r>
      <w:r w:rsidRPr="00B15C0F">
        <w:rPr>
          <w:i/>
          <w:iCs/>
        </w:rPr>
        <w:t>одобряет</w:t>
      </w:r>
      <w:r w:rsidRPr="00B15C0F">
        <w:t xml:space="preserve"> нижеследующие выводы Комитета по сообщению ACCC/C/2012/71: 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a)</w:t>
      </w:r>
      <w:r w:rsidRPr="00B15C0F">
        <w:tab/>
        <w:t>вследствие отсутствия в нормативно-правовой базе</w:t>
      </w:r>
      <w:r w:rsidR="004C0B8F">
        <w:t xml:space="preserve"> </w:t>
      </w:r>
      <w:r w:rsidRPr="00B15C0F">
        <w:t>четкого требования относительно обеспечения того, чтобы при выборе средств уведомления общественности органы государственной власти в обязательном порядке выбирали такие средства, которые с учетом характера планируемой деятельности обеспечивали бы, чтобы все те лица, которые потенциально могут оказаться заинтересованными, в том числе общественность за пределами территории соответствующей Стороны, имели разумные возможности узнать о планируемой деятельности, соответствующая Сторона не обеспечила соблюдение пункта 2 статьи 6 Конвенции в отношении своей нормативно-правовой базы</w:t>
      </w:r>
      <w:r w:rsidR="00C02F04">
        <w:t>;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b)</w:t>
      </w:r>
      <w:r w:rsidRPr="00B15C0F">
        <w:tab/>
        <w:t>что касается процесса принятия решений по Темелинской АЭС, то</w:t>
      </w:r>
      <w:r w:rsidR="004C0B8F">
        <w:t> </w:t>
      </w:r>
      <w:r w:rsidRPr="00B15C0F">
        <w:t>если бы процедура участия общественности на этапе ОВОС оставалась последней возможностью для заинтересованной общественности, в том числе для заинтересованной общественности в Германии, для того, чтобы принять участие в процедуре выдачи разрешения для Темелинской АЭС, то соответствующая Сторона оказалась бы в состоянии несоблюдения пунктов 2 d) ii), 3, 4, 6 и 7 статьи 6 Конвенции;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5.</w:t>
      </w:r>
      <w:r w:rsidRPr="00B15C0F">
        <w:tab/>
      </w:r>
      <w:r w:rsidRPr="00B15C0F">
        <w:rPr>
          <w:i/>
          <w:iCs/>
        </w:rPr>
        <w:t>приветствует</w:t>
      </w:r>
      <w:r w:rsidRPr="00B15C0F">
        <w:t xml:space="preserve"> рекомендации, вынесенные Комитетом в межсессионный период в отношении его выводов по сообщению ACCC/C/2012/71 в соответствии с пунктом 36 b) приложения к решению I/7;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6.</w:t>
      </w:r>
      <w:r w:rsidRPr="00B15C0F">
        <w:tab/>
      </w:r>
      <w:r w:rsidRPr="00B15C0F">
        <w:rPr>
          <w:i/>
          <w:iCs/>
        </w:rPr>
        <w:t>приветствует также</w:t>
      </w:r>
      <w:r w:rsidRPr="00B15C0F">
        <w:t xml:space="preserve"> готовность соответствующей Стороны принять рекомендации Комитета, а именно о том, что соответствующей Стороне следует: 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a)</w:t>
      </w:r>
      <w:r w:rsidRPr="00B15C0F">
        <w:tab/>
        <w:t>предусмотреть правовые рамки для обеспечения того, чтобы при выборе средств уведомления общественности в соответствии с пунктом 2 статьи 6 государственные органы были обязаны выбирать такие средства, которые обеспечат эффективное уведомление заинтересованной общественности, учитывая характер планируемой деятельности и охватывая – в случае предлагаемых видов деятельности с потенциальными трансграничными последствиями – заинтересованную общественность за пределами территории соответствующей Стороны;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b)</w:t>
      </w:r>
      <w:r w:rsidRPr="00B15C0F">
        <w:tab/>
        <w:t>принять необходимые меры для обеспечения того, чтобы:</w:t>
      </w:r>
    </w:p>
    <w:p w:rsidR="00B15C0F" w:rsidRPr="00B15C0F" w:rsidRDefault="00B15C0F" w:rsidP="004C0B8F">
      <w:pPr>
        <w:pStyle w:val="SingleTxtGR"/>
        <w:ind w:left="1701" w:hanging="567"/>
      </w:pPr>
      <w:r>
        <w:tab/>
      </w:r>
      <w:r w:rsidRPr="00B15C0F">
        <w:t>i)</w:t>
      </w:r>
      <w:r w:rsidRPr="00B15C0F">
        <w:tab/>
        <w:t>при проведении трансграничных процедур в сотрудничестве с властями затрагиваемых стран компетентные государственные органы прилагали необходимые усилия для обеспечения того, чтобы заинтересованная общественность в затрагиваемых странах действительно уведомлялась эффективным образом;</w:t>
      </w:r>
    </w:p>
    <w:p w:rsidR="00B15C0F" w:rsidRPr="00B15C0F" w:rsidRDefault="00B15C0F" w:rsidP="004C0B8F">
      <w:pPr>
        <w:pStyle w:val="SingleTxtGR"/>
        <w:ind w:left="1701" w:hanging="567"/>
      </w:pPr>
      <w:bookmarkStart w:id="1" w:name="_GoBack"/>
      <w:bookmarkEnd w:id="1"/>
      <w:r>
        <w:tab/>
      </w:r>
      <w:r w:rsidRPr="00B15C0F">
        <w:t>ii)</w:t>
      </w:r>
      <w:r w:rsidRPr="00B15C0F">
        <w:tab/>
        <w:t>были созданы надлежащие возможности для участия заинтересованной общественности, в том числе общественности за пределами территории соответствующей Стороны, в последующих этапах многоэтапной процедуры принятия решений в отношении Темелинской АЭС;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7.</w:t>
      </w:r>
      <w:r w:rsidRPr="00B15C0F">
        <w:tab/>
      </w:r>
      <w:r w:rsidRPr="00B15C0F">
        <w:rPr>
          <w:i/>
          <w:iCs/>
        </w:rPr>
        <w:t xml:space="preserve">просит </w:t>
      </w:r>
      <w:r w:rsidRPr="00B15C0F">
        <w:t>соответствующую Сторону;</w:t>
      </w:r>
    </w:p>
    <w:p w:rsidR="00B15C0F" w:rsidRPr="00B15C0F" w:rsidRDefault="00B15C0F" w:rsidP="00B15C0F">
      <w:pPr>
        <w:pStyle w:val="SingleTxtGR"/>
      </w:pPr>
      <w:r w:rsidRPr="00B15C0F">
        <w:tab/>
        <w:t>a)</w:t>
      </w:r>
      <w:r w:rsidRPr="00B15C0F">
        <w:tab/>
        <w:t>представить Комитету к 1 октября 2018 года, 1 октября 2019 года и 1</w:t>
      </w:r>
      <w:r w:rsidR="004C0B8F">
        <w:t> </w:t>
      </w:r>
      <w:r w:rsidRPr="00B15C0F">
        <w:t>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B15C0F" w:rsidRPr="00B15C0F" w:rsidRDefault="00B15C0F" w:rsidP="00B15C0F">
      <w:pPr>
        <w:pStyle w:val="SingleTxtGR"/>
      </w:pPr>
      <w:r w:rsidRPr="00B15C0F">
        <w:tab/>
        <w:t>b)</w:t>
      </w:r>
      <w:r w:rsidRPr="00B15C0F">
        <w:tab/>
        <w:t xml:space="preserve">представить такую дополнительную информацию, которую Комитет может запросить, в целях оказания ему помощи в обзоре прогресса, достигнутого соответствующей Стороной в осуществлении вышеизложенных рекомендаций; </w:t>
      </w:r>
    </w:p>
    <w:p w:rsidR="00B15C0F" w:rsidRPr="00B15C0F" w:rsidRDefault="00B15C0F" w:rsidP="00B15C0F">
      <w:pPr>
        <w:pStyle w:val="SingleTxtGR"/>
      </w:pPr>
      <w:r w:rsidRPr="00B15C0F">
        <w:tab/>
        <w:t>с)</w:t>
      </w:r>
      <w:r w:rsidRPr="00B15C0F">
        <w:tab/>
        <w:t xml:space="preserve"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B15C0F" w:rsidRPr="00B15C0F" w:rsidRDefault="00B15C0F" w:rsidP="00B15C0F">
      <w:pPr>
        <w:pStyle w:val="SingleTxtGR"/>
      </w:pPr>
      <w:r>
        <w:tab/>
      </w:r>
      <w:r w:rsidRPr="00B15C0F">
        <w:t>8.</w:t>
      </w:r>
      <w:r w:rsidRPr="00B15C0F">
        <w:tab/>
      </w:r>
      <w:r w:rsidRPr="00C02F04">
        <w:rPr>
          <w:i/>
        </w:rPr>
        <w:t>обязуется</w:t>
      </w:r>
      <w:r w:rsidRPr="00B15C0F">
        <w:t xml:space="preserve"> рассмотреть сложившуюся ситуацию на своей седьмой сессии.</w:t>
      </w:r>
    </w:p>
    <w:p w:rsidR="00B15C0F" w:rsidRPr="00B15C0F" w:rsidRDefault="00B15C0F" w:rsidP="00B15C0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5C0F" w:rsidRPr="00B15C0F" w:rsidSect="0050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5C" w:rsidRPr="00A312BC" w:rsidRDefault="006D245C" w:rsidP="00A312BC"/>
  </w:endnote>
  <w:endnote w:type="continuationSeparator" w:id="0">
    <w:p w:rsidR="006D245C" w:rsidRPr="00A312BC" w:rsidRDefault="006D24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7" w:rsidRPr="005000F7" w:rsidRDefault="005000F7">
    <w:pPr>
      <w:pStyle w:val="a8"/>
    </w:pPr>
    <w:r w:rsidRPr="005000F7">
      <w:rPr>
        <w:b/>
        <w:sz w:val="18"/>
      </w:rPr>
      <w:fldChar w:fldCharType="begin"/>
    </w:r>
    <w:r w:rsidRPr="005000F7">
      <w:rPr>
        <w:b/>
        <w:sz w:val="18"/>
      </w:rPr>
      <w:instrText xml:space="preserve"> PAGE  \* MERGEFORMAT </w:instrText>
    </w:r>
    <w:r w:rsidRPr="005000F7">
      <w:rPr>
        <w:b/>
        <w:sz w:val="18"/>
      </w:rPr>
      <w:fldChar w:fldCharType="separate"/>
    </w:r>
    <w:r w:rsidR="005E024B">
      <w:rPr>
        <w:b/>
        <w:noProof/>
        <w:sz w:val="18"/>
      </w:rPr>
      <w:t>2</w:t>
    </w:r>
    <w:r w:rsidRPr="005000F7">
      <w:rPr>
        <w:b/>
        <w:sz w:val="18"/>
      </w:rPr>
      <w:fldChar w:fldCharType="end"/>
    </w:r>
    <w:r>
      <w:rPr>
        <w:b/>
        <w:sz w:val="18"/>
      </w:rPr>
      <w:tab/>
    </w:r>
    <w:r>
      <w:t>GE.17-12707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7" w:rsidRPr="005000F7" w:rsidRDefault="005000F7" w:rsidP="005000F7">
    <w:pPr>
      <w:pStyle w:val="a8"/>
      <w:tabs>
        <w:tab w:val="clear" w:pos="9639"/>
        <w:tab w:val="right" w:pos="9638"/>
      </w:tabs>
      <w:rPr>
        <w:b/>
        <w:sz w:val="18"/>
      </w:rPr>
    </w:pPr>
    <w:r>
      <w:t>GE.17-12707</w:t>
    </w:r>
    <w:r>
      <w:tab/>
    </w:r>
    <w:r w:rsidRPr="005000F7">
      <w:rPr>
        <w:b/>
        <w:sz w:val="18"/>
      </w:rPr>
      <w:fldChar w:fldCharType="begin"/>
    </w:r>
    <w:r w:rsidRPr="005000F7">
      <w:rPr>
        <w:b/>
        <w:sz w:val="18"/>
      </w:rPr>
      <w:instrText xml:space="preserve"> PAGE  \* MERGEFORMAT </w:instrText>
    </w:r>
    <w:r w:rsidRPr="005000F7">
      <w:rPr>
        <w:b/>
        <w:sz w:val="18"/>
      </w:rPr>
      <w:fldChar w:fldCharType="separate"/>
    </w:r>
    <w:r w:rsidR="005E024B">
      <w:rPr>
        <w:b/>
        <w:noProof/>
        <w:sz w:val="18"/>
      </w:rPr>
      <w:t>3</w:t>
    </w:r>
    <w:r w:rsidRPr="005000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000F7" w:rsidRDefault="005000F7" w:rsidP="005000F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17-12707  (R)</w:t>
    </w:r>
    <w:r>
      <w:rPr>
        <w:lang w:val="en-US"/>
      </w:rPr>
      <w:t xml:space="preserve">  070817  080817</w:t>
    </w:r>
    <w:r>
      <w:br/>
    </w:r>
    <w:r w:rsidRPr="005000F7">
      <w:rPr>
        <w:rFonts w:ascii="C39T30Lfz" w:hAnsi="C39T30Lfz"/>
        <w:spacing w:val="0"/>
        <w:w w:val="100"/>
        <w:sz w:val="56"/>
      </w:rPr>
      <w:t></w:t>
    </w:r>
    <w:r w:rsidRPr="005000F7">
      <w:rPr>
        <w:rFonts w:ascii="C39T30Lfz" w:hAnsi="C39T30Lfz"/>
        <w:spacing w:val="0"/>
        <w:w w:val="100"/>
        <w:sz w:val="56"/>
      </w:rPr>
      <w:t></w:t>
    </w:r>
    <w:r w:rsidRPr="005000F7">
      <w:rPr>
        <w:rFonts w:ascii="C39T30Lfz" w:hAnsi="C39T30Lfz"/>
        <w:spacing w:val="0"/>
        <w:w w:val="100"/>
        <w:sz w:val="56"/>
      </w:rPr>
      <w:t></w:t>
    </w:r>
    <w:r w:rsidRPr="005000F7">
      <w:rPr>
        <w:rFonts w:ascii="C39T30Lfz" w:hAnsi="C39T30Lfz"/>
        <w:spacing w:val="0"/>
        <w:w w:val="100"/>
        <w:sz w:val="56"/>
      </w:rPr>
      <w:t></w:t>
    </w:r>
    <w:r w:rsidRPr="005000F7">
      <w:rPr>
        <w:rFonts w:ascii="C39T30Lfz" w:hAnsi="C39T30Lfz"/>
        <w:spacing w:val="0"/>
        <w:w w:val="100"/>
        <w:sz w:val="56"/>
      </w:rPr>
      <w:t></w:t>
    </w:r>
    <w:r w:rsidRPr="005000F7">
      <w:rPr>
        <w:rFonts w:ascii="C39T30Lfz" w:hAnsi="C39T30Lfz"/>
        <w:spacing w:val="0"/>
        <w:w w:val="100"/>
        <w:sz w:val="56"/>
      </w:rPr>
      <w:t></w:t>
    </w:r>
    <w:r w:rsidRPr="005000F7">
      <w:rPr>
        <w:rFonts w:ascii="C39T30Lfz" w:hAnsi="C39T30Lfz"/>
        <w:spacing w:val="0"/>
        <w:w w:val="100"/>
        <w:sz w:val="56"/>
      </w:rPr>
      <w:t></w:t>
    </w:r>
    <w:r w:rsidRPr="005000F7">
      <w:rPr>
        <w:rFonts w:ascii="C39T30Lfz" w:hAnsi="C39T30Lfz"/>
        <w:spacing w:val="0"/>
        <w:w w:val="100"/>
        <w:sz w:val="56"/>
      </w:rPr>
      <w:t></w:t>
    </w:r>
    <w:r w:rsidRPr="005000F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5C" w:rsidRPr="001075E9" w:rsidRDefault="006D24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245C" w:rsidRDefault="006D24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7" w:rsidRPr="005000F7" w:rsidRDefault="005E02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F93224">
      <w:t>ECE/MP.PP/2017/24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7" w:rsidRPr="005000F7" w:rsidRDefault="005E024B" w:rsidP="005000F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93224">
      <w:t>ECE/MP.PP/2017/24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7" w:rsidRDefault="005000F7" w:rsidP="005000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multilevel"/>
    <w:tmpl w:val="239439BA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upperRoman"/>
      <w:lvlText w:val="%4."/>
      <w:lvlJc w:val="righ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257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127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0B8F"/>
    <w:rsid w:val="004E05B7"/>
    <w:rsid w:val="005000F7"/>
    <w:rsid w:val="0050108D"/>
    <w:rsid w:val="00513081"/>
    <w:rsid w:val="00517901"/>
    <w:rsid w:val="00526683"/>
    <w:rsid w:val="00546041"/>
    <w:rsid w:val="005639C1"/>
    <w:rsid w:val="005709E0"/>
    <w:rsid w:val="00572E19"/>
    <w:rsid w:val="005961C8"/>
    <w:rsid w:val="005966F1"/>
    <w:rsid w:val="005D33E9"/>
    <w:rsid w:val="005D7914"/>
    <w:rsid w:val="005E024B"/>
    <w:rsid w:val="005E2B41"/>
    <w:rsid w:val="005F0B42"/>
    <w:rsid w:val="006345DB"/>
    <w:rsid w:val="00640F49"/>
    <w:rsid w:val="00680D03"/>
    <w:rsid w:val="00681A10"/>
    <w:rsid w:val="006A1ED8"/>
    <w:rsid w:val="006C2031"/>
    <w:rsid w:val="006D245C"/>
    <w:rsid w:val="006D461A"/>
    <w:rsid w:val="006F35EE"/>
    <w:rsid w:val="007021FF"/>
    <w:rsid w:val="00712895"/>
    <w:rsid w:val="00734ACB"/>
    <w:rsid w:val="00755CB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0F85"/>
    <w:rsid w:val="00A312BC"/>
    <w:rsid w:val="00A84021"/>
    <w:rsid w:val="00A84D35"/>
    <w:rsid w:val="00A917B3"/>
    <w:rsid w:val="00AB4B51"/>
    <w:rsid w:val="00B10CC7"/>
    <w:rsid w:val="00B15C0F"/>
    <w:rsid w:val="00B36DF7"/>
    <w:rsid w:val="00B539E7"/>
    <w:rsid w:val="00B62458"/>
    <w:rsid w:val="00BC18B2"/>
    <w:rsid w:val="00BD33EE"/>
    <w:rsid w:val="00BE1CC7"/>
    <w:rsid w:val="00C02F04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322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A8F6AF-94D2-49C4-AD0A-34081EA2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744</Words>
  <Characters>5299</Characters>
  <Application>Microsoft Office Word</Application>
  <DocSecurity>0</DocSecurity>
  <Lines>117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ECE/MP.PP/2017/24</vt:lpstr>
      <vt:lpstr>A/</vt:lpstr>
    </vt:vector>
  </TitlesOfParts>
  <Company>DCM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ECE/MP.PP/2017/24</dc:title>
  <dc:subject/>
  <dc:creator>SHUVALOVA Natalia</dc:creator>
  <cp:keywords/>
  <cp:lastModifiedBy>SHUVALOVA Natalia</cp:lastModifiedBy>
  <cp:revision>4</cp:revision>
  <cp:lastPrinted>2017-08-08T10:18:00Z</cp:lastPrinted>
  <dcterms:created xsi:type="dcterms:W3CDTF">2017-08-08T10:18:00Z</dcterms:created>
  <dcterms:modified xsi:type="dcterms:W3CDTF">2017-08-08T10:19:00Z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