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23637E" w14:paraId="1903A89E" w14:textId="77777777" w:rsidTr="00B6553F">
        <w:trPr>
          <w:cantSplit/>
          <w:trHeight w:hRule="exact" w:val="851"/>
        </w:trPr>
        <w:tc>
          <w:tcPr>
            <w:tcW w:w="1276" w:type="dxa"/>
            <w:tcBorders>
              <w:bottom w:val="single" w:sz="4" w:space="0" w:color="auto"/>
            </w:tcBorders>
            <w:vAlign w:val="bottom"/>
          </w:tcPr>
          <w:p w14:paraId="15E4074E" w14:textId="77777777" w:rsidR="00B56E9C" w:rsidRDefault="00B56E9C" w:rsidP="00B6553F">
            <w:pPr>
              <w:spacing w:after="80"/>
            </w:pPr>
          </w:p>
        </w:tc>
        <w:tc>
          <w:tcPr>
            <w:tcW w:w="2268" w:type="dxa"/>
            <w:tcBorders>
              <w:bottom w:val="single" w:sz="4" w:space="0" w:color="auto"/>
            </w:tcBorders>
            <w:vAlign w:val="bottom"/>
          </w:tcPr>
          <w:p w14:paraId="67F8FC39" w14:textId="77777777" w:rsidR="00B56E9C" w:rsidRPr="0023637E" w:rsidRDefault="00B56E9C" w:rsidP="00B6553F">
            <w:pPr>
              <w:spacing w:after="80" w:line="300" w:lineRule="exact"/>
              <w:rPr>
                <w:b/>
                <w:sz w:val="24"/>
                <w:szCs w:val="24"/>
              </w:rPr>
            </w:pPr>
            <w:r w:rsidRPr="0023637E">
              <w:rPr>
                <w:sz w:val="28"/>
                <w:szCs w:val="28"/>
              </w:rPr>
              <w:t>United Nations</w:t>
            </w:r>
          </w:p>
        </w:tc>
        <w:tc>
          <w:tcPr>
            <w:tcW w:w="6095" w:type="dxa"/>
            <w:gridSpan w:val="2"/>
            <w:tcBorders>
              <w:bottom w:val="single" w:sz="4" w:space="0" w:color="auto"/>
            </w:tcBorders>
            <w:vAlign w:val="bottom"/>
          </w:tcPr>
          <w:p w14:paraId="55F0FC16" w14:textId="44D5D2D8" w:rsidR="00B56E9C" w:rsidRPr="0023637E" w:rsidRDefault="004334C7" w:rsidP="00AD41CE">
            <w:pPr>
              <w:jc w:val="right"/>
            </w:pPr>
            <w:r w:rsidRPr="0023637E">
              <w:rPr>
                <w:sz w:val="40"/>
              </w:rPr>
              <w:t>ECE</w:t>
            </w:r>
            <w:r w:rsidRPr="0023637E">
              <w:t>/MP.PP/2017/</w:t>
            </w:r>
            <w:r w:rsidR="00AD41CE" w:rsidRPr="0023637E">
              <w:t>23</w:t>
            </w:r>
            <w:bookmarkStart w:id="0" w:name="_GoBack"/>
            <w:bookmarkEnd w:id="0"/>
            <w:r w:rsidR="00B203B4" w:rsidRPr="00B203B4">
              <w:rPr>
                <w:rStyle w:val="FootnoteReference"/>
                <w:sz w:val="20"/>
                <w:vertAlign w:val="baseline"/>
              </w:rPr>
              <w:footnoteReference w:customMarkFollows="1" w:id="2"/>
              <w:t>*</w:t>
            </w:r>
          </w:p>
        </w:tc>
      </w:tr>
      <w:tr w:rsidR="00B56E9C" w:rsidRPr="0023637E" w14:paraId="02194936" w14:textId="77777777" w:rsidTr="00B6553F">
        <w:trPr>
          <w:cantSplit/>
          <w:trHeight w:hRule="exact" w:val="2835"/>
        </w:trPr>
        <w:tc>
          <w:tcPr>
            <w:tcW w:w="1276" w:type="dxa"/>
            <w:tcBorders>
              <w:top w:val="single" w:sz="4" w:space="0" w:color="auto"/>
              <w:bottom w:val="single" w:sz="12" w:space="0" w:color="auto"/>
            </w:tcBorders>
          </w:tcPr>
          <w:p w14:paraId="3C6879F5" w14:textId="77777777" w:rsidR="00B56E9C" w:rsidRPr="0023637E" w:rsidRDefault="00A87DBB" w:rsidP="00B6553F">
            <w:pPr>
              <w:spacing w:before="120"/>
            </w:pPr>
            <w:r w:rsidRPr="0023637E">
              <w:rPr>
                <w:noProof/>
                <w:lang w:eastAsia="en-GB"/>
              </w:rPr>
              <w:drawing>
                <wp:inline distT="0" distB="0" distL="0" distR="0" wp14:anchorId="28218D15" wp14:editId="2A2E1F9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1B8D90" w14:textId="77777777" w:rsidR="00B56E9C" w:rsidRPr="0023637E" w:rsidRDefault="00D773DF" w:rsidP="00D773DF">
            <w:pPr>
              <w:spacing w:before="120" w:line="420" w:lineRule="exact"/>
              <w:rPr>
                <w:sz w:val="40"/>
                <w:szCs w:val="40"/>
              </w:rPr>
            </w:pPr>
            <w:r w:rsidRPr="0023637E">
              <w:rPr>
                <w:b/>
                <w:sz w:val="40"/>
                <w:szCs w:val="40"/>
              </w:rPr>
              <w:t>Economic and Social Council</w:t>
            </w:r>
          </w:p>
        </w:tc>
        <w:tc>
          <w:tcPr>
            <w:tcW w:w="2835" w:type="dxa"/>
            <w:tcBorders>
              <w:top w:val="single" w:sz="4" w:space="0" w:color="auto"/>
              <w:bottom w:val="single" w:sz="12" w:space="0" w:color="auto"/>
            </w:tcBorders>
          </w:tcPr>
          <w:p w14:paraId="2F1293D2" w14:textId="77777777" w:rsidR="00B56E9C" w:rsidRPr="0023637E" w:rsidRDefault="004334C7" w:rsidP="004334C7">
            <w:pPr>
              <w:spacing w:before="240" w:line="240" w:lineRule="exact"/>
            </w:pPr>
            <w:r w:rsidRPr="0023637E">
              <w:t>Distr.: General</w:t>
            </w:r>
          </w:p>
          <w:p w14:paraId="76BDB634" w14:textId="130E1D9B" w:rsidR="004334C7" w:rsidRPr="0023637E" w:rsidRDefault="006B3BD0" w:rsidP="004334C7">
            <w:pPr>
              <w:spacing w:line="240" w:lineRule="exact"/>
            </w:pPr>
            <w:r>
              <w:t>17</w:t>
            </w:r>
            <w:r w:rsidR="004334C7" w:rsidRPr="0023637E">
              <w:t xml:space="preserve"> July 2017</w:t>
            </w:r>
          </w:p>
          <w:p w14:paraId="6703DDB4" w14:textId="77777777" w:rsidR="004334C7" w:rsidRPr="0023637E" w:rsidRDefault="004334C7" w:rsidP="004334C7">
            <w:pPr>
              <w:spacing w:line="240" w:lineRule="exact"/>
            </w:pPr>
          </w:p>
          <w:p w14:paraId="1A5D2320" w14:textId="77777777" w:rsidR="004334C7" w:rsidRPr="0023637E" w:rsidRDefault="004334C7" w:rsidP="004334C7">
            <w:pPr>
              <w:spacing w:line="240" w:lineRule="exact"/>
            </w:pPr>
            <w:r w:rsidRPr="0023637E">
              <w:t>Original: English</w:t>
            </w:r>
          </w:p>
        </w:tc>
      </w:tr>
    </w:tbl>
    <w:p w14:paraId="1F1A5424" w14:textId="77777777" w:rsidR="004334C7" w:rsidRPr="0023637E" w:rsidRDefault="004334C7" w:rsidP="004334C7">
      <w:pPr>
        <w:spacing w:before="120"/>
      </w:pPr>
      <w:r w:rsidRPr="0023637E">
        <w:rPr>
          <w:b/>
          <w:sz w:val="28"/>
          <w:szCs w:val="28"/>
        </w:rPr>
        <w:t>Economic Commission for Europe</w:t>
      </w:r>
    </w:p>
    <w:p w14:paraId="501AB369" w14:textId="77777777" w:rsidR="004334C7" w:rsidRPr="0023637E" w:rsidRDefault="004334C7" w:rsidP="004334C7">
      <w:pPr>
        <w:spacing w:before="120"/>
      </w:pPr>
      <w:r w:rsidRPr="0023637E">
        <w:rPr>
          <w:sz w:val="28"/>
          <w:szCs w:val="28"/>
        </w:rPr>
        <w:t>Meeting of the Parties to the Convention on</w:t>
      </w:r>
      <w:r w:rsidRPr="0023637E">
        <w:rPr>
          <w:sz w:val="28"/>
          <w:szCs w:val="28"/>
        </w:rPr>
        <w:br/>
        <w:t>Access to Information, Public Participation</w:t>
      </w:r>
      <w:r w:rsidRPr="0023637E">
        <w:rPr>
          <w:sz w:val="28"/>
          <w:szCs w:val="28"/>
        </w:rPr>
        <w:br/>
        <w:t>in Decision-making and Access to Justice</w:t>
      </w:r>
      <w:r w:rsidRPr="0023637E">
        <w:rPr>
          <w:sz w:val="28"/>
          <w:szCs w:val="28"/>
        </w:rPr>
        <w:br/>
        <w:t>in Environmental Matters</w:t>
      </w:r>
    </w:p>
    <w:p w14:paraId="2B6194D1" w14:textId="55A93B44" w:rsidR="004334C7" w:rsidRPr="0023637E" w:rsidRDefault="004334C7" w:rsidP="004334C7">
      <w:pPr>
        <w:spacing w:before="120"/>
      </w:pPr>
      <w:r w:rsidRPr="0023637E">
        <w:rPr>
          <w:b/>
        </w:rPr>
        <w:t>Sixth session</w:t>
      </w:r>
      <w:r w:rsidRPr="0023637E">
        <w:br/>
      </w:r>
      <w:proofErr w:type="spellStart"/>
      <w:r w:rsidRPr="0023637E">
        <w:t>Budva</w:t>
      </w:r>
      <w:proofErr w:type="spellEnd"/>
      <w:r w:rsidRPr="0023637E">
        <w:t>, Montenegro, 11–1</w:t>
      </w:r>
      <w:r w:rsidR="001C5EA9" w:rsidRPr="0023637E">
        <w:t>3</w:t>
      </w:r>
      <w:r w:rsidRPr="0023637E">
        <w:t xml:space="preserve"> September 2017</w:t>
      </w:r>
    </w:p>
    <w:p w14:paraId="5996EF50" w14:textId="77777777" w:rsidR="004334C7" w:rsidRPr="0023637E" w:rsidRDefault="004334C7" w:rsidP="004334C7">
      <w:r w:rsidRPr="0023637E">
        <w:t>Item 7 (b) of the provisional agenda</w:t>
      </w:r>
    </w:p>
    <w:p w14:paraId="0E67C4A7" w14:textId="1781431E" w:rsidR="004334C7" w:rsidRPr="0023637E" w:rsidRDefault="004334C7" w:rsidP="004334C7">
      <w:pPr>
        <w:rPr>
          <w:b/>
        </w:rPr>
      </w:pPr>
      <w:r w:rsidRPr="0023637E">
        <w:rPr>
          <w:b/>
        </w:rPr>
        <w:t xml:space="preserve">Procedures and mechanisms facilitating the implementation </w:t>
      </w:r>
      <w:r w:rsidR="001C5EA9" w:rsidRPr="0023637E">
        <w:rPr>
          <w:b/>
        </w:rPr>
        <w:br/>
      </w:r>
      <w:r w:rsidRPr="0023637E">
        <w:rPr>
          <w:b/>
        </w:rPr>
        <w:t>of the Convention:</w:t>
      </w:r>
      <w:r w:rsidR="001C5EA9" w:rsidRPr="0023637E">
        <w:rPr>
          <w:b/>
        </w:rPr>
        <w:t xml:space="preserve"> c</w:t>
      </w:r>
      <w:r w:rsidRPr="0023637E">
        <w:rPr>
          <w:b/>
        </w:rPr>
        <w:t>ompliance mechanism</w:t>
      </w:r>
    </w:p>
    <w:p w14:paraId="3DF0066C" w14:textId="221DF0D0" w:rsidR="004334C7" w:rsidRPr="0023637E" w:rsidRDefault="004334C7" w:rsidP="004334C7">
      <w:pPr>
        <w:pStyle w:val="HChG"/>
      </w:pPr>
      <w:r w:rsidRPr="0023637E">
        <w:tab/>
      </w:r>
      <w:r w:rsidRPr="0023637E">
        <w:tab/>
        <w:t>Draft decision VI/</w:t>
      </w:r>
      <w:r w:rsidR="004C1DEA" w:rsidRPr="0023637E">
        <w:t>8</w:t>
      </w:r>
      <w:r w:rsidR="005B5EA3" w:rsidRPr="0023637E">
        <w:t>d</w:t>
      </w:r>
      <w:r w:rsidRPr="0023637E">
        <w:t xml:space="preserve"> concerning compliance by </w:t>
      </w:r>
      <w:r w:rsidR="005B5EA3" w:rsidRPr="0023637E">
        <w:t>Bulgaria</w:t>
      </w:r>
      <w:r w:rsidRPr="0023637E">
        <w:t xml:space="preserve"> with its obligations under the Convention</w:t>
      </w:r>
    </w:p>
    <w:p w14:paraId="3C332936" w14:textId="77777777" w:rsidR="00086240" w:rsidRPr="0023637E" w:rsidRDefault="00A77D15" w:rsidP="00A77D15">
      <w:pPr>
        <w:pStyle w:val="H1G"/>
        <w:tabs>
          <w:tab w:val="left" w:pos="1701"/>
        </w:tabs>
        <w:rPr>
          <w:i/>
          <w:iCs/>
          <w:sz w:val="20"/>
        </w:rPr>
      </w:pPr>
      <w:r w:rsidRPr="0023637E">
        <w:tab/>
      </w:r>
      <w:r w:rsidRPr="0023637E">
        <w:tab/>
      </w:r>
      <w:r w:rsidR="00086240" w:rsidRPr="0023637E">
        <w:t>Prepared by the Bureau</w:t>
      </w:r>
      <w:r w:rsidR="00086240" w:rsidRPr="0023637E" w:rsidDel="006A2255">
        <w:t xml:space="preserve"> </w:t>
      </w:r>
    </w:p>
    <w:p w14:paraId="11C0DD81" w14:textId="4AE2FAFB" w:rsidR="00086240" w:rsidRPr="00F87230" w:rsidRDefault="00F87230" w:rsidP="00F87230">
      <w:pPr>
        <w:pStyle w:val="SingleTxtG"/>
        <w:rPr>
          <w:i/>
        </w:rPr>
      </w:pPr>
      <w:r>
        <w:tab/>
      </w:r>
      <w:r w:rsidR="00086240" w:rsidRPr="00F87230">
        <w:rPr>
          <w:i/>
        </w:rPr>
        <w:t>The Meeting of the Parties</w:t>
      </w:r>
      <w:r w:rsidR="00086240" w:rsidRPr="00A876AE">
        <w:t>,</w:t>
      </w:r>
      <w:r w:rsidR="00086240" w:rsidRPr="00F87230">
        <w:rPr>
          <w:i/>
        </w:rPr>
        <w:t xml:space="preserve"> </w:t>
      </w:r>
    </w:p>
    <w:p w14:paraId="2EFE4C05" w14:textId="00C33D90" w:rsidR="00086240" w:rsidRPr="0023637E" w:rsidRDefault="00F87230" w:rsidP="00F87230">
      <w:pPr>
        <w:pStyle w:val="SingleTxtG"/>
      </w:pPr>
      <w:r>
        <w:rPr>
          <w:i/>
          <w:iCs/>
        </w:rPr>
        <w:tab/>
      </w:r>
      <w:r w:rsidR="00086240" w:rsidRPr="0023637E">
        <w:rPr>
          <w:i/>
          <w:iCs/>
        </w:rPr>
        <w:t xml:space="preserve">Acting </w:t>
      </w:r>
      <w:r w:rsidR="00086240" w:rsidRPr="0023637E">
        <w:t xml:space="preserve">under paragraph 37 of the </w:t>
      </w:r>
      <w:r w:rsidR="00086240" w:rsidRPr="00F87230">
        <w:t>annex</w:t>
      </w:r>
      <w:r w:rsidR="00086240" w:rsidRPr="0023637E">
        <w:t xml:space="preserve"> to its decision I/7 on the review of compliance</w:t>
      </w:r>
      <w:r w:rsidR="004C1DEA" w:rsidRPr="0023637E">
        <w:t xml:space="preserve"> (ECE/</w:t>
      </w:r>
      <w:proofErr w:type="gramStart"/>
      <w:r w:rsidR="004C1DEA" w:rsidRPr="0023637E">
        <w:t>MP.PP</w:t>
      </w:r>
      <w:proofErr w:type="gramEnd"/>
      <w:r w:rsidR="004C1DEA" w:rsidRPr="0023637E">
        <w:t>/2/Add.8)</w:t>
      </w:r>
      <w:r w:rsidR="00086240" w:rsidRPr="0023637E">
        <w:t xml:space="preserve">, </w:t>
      </w:r>
    </w:p>
    <w:p w14:paraId="6CB73175" w14:textId="5D1D70A3" w:rsidR="00086240" w:rsidRPr="0023637E" w:rsidRDefault="00F87230" w:rsidP="00086240">
      <w:pPr>
        <w:pStyle w:val="SingleTxtG"/>
      </w:pPr>
      <w:r>
        <w:tab/>
      </w:r>
      <w:r w:rsidR="00086240" w:rsidRPr="0023637E">
        <w:rPr>
          <w:i/>
        </w:rPr>
        <w:t xml:space="preserve">Mindful </w:t>
      </w:r>
      <w:r w:rsidR="00086240" w:rsidRPr="0023637E">
        <w:t xml:space="preserve">of the conclusions and recommendations set out in </w:t>
      </w:r>
      <w:r w:rsidR="00694E22" w:rsidRPr="0023637E">
        <w:t xml:space="preserve">its </w:t>
      </w:r>
      <w:r w:rsidR="00086240" w:rsidRPr="0023637E">
        <w:t>decision V/</w:t>
      </w:r>
      <w:r w:rsidR="005B5EA3" w:rsidRPr="0023637E">
        <w:t xml:space="preserve">9d </w:t>
      </w:r>
      <w:r w:rsidR="00086240" w:rsidRPr="0023637E">
        <w:t>(</w:t>
      </w:r>
      <w:r w:rsidR="004C1DEA" w:rsidRPr="0023637E">
        <w:t xml:space="preserve">see </w:t>
      </w:r>
      <w:r w:rsidR="00086240" w:rsidRPr="0023637E">
        <w:t>ECE/</w:t>
      </w:r>
      <w:proofErr w:type="gramStart"/>
      <w:r w:rsidR="00086240" w:rsidRPr="0023637E">
        <w:t>MP.PP</w:t>
      </w:r>
      <w:proofErr w:type="gramEnd"/>
      <w:r w:rsidR="00086240" w:rsidRPr="0023637E">
        <w:t xml:space="preserve">/2014/Add.1) with regard to compliance by </w:t>
      </w:r>
      <w:r w:rsidR="00AD41CE" w:rsidRPr="0023637E">
        <w:t>Bulgaria</w:t>
      </w:r>
      <w:r w:rsidR="00086240" w:rsidRPr="0023637E">
        <w:t>,</w:t>
      </w:r>
    </w:p>
    <w:p w14:paraId="39DC7000" w14:textId="4D770750" w:rsidR="00AD41CE" w:rsidRPr="0023637E" w:rsidRDefault="00F87230" w:rsidP="00086240">
      <w:pPr>
        <w:pStyle w:val="SingleTxtG"/>
      </w:pPr>
      <w:r>
        <w:rPr>
          <w:i/>
          <w:iCs/>
        </w:rPr>
        <w:tab/>
      </w:r>
      <w:r w:rsidR="00AD41CE" w:rsidRPr="0023637E">
        <w:rPr>
          <w:i/>
          <w:iCs/>
        </w:rPr>
        <w:t xml:space="preserve">Taking note </w:t>
      </w:r>
      <w:r w:rsidR="00AD41CE" w:rsidRPr="0023637E">
        <w:t>of the report of the Compliance Committee under the Convention on Access to Information, Public Participation in Decision-making and Access to Justice in Environmental Matters on the implementation of decision V/9d concerning compliance by Bulgaria on (ECE/</w:t>
      </w:r>
      <w:proofErr w:type="gramStart"/>
      <w:r w:rsidR="00AD41CE" w:rsidRPr="0023637E">
        <w:t>MP.PP</w:t>
      </w:r>
      <w:proofErr w:type="gramEnd"/>
      <w:r w:rsidR="00AD41CE" w:rsidRPr="0023637E">
        <w:t>/2017/</w:t>
      </w:r>
      <w:r w:rsidR="006F5D3E" w:rsidRPr="0023637E">
        <w:t>36</w:t>
      </w:r>
      <w:r w:rsidR="00AD41CE" w:rsidRPr="0023637E">
        <w:t>) and the findings of the Committee on communication ACCC/C/20</w:t>
      </w:r>
      <w:r w:rsidR="00E71AED" w:rsidRPr="0023637E">
        <w:t>12</w:t>
      </w:r>
      <w:r w:rsidR="00AD41CE" w:rsidRPr="0023637E">
        <w:t>/</w:t>
      </w:r>
      <w:r w:rsidR="00E71AED" w:rsidRPr="0023637E">
        <w:t>76</w:t>
      </w:r>
      <w:r w:rsidR="00AD41CE" w:rsidRPr="0023637E">
        <w:t xml:space="preserve"> </w:t>
      </w:r>
      <w:r w:rsidR="00E71AED" w:rsidRPr="0023637E">
        <w:t>(ECE/MP.PP/C.1/2016</w:t>
      </w:r>
      <w:r w:rsidR="00AD41CE" w:rsidRPr="0023637E">
        <w:t>/</w:t>
      </w:r>
      <w:r w:rsidR="00E71AED" w:rsidRPr="0023637E">
        <w:t>3</w:t>
      </w:r>
      <w:r w:rsidR="00AD41CE" w:rsidRPr="0023637E">
        <w:t xml:space="preserve">) </w:t>
      </w:r>
      <w:r w:rsidR="006F5D3E" w:rsidRPr="0023637E">
        <w:t>concerning injunctive relief in connection with challenges to environmental permits</w:t>
      </w:r>
      <w:r w:rsidR="008276A0">
        <w:t>,</w:t>
      </w:r>
    </w:p>
    <w:p w14:paraId="253B8C0E" w14:textId="6A607528" w:rsidR="00086240" w:rsidRPr="0023637E" w:rsidRDefault="00086240" w:rsidP="00086240">
      <w:pPr>
        <w:pStyle w:val="SingleTxtG"/>
      </w:pPr>
      <w:r w:rsidRPr="0023637E">
        <w:rPr>
          <w:i/>
          <w:iCs/>
        </w:rPr>
        <w:tab/>
      </w:r>
      <w:r w:rsidRPr="0023637E">
        <w:rPr>
          <w:i/>
        </w:rPr>
        <w:t>Encouraged</w:t>
      </w:r>
      <w:r w:rsidRPr="0023637E">
        <w:t xml:space="preserve"> by the </w:t>
      </w:r>
      <w:r w:rsidR="00672BD8" w:rsidRPr="0023637E">
        <w:t xml:space="preserve">willingness of </w:t>
      </w:r>
      <w:r w:rsidR="00AD41CE" w:rsidRPr="0023637E">
        <w:t>Bulgaria</w:t>
      </w:r>
      <w:r w:rsidRPr="0023637E">
        <w:t xml:space="preserve"> to discuss in a constructive manner </w:t>
      </w:r>
      <w:r w:rsidR="00672BD8" w:rsidRPr="0023637E">
        <w:t xml:space="preserve">with the Committee </w:t>
      </w:r>
      <w:r w:rsidRPr="0023637E">
        <w:t xml:space="preserve">the compliance issues in question, </w:t>
      </w:r>
    </w:p>
    <w:p w14:paraId="4ADB6BF9" w14:textId="0B4A849B" w:rsidR="00086240" w:rsidRPr="0023637E" w:rsidDel="00A65485" w:rsidRDefault="00672BD8" w:rsidP="00672BD8">
      <w:pPr>
        <w:pStyle w:val="SingleTxtG"/>
        <w:ind w:right="1133" w:firstLine="567"/>
      </w:pPr>
      <w:r w:rsidRPr="0023637E">
        <w:lastRenderedPageBreak/>
        <w:t>1.</w:t>
      </w:r>
      <w:r w:rsidRPr="0023637E">
        <w:tab/>
      </w:r>
      <w:r w:rsidR="00086240" w:rsidRPr="0023637E" w:rsidDel="00A65485">
        <w:rPr>
          <w:i/>
        </w:rPr>
        <w:t>Endorses</w:t>
      </w:r>
      <w:r w:rsidR="00086240" w:rsidRPr="0023637E" w:rsidDel="00A65485">
        <w:t xml:space="preserve"> the finding of the Committee that the Party concerned has not yet fulfilled the requirements of decision</w:t>
      </w:r>
      <w:r w:rsidR="0071720D" w:rsidRPr="0023637E">
        <w:t xml:space="preserve"> V/9d</w:t>
      </w:r>
      <w:r w:rsidRPr="0023637E">
        <w:t>;</w:t>
      </w:r>
    </w:p>
    <w:p w14:paraId="5EC9FF41" w14:textId="508CC318" w:rsidR="00086240" w:rsidRPr="0023637E" w:rsidRDefault="006D2813" w:rsidP="00086240">
      <w:pPr>
        <w:pStyle w:val="SingleTxtG"/>
        <w:ind w:right="1133" w:firstLine="567"/>
      </w:pPr>
      <w:r w:rsidRPr="0023637E">
        <w:t>2</w:t>
      </w:r>
      <w:r w:rsidR="00086240" w:rsidRPr="0023637E">
        <w:t>.</w:t>
      </w:r>
      <w:r w:rsidR="00086240" w:rsidRPr="0023637E">
        <w:rPr>
          <w:i/>
        </w:rPr>
        <w:tab/>
        <w:t xml:space="preserve">Reaffirms </w:t>
      </w:r>
      <w:r w:rsidR="00086240" w:rsidRPr="0023637E">
        <w:t>its decision V/9</w:t>
      </w:r>
      <w:r w:rsidRPr="0023637E">
        <w:t>d</w:t>
      </w:r>
      <w:r w:rsidR="00086240" w:rsidRPr="0023637E">
        <w:t xml:space="preserve"> and</w:t>
      </w:r>
      <w:r w:rsidR="00672BD8" w:rsidRPr="0023637E">
        <w:t>,</w:t>
      </w:r>
      <w:r w:rsidR="00086240" w:rsidRPr="0023637E">
        <w:t xml:space="preserve"> in particular, reiterates paragraphs 2</w:t>
      </w:r>
      <w:r w:rsidRPr="0023637E">
        <w:t xml:space="preserve"> and 5</w:t>
      </w:r>
      <w:r w:rsidR="00086240" w:rsidRPr="0023637E">
        <w:t xml:space="preserve"> of that decision in their entirety</w:t>
      </w:r>
      <w:r w:rsidR="00672BD8" w:rsidRPr="0023637E">
        <w:t>;</w:t>
      </w:r>
    </w:p>
    <w:p w14:paraId="08476757" w14:textId="52543BD1" w:rsidR="006D2813" w:rsidRPr="0023637E" w:rsidRDefault="006D2813" w:rsidP="0023637E">
      <w:pPr>
        <w:pStyle w:val="SingleTxtG"/>
        <w:ind w:right="1133" w:firstLine="567"/>
      </w:pPr>
      <w:r w:rsidRPr="0023637E">
        <w:t>3</w:t>
      </w:r>
      <w:r w:rsidR="00086240" w:rsidRPr="0023637E">
        <w:t>.</w:t>
      </w:r>
      <w:r w:rsidR="00086240" w:rsidRPr="0023637E">
        <w:tab/>
      </w:r>
      <w:r w:rsidRPr="0023637E">
        <w:rPr>
          <w:i/>
        </w:rPr>
        <w:t xml:space="preserve">Requests </w:t>
      </w:r>
      <w:r w:rsidR="0023637E" w:rsidRPr="0023637E">
        <w:t xml:space="preserve">that </w:t>
      </w:r>
      <w:r w:rsidRPr="0023637E">
        <w:t xml:space="preserve">the Party concerned, as a matter of urgency, take the necessary legislative, regulatory and administrative measures to ensure that: </w:t>
      </w:r>
    </w:p>
    <w:p w14:paraId="36543173" w14:textId="43AF7A6F" w:rsidR="006D2813" w:rsidRPr="0023637E" w:rsidRDefault="006D2813" w:rsidP="0023637E">
      <w:pPr>
        <w:pStyle w:val="SingleTxtG"/>
        <w:ind w:right="1133" w:firstLine="567"/>
      </w:pPr>
      <w:r w:rsidRPr="0023637E">
        <w:t>(a)</w:t>
      </w:r>
      <w:r w:rsidRPr="0023637E">
        <w:tab/>
        <w:t>Members of the public, including environmental organizations, have access to justice with respect to General Spatial Plans and Detailed Spatial Plans;</w:t>
      </w:r>
    </w:p>
    <w:p w14:paraId="56F9CF22" w14:textId="1AAD049E" w:rsidR="006D2813" w:rsidRPr="0023637E" w:rsidRDefault="006B3BD0" w:rsidP="0023637E">
      <w:pPr>
        <w:pStyle w:val="SingleTxtG"/>
        <w:ind w:right="1133" w:firstLine="567"/>
      </w:pPr>
      <w:r>
        <w:t>(b)</w:t>
      </w:r>
      <w:r w:rsidR="006D2813" w:rsidRPr="0023637E">
        <w:tab/>
        <w:t>Members of the public concerned, including environmental organizations, have access to review procedures to challenge construction and exploitation permits for the activities listed in annex I to the Convention</w:t>
      </w:r>
      <w:r w:rsidR="006A3DD4">
        <w:t>;</w:t>
      </w:r>
    </w:p>
    <w:p w14:paraId="488C3AB2" w14:textId="1A477A33" w:rsidR="006D2813" w:rsidRPr="0023637E" w:rsidRDefault="006D2813" w:rsidP="0023637E">
      <w:pPr>
        <w:pStyle w:val="SingleTxtG"/>
        <w:ind w:right="1133" w:firstLine="567"/>
      </w:pPr>
      <w:r w:rsidRPr="0023637E">
        <w:t>4.</w:t>
      </w:r>
      <w:r w:rsidRPr="0023637E">
        <w:tab/>
      </w:r>
      <w:r w:rsidRPr="0023637E">
        <w:rPr>
          <w:i/>
        </w:rPr>
        <w:t>Calls upon</w:t>
      </w:r>
      <w:r w:rsidRPr="0023637E">
        <w:t xml:space="preserve"> all relevant ministries of the Party concerned, including the Ministry of Justice, to work together to ensure the successful fulfilment of the above recommendations;</w:t>
      </w:r>
    </w:p>
    <w:p w14:paraId="0969EE47" w14:textId="796516FE" w:rsidR="006F5D3E" w:rsidRPr="0023637E" w:rsidRDefault="00FE2F44" w:rsidP="0023637E">
      <w:pPr>
        <w:pStyle w:val="SingleTxtG"/>
        <w:ind w:right="1133" w:firstLine="567"/>
      </w:pPr>
      <w:r w:rsidRPr="0023637E">
        <w:t>5.</w:t>
      </w:r>
      <w:r w:rsidRPr="0023637E">
        <w:tab/>
      </w:r>
      <w:r w:rsidR="006F5D3E" w:rsidRPr="0023637E">
        <w:rPr>
          <w:i/>
        </w:rPr>
        <w:t>Decides</w:t>
      </w:r>
      <w:r w:rsidR="006F5D3E" w:rsidRPr="0023637E">
        <w:t xml:space="preserve">, </w:t>
      </w:r>
      <w:r w:rsidR="006D2813" w:rsidRPr="0023637E">
        <w:t xml:space="preserve">in the light of the position </w:t>
      </w:r>
      <w:r w:rsidR="006A3DD4">
        <w:t xml:space="preserve">of the Party concerned </w:t>
      </w:r>
      <w:r w:rsidR="006D2813" w:rsidRPr="0023637E">
        <w:t>that implementing paragraphs 2</w:t>
      </w:r>
      <w:r w:rsidR="006A3DD4">
        <w:t xml:space="preserve"> </w:t>
      </w:r>
      <w:r w:rsidR="006D2813" w:rsidRPr="0023637E">
        <w:t>(a) and 2</w:t>
      </w:r>
      <w:r w:rsidR="006A3DD4">
        <w:t xml:space="preserve"> </w:t>
      </w:r>
      <w:r w:rsidR="006D2813" w:rsidRPr="0023637E">
        <w:t>(b) of decision V/9d is not required for its full compliance with article</w:t>
      </w:r>
      <w:r w:rsidR="006A3DD4">
        <w:t> </w:t>
      </w:r>
      <w:r w:rsidR="006D2813" w:rsidRPr="0023637E">
        <w:t>9, paragraphs 2 and 3, of the Convention</w:t>
      </w:r>
      <w:r w:rsidR="006F5D3E" w:rsidRPr="0023637E">
        <w:t>:</w:t>
      </w:r>
      <w:r w:rsidR="006D2813" w:rsidRPr="0023637E">
        <w:t xml:space="preserve"> </w:t>
      </w:r>
    </w:p>
    <w:p w14:paraId="0E3BAA23" w14:textId="7A66EF5A" w:rsidR="006D2813" w:rsidRPr="0023637E" w:rsidRDefault="006F5D3E" w:rsidP="0023637E">
      <w:pPr>
        <w:pStyle w:val="SingleTxtG"/>
        <w:ind w:left="1701" w:right="1133" w:firstLine="9"/>
      </w:pPr>
      <w:r w:rsidRPr="0023637E">
        <w:t>(a)</w:t>
      </w:r>
      <w:r w:rsidRPr="0023637E">
        <w:tab/>
        <w:t xml:space="preserve">To </w:t>
      </w:r>
      <w:r w:rsidR="006D2813" w:rsidRPr="0023637E">
        <w:t>issue a</w:t>
      </w:r>
      <w:r w:rsidRPr="0023637E">
        <w:t xml:space="preserve"> caution to the Party concerned;</w:t>
      </w:r>
    </w:p>
    <w:p w14:paraId="21FAC2F4" w14:textId="117B6B5B" w:rsidR="006D2813" w:rsidRPr="0023637E" w:rsidRDefault="00F87230" w:rsidP="00F87230">
      <w:pPr>
        <w:pStyle w:val="SingleTxtG"/>
      </w:pPr>
      <w:bookmarkStart w:id="1" w:name="_Ref486252296"/>
      <w:r>
        <w:tab/>
      </w:r>
      <w:r w:rsidR="006F5D3E" w:rsidRPr="0023637E">
        <w:t>(b)</w:t>
      </w:r>
      <w:r w:rsidR="006F5D3E" w:rsidRPr="0023637E">
        <w:tab/>
        <w:t>T</w:t>
      </w:r>
      <w:r w:rsidR="006D2813" w:rsidRPr="0023637E">
        <w:t xml:space="preserve">hat the caution will be lifted on 1 October 2019 if the Party concerned has fully met the </w:t>
      </w:r>
      <w:r w:rsidR="006F5D3E" w:rsidRPr="0023637E">
        <w:t>requirements</w:t>
      </w:r>
      <w:r w:rsidR="006D2813" w:rsidRPr="0023637E">
        <w:t xml:space="preserve"> in paragraph </w:t>
      </w:r>
      <w:r w:rsidR="006F5D3E" w:rsidRPr="0023637E">
        <w:t>3</w:t>
      </w:r>
      <w:r w:rsidR="006D2813" w:rsidRPr="0023637E">
        <w:t xml:space="preserve"> of </w:t>
      </w:r>
      <w:r w:rsidR="006F5D3E" w:rsidRPr="0023637E">
        <w:t>this decision</w:t>
      </w:r>
      <w:r w:rsidR="006D2813" w:rsidRPr="0023637E">
        <w:t xml:space="preserve"> and has notified the secretariat of this fact, providing evidence, by th</w:t>
      </w:r>
      <w:r w:rsidR="006A3DD4">
        <w:t>e same</w:t>
      </w:r>
      <w:r w:rsidR="006D2813" w:rsidRPr="0023637E">
        <w:t xml:space="preserve"> date</w:t>
      </w:r>
      <w:r w:rsidR="006A3DD4">
        <w:t>;</w:t>
      </w:r>
      <w:bookmarkEnd w:id="1"/>
    </w:p>
    <w:p w14:paraId="4FA92033" w14:textId="4040631F" w:rsidR="006D2813" w:rsidRPr="0023637E" w:rsidRDefault="006F5D3E" w:rsidP="0023637E">
      <w:pPr>
        <w:pStyle w:val="SingleTxtG"/>
        <w:ind w:right="1133" w:firstLine="567"/>
      </w:pPr>
      <w:r w:rsidRPr="0023637E">
        <w:t>(c)</w:t>
      </w:r>
      <w:r w:rsidRPr="0023637E">
        <w:tab/>
        <w:t xml:space="preserve">To </w:t>
      </w:r>
      <w:r w:rsidR="006D2813" w:rsidRPr="0023637E">
        <w:t>request the Committee to establi</w:t>
      </w:r>
      <w:r w:rsidR="0023637E" w:rsidRPr="0023637E">
        <w:t xml:space="preserve">sh the successful fulfilment of subparagraph (b) </w:t>
      </w:r>
      <w:r w:rsidR="006D2813" w:rsidRPr="0023637E">
        <w:t>above</w:t>
      </w:r>
      <w:r w:rsidR="006A3DD4">
        <w:t>;</w:t>
      </w:r>
    </w:p>
    <w:p w14:paraId="60CC9289" w14:textId="1C977EDC" w:rsidR="00E71AED" w:rsidRPr="0023637E" w:rsidRDefault="0023637E" w:rsidP="0023637E">
      <w:pPr>
        <w:pStyle w:val="SingleTxtG"/>
        <w:ind w:right="1133" w:firstLine="567"/>
      </w:pPr>
      <w:r w:rsidRPr="0023637E">
        <w:t>6</w:t>
      </w:r>
      <w:r w:rsidR="00086240" w:rsidRPr="0023637E">
        <w:t>.</w:t>
      </w:r>
      <w:r w:rsidR="00086240" w:rsidRPr="0023637E">
        <w:tab/>
      </w:r>
      <w:r w:rsidR="00086240" w:rsidRPr="00A72D25">
        <w:rPr>
          <w:i/>
        </w:rPr>
        <w:t>Endorses</w:t>
      </w:r>
      <w:r w:rsidR="00086240" w:rsidRPr="0023637E">
        <w:t xml:space="preserve"> the finding of the </w:t>
      </w:r>
      <w:r w:rsidR="00BF3A0A" w:rsidRPr="0023637E">
        <w:t xml:space="preserve">Compliance </w:t>
      </w:r>
      <w:r w:rsidR="00086240" w:rsidRPr="0023637E">
        <w:t>Committee with regard to communication ACCC/C/20</w:t>
      </w:r>
      <w:r w:rsidR="00E71AED" w:rsidRPr="0023637E">
        <w:t>12</w:t>
      </w:r>
      <w:r w:rsidR="00086240" w:rsidRPr="0023637E">
        <w:t>/</w:t>
      </w:r>
      <w:r w:rsidR="00E71AED" w:rsidRPr="0023637E">
        <w:t>76</w:t>
      </w:r>
      <w:r w:rsidR="00086240" w:rsidRPr="0023637E">
        <w:t xml:space="preserve"> that</w:t>
      </w:r>
      <w:r w:rsidR="00E71AED" w:rsidRPr="0023637E">
        <w:t>, with respect to appeals under article 60, paragraph 4, of the Administrative Procedure Code</w:t>
      </w:r>
      <w:r w:rsidR="00E71AED" w:rsidRPr="0023637E" w:rsidDel="00964D06">
        <w:t xml:space="preserve"> </w:t>
      </w:r>
      <w:r w:rsidR="00E71AED" w:rsidRPr="0023637E">
        <w:t xml:space="preserve">of orders for preliminary enforcement challenged on the ground of potential environmental damage, a practice in which the courts rely on the conclusions of </w:t>
      </w:r>
      <w:r w:rsidR="00FF55D1" w:rsidRPr="0023637E">
        <w:t xml:space="preserve">a </w:t>
      </w:r>
      <w:r w:rsidR="00E71AED" w:rsidRPr="0023637E">
        <w:t xml:space="preserve">contested </w:t>
      </w:r>
      <w:r w:rsidR="00703A25" w:rsidRPr="0023637E">
        <w:t xml:space="preserve">environmental impact assessment decision, strategic environmental assessment decision or decision on Assessment of Compatibility with the Special Protected Zones of Natura 2000 (contested EIA/SEA decision) </w:t>
      </w:r>
      <w:r w:rsidR="00E71AED" w:rsidRPr="0023637E">
        <w:t>rather than making their own assessment of the risk of environmental damage in the light of all the facts and arguments significant to the case, taking into account the particularly important public interest in the protection of the environment and the need for precaution with respect to preventing environmental harm, does not ensure that such procedures provide adequate and effective remedies to prevent environmental damage. Therefore, the Party concerned fails to comply with article 9, paragraph 4, of the Convention</w:t>
      </w:r>
      <w:r w:rsidR="006A3DD4">
        <w:t>;</w:t>
      </w:r>
    </w:p>
    <w:p w14:paraId="27D4447C" w14:textId="6BDC5CDC" w:rsidR="00E71AED" w:rsidRPr="0023637E" w:rsidRDefault="00F87230" w:rsidP="00F87230">
      <w:pPr>
        <w:pStyle w:val="SingleTxtG"/>
      </w:pPr>
      <w:r>
        <w:rPr>
          <w:lang w:eastAsia="ar-SA"/>
        </w:rPr>
        <w:tab/>
      </w:r>
      <w:r w:rsidR="0023637E" w:rsidRPr="0023637E">
        <w:t>7</w:t>
      </w:r>
      <w:r w:rsidR="00E71AED" w:rsidRPr="0023637E">
        <w:t>.</w:t>
      </w:r>
      <w:r w:rsidR="00E71AED" w:rsidRPr="0023637E">
        <w:tab/>
      </w:r>
      <w:r w:rsidR="00E71AED" w:rsidRPr="0023637E">
        <w:rPr>
          <w:i/>
        </w:rPr>
        <w:t xml:space="preserve">Welcomes </w:t>
      </w:r>
      <w:r w:rsidR="00E71AED" w:rsidRPr="0023637E">
        <w:t xml:space="preserve">the recommendation made by the Committee during the intersessional period </w:t>
      </w:r>
      <w:r w:rsidR="00E71AED" w:rsidRPr="00F87230">
        <w:t>with</w:t>
      </w:r>
      <w:r w:rsidR="00E71AED" w:rsidRPr="0023637E">
        <w:t xml:space="preserve"> respect to its findings on communication ACCC/C/2012/76 in accordance with paragraph 36 (b) of the annex to decision I/7;</w:t>
      </w:r>
    </w:p>
    <w:p w14:paraId="6177ACD1" w14:textId="7C44AEA0" w:rsidR="00E71AED" w:rsidRPr="0023637E" w:rsidRDefault="00F87230" w:rsidP="00F87230">
      <w:pPr>
        <w:pStyle w:val="SingleTxtG"/>
      </w:pPr>
      <w:r>
        <w:tab/>
      </w:r>
      <w:r w:rsidR="0023637E" w:rsidRPr="0023637E">
        <w:t>8</w:t>
      </w:r>
      <w:r w:rsidR="00E71AED" w:rsidRPr="0023637E">
        <w:t>.</w:t>
      </w:r>
      <w:r w:rsidR="00E71AED" w:rsidRPr="0023637E">
        <w:tab/>
      </w:r>
      <w:r w:rsidR="00E71AED" w:rsidRPr="0023637E">
        <w:rPr>
          <w:i/>
        </w:rPr>
        <w:t>Also welcomes</w:t>
      </w:r>
      <w:r w:rsidR="00E71AED" w:rsidRPr="0023637E">
        <w:t xml:space="preserve"> the willingness of the Party concerned to accept the Committee’s recommendation, namely, that the Party concerned review the approach of its courts to appeals under article 60, paragraph</w:t>
      </w:r>
      <w:r w:rsidR="008276A0">
        <w:t xml:space="preserve"> </w:t>
      </w:r>
      <w:r w:rsidR="00E71AED" w:rsidRPr="0023637E">
        <w:t>4, of the Administrative Procedure Code</w:t>
      </w:r>
      <w:r w:rsidR="00E71AED" w:rsidRPr="0023637E" w:rsidDel="00964D06">
        <w:t xml:space="preserve"> </w:t>
      </w:r>
      <w:r w:rsidR="00E71AED" w:rsidRPr="0023637E">
        <w:t xml:space="preserve">of orders for preliminary </w:t>
      </w:r>
      <w:r w:rsidR="00E71AED" w:rsidRPr="00F87230">
        <w:t>enforcement</w:t>
      </w:r>
      <w:r w:rsidR="00E71AED" w:rsidRPr="0023637E">
        <w:t xml:space="preserve"> challenged on the ground of potential environmental damage, and undertake practical and/or legislative measures to ensure that: </w:t>
      </w:r>
    </w:p>
    <w:p w14:paraId="472DB088" w14:textId="77777777" w:rsidR="00E71AED" w:rsidRPr="0023637E" w:rsidRDefault="00E71AED" w:rsidP="00E71AED">
      <w:pPr>
        <w:pStyle w:val="SingleTxtG"/>
        <w:ind w:firstLine="567"/>
        <w:rPr>
          <w:lang w:eastAsia="ar-SA"/>
        </w:rPr>
      </w:pPr>
      <w:r w:rsidRPr="0023637E">
        <w:rPr>
          <w:lang w:eastAsia="ar-SA"/>
        </w:rPr>
        <w:t>(a)</w:t>
      </w:r>
      <w:r w:rsidRPr="0023637E">
        <w:rPr>
          <w:lang w:eastAsia="ar-SA"/>
        </w:rPr>
        <w:tab/>
        <w:t xml:space="preserve">Instead of relying on the conclusions of the contested EIA/SEA decision, the courts in such appeals make their own assessment of the risk of environmental damage in the light of all the facts and arguments significant to the case, taking into account the </w:t>
      </w:r>
      <w:r w:rsidRPr="0023637E">
        <w:rPr>
          <w:lang w:eastAsia="ar-SA"/>
        </w:rPr>
        <w:lastRenderedPageBreak/>
        <w:t xml:space="preserve">particularly important public interest in the protection of the environment and the need for precaution with respect to preventing environmental harm; </w:t>
      </w:r>
    </w:p>
    <w:p w14:paraId="3EDA2CBF" w14:textId="77777777" w:rsidR="00E71AED" w:rsidRPr="0023637E" w:rsidRDefault="00E71AED" w:rsidP="00E71AED">
      <w:pPr>
        <w:pStyle w:val="SingleTxtG"/>
        <w:ind w:firstLine="567"/>
        <w:rPr>
          <w:lang w:eastAsia="ar-SA"/>
        </w:rPr>
      </w:pPr>
      <w:r w:rsidRPr="0023637E">
        <w:rPr>
          <w:lang w:eastAsia="ar-SA"/>
        </w:rPr>
        <w:t>(b)</w:t>
      </w:r>
      <w:r w:rsidRPr="0023637E">
        <w:rPr>
          <w:lang w:eastAsia="ar-SA"/>
        </w:rPr>
        <w:tab/>
        <w:t xml:space="preserve">The courts in their decisions on such appeals set out their reasoning to clearly show how they have balanced the interests, including the assessment they have undertaken of the risk of environmental damage in the light of all the facts and arguments significant to the case, taking into account the particularly important public interest in the protection of the environment and the need for precaution with respect to preventing environmental harm; </w:t>
      </w:r>
    </w:p>
    <w:p w14:paraId="026D31FE" w14:textId="5E283FCC" w:rsidR="00086240" w:rsidRPr="0023637E" w:rsidRDefault="00E71AED" w:rsidP="00E71AED">
      <w:pPr>
        <w:pStyle w:val="SingleTxtG"/>
        <w:ind w:firstLine="567"/>
      </w:pPr>
      <w:r w:rsidRPr="0023637E">
        <w:rPr>
          <w:lang w:eastAsia="ar-SA"/>
        </w:rPr>
        <w:t>(c)</w:t>
      </w:r>
      <w:r w:rsidRPr="0023637E">
        <w:rPr>
          <w:lang w:eastAsia="ar-SA"/>
        </w:rPr>
        <w:tab/>
        <w:t>Training and guidance is provided for judges and public officials in relation to how to carry out the above-mentioned balancing of interests in environmental cases, including on how to properly reflect that balancing in their reasoning</w:t>
      </w:r>
      <w:r w:rsidR="00086240" w:rsidRPr="0023637E">
        <w:t>;</w:t>
      </w:r>
    </w:p>
    <w:p w14:paraId="32239E3D" w14:textId="4DC25F4B" w:rsidR="00086240" w:rsidRPr="0023637E" w:rsidRDefault="0023637E" w:rsidP="0023637E">
      <w:pPr>
        <w:pStyle w:val="SingleTxtG"/>
        <w:ind w:firstLine="567"/>
      </w:pPr>
      <w:r w:rsidRPr="0023637E">
        <w:t>9</w:t>
      </w:r>
      <w:r w:rsidR="00086240" w:rsidRPr="0023637E">
        <w:t>.</w:t>
      </w:r>
      <w:r w:rsidR="00086240" w:rsidRPr="0023637E">
        <w:tab/>
      </w:r>
      <w:r w:rsidR="00086240" w:rsidRPr="0023637E">
        <w:rPr>
          <w:i/>
        </w:rPr>
        <w:t>Requests</w:t>
      </w:r>
      <w:r w:rsidR="00086240" w:rsidRPr="0023637E">
        <w:t xml:space="preserve"> </w:t>
      </w:r>
      <w:r w:rsidRPr="0023637E">
        <w:t xml:space="preserve">that </w:t>
      </w:r>
      <w:r w:rsidR="00086240" w:rsidRPr="0023637E">
        <w:t>the Party concerned:</w:t>
      </w:r>
    </w:p>
    <w:p w14:paraId="1B7A5026" w14:textId="151F080C" w:rsidR="00086240" w:rsidRPr="0023637E" w:rsidRDefault="0023637E" w:rsidP="005B5EA3">
      <w:pPr>
        <w:pStyle w:val="SingleTxtG"/>
      </w:pPr>
      <w:r w:rsidRPr="0023637E">
        <w:tab/>
      </w:r>
      <w:r w:rsidR="00672BD8" w:rsidRPr="0023637E">
        <w:t>(a)</w:t>
      </w:r>
      <w:r w:rsidR="00672BD8" w:rsidRPr="0023637E">
        <w:tab/>
      </w:r>
      <w:r w:rsidRPr="0023637E">
        <w:t>S</w:t>
      </w:r>
      <w:r w:rsidR="00086240" w:rsidRPr="0023637E">
        <w:t>ubmit to the Committee detailed progress reports on 1 October 2018, 1</w:t>
      </w:r>
      <w:r w:rsidR="00BF3A0A" w:rsidRPr="0023637E">
        <w:t> </w:t>
      </w:r>
      <w:r w:rsidR="00086240" w:rsidRPr="0023637E">
        <w:t>October 2019 and 1 October 2020 on the measures taken and the results achieved in the implementation of the above recommendations;</w:t>
      </w:r>
    </w:p>
    <w:p w14:paraId="3E617EF2" w14:textId="5648BCF9" w:rsidR="00086240" w:rsidRPr="0023637E" w:rsidRDefault="0023637E" w:rsidP="005B5EA3">
      <w:pPr>
        <w:pStyle w:val="SingleTxtG"/>
      </w:pPr>
      <w:r w:rsidRPr="0023637E">
        <w:tab/>
      </w:r>
      <w:r w:rsidR="00672BD8" w:rsidRPr="0023637E">
        <w:t>(b)</w:t>
      </w:r>
      <w:r w:rsidR="00672BD8" w:rsidRPr="0023637E">
        <w:tab/>
      </w:r>
      <w:r w:rsidRPr="0023637E">
        <w:t>P</w:t>
      </w:r>
      <w:r w:rsidR="00086240" w:rsidRPr="0023637E">
        <w:t xml:space="preserve">rovide such further information as the Committee may request in order to assist it to review the progress </w:t>
      </w:r>
      <w:r w:rsidR="00BF3A0A" w:rsidRPr="0023637E">
        <w:t xml:space="preserve">of the Party concerned </w:t>
      </w:r>
      <w:r w:rsidR="00086240" w:rsidRPr="0023637E">
        <w:t xml:space="preserve">in implementing the above recommendations; </w:t>
      </w:r>
    </w:p>
    <w:p w14:paraId="3D4FEC25" w14:textId="3E7D8CE3" w:rsidR="00086240" w:rsidRPr="0023637E" w:rsidRDefault="0023637E" w:rsidP="005B5EA3">
      <w:pPr>
        <w:pStyle w:val="SingleTxtG"/>
      </w:pPr>
      <w:r w:rsidRPr="0023637E">
        <w:tab/>
      </w:r>
      <w:r w:rsidR="00672BD8" w:rsidRPr="0023637E">
        <w:t>(c)</w:t>
      </w:r>
      <w:r w:rsidR="00672BD8" w:rsidRPr="0023637E">
        <w:tab/>
      </w:r>
      <w:r w:rsidRPr="0023637E">
        <w:t>P</w:t>
      </w:r>
      <w:r w:rsidR="00086240" w:rsidRPr="0023637E">
        <w:t>articipate (either in person or by audio conference) in the meetings of the Committee at which the progress of the Party concerned in implementing the above recommendations is to be considered</w:t>
      </w:r>
      <w:r w:rsidR="00BF3A0A" w:rsidRPr="0023637E">
        <w:t>;</w:t>
      </w:r>
      <w:r w:rsidR="00086240" w:rsidRPr="0023637E">
        <w:t xml:space="preserve"> </w:t>
      </w:r>
    </w:p>
    <w:p w14:paraId="3E23264D" w14:textId="383420DE" w:rsidR="00086240" w:rsidRDefault="0023637E" w:rsidP="00BF3A0A">
      <w:pPr>
        <w:pStyle w:val="SingleTxtG"/>
      </w:pPr>
      <w:r w:rsidRPr="0023637E">
        <w:tab/>
        <w:t>10</w:t>
      </w:r>
      <w:r w:rsidR="00086240" w:rsidRPr="0023637E">
        <w:t>.</w:t>
      </w:r>
      <w:r w:rsidR="00086240" w:rsidRPr="0023637E">
        <w:tab/>
      </w:r>
      <w:r w:rsidR="00086240" w:rsidRPr="0023637E">
        <w:rPr>
          <w:i/>
        </w:rPr>
        <w:t>Undertakes</w:t>
      </w:r>
      <w:r w:rsidR="00086240" w:rsidRPr="0023637E">
        <w:t xml:space="preserve"> to review the situation at its seventh session.</w:t>
      </w:r>
    </w:p>
    <w:p w14:paraId="65813029" w14:textId="3E5F16A1" w:rsidR="00086240" w:rsidRPr="00931133" w:rsidRDefault="00086240" w:rsidP="00086240">
      <w:pPr>
        <w:pStyle w:val="SingleTxtG"/>
        <w:spacing w:before="240" w:after="0"/>
        <w:jc w:val="center"/>
        <w:rPr>
          <w:u w:val="single"/>
        </w:rPr>
      </w:pPr>
      <w:r>
        <w:rPr>
          <w:u w:val="single"/>
        </w:rPr>
        <w:tab/>
      </w:r>
      <w:r>
        <w:rPr>
          <w:u w:val="single"/>
        </w:rPr>
        <w:tab/>
      </w:r>
      <w:r>
        <w:rPr>
          <w:u w:val="single"/>
        </w:rPr>
        <w:tab/>
      </w:r>
      <w:r w:rsidR="00830B98">
        <w:rPr>
          <w:u w:val="single"/>
        </w:rPr>
        <w:tab/>
      </w:r>
    </w:p>
    <w:sectPr w:rsidR="00086240" w:rsidRPr="00931133" w:rsidSect="004334C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13DA" w14:textId="77777777" w:rsidR="004334C7" w:rsidRDefault="004334C7"/>
  </w:endnote>
  <w:endnote w:type="continuationSeparator" w:id="0">
    <w:p w14:paraId="43710FCF" w14:textId="77777777" w:rsidR="004334C7" w:rsidRDefault="004334C7"/>
  </w:endnote>
  <w:endnote w:type="continuationNotice" w:id="1">
    <w:p w14:paraId="198E5FB4" w14:textId="77777777" w:rsidR="004334C7" w:rsidRDefault="00433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0BB" w14:textId="3C8DD08F"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AD74F0">
      <w:rPr>
        <w:b/>
        <w:noProof/>
        <w:sz w:val="18"/>
      </w:rPr>
      <w:t>2</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02C4" w14:textId="7CA95FB0"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AD74F0">
      <w:rPr>
        <w:b/>
        <w:noProof/>
        <w:sz w:val="18"/>
      </w:rPr>
      <w:t>3</w:t>
    </w:r>
    <w:r w:rsidRPr="004334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4A1B5" w14:textId="187B2B38" w:rsidR="00595BC4" w:rsidRDefault="00595BC4" w:rsidP="00595BC4">
    <w:pPr>
      <w:pStyle w:val="Footer"/>
    </w:pPr>
    <w:r>
      <w:rPr>
        <w:rFonts w:ascii="C39T30Lfz" w:hAnsi="C39T30Lfz"/>
        <w:noProof/>
        <w:sz w:val="56"/>
        <w:lang w:eastAsia="en-GB"/>
      </w:rPr>
      <w:drawing>
        <wp:anchor distT="0" distB="0" distL="114300" distR="114300" simplePos="0" relativeHeight="251658240" behindDoc="0" locked="0" layoutInCell="1" allowOverlap="1" wp14:anchorId="7BC7C724" wp14:editId="615A123F">
          <wp:simplePos x="0" y="0"/>
          <wp:positionH relativeFrom="margin">
            <wp:posOffset>5469816</wp:posOffset>
          </wp:positionH>
          <wp:positionV relativeFrom="margin">
            <wp:posOffset>7920691</wp:posOffset>
          </wp:positionV>
          <wp:extent cx="638175" cy="638175"/>
          <wp:effectExtent l="0" t="0" r="9525" b="9525"/>
          <wp:wrapNone/>
          <wp:docPr id="2" name="Picture 1" descr="https://undocs.org/m2/QRCode.ashx?DS=ECE/MP.PP/2017/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1" layoutInCell="1" allowOverlap="1" wp14:anchorId="35B0E994" wp14:editId="7DBFE528">
          <wp:simplePos x="0" y="0"/>
          <wp:positionH relativeFrom="margin">
            <wp:posOffset>4410075</wp:posOffset>
          </wp:positionH>
          <wp:positionV relativeFrom="margin">
            <wp:posOffset>8307070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15A6811" w14:textId="36DAD9B6" w:rsidR="00595BC4" w:rsidRDefault="00595BC4" w:rsidP="00595BC4">
    <w:pPr>
      <w:pStyle w:val="Footer"/>
      <w:ind w:right="1134"/>
      <w:rPr>
        <w:sz w:val="20"/>
      </w:rPr>
    </w:pPr>
    <w:r>
      <w:rPr>
        <w:sz w:val="20"/>
      </w:rPr>
      <w:t>GE.17-11990(E)</w:t>
    </w:r>
  </w:p>
  <w:p w14:paraId="195C4D5E" w14:textId="215A18EE" w:rsidR="00595BC4" w:rsidRPr="00595BC4" w:rsidRDefault="00595BC4" w:rsidP="00595B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25FB" w14:textId="77777777" w:rsidR="004334C7" w:rsidRPr="000B175B" w:rsidRDefault="004334C7" w:rsidP="000B175B">
      <w:pPr>
        <w:tabs>
          <w:tab w:val="right" w:pos="2155"/>
        </w:tabs>
        <w:spacing w:after="80"/>
        <w:ind w:left="680"/>
        <w:rPr>
          <w:u w:val="single"/>
        </w:rPr>
      </w:pPr>
      <w:r>
        <w:rPr>
          <w:u w:val="single"/>
        </w:rPr>
        <w:tab/>
      </w:r>
    </w:p>
  </w:footnote>
  <w:footnote w:type="continuationSeparator" w:id="0">
    <w:p w14:paraId="45E817A6" w14:textId="77777777" w:rsidR="004334C7" w:rsidRPr="00FC68B7" w:rsidRDefault="004334C7" w:rsidP="00FC68B7">
      <w:pPr>
        <w:tabs>
          <w:tab w:val="left" w:pos="2155"/>
        </w:tabs>
        <w:spacing w:after="80"/>
        <w:ind w:left="680"/>
        <w:rPr>
          <w:u w:val="single"/>
        </w:rPr>
      </w:pPr>
      <w:r>
        <w:rPr>
          <w:u w:val="single"/>
        </w:rPr>
        <w:tab/>
      </w:r>
    </w:p>
  </w:footnote>
  <w:footnote w:type="continuationNotice" w:id="1">
    <w:p w14:paraId="752DCE68" w14:textId="77777777" w:rsidR="004334C7" w:rsidRDefault="004334C7"/>
  </w:footnote>
  <w:footnote w:id="2">
    <w:p w14:paraId="5A0671F9" w14:textId="06E5E666" w:rsidR="00B203B4" w:rsidRPr="00B203B4" w:rsidRDefault="00B203B4">
      <w:pPr>
        <w:pStyle w:val="FootnoteText"/>
      </w:pPr>
      <w:r>
        <w:rPr>
          <w:rStyle w:val="FootnoteReference"/>
        </w:rPr>
        <w:tab/>
      </w:r>
      <w:r w:rsidRPr="00B203B4">
        <w:rPr>
          <w:rStyle w:val="FootnoteReference"/>
          <w:sz w:val="20"/>
          <w:vertAlign w:val="baseline"/>
        </w:rPr>
        <w:t>*</w:t>
      </w:r>
      <w:r>
        <w:rPr>
          <w:rStyle w:val="FootnoteReference"/>
          <w:sz w:val="20"/>
          <w:vertAlign w:val="baseline"/>
        </w:rPr>
        <w:tab/>
      </w:r>
      <w:r>
        <w:t>Reissued for technical reasons on 18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EE6" w14:textId="64563199" w:rsidR="004334C7" w:rsidRPr="004334C7" w:rsidRDefault="004334C7">
    <w:pPr>
      <w:pStyle w:val="Header"/>
    </w:pPr>
    <w:r>
      <w:t>ECE/MP.PP/2017/</w:t>
    </w:r>
    <w:r w:rsidR="00AD41CE">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5D84" w14:textId="59B99A57" w:rsidR="004334C7" w:rsidRPr="004334C7" w:rsidRDefault="004334C7" w:rsidP="004334C7">
    <w:pPr>
      <w:pStyle w:val="Header"/>
      <w:jc w:val="right"/>
    </w:pPr>
    <w:r>
      <w:t>ECE/MP.PP/2017/</w:t>
    </w:r>
    <w:r w:rsidR="00AD41CE">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9E9020F"/>
    <w:multiLevelType w:val="hybridMultilevel"/>
    <w:tmpl w:val="4A18FC62"/>
    <w:lvl w:ilvl="0" w:tplc="C3AE6656">
      <w:start w:val="5"/>
      <w:numFmt w:val="decimal"/>
      <w:lvlText w:val="%1."/>
      <w:lvlJc w:val="left"/>
      <w:pPr>
        <w:ind w:left="1494" w:hanging="36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5"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7F2D98"/>
    <w:multiLevelType w:val="multilevel"/>
    <w:tmpl w:val="27CAC610"/>
    <w:lvl w:ilvl="0">
      <w:start w:val="1"/>
      <w:numFmt w:val="decimal"/>
      <w:lvlText w:val="%1."/>
      <w:lvlJc w:val="left"/>
      <w:pPr>
        <w:ind w:left="2271" w:hanging="570"/>
      </w:pPr>
      <w:rPr>
        <w:rFonts w:hint="default"/>
        <w:b w:val="0"/>
        <w:i w:val="0"/>
      </w:rPr>
    </w:lvl>
    <w:lvl w:ilvl="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5"/>
  </w:num>
  <w:num w:numId="17">
    <w:abstractNumId w:val="10"/>
  </w:num>
  <w:num w:numId="18">
    <w:abstractNumId w:val="1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activeWritingStyle w:appName="MSWord" w:lang="en-GB" w:vendorID="64" w:dllVersion="131077"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7"/>
    <w:rsid w:val="000463DC"/>
    <w:rsid w:val="00046B1F"/>
    <w:rsid w:val="00050F6B"/>
    <w:rsid w:val="00057E97"/>
    <w:rsid w:val="00072C8C"/>
    <w:rsid w:val="000733B5"/>
    <w:rsid w:val="00081815"/>
    <w:rsid w:val="00086240"/>
    <w:rsid w:val="000931C0"/>
    <w:rsid w:val="000B0595"/>
    <w:rsid w:val="000B175B"/>
    <w:rsid w:val="000B3A0F"/>
    <w:rsid w:val="000B4EF7"/>
    <w:rsid w:val="000C2C03"/>
    <w:rsid w:val="000C2D2E"/>
    <w:rsid w:val="000E0415"/>
    <w:rsid w:val="000E4BAA"/>
    <w:rsid w:val="001103AA"/>
    <w:rsid w:val="0011666B"/>
    <w:rsid w:val="00154FD9"/>
    <w:rsid w:val="00165F3A"/>
    <w:rsid w:val="0017736A"/>
    <w:rsid w:val="001969F4"/>
    <w:rsid w:val="001A3336"/>
    <w:rsid w:val="001B4B04"/>
    <w:rsid w:val="001C5EA9"/>
    <w:rsid w:val="001C6663"/>
    <w:rsid w:val="001C7895"/>
    <w:rsid w:val="001D0C8C"/>
    <w:rsid w:val="001D1419"/>
    <w:rsid w:val="001D26DF"/>
    <w:rsid w:val="001D3A03"/>
    <w:rsid w:val="001E7B67"/>
    <w:rsid w:val="00202DA8"/>
    <w:rsid w:val="00211E0B"/>
    <w:rsid w:val="00225055"/>
    <w:rsid w:val="00230C33"/>
    <w:rsid w:val="0023637E"/>
    <w:rsid w:val="0024772E"/>
    <w:rsid w:val="002510A0"/>
    <w:rsid w:val="00267F5F"/>
    <w:rsid w:val="00286B4D"/>
    <w:rsid w:val="002D4643"/>
    <w:rsid w:val="002F175C"/>
    <w:rsid w:val="002F2B7D"/>
    <w:rsid w:val="00302E18"/>
    <w:rsid w:val="003229D8"/>
    <w:rsid w:val="00352709"/>
    <w:rsid w:val="003619B5"/>
    <w:rsid w:val="00365763"/>
    <w:rsid w:val="00371178"/>
    <w:rsid w:val="003715E2"/>
    <w:rsid w:val="00392E47"/>
    <w:rsid w:val="003A6810"/>
    <w:rsid w:val="003B4680"/>
    <w:rsid w:val="003C2CC4"/>
    <w:rsid w:val="003D4B23"/>
    <w:rsid w:val="00410C89"/>
    <w:rsid w:val="00422E03"/>
    <w:rsid w:val="00426B9B"/>
    <w:rsid w:val="004325CB"/>
    <w:rsid w:val="004334C7"/>
    <w:rsid w:val="00436788"/>
    <w:rsid w:val="00442A83"/>
    <w:rsid w:val="0045495B"/>
    <w:rsid w:val="00466275"/>
    <w:rsid w:val="0048397A"/>
    <w:rsid w:val="00485CBB"/>
    <w:rsid w:val="004866B7"/>
    <w:rsid w:val="004C1DEA"/>
    <w:rsid w:val="004C2461"/>
    <w:rsid w:val="004C7462"/>
    <w:rsid w:val="004E77B2"/>
    <w:rsid w:val="00504B2D"/>
    <w:rsid w:val="0052136D"/>
    <w:rsid w:val="0052775E"/>
    <w:rsid w:val="005420F2"/>
    <w:rsid w:val="005628B6"/>
    <w:rsid w:val="00595BC4"/>
    <w:rsid w:val="0059724D"/>
    <w:rsid w:val="005B3DB3"/>
    <w:rsid w:val="005B4E13"/>
    <w:rsid w:val="005B5EA3"/>
    <w:rsid w:val="005C342F"/>
    <w:rsid w:val="005D2609"/>
    <w:rsid w:val="005D6160"/>
    <w:rsid w:val="005D6CEF"/>
    <w:rsid w:val="005F7B75"/>
    <w:rsid w:val="006001EE"/>
    <w:rsid w:val="00605042"/>
    <w:rsid w:val="00611FC4"/>
    <w:rsid w:val="006176FB"/>
    <w:rsid w:val="00640B26"/>
    <w:rsid w:val="00652D0A"/>
    <w:rsid w:val="00662BB6"/>
    <w:rsid w:val="006661F3"/>
    <w:rsid w:val="00672BD8"/>
    <w:rsid w:val="00676606"/>
    <w:rsid w:val="00684C21"/>
    <w:rsid w:val="00694617"/>
    <w:rsid w:val="00694E22"/>
    <w:rsid w:val="006A2530"/>
    <w:rsid w:val="006A3DD4"/>
    <w:rsid w:val="006B3BD0"/>
    <w:rsid w:val="006C3589"/>
    <w:rsid w:val="006D2813"/>
    <w:rsid w:val="006D37AF"/>
    <w:rsid w:val="006D51D0"/>
    <w:rsid w:val="006D5FB9"/>
    <w:rsid w:val="006E564B"/>
    <w:rsid w:val="006E7191"/>
    <w:rsid w:val="006F5D3E"/>
    <w:rsid w:val="00703577"/>
    <w:rsid w:val="00703A25"/>
    <w:rsid w:val="00705894"/>
    <w:rsid w:val="0071720D"/>
    <w:rsid w:val="0072632A"/>
    <w:rsid w:val="007327D5"/>
    <w:rsid w:val="00754BA1"/>
    <w:rsid w:val="007629C8"/>
    <w:rsid w:val="0077047D"/>
    <w:rsid w:val="007B6BA5"/>
    <w:rsid w:val="007C3390"/>
    <w:rsid w:val="007C4F4B"/>
    <w:rsid w:val="007E01E9"/>
    <w:rsid w:val="007E63F3"/>
    <w:rsid w:val="007F6611"/>
    <w:rsid w:val="00811920"/>
    <w:rsid w:val="00815AD0"/>
    <w:rsid w:val="008242D7"/>
    <w:rsid w:val="008257B1"/>
    <w:rsid w:val="008276A0"/>
    <w:rsid w:val="00830B98"/>
    <w:rsid w:val="00832334"/>
    <w:rsid w:val="00835DBD"/>
    <w:rsid w:val="00843767"/>
    <w:rsid w:val="008515C9"/>
    <w:rsid w:val="008679D9"/>
    <w:rsid w:val="0087321B"/>
    <w:rsid w:val="008878DE"/>
    <w:rsid w:val="008979B1"/>
    <w:rsid w:val="008A6B25"/>
    <w:rsid w:val="008A6C4F"/>
    <w:rsid w:val="008B2335"/>
    <w:rsid w:val="008E0678"/>
    <w:rsid w:val="008E28D2"/>
    <w:rsid w:val="009223CA"/>
    <w:rsid w:val="00940F93"/>
    <w:rsid w:val="00967615"/>
    <w:rsid w:val="009760F3"/>
    <w:rsid w:val="00976CFB"/>
    <w:rsid w:val="009A0830"/>
    <w:rsid w:val="009A0E8D"/>
    <w:rsid w:val="009B214D"/>
    <w:rsid w:val="009B26E7"/>
    <w:rsid w:val="009B60F3"/>
    <w:rsid w:val="009C6246"/>
    <w:rsid w:val="00A00697"/>
    <w:rsid w:val="00A00A3F"/>
    <w:rsid w:val="00A01489"/>
    <w:rsid w:val="00A3026E"/>
    <w:rsid w:val="00A338F1"/>
    <w:rsid w:val="00A35BE0"/>
    <w:rsid w:val="00A72D25"/>
    <w:rsid w:val="00A72F22"/>
    <w:rsid w:val="00A7360F"/>
    <w:rsid w:val="00A748A6"/>
    <w:rsid w:val="00A769F4"/>
    <w:rsid w:val="00A776B4"/>
    <w:rsid w:val="00A77D15"/>
    <w:rsid w:val="00A876AE"/>
    <w:rsid w:val="00A87DBB"/>
    <w:rsid w:val="00A94361"/>
    <w:rsid w:val="00AA293C"/>
    <w:rsid w:val="00AD41CE"/>
    <w:rsid w:val="00AD74F0"/>
    <w:rsid w:val="00B203B4"/>
    <w:rsid w:val="00B30179"/>
    <w:rsid w:val="00B421C1"/>
    <w:rsid w:val="00B55C71"/>
    <w:rsid w:val="00B56E4A"/>
    <w:rsid w:val="00B56E9C"/>
    <w:rsid w:val="00B64B1F"/>
    <w:rsid w:val="00B6553F"/>
    <w:rsid w:val="00B77D05"/>
    <w:rsid w:val="00B81206"/>
    <w:rsid w:val="00B81E12"/>
    <w:rsid w:val="00BC3FA0"/>
    <w:rsid w:val="00BC74E9"/>
    <w:rsid w:val="00BF3A0A"/>
    <w:rsid w:val="00BF68A8"/>
    <w:rsid w:val="00C11A03"/>
    <w:rsid w:val="00C12A10"/>
    <w:rsid w:val="00C22C0C"/>
    <w:rsid w:val="00C35F1F"/>
    <w:rsid w:val="00C4527F"/>
    <w:rsid w:val="00C463DD"/>
    <w:rsid w:val="00C4724C"/>
    <w:rsid w:val="00C629A0"/>
    <w:rsid w:val="00C64629"/>
    <w:rsid w:val="00C745C3"/>
    <w:rsid w:val="00C96DF2"/>
    <w:rsid w:val="00CB3E03"/>
    <w:rsid w:val="00CC5A26"/>
    <w:rsid w:val="00CC5BD8"/>
    <w:rsid w:val="00CE4A8F"/>
    <w:rsid w:val="00D02901"/>
    <w:rsid w:val="00D02D30"/>
    <w:rsid w:val="00D2031B"/>
    <w:rsid w:val="00D25FE2"/>
    <w:rsid w:val="00D37B45"/>
    <w:rsid w:val="00D43252"/>
    <w:rsid w:val="00D44F86"/>
    <w:rsid w:val="00D47EEA"/>
    <w:rsid w:val="00D773DF"/>
    <w:rsid w:val="00D95303"/>
    <w:rsid w:val="00D978C6"/>
    <w:rsid w:val="00DA3C1C"/>
    <w:rsid w:val="00DC5061"/>
    <w:rsid w:val="00E046DF"/>
    <w:rsid w:val="00E27346"/>
    <w:rsid w:val="00E71AED"/>
    <w:rsid w:val="00E71BC8"/>
    <w:rsid w:val="00E7260F"/>
    <w:rsid w:val="00E73F5D"/>
    <w:rsid w:val="00E77E4E"/>
    <w:rsid w:val="00E96630"/>
    <w:rsid w:val="00ED7A2A"/>
    <w:rsid w:val="00EF1D7F"/>
    <w:rsid w:val="00F31E5F"/>
    <w:rsid w:val="00F6100A"/>
    <w:rsid w:val="00F83B06"/>
    <w:rsid w:val="00F87230"/>
    <w:rsid w:val="00F93781"/>
    <w:rsid w:val="00FB613B"/>
    <w:rsid w:val="00FC68B7"/>
    <w:rsid w:val="00FD3F98"/>
    <w:rsid w:val="00FE106A"/>
    <w:rsid w:val="00FE2F44"/>
    <w:rsid w:val="00FF145D"/>
    <w:rsid w:val="00FF55D1"/>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A7CA08"/>
  <w15:docId w15:val="{58DB146C-B8BF-4B9F-B9A4-0E81FB9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 w:type="character" w:customStyle="1" w:styleId="SingleTxtGChar">
    <w:name w:val="_ Single Txt_G Char"/>
    <w:link w:val="SingleTxtG"/>
    <w:rsid w:val="00E71AED"/>
    <w:rPr>
      <w:lang w:eastAsia="en-US"/>
    </w:rPr>
  </w:style>
  <w:style w:type="character" w:customStyle="1" w:styleId="WW8Num1z2">
    <w:name w:val="WW8Num1z2"/>
    <w:rsid w:val="006D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9BFA-7FBA-47BF-B2D6-BAE8CD7A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3</Pages>
  <Words>981</Words>
  <Characters>5523</Characters>
  <Application>Microsoft Office Word</Application>
  <DocSecurity>0</DocSecurity>
  <Lines>105</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1711990</dc:title>
  <dc:subject>ECE/MP.PP/2017/23</dc:subject>
  <dc:creator>Sadaf Shamsie</dc:creator>
  <cp:keywords/>
  <dc:description/>
  <cp:lastModifiedBy>Generic Desk Anglais</cp:lastModifiedBy>
  <cp:revision>2</cp:revision>
  <cp:lastPrinted>2017-08-18T10:13:00Z</cp:lastPrinted>
  <dcterms:created xsi:type="dcterms:W3CDTF">2017-08-18T10:22:00Z</dcterms:created>
  <dcterms:modified xsi:type="dcterms:W3CDTF">2017-08-18T10:22:00Z</dcterms:modified>
</cp:coreProperties>
</file>