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6BF" w:rsidRPr="00DC6E3C" w:rsidRDefault="00542AC8" w:rsidP="00F756BF">
      <w:pPr>
        <w:spacing w:after="0"/>
        <w:rPr>
          <w:rFonts w:ascii="Calibri" w:hAnsi="Calibri" w:cs="Calibri"/>
          <w:b/>
          <w:sz w:val="28"/>
          <w:szCs w:val="28"/>
          <w:lang w:val="en-GB"/>
        </w:rPr>
      </w:pPr>
      <w:bookmarkStart w:id="0" w:name="_GoBack"/>
      <w:bookmarkEnd w:id="0"/>
      <w:r>
        <w:rPr>
          <w:rFonts w:ascii="Calibri" w:hAnsi="Calibri" w:cs="Calibri"/>
          <w:b/>
          <w:sz w:val="28"/>
          <w:szCs w:val="28"/>
          <w:lang w:val="en-GB"/>
        </w:rPr>
        <w:t xml:space="preserve">Draft </w:t>
      </w:r>
      <w:r w:rsidR="00F756BF" w:rsidRPr="00DC6E3C">
        <w:rPr>
          <w:rFonts w:ascii="Calibri" w:hAnsi="Calibri" w:cs="Calibri"/>
          <w:b/>
          <w:sz w:val="28"/>
          <w:szCs w:val="28"/>
          <w:lang w:val="en-GB"/>
        </w:rPr>
        <w:t>Statement with general recommendations to all Parties on the application of the Aarhus Convention during the COVID-19 pandemic</w:t>
      </w:r>
      <w:r>
        <w:rPr>
          <w:rFonts w:ascii="Calibri" w:hAnsi="Calibri" w:cs="Calibri"/>
          <w:b/>
          <w:sz w:val="28"/>
          <w:szCs w:val="28"/>
          <w:lang w:val="en-GB"/>
        </w:rPr>
        <w:t xml:space="preserve"> and the economic recovery phase</w:t>
      </w:r>
    </w:p>
    <w:p w:rsidR="00F756BF" w:rsidRPr="00DC6E3C" w:rsidRDefault="00F756BF" w:rsidP="00F756BF">
      <w:pPr>
        <w:spacing w:after="0"/>
        <w:rPr>
          <w:rFonts w:ascii="Calibri" w:hAnsi="Calibri" w:cs="Calibri"/>
          <w:sz w:val="24"/>
          <w:szCs w:val="24"/>
          <w:lang w:val="en-GB"/>
        </w:rPr>
      </w:pPr>
      <w:r w:rsidRPr="00DC6E3C">
        <w:rPr>
          <w:rFonts w:ascii="Calibri" w:hAnsi="Calibri" w:cs="Calibri"/>
          <w:sz w:val="24"/>
          <w:szCs w:val="24"/>
          <w:lang w:val="en-GB"/>
        </w:rPr>
        <w:t>Adopted xx August 2020</w:t>
      </w:r>
    </w:p>
    <w:p w:rsidR="00F756BF" w:rsidRPr="00DC6E3C" w:rsidRDefault="00F756BF" w:rsidP="00F756BF">
      <w:pPr>
        <w:spacing w:after="0"/>
        <w:rPr>
          <w:rFonts w:ascii="Calibri" w:hAnsi="Calibri" w:cs="Calibri"/>
          <w:sz w:val="24"/>
          <w:szCs w:val="24"/>
          <w:lang w:val="en-GB"/>
        </w:rPr>
      </w:pPr>
    </w:p>
    <w:p w:rsidR="00F756BF" w:rsidRPr="00DC6E3C" w:rsidRDefault="00F756BF" w:rsidP="00F756BF">
      <w:pPr>
        <w:spacing w:after="0"/>
        <w:rPr>
          <w:rFonts w:ascii="Calibri" w:hAnsi="Calibri" w:cs="Calibri"/>
          <w:sz w:val="24"/>
          <w:szCs w:val="24"/>
          <w:lang w:val="en-GB"/>
        </w:rPr>
      </w:pPr>
    </w:p>
    <w:p w:rsidR="00F756BF" w:rsidRPr="00DC6E3C" w:rsidRDefault="00F756BF" w:rsidP="00F756BF">
      <w:pPr>
        <w:spacing w:after="0"/>
        <w:rPr>
          <w:rFonts w:ascii="Calibri" w:hAnsi="Calibri" w:cs="Calibri"/>
          <w:i/>
          <w:sz w:val="24"/>
          <w:szCs w:val="24"/>
          <w:lang w:val="en-GB"/>
        </w:rPr>
      </w:pPr>
      <w:r w:rsidRPr="00DC6E3C">
        <w:rPr>
          <w:rFonts w:ascii="Calibri" w:hAnsi="Calibri" w:cs="Calibri"/>
          <w:i/>
          <w:sz w:val="24"/>
          <w:szCs w:val="24"/>
          <w:lang w:val="en-GB"/>
        </w:rPr>
        <w:t>The Compliance Committee of the Convention on Access to information, Public Participation in Decision-making and Access to Justice in Environmental matters (Aarhus Convention),</w:t>
      </w:r>
    </w:p>
    <w:p w:rsidR="00F756BF" w:rsidRPr="00DC6E3C" w:rsidRDefault="00F756BF" w:rsidP="00F756BF">
      <w:pPr>
        <w:spacing w:after="0"/>
        <w:rPr>
          <w:rFonts w:ascii="Calibri" w:hAnsi="Calibri" w:cs="Calibri"/>
          <w:sz w:val="24"/>
          <w:szCs w:val="24"/>
          <w:lang w:val="en-GB"/>
        </w:rPr>
      </w:pPr>
    </w:p>
    <w:p w:rsidR="00F756BF" w:rsidRPr="00DC6E3C" w:rsidRDefault="00F756BF" w:rsidP="00F756BF">
      <w:pPr>
        <w:spacing w:after="0"/>
        <w:ind w:firstLine="426"/>
        <w:rPr>
          <w:rFonts w:ascii="Calibri" w:hAnsi="Calibri" w:cs="Calibri"/>
          <w:sz w:val="24"/>
          <w:szCs w:val="24"/>
          <w:lang w:val="en-GB"/>
        </w:rPr>
      </w:pPr>
      <w:r w:rsidRPr="00DC6E3C">
        <w:rPr>
          <w:rFonts w:ascii="Calibri" w:hAnsi="Calibri" w:cs="Calibri"/>
          <w:i/>
          <w:sz w:val="24"/>
          <w:szCs w:val="24"/>
          <w:lang w:val="en-GB"/>
        </w:rPr>
        <w:t>Concerned about</w:t>
      </w:r>
      <w:r w:rsidRPr="00DC6E3C">
        <w:rPr>
          <w:rFonts w:ascii="Calibri" w:hAnsi="Calibri" w:cs="Calibri"/>
          <w:sz w:val="24"/>
          <w:szCs w:val="24"/>
          <w:lang w:val="en-GB"/>
        </w:rPr>
        <w:t xml:space="preserve"> the application of the Convention by the Parties during the COVID-19 pandemic</w:t>
      </w:r>
      <w:r>
        <w:rPr>
          <w:rFonts w:ascii="Calibri" w:hAnsi="Calibri" w:cs="Calibri"/>
          <w:sz w:val="24"/>
          <w:szCs w:val="24"/>
          <w:lang w:val="en-GB"/>
        </w:rPr>
        <w:t xml:space="preserve"> and in the subsequent phase of economic recovery</w:t>
      </w:r>
      <w:r w:rsidRPr="00DC6E3C">
        <w:rPr>
          <w:rFonts w:ascii="Calibri" w:hAnsi="Calibri" w:cs="Calibri"/>
          <w:sz w:val="24"/>
          <w:szCs w:val="24"/>
          <w:lang w:val="en-GB"/>
        </w:rPr>
        <w:t>;</w:t>
      </w:r>
    </w:p>
    <w:p w:rsidR="00F756BF" w:rsidRPr="00DC6E3C" w:rsidRDefault="00F756BF" w:rsidP="00F756BF">
      <w:pPr>
        <w:spacing w:after="0"/>
        <w:ind w:firstLine="426"/>
        <w:rPr>
          <w:rFonts w:ascii="Calibri" w:hAnsi="Calibri" w:cs="Calibri"/>
          <w:sz w:val="24"/>
          <w:szCs w:val="24"/>
          <w:lang w:val="en-GB"/>
        </w:rPr>
      </w:pPr>
      <w:r w:rsidRPr="00DC6E3C">
        <w:rPr>
          <w:rFonts w:ascii="Calibri" w:hAnsi="Calibri" w:cs="Calibri"/>
          <w:i/>
          <w:sz w:val="24"/>
          <w:szCs w:val="24"/>
          <w:lang w:val="en-GB"/>
        </w:rPr>
        <w:t>Noting</w:t>
      </w:r>
      <w:r w:rsidRPr="00DC6E3C">
        <w:rPr>
          <w:rFonts w:ascii="Calibri" w:hAnsi="Calibri" w:cs="Calibri"/>
          <w:sz w:val="24"/>
          <w:szCs w:val="24"/>
          <w:lang w:val="en-GB"/>
        </w:rPr>
        <w:t xml:space="preserve"> the objective of the Convention </w:t>
      </w:r>
      <w:r>
        <w:rPr>
          <w:rFonts w:ascii="Calibri" w:hAnsi="Calibri" w:cs="Calibri"/>
          <w:sz w:val="24"/>
          <w:szCs w:val="24"/>
          <w:lang w:val="en-GB"/>
        </w:rPr>
        <w:t>“</w:t>
      </w:r>
      <w:r w:rsidRPr="00DC6E3C">
        <w:rPr>
          <w:rFonts w:ascii="Calibri" w:hAnsi="Calibri" w:cs="Calibri"/>
          <w:sz w:val="24"/>
          <w:szCs w:val="24"/>
          <w:lang w:val="en-GB"/>
        </w:rPr>
        <w:t>to contribute to the protection of the right of every person of present and future generations to live in an environment adequate to his or her health and well-being” (article 1 of the Convention);</w:t>
      </w:r>
    </w:p>
    <w:p w:rsidR="00F756BF" w:rsidRPr="00DC6E3C" w:rsidRDefault="00F756BF" w:rsidP="00F756BF">
      <w:pPr>
        <w:spacing w:after="0"/>
        <w:ind w:firstLine="426"/>
        <w:rPr>
          <w:rFonts w:ascii="Calibri" w:hAnsi="Calibri" w:cs="Calibri"/>
          <w:sz w:val="24"/>
          <w:szCs w:val="24"/>
          <w:lang w:val="en-GB"/>
        </w:rPr>
      </w:pPr>
      <w:r w:rsidRPr="00DC6E3C">
        <w:rPr>
          <w:rFonts w:ascii="Calibri" w:hAnsi="Calibri" w:cs="Calibri"/>
          <w:i/>
          <w:sz w:val="24"/>
          <w:szCs w:val="24"/>
          <w:lang w:val="en-GB"/>
        </w:rPr>
        <w:t>Also noting</w:t>
      </w:r>
      <w:r w:rsidRPr="00DC6E3C">
        <w:rPr>
          <w:rFonts w:ascii="Calibri" w:hAnsi="Calibri" w:cs="Calibri"/>
          <w:sz w:val="24"/>
          <w:szCs w:val="24"/>
          <w:lang w:val="en-GB"/>
        </w:rPr>
        <w:t xml:space="preserve"> the purpose of the Committee </w:t>
      </w:r>
      <w:r>
        <w:rPr>
          <w:rFonts w:ascii="Calibri" w:hAnsi="Calibri" w:cs="Calibri"/>
          <w:sz w:val="24"/>
          <w:szCs w:val="24"/>
          <w:lang w:val="en-GB"/>
        </w:rPr>
        <w:t>“</w:t>
      </w:r>
      <w:r w:rsidRPr="00DC6E3C">
        <w:rPr>
          <w:rFonts w:ascii="Calibri" w:hAnsi="Calibri" w:cs="Calibri"/>
          <w:sz w:val="24"/>
          <w:szCs w:val="24"/>
          <w:lang w:val="en-GB"/>
        </w:rPr>
        <w:t>to promote and improve compliance” with the Convention (</w:t>
      </w:r>
      <w:r>
        <w:rPr>
          <w:rFonts w:ascii="Calibri" w:hAnsi="Calibri" w:cs="Calibri"/>
          <w:sz w:val="24"/>
          <w:szCs w:val="24"/>
          <w:lang w:val="en-GB"/>
        </w:rPr>
        <w:t xml:space="preserve">recital to </w:t>
      </w:r>
      <w:r w:rsidRPr="00DC6E3C">
        <w:rPr>
          <w:rFonts w:ascii="Calibri" w:hAnsi="Calibri" w:cs="Calibri"/>
          <w:sz w:val="24"/>
          <w:szCs w:val="24"/>
          <w:lang w:val="en-GB"/>
        </w:rPr>
        <w:t>Decision I/7 of the Meeting of the Parties);</w:t>
      </w:r>
    </w:p>
    <w:p w:rsidR="00F756BF" w:rsidRPr="00DC6E3C" w:rsidRDefault="00F756BF" w:rsidP="00F756BF">
      <w:pPr>
        <w:spacing w:after="0"/>
        <w:ind w:firstLine="426"/>
        <w:rPr>
          <w:rFonts w:ascii="Calibri" w:hAnsi="Calibri" w:cs="Calibri"/>
          <w:sz w:val="24"/>
          <w:szCs w:val="24"/>
          <w:lang w:val="en-GB"/>
        </w:rPr>
      </w:pPr>
      <w:r w:rsidRPr="00DC6E3C">
        <w:rPr>
          <w:rFonts w:ascii="Calibri" w:hAnsi="Calibri" w:cs="Calibri"/>
          <w:i/>
          <w:sz w:val="24"/>
          <w:szCs w:val="24"/>
          <w:lang w:val="en-GB"/>
        </w:rPr>
        <w:t>Referring</w:t>
      </w:r>
      <w:r w:rsidRPr="00DC6E3C">
        <w:rPr>
          <w:rFonts w:ascii="Calibri" w:hAnsi="Calibri" w:cs="Calibri"/>
          <w:sz w:val="24"/>
          <w:szCs w:val="24"/>
          <w:lang w:val="en-GB"/>
        </w:rPr>
        <w:t xml:space="preserve"> to its function to “make recommendations if and as appropriate” (para 14 of the annex to Decision I/7 of the Meeting of the Parties);</w:t>
      </w:r>
    </w:p>
    <w:p w:rsidR="00F756BF" w:rsidRPr="00DC6E3C" w:rsidRDefault="00F756BF" w:rsidP="00F756BF">
      <w:pPr>
        <w:spacing w:after="0"/>
        <w:rPr>
          <w:rFonts w:ascii="Calibri" w:hAnsi="Calibri" w:cs="Calibri"/>
          <w:sz w:val="24"/>
          <w:szCs w:val="24"/>
          <w:lang w:val="en-GB"/>
        </w:rPr>
      </w:pPr>
    </w:p>
    <w:p w:rsidR="00F756BF" w:rsidRPr="00DC6E3C" w:rsidRDefault="00F756BF" w:rsidP="00F756BF">
      <w:pPr>
        <w:spacing w:after="0"/>
        <w:rPr>
          <w:rFonts w:ascii="Calibri" w:hAnsi="Calibri" w:cs="Calibri"/>
          <w:sz w:val="24"/>
          <w:szCs w:val="24"/>
          <w:lang w:val="en-GB"/>
        </w:rPr>
      </w:pPr>
      <w:r w:rsidRPr="00DC6E3C">
        <w:rPr>
          <w:rFonts w:ascii="Calibri" w:hAnsi="Calibri" w:cs="Calibri"/>
          <w:i/>
          <w:sz w:val="24"/>
          <w:szCs w:val="24"/>
          <w:lang w:val="en-GB"/>
        </w:rPr>
        <w:t>Adopts</w:t>
      </w:r>
      <w:r w:rsidRPr="00DC6E3C">
        <w:rPr>
          <w:rFonts w:ascii="Calibri" w:hAnsi="Calibri" w:cs="Calibri"/>
          <w:sz w:val="24"/>
          <w:szCs w:val="24"/>
          <w:lang w:val="en-GB"/>
        </w:rPr>
        <w:t xml:space="preserve"> the following statement with general recommendations to all Parties on the application of the Convention during the COVID-19 pandemic:</w:t>
      </w:r>
    </w:p>
    <w:p w:rsidR="00F756BF" w:rsidRPr="00DC6E3C" w:rsidRDefault="00F756BF" w:rsidP="00F756BF">
      <w:pPr>
        <w:spacing w:after="0"/>
        <w:rPr>
          <w:rFonts w:ascii="Calibri" w:hAnsi="Calibri" w:cs="Calibri"/>
          <w:sz w:val="24"/>
          <w:szCs w:val="24"/>
          <w:lang w:val="en-GB"/>
        </w:rPr>
      </w:pPr>
    </w:p>
    <w:p w:rsidR="00F756BF" w:rsidRPr="00DC6E3C" w:rsidRDefault="00F756BF" w:rsidP="00F756BF">
      <w:pPr>
        <w:pStyle w:val="ListParagraph"/>
        <w:numPr>
          <w:ilvl w:val="0"/>
          <w:numId w:val="47"/>
        </w:numPr>
        <w:spacing w:after="0"/>
        <w:rPr>
          <w:rFonts w:ascii="Calibri" w:hAnsi="Calibri" w:cs="Calibri"/>
          <w:b/>
          <w:sz w:val="24"/>
          <w:szCs w:val="24"/>
          <w:lang w:val="en-GB"/>
        </w:rPr>
      </w:pPr>
      <w:r w:rsidRPr="00DC6E3C">
        <w:rPr>
          <w:rFonts w:ascii="Calibri" w:hAnsi="Calibri" w:cs="Calibri"/>
          <w:b/>
          <w:sz w:val="24"/>
          <w:szCs w:val="24"/>
          <w:lang w:val="en-GB"/>
        </w:rPr>
        <w:t>General matters</w:t>
      </w:r>
    </w:p>
    <w:p w:rsidR="00F756BF" w:rsidRPr="00DC6E3C" w:rsidRDefault="00F756BF" w:rsidP="00F756BF">
      <w:pPr>
        <w:spacing w:after="0"/>
        <w:rPr>
          <w:rFonts w:ascii="Calibri" w:hAnsi="Calibri" w:cs="Calibri"/>
          <w:sz w:val="24"/>
          <w:szCs w:val="24"/>
          <w:lang w:val="en-GB"/>
        </w:rPr>
      </w:pPr>
    </w:p>
    <w:p w:rsidR="00F756BF" w:rsidRPr="00DC6E3C" w:rsidRDefault="00F756BF" w:rsidP="00F756BF">
      <w:pPr>
        <w:pStyle w:val="ListParagraph"/>
        <w:numPr>
          <w:ilvl w:val="0"/>
          <w:numId w:val="46"/>
        </w:numPr>
        <w:spacing w:after="0"/>
        <w:rPr>
          <w:rFonts w:ascii="Calibri" w:hAnsi="Calibri" w:cs="Calibri"/>
          <w:sz w:val="24"/>
          <w:szCs w:val="24"/>
          <w:lang w:val="en-GB"/>
        </w:rPr>
      </w:pPr>
      <w:r w:rsidRPr="00DC6E3C">
        <w:rPr>
          <w:rFonts w:ascii="Calibri" w:hAnsi="Calibri" w:cs="Calibri"/>
          <w:sz w:val="24"/>
          <w:szCs w:val="24"/>
          <w:lang w:val="en-GB"/>
        </w:rPr>
        <w:t xml:space="preserve">The Committee is concerned that Parties may introduce and </w:t>
      </w:r>
      <w:r>
        <w:rPr>
          <w:rFonts w:ascii="Calibri" w:hAnsi="Calibri" w:cs="Calibri"/>
          <w:sz w:val="24"/>
          <w:szCs w:val="24"/>
          <w:lang w:val="en-GB"/>
        </w:rPr>
        <w:t xml:space="preserve">attempt to </w:t>
      </w:r>
      <w:r w:rsidRPr="00DC6E3C">
        <w:rPr>
          <w:rFonts w:ascii="Calibri" w:hAnsi="Calibri" w:cs="Calibri"/>
          <w:sz w:val="24"/>
          <w:szCs w:val="24"/>
          <w:lang w:val="en-GB"/>
        </w:rPr>
        <w:t xml:space="preserve">justify restrictions on </w:t>
      </w:r>
      <w:r>
        <w:rPr>
          <w:rFonts w:ascii="Calibri" w:hAnsi="Calibri" w:cs="Calibri"/>
          <w:sz w:val="24"/>
          <w:szCs w:val="24"/>
          <w:lang w:val="en-GB"/>
        </w:rPr>
        <w:t>the rights guaranteed under the Convention</w:t>
      </w:r>
      <w:r w:rsidRPr="00DC6E3C">
        <w:rPr>
          <w:rFonts w:ascii="Calibri" w:hAnsi="Calibri" w:cs="Calibri"/>
          <w:sz w:val="24"/>
          <w:szCs w:val="24"/>
          <w:lang w:val="en-GB"/>
        </w:rPr>
        <w:t xml:space="preserve"> by reference to the COVID-19 pandemic or the need for a </w:t>
      </w:r>
      <w:r>
        <w:rPr>
          <w:rFonts w:ascii="Calibri" w:hAnsi="Calibri" w:cs="Calibri"/>
          <w:sz w:val="24"/>
          <w:szCs w:val="24"/>
          <w:lang w:val="en-GB"/>
        </w:rPr>
        <w:t>rapid</w:t>
      </w:r>
      <w:r w:rsidRPr="00DC6E3C">
        <w:rPr>
          <w:rFonts w:ascii="Calibri" w:hAnsi="Calibri" w:cs="Calibri"/>
          <w:sz w:val="24"/>
          <w:szCs w:val="24"/>
          <w:lang w:val="en-GB"/>
        </w:rPr>
        <w:t xml:space="preserve"> economic recovery due to the </w:t>
      </w:r>
      <w:r>
        <w:rPr>
          <w:rFonts w:ascii="Calibri" w:hAnsi="Calibri" w:cs="Calibri"/>
          <w:sz w:val="24"/>
          <w:szCs w:val="24"/>
          <w:lang w:val="en-GB"/>
        </w:rPr>
        <w:t xml:space="preserve">consequences of the </w:t>
      </w:r>
      <w:r w:rsidRPr="00DC6E3C">
        <w:rPr>
          <w:rFonts w:ascii="Calibri" w:hAnsi="Calibri" w:cs="Calibri"/>
          <w:sz w:val="24"/>
          <w:szCs w:val="24"/>
          <w:lang w:val="en-GB"/>
        </w:rPr>
        <w:t xml:space="preserve">pandemic. </w:t>
      </w:r>
    </w:p>
    <w:p w:rsidR="00F756BF" w:rsidRPr="00DC6E3C" w:rsidRDefault="00F756BF" w:rsidP="00F756BF">
      <w:pPr>
        <w:pStyle w:val="ListParagraph"/>
        <w:spacing w:after="0"/>
        <w:rPr>
          <w:rFonts w:ascii="Calibri" w:hAnsi="Calibri" w:cs="Calibri"/>
          <w:sz w:val="24"/>
          <w:szCs w:val="24"/>
          <w:lang w:val="en-GB"/>
        </w:rPr>
      </w:pPr>
    </w:p>
    <w:p w:rsidR="00F756BF" w:rsidRPr="00DC6E3C" w:rsidRDefault="00F756BF" w:rsidP="00F756BF">
      <w:pPr>
        <w:pStyle w:val="ListParagraph"/>
        <w:numPr>
          <w:ilvl w:val="0"/>
          <w:numId w:val="46"/>
        </w:numPr>
        <w:spacing w:after="0"/>
        <w:rPr>
          <w:rFonts w:ascii="Calibri" w:hAnsi="Calibri" w:cs="Calibri"/>
          <w:sz w:val="24"/>
          <w:szCs w:val="24"/>
          <w:lang w:val="en-GB"/>
        </w:rPr>
      </w:pPr>
      <w:r w:rsidRPr="00DC6E3C">
        <w:rPr>
          <w:rFonts w:ascii="Calibri" w:hAnsi="Calibri" w:cs="Calibri"/>
          <w:sz w:val="24"/>
          <w:szCs w:val="24"/>
          <w:lang w:val="en-GB"/>
        </w:rPr>
        <w:t>The Committee welcomes the constructive approach taken by some Parties in exploring ways to ensure that the Convention</w:t>
      </w:r>
      <w:r>
        <w:rPr>
          <w:rFonts w:ascii="Calibri" w:hAnsi="Calibri" w:cs="Calibri"/>
          <w:sz w:val="24"/>
          <w:szCs w:val="24"/>
          <w:lang w:val="en-GB"/>
        </w:rPr>
        <w:t>’s</w:t>
      </w:r>
      <w:r w:rsidRPr="00DC6E3C">
        <w:rPr>
          <w:rFonts w:ascii="Calibri" w:hAnsi="Calibri" w:cs="Calibri"/>
          <w:sz w:val="24"/>
          <w:szCs w:val="24"/>
          <w:lang w:val="en-GB"/>
        </w:rPr>
        <w:t xml:space="preserve"> requirements are met during the COVID-19 pandemic, and in requesting the advice of the Committee to that end. The Committee encourages the Parties to learn from good practices in meeting the Convention</w:t>
      </w:r>
      <w:r>
        <w:rPr>
          <w:rFonts w:ascii="Calibri" w:hAnsi="Calibri" w:cs="Calibri"/>
          <w:sz w:val="24"/>
          <w:szCs w:val="24"/>
          <w:lang w:val="en-GB"/>
        </w:rPr>
        <w:t>’s</w:t>
      </w:r>
      <w:r w:rsidRPr="00DC6E3C">
        <w:rPr>
          <w:rFonts w:ascii="Calibri" w:hAnsi="Calibri" w:cs="Calibri"/>
          <w:sz w:val="24"/>
          <w:szCs w:val="24"/>
          <w:lang w:val="en-GB"/>
        </w:rPr>
        <w:t xml:space="preserve"> standards </w:t>
      </w:r>
      <w:r>
        <w:rPr>
          <w:rFonts w:ascii="Calibri" w:hAnsi="Calibri" w:cs="Calibri"/>
          <w:sz w:val="24"/>
          <w:szCs w:val="24"/>
          <w:lang w:val="en-GB"/>
        </w:rPr>
        <w:t xml:space="preserve">during the COVID-19 pandemic and in the subsequent economic recovery phase, </w:t>
      </w:r>
      <w:r w:rsidRPr="00DC6E3C">
        <w:rPr>
          <w:rFonts w:ascii="Calibri" w:hAnsi="Calibri" w:cs="Calibri"/>
          <w:sz w:val="24"/>
          <w:szCs w:val="24"/>
          <w:lang w:val="en-GB"/>
        </w:rPr>
        <w:t xml:space="preserve">and invites them to seek advice </w:t>
      </w:r>
      <w:r>
        <w:rPr>
          <w:rFonts w:ascii="Calibri" w:hAnsi="Calibri" w:cs="Calibri"/>
          <w:sz w:val="24"/>
          <w:szCs w:val="24"/>
          <w:lang w:val="en-GB"/>
        </w:rPr>
        <w:t>from</w:t>
      </w:r>
      <w:r w:rsidRPr="00DC6E3C">
        <w:rPr>
          <w:rFonts w:ascii="Calibri" w:hAnsi="Calibri" w:cs="Calibri"/>
          <w:sz w:val="24"/>
          <w:szCs w:val="24"/>
          <w:lang w:val="en-GB"/>
        </w:rPr>
        <w:t xml:space="preserve"> the Committee if needed.</w:t>
      </w:r>
      <w:r>
        <w:rPr>
          <w:rFonts w:ascii="Calibri" w:hAnsi="Calibri" w:cs="Calibri"/>
          <w:sz w:val="24"/>
          <w:szCs w:val="24"/>
          <w:lang w:val="en-GB"/>
        </w:rPr>
        <w:t xml:space="preserve"> The Committee stands ready to assist Parties in this regard.</w:t>
      </w:r>
    </w:p>
    <w:p w:rsidR="00F756BF" w:rsidRPr="00DC6E3C" w:rsidRDefault="00F756BF" w:rsidP="00F756BF">
      <w:pPr>
        <w:pStyle w:val="ListParagraph"/>
        <w:spacing w:after="0"/>
        <w:rPr>
          <w:rFonts w:ascii="Calibri" w:hAnsi="Calibri" w:cs="Calibri"/>
          <w:sz w:val="24"/>
          <w:szCs w:val="24"/>
          <w:lang w:val="en-GB"/>
        </w:rPr>
      </w:pPr>
    </w:p>
    <w:p w:rsidR="00F756BF" w:rsidRPr="00DC6E3C" w:rsidRDefault="00F756BF" w:rsidP="00F756BF">
      <w:pPr>
        <w:pStyle w:val="ListParagraph"/>
        <w:numPr>
          <w:ilvl w:val="0"/>
          <w:numId w:val="46"/>
        </w:numPr>
        <w:spacing w:after="0"/>
        <w:rPr>
          <w:rFonts w:ascii="Calibri" w:hAnsi="Calibri" w:cs="Calibri"/>
          <w:sz w:val="24"/>
          <w:szCs w:val="24"/>
          <w:lang w:val="en-GB"/>
        </w:rPr>
      </w:pPr>
      <w:r w:rsidRPr="00DC6E3C">
        <w:rPr>
          <w:rFonts w:ascii="Calibri" w:hAnsi="Calibri" w:cs="Calibri"/>
          <w:sz w:val="24"/>
          <w:szCs w:val="24"/>
          <w:lang w:val="en-GB"/>
        </w:rPr>
        <w:t>The rights set out in the Convention are fundamental in a democratic society and promote the rule of law and human rights in environmental matters.</w:t>
      </w:r>
    </w:p>
    <w:p w:rsidR="00F756BF" w:rsidRPr="00DC6E3C" w:rsidRDefault="00F756BF" w:rsidP="00F756BF">
      <w:pPr>
        <w:pStyle w:val="ListParagraph"/>
        <w:spacing w:after="0"/>
        <w:rPr>
          <w:rFonts w:ascii="Calibri" w:hAnsi="Calibri" w:cs="Calibri"/>
          <w:sz w:val="24"/>
          <w:szCs w:val="24"/>
          <w:lang w:val="en-GB"/>
        </w:rPr>
      </w:pPr>
    </w:p>
    <w:p w:rsidR="00F756BF" w:rsidRPr="00DC6E3C" w:rsidRDefault="00F756BF" w:rsidP="00F756BF">
      <w:pPr>
        <w:pStyle w:val="ListParagraph"/>
        <w:numPr>
          <w:ilvl w:val="0"/>
          <w:numId w:val="46"/>
        </w:numPr>
        <w:spacing w:after="0"/>
        <w:rPr>
          <w:rFonts w:ascii="Calibri" w:hAnsi="Calibri" w:cs="Calibri"/>
          <w:sz w:val="24"/>
          <w:szCs w:val="24"/>
          <w:lang w:val="en-GB"/>
        </w:rPr>
      </w:pPr>
      <w:r w:rsidRPr="00DC6E3C">
        <w:rPr>
          <w:rFonts w:ascii="Calibri" w:hAnsi="Calibri" w:cs="Calibri"/>
          <w:sz w:val="24"/>
          <w:szCs w:val="24"/>
          <w:lang w:val="en-GB"/>
        </w:rPr>
        <w:t>The Committee emphasises that even in the case of a crisis such as the COVID-19 pandemic</w:t>
      </w:r>
      <w:r w:rsidRPr="000C0DB0">
        <w:rPr>
          <w:rFonts w:ascii="Calibri" w:hAnsi="Calibri" w:cs="Calibri"/>
          <w:sz w:val="24"/>
          <w:szCs w:val="24"/>
          <w:lang w:val="en-GB"/>
        </w:rPr>
        <w:t xml:space="preserve"> </w:t>
      </w:r>
      <w:r>
        <w:rPr>
          <w:rFonts w:ascii="Calibri" w:hAnsi="Calibri" w:cs="Calibri"/>
          <w:sz w:val="24"/>
          <w:szCs w:val="24"/>
          <w:lang w:val="en-GB"/>
        </w:rPr>
        <w:t>and the subsequent economic recovery phase</w:t>
      </w:r>
      <w:r w:rsidRPr="00DC6E3C">
        <w:rPr>
          <w:rFonts w:ascii="Calibri" w:hAnsi="Calibri" w:cs="Calibri"/>
          <w:sz w:val="24"/>
          <w:szCs w:val="24"/>
          <w:lang w:val="en-GB"/>
        </w:rPr>
        <w:t xml:space="preserve">, the binding rights set out in the Convention cannot be reduced or curtailed. Rather, if the established practices </w:t>
      </w:r>
      <w:r w:rsidRPr="00DC6E3C">
        <w:rPr>
          <w:rFonts w:ascii="Calibri" w:hAnsi="Calibri" w:cs="Calibri"/>
          <w:sz w:val="24"/>
          <w:szCs w:val="24"/>
          <w:lang w:val="en-GB"/>
        </w:rPr>
        <w:lastRenderedPageBreak/>
        <w:t>for ensuring access to information, public participation in decision-making or access to justice in environmental matters cannot be used, any alternative means must fulfil the requirements of the Convention.</w:t>
      </w:r>
    </w:p>
    <w:p w:rsidR="00F756BF" w:rsidRPr="00DC6E3C" w:rsidRDefault="00F756BF" w:rsidP="00F756BF">
      <w:pPr>
        <w:pStyle w:val="ListParagraph"/>
        <w:spacing w:after="0"/>
        <w:rPr>
          <w:rFonts w:ascii="Calibri" w:hAnsi="Calibri" w:cs="Calibri"/>
          <w:sz w:val="24"/>
          <w:szCs w:val="24"/>
          <w:lang w:val="en-GB"/>
        </w:rPr>
      </w:pPr>
    </w:p>
    <w:p w:rsidR="00F756BF" w:rsidRPr="00DC6E3C" w:rsidRDefault="00F756BF" w:rsidP="00F756BF">
      <w:pPr>
        <w:pStyle w:val="ListParagraph"/>
        <w:numPr>
          <w:ilvl w:val="0"/>
          <w:numId w:val="46"/>
        </w:numPr>
        <w:spacing w:after="0"/>
        <w:rPr>
          <w:rFonts w:ascii="Calibri" w:hAnsi="Calibri" w:cs="Calibri"/>
          <w:sz w:val="24"/>
          <w:szCs w:val="24"/>
          <w:lang w:val="en-GB"/>
        </w:rPr>
      </w:pPr>
      <w:r w:rsidRPr="00DC6E3C">
        <w:rPr>
          <w:rFonts w:ascii="Calibri" w:hAnsi="Calibri" w:cs="Calibri"/>
          <w:sz w:val="24"/>
          <w:szCs w:val="24"/>
          <w:lang w:val="en-GB"/>
        </w:rPr>
        <w:t xml:space="preserve">The Committee reminds the Parties that any shortcoming in ensuring effective access to information, public participation in decision-making or access to justice under the Convention during the COVID-19 pandemic </w:t>
      </w:r>
      <w:r>
        <w:rPr>
          <w:rFonts w:ascii="Calibri" w:hAnsi="Calibri" w:cs="Calibri"/>
          <w:sz w:val="24"/>
          <w:szCs w:val="24"/>
          <w:lang w:val="en-GB"/>
        </w:rPr>
        <w:t xml:space="preserve">or in the subsequent economic recovery phase </w:t>
      </w:r>
      <w:r w:rsidRPr="00DC6E3C">
        <w:rPr>
          <w:rFonts w:ascii="Calibri" w:hAnsi="Calibri" w:cs="Calibri"/>
          <w:sz w:val="24"/>
          <w:szCs w:val="24"/>
          <w:lang w:val="en-GB"/>
        </w:rPr>
        <w:t>may be subject to challenge by members of the public in accordance with the provisions of article 9 of the Convention.</w:t>
      </w:r>
    </w:p>
    <w:p w:rsidR="00F756BF" w:rsidRPr="00DC6E3C" w:rsidRDefault="00F756BF" w:rsidP="00F756BF">
      <w:pPr>
        <w:pStyle w:val="ListParagraph"/>
        <w:spacing w:after="0"/>
        <w:rPr>
          <w:rFonts w:ascii="Calibri" w:hAnsi="Calibri" w:cs="Calibri"/>
          <w:sz w:val="24"/>
          <w:szCs w:val="24"/>
          <w:lang w:val="en-GB"/>
        </w:rPr>
      </w:pPr>
    </w:p>
    <w:p w:rsidR="00F756BF" w:rsidRPr="00DC6E3C" w:rsidRDefault="00F756BF" w:rsidP="00F756BF">
      <w:pPr>
        <w:pStyle w:val="ListParagraph"/>
        <w:numPr>
          <w:ilvl w:val="0"/>
          <w:numId w:val="46"/>
        </w:numPr>
        <w:spacing w:after="0"/>
        <w:rPr>
          <w:rFonts w:ascii="Calibri" w:hAnsi="Calibri" w:cs="Calibri"/>
          <w:sz w:val="24"/>
          <w:szCs w:val="24"/>
          <w:lang w:val="en-GB"/>
        </w:rPr>
      </w:pPr>
      <w:r w:rsidRPr="00DC6E3C">
        <w:rPr>
          <w:rFonts w:ascii="Calibri" w:hAnsi="Calibri" w:cs="Calibri"/>
          <w:sz w:val="24"/>
          <w:szCs w:val="24"/>
          <w:lang w:val="en-GB"/>
        </w:rPr>
        <w:t xml:space="preserve">The Committee also reminds the Parties that any shortcoming in ensuring effective access to information, public participation in decision-making or access to justice under the Convention during the COVID-19 pandemic </w:t>
      </w:r>
      <w:r>
        <w:rPr>
          <w:rFonts w:ascii="Calibri" w:hAnsi="Calibri" w:cs="Calibri"/>
          <w:sz w:val="24"/>
          <w:szCs w:val="24"/>
          <w:lang w:val="en-GB"/>
        </w:rPr>
        <w:t xml:space="preserve">or in the subsequent economic recovery phase </w:t>
      </w:r>
      <w:r w:rsidRPr="00DC6E3C">
        <w:rPr>
          <w:rFonts w:ascii="Calibri" w:hAnsi="Calibri" w:cs="Calibri"/>
          <w:sz w:val="24"/>
          <w:szCs w:val="24"/>
          <w:lang w:val="en-GB"/>
        </w:rPr>
        <w:t>may be subject to communications, submissions and referrals to the Committee in accordance with decision I/7 of the Meeting of the Parties.</w:t>
      </w:r>
    </w:p>
    <w:p w:rsidR="00F756BF" w:rsidRPr="00DC6E3C" w:rsidRDefault="00F756BF" w:rsidP="00F756BF">
      <w:pPr>
        <w:spacing w:after="0"/>
        <w:ind w:left="360"/>
        <w:rPr>
          <w:rFonts w:ascii="Calibri" w:hAnsi="Calibri" w:cs="Calibri"/>
          <w:sz w:val="24"/>
          <w:szCs w:val="24"/>
          <w:lang w:val="en-GB"/>
        </w:rPr>
      </w:pPr>
    </w:p>
    <w:p w:rsidR="00F756BF" w:rsidRPr="00DC6E3C" w:rsidRDefault="00F756BF" w:rsidP="00F756BF">
      <w:pPr>
        <w:pStyle w:val="ListParagraph"/>
        <w:numPr>
          <w:ilvl w:val="0"/>
          <w:numId w:val="47"/>
        </w:numPr>
        <w:spacing w:after="0"/>
        <w:rPr>
          <w:rFonts w:ascii="Calibri" w:hAnsi="Calibri" w:cs="Calibri"/>
          <w:b/>
          <w:sz w:val="24"/>
          <w:szCs w:val="24"/>
          <w:lang w:val="en-GB"/>
        </w:rPr>
      </w:pPr>
      <w:r w:rsidRPr="00DC6E3C">
        <w:rPr>
          <w:rFonts w:ascii="Calibri" w:hAnsi="Calibri" w:cs="Calibri"/>
          <w:b/>
          <w:sz w:val="24"/>
          <w:szCs w:val="24"/>
          <w:lang w:val="en-GB"/>
        </w:rPr>
        <w:t>General obligations</w:t>
      </w:r>
    </w:p>
    <w:p w:rsidR="00F756BF" w:rsidRPr="00DC6E3C" w:rsidRDefault="00F756BF" w:rsidP="00F756BF">
      <w:pPr>
        <w:pStyle w:val="ListParagraph"/>
        <w:spacing w:after="0"/>
        <w:rPr>
          <w:rFonts w:ascii="Calibri" w:hAnsi="Calibri" w:cs="Calibri"/>
          <w:b/>
          <w:sz w:val="24"/>
          <w:szCs w:val="24"/>
          <w:lang w:val="en-GB"/>
        </w:rPr>
      </w:pPr>
    </w:p>
    <w:p w:rsidR="00F756BF" w:rsidRPr="00DC6E3C" w:rsidRDefault="00F756BF" w:rsidP="00F756BF">
      <w:pPr>
        <w:spacing w:after="0"/>
        <w:ind w:left="360" w:firstLine="360"/>
        <w:rPr>
          <w:rFonts w:ascii="Calibri" w:hAnsi="Calibri" w:cs="Calibri"/>
          <w:b/>
          <w:sz w:val="24"/>
          <w:szCs w:val="24"/>
          <w:lang w:val="en-GB"/>
        </w:rPr>
      </w:pPr>
      <w:r w:rsidRPr="00DC6E3C">
        <w:rPr>
          <w:rFonts w:ascii="Calibri" w:hAnsi="Calibri" w:cs="Calibri"/>
          <w:b/>
          <w:sz w:val="24"/>
          <w:szCs w:val="24"/>
          <w:lang w:val="en-GB"/>
        </w:rPr>
        <w:t>Clear, transparent and consistent framework – article 3(1)</w:t>
      </w:r>
    </w:p>
    <w:p w:rsidR="00F756BF" w:rsidRPr="00DC6E3C" w:rsidRDefault="00F756BF" w:rsidP="00F756BF">
      <w:pPr>
        <w:spacing w:after="0"/>
        <w:ind w:left="360"/>
        <w:rPr>
          <w:rFonts w:ascii="Calibri" w:hAnsi="Calibri" w:cs="Calibri"/>
          <w:sz w:val="24"/>
          <w:szCs w:val="24"/>
          <w:lang w:val="en-GB"/>
        </w:rPr>
      </w:pPr>
    </w:p>
    <w:p w:rsidR="00F756BF" w:rsidRPr="00DC6E3C" w:rsidRDefault="00F756BF" w:rsidP="00F756BF">
      <w:pPr>
        <w:pStyle w:val="ListParagraph"/>
        <w:numPr>
          <w:ilvl w:val="0"/>
          <w:numId w:val="46"/>
        </w:numPr>
        <w:spacing w:after="0"/>
        <w:rPr>
          <w:rFonts w:ascii="Calibri" w:hAnsi="Calibri" w:cs="Calibri"/>
          <w:sz w:val="24"/>
          <w:szCs w:val="24"/>
          <w:lang w:val="en-GB"/>
        </w:rPr>
      </w:pPr>
      <w:r w:rsidRPr="00DC6E3C">
        <w:rPr>
          <w:rFonts w:ascii="Calibri" w:hAnsi="Calibri" w:cs="Calibri"/>
          <w:sz w:val="24"/>
          <w:szCs w:val="24"/>
          <w:lang w:val="en-GB"/>
        </w:rPr>
        <w:t xml:space="preserve">The opportunities for the public to seek access to information, participate in decision-making and </w:t>
      </w:r>
      <w:r>
        <w:rPr>
          <w:rFonts w:ascii="Calibri" w:hAnsi="Calibri" w:cs="Calibri"/>
          <w:sz w:val="24"/>
          <w:szCs w:val="24"/>
          <w:lang w:val="en-GB"/>
        </w:rPr>
        <w:t>obtain</w:t>
      </w:r>
      <w:r w:rsidRPr="00DC6E3C">
        <w:rPr>
          <w:rFonts w:ascii="Calibri" w:hAnsi="Calibri" w:cs="Calibri"/>
          <w:sz w:val="24"/>
          <w:szCs w:val="24"/>
          <w:lang w:val="en-GB"/>
        </w:rPr>
        <w:t xml:space="preserve"> access to justice in environmental matters during the COVID-19 pandemic </w:t>
      </w:r>
      <w:r>
        <w:rPr>
          <w:rFonts w:ascii="Calibri" w:hAnsi="Calibri" w:cs="Calibri"/>
          <w:sz w:val="24"/>
          <w:szCs w:val="24"/>
          <w:lang w:val="en-GB"/>
        </w:rPr>
        <w:t>and in the subsequent economic recovery phase shall be provided in a clear, transparent and consistent framework. The obligation to ensure a consistent framework means that these opportunities must be</w:t>
      </w:r>
      <w:r w:rsidRPr="00DC6E3C">
        <w:rPr>
          <w:rFonts w:ascii="Calibri" w:hAnsi="Calibri" w:cs="Calibri"/>
          <w:sz w:val="24"/>
          <w:szCs w:val="24"/>
          <w:lang w:val="en-GB"/>
        </w:rPr>
        <w:t xml:space="preserve"> in line with</w:t>
      </w:r>
      <w:r>
        <w:rPr>
          <w:rFonts w:ascii="Calibri" w:hAnsi="Calibri" w:cs="Calibri"/>
          <w:sz w:val="24"/>
          <w:szCs w:val="24"/>
          <w:lang w:val="en-GB"/>
        </w:rPr>
        <w:t xml:space="preserve"> and not reduced compared to</w:t>
      </w:r>
      <w:r w:rsidRPr="00DC6E3C">
        <w:rPr>
          <w:rFonts w:ascii="Calibri" w:hAnsi="Calibri" w:cs="Calibri"/>
          <w:sz w:val="24"/>
          <w:szCs w:val="24"/>
          <w:lang w:val="en-GB"/>
        </w:rPr>
        <w:t xml:space="preserve"> the opportunities for the public in normal times. T</w:t>
      </w:r>
      <w:r>
        <w:rPr>
          <w:rFonts w:ascii="Calibri" w:hAnsi="Calibri" w:cs="Calibri"/>
          <w:sz w:val="24"/>
          <w:szCs w:val="24"/>
          <w:lang w:val="en-GB"/>
        </w:rPr>
        <w:t>o that end,</w:t>
      </w:r>
      <w:r w:rsidRPr="00DC6E3C">
        <w:rPr>
          <w:rFonts w:ascii="Calibri" w:hAnsi="Calibri" w:cs="Calibri"/>
          <w:sz w:val="24"/>
          <w:szCs w:val="24"/>
          <w:lang w:val="en-GB"/>
        </w:rPr>
        <w:t xml:space="preserve"> public authorities and courts may need to make additional efforts to ensure that the public are not disadvantaged in practice</w:t>
      </w:r>
      <w:r>
        <w:rPr>
          <w:rFonts w:ascii="Calibri" w:hAnsi="Calibri" w:cs="Calibri"/>
          <w:sz w:val="24"/>
          <w:szCs w:val="24"/>
          <w:lang w:val="en-GB"/>
        </w:rPr>
        <w:t xml:space="preserve"> in the exercise of their rights under the Convention</w:t>
      </w:r>
      <w:r w:rsidRPr="00DC6E3C">
        <w:rPr>
          <w:rFonts w:ascii="Calibri" w:hAnsi="Calibri" w:cs="Calibri"/>
          <w:sz w:val="24"/>
          <w:szCs w:val="24"/>
          <w:lang w:val="en-GB"/>
        </w:rPr>
        <w:t xml:space="preserve">. </w:t>
      </w:r>
    </w:p>
    <w:p w:rsidR="00F756BF" w:rsidRPr="00DC6E3C" w:rsidRDefault="00F756BF" w:rsidP="00F756BF">
      <w:pPr>
        <w:spacing w:after="0"/>
        <w:ind w:left="360"/>
        <w:rPr>
          <w:rFonts w:ascii="Calibri" w:hAnsi="Calibri" w:cs="Calibri"/>
          <w:sz w:val="24"/>
          <w:szCs w:val="24"/>
          <w:lang w:val="en-GB"/>
        </w:rPr>
      </w:pPr>
    </w:p>
    <w:p w:rsidR="00F756BF" w:rsidRPr="00DC6E3C" w:rsidRDefault="00F756BF" w:rsidP="00F756BF">
      <w:pPr>
        <w:spacing w:after="0"/>
        <w:ind w:left="360" w:firstLine="360"/>
        <w:rPr>
          <w:rFonts w:ascii="Calibri" w:hAnsi="Calibri" w:cs="Calibri"/>
          <w:b/>
          <w:sz w:val="24"/>
          <w:szCs w:val="24"/>
          <w:lang w:val="en-GB"/>
        </w:rPr>
      </w:pPr>
      <w:r w:rsidRPr="00DC6E3C">
        <w:rPr>
          <w:rFonts w:ascii="Calibri" w:hAnsi="Calibri" w:cs="Calibri"/>
          <w:b/>
          <w:sz w:val="24"/>
          <w:szCs w:val="24"/>
          <w:lang w:val="en-GB"/>
        </w:rPr>
        <w:t>Assistance and guidance to the public – article 3(2)</w:t>
      </w:r>
    </w:p>
    <w:p w:rsidR="00F756BF" w:rsidRPr="00DC6E3C" w:rsidRDefault="00F756BF" w:rsidP="00F756BF">
      <w:pPr>
        <w:spacing w:after="0"/>
        <w:ind w:left="360"/>
        <w:rPr>
          <w:rFonts w:ascii="Calibri" w:hAnsi="Calibri" w:cs="Calibri"/>
          <w:sz w:val="24"/>
          <w:szCs w:val="24"/>
          <w:lang w:val="en-GB"/>
        </w:rPr>
      </w:pPr>
      <w:r w:rsidRPr="00DC6E3C">
        <w:rPr>
          <w:rFonts w:ascii="Calibri" w:hAnsi="Calibri" w:cs="Calibri"/>
          <w:sz w:val="24"/>
          <w:szCs w:val="24"/>
          <w:lang w:val="en-GB"/>
        </w:rPr>
        <w:t xml:space="preserve"> </w:t>
      </w:r>
    </w:p>
    <w:p w:rsidR="00F756BF" w:rsidRPr="00DC6E3C" w:rsidRDefault="00F756BF" w:rsidP="00F756BF">
      <w:pPr>
        <w:pStyle w:val="ListParagraph"/>
        <w:numPr>
          <w:ilvl w:val="0"/>
          <w:numId w:val="46"/>
        </w:numPr>
        <w:spacing w:after="0"/>
        <w:rPr>
          <w:rFonts w:ascii="Calibri" w:hAnsi="Calibri" w:cs="Calibri"/>
          <w:sz w:val="24"/>
          <w:szCs w:val="24"/>
          <w:lang w:val="en-GB"/>
        </w:rPr>
      </w:pPr>
      <w:r w:rsidRPr="00DC6E3C">
        <w:rPr>
          <w:rFonts w:ascii="Calibri" w:hAnsi="Calibri" w:cs="Calibri"/>
          <w:sz w:val="24"/>
          <w:szCs w:val="24"/>
          <w:lang w:val="en-GB"/>
        </w:rPr>
        <w:t>During the COVID-19 pandemic</w:t>
      </w:r>
      <w:r w:rsidRPr="00226C9A">
        <w:rPr>
          <w:rFonts w:ascii="Calibri" w:hAnsi="Calibri" w:cs="Calibri"/>
          <w:sz w:val="24"/>
          <w:szCs w:val="24"/>
          <w:lang w:val="en-GB"/>
        </w:rPr>
        <w:t xml:space="preserve"> </w:t>
      </w:r>
      <w:r>
        <w:rPr>
          <w:rFonts w:ascii="Calibri" w:hAnsi="Calibri" w:cs="Calibri"/>
          <w:sz w:val="24"/>
          <w:szCs w:val="24"/>
          <w:lang w:val="en-GB"/>
        </w:rPr>
        <w:t>and in the subsequent economic recovery phase</w:t>
      </w:r>
      <w:r w:rsidRPr="00DC6E3C">
        <w:rPr>
          <w:rFonts w:ascii="Calibri" w:hAnsi="Calibri" w:cs="Calibri"/>
          <w:sz w:val="24"/>
          <w:szCs w:val="24"/>
          <w:lang w:val="en-GB"/>
        </w:rPr>
        <w:t>, the officials and authorities of the Parties will need to make additional efforts and allow more time to assist and provide guidance to explain to the public how they can seek access to information, participat</w:t>
      </w:r>
      <w:r>
        <w:rPr>
          <w:rFonts w:ascii="Calibri" w:hAnsi="Calibri" w:cs="Calibri"/>
          <w:sz w:val="24"/>
          <w:szCs w:val="24"/>
          <w:lang w:val="en-GB"/>
        </w:rPr>
        <w:t>e</w:t>
      </w:r>
      <w:r w:rsidRPr="00DC6E3C">
        <w:rPr>
          <w:rFonts w:ascii="Calibri" w:hAnsi="Calibri" w:cs="Calibri"/>
          <w:sz w:val="24"/>
          <w:szCs w:val="24"/>
          <w:lang w:val="en-GB"/>
        </w:rPr>
        <w:t xml:space="preserve"> in decision-making and </w:t>
      </w:r>
      <w:r>
        <w:rPr>
          <w:rFonts w:ascii="Calibri" w:hAnsi="Calibri" w:cs="Calibri"/>
          <w:sz w:val="24"/>
          <w:szCs w:val="24"/>
          <w:lang w:val="en-GB"/>
        </w:rPr>
        <w:t>obtain</w:t>
      </w:r>
      <w:r w:rsidRPr="00DC6E3C">
        <w:rPr>
          <w:rFonts w:ascii="Calibri" w:hAnsi="Calibri" w:cs="Calibri"/>
          <w:sz w:val="24"/>
          <w:szCs w:val="24"/>
          <w:lang w:val="en-GB"/>
        </w:rPr>
        <w:t xml:space="preserve"> access to justice in environmental matters.</w:t>
      </w:r>
      <w:r>
        <w:rPr>
          <w:rFonts w:ascii="Calibri" w:hAnsi="Calibri" w:cs="Calibri"/>
          <w:sz w:val="24"/>
          <w:szCs w:val="24"/>
          <w:lang w:val="en-GB"/>
        </w:rPr>
        <w:t xml:space="preserve"> This is particularly the case if any regulation or practice is temporarily adapted, while ensuring the rights under the Convention.</w:t>
      </w:r>
    </w:p>
    <w:p w:rsidR="00F756BF" w:rsidRPr="00DC6E3C" w:rsidRDefault="00F756BF" w:rsidP="00F756BF">
      <w:pPr>
        <w:spacing w:after="0"/>
        <w:ind w:left="360"/>
        <w:rPr>
          <w:rFonts w:ascii="Calibri" w:hAnsi="Calibri" w:cs="Calibri"/>
          <w:sz w:val="24"/>
          <w:szCs w:val="24"/>
          <w:lang w:val="en-GB"/>
        </w:rPr>
      </w:pPr>
    </w:p>
    <w:p w:rsidR="00F756BF" w:rsidRPr="00DC6E3C" w:rsidRDefault="00F756BF" w:rsidP="00F756BF">
      <w:pPr>
        <w:spacing w:after="0"/>
        <w:ind w:left="360" w:firstLine="360"/>
        <w:rPr>
          <w:rFonts w:ascii="Calibri" w:hAnsi="Calibri" w:cs="Calibri"/>
          <w:b/>
          <w:sz w:val="24"/>
          <w:szCs w:val="24"/>
          <w:lang w:val="en-GB"/>
        </w:rPr>
      </w:pPr>
      <w:r w:rsidRPr="00DC6E3C">
        <w:rPr>
          <w:rFonts w:ascii="Calibri" w:hAnsi="Calibri" w:cs="Calibri"/>
          <w:b/>
          <w:sz w:val="24"/>
          <w:szCs w:val="24"/>
          <w:lang w:val="en-GB"/>
        </w:rPr>
        <w:t>No penalization, persecution or harassment – article 3(8)</w:t>
      </w:r>
    </w:p>
    <w:p w:rsidR="00F756BF" w:rsidRPr="00DC6E3C" w:rsidRDefault="00F756BF" w:rsidP="00F756BF">
      <w:pPr>
        <w:spacing w:after="0"/>
        <w:ind w:left="360"/>
        <w:rPr>
          <w:rFonts w:ascii="Calibri" w:hAnsi="Calibri" w:cs="Calibri"/>
          <w:sz w:val="24"/>
          <w:szCs w:val="24"/>
          <w:lang w:val="en-GB"/>
        </w:rPr>
      </w:pPr>
    </w:p>
    <w:p w:rsidR="00F756BF" w:rsidRPr="00DC6E3C" w:rsidRDefault="00F756BF" w:rsidP="00F756BF">
      <w:pPr>
        <w:pStyle w:val="ListParagraph"/>
        <w:numPr>
          <w:ilvl w:val="0"/>
          <w:numId w:val="46"/>
        </w:numPr>
        <w:spacing w:after="0"/>
        <w:rPr>
          <w:rFonts w:ascii="Calibri" w:hAnsi="Calibri" w:cs="Calibri"/>
          <w:sz w:val="24"/>
          <w:szCs w:val="24"/>
          <w:lang w:val="en-GB"/>
        </w:rPr>
      </w:pPr>
      <w:r w:rsidRPr="00DC6E3C">
        <w:rPr>
          <w:rFonts w:ascii="Calibri" w:hAnsi="Calibri" w:cs="Calibri"/>
          <w:sz w:val="24"/>
          <w:szCs w:val="24"/>
          <w:lang w:val="en-GB"/>
        </w:rPr>
        <w:t xml:space="preserve">The Committee emphasises that the requirement that each Party shall ensure that persons exercising their rights under the Convention are not penalized, persecuted or harassed for their involvement applies with equal force to all aspects of the </w:t>
      </w:r>
      <w:r w:rsidRPr="00DC6E3C">
        <w:rPr>
          <w:rFonts w:ascii="Calibri" w:hAnsi="Calibri" w:cs="Calibri"/>
          <w:sz w:val="24"/>
          <w:szCs w:val="24"/>
          <w:lang w:val="en-GB"/>
        </w:rPr>
        <w:lastRenderedPageBreak/>
        <w:t>Convention during the COVID-19 pandemic</w:t>
      </w:r>
      <w:r w:rsidRPr="00226C9A">
        <w:rPr>
          <w:rFonts w:ascii="Calibri" w:hAnsi="Calibri" w:cs="Calibri"/>
          <w:sz w:val="24"/>
          <w:szCs w:val="24"/>
          <w:lang w:val="en-GB"/>
        </w:rPr>
        <w:t xml:space="preserve"> </w:t>
      </w:r>
      <w:r>
        <w:rPr>
          <w:rFonts w:ascii="Calibri" w:hAnsi="Calibri" w:cs="Calibri"/>
          <w:sz w:val="24"/>
          <w:szCs w:val="24"/>
          <w:lang w:val="en-GB"/>
        </w:rPr>
        <w:t>and in the subsequent economic recovery phase</w:t>
      </w:r>
      <w:r w:rsidRPr="00DC6E3C">
        <w:rPr>
          <w:rFonts w:ascii="Calibri" w:hAnsi="Calibri" w:cs="Calibri"/>
          <w:sz w:val="24"/>
          <w:szCs w:val="24"/>
          <w:lang w:val="en-GB"/>
        </w:rPr>
        <w:t>.</w:t>
      </w:r>
    </w:p>
    <w:p w:rsidR="00F756BF" w:rsidRPr="00DC6E3C" w:rsidRDefault="00F756BF" w:rsidP="00F756BF">
      <w:pPr>
        <w:spacing w:after="0"/>
        <w:ind w:left="360"/>
        <w:rPr>
          <w:rFonts w:ascii="Calibri" w:hAnsi="Calibri" w:cs="Calibri"/>
          <w:sz w:val="24"/>
          <w:szCs w:val="24"/>
          <w:lang w:val="en-GB"/>
        </w:rPr>
      </w:pPr>
    </w:p>
    <w:p w:rsidR="00F756BF" w:rsidRPr="00DC6E3C" w:rsidRDefault="00F756BF" w:rsidP="00F756BF">
      <w:pPr>
        <w:spacing w:after="0"/>
        <w:ind w:left="360" w:firstLine="360"/>
        <w:rPr>
          <w:rFonts w:ascii="Calibri" w:hAnsi="Calibri" w:cs="Calibri"/>
          <w:b/>
          <w:sz w:val="24"/>
          <w:szCs w:val="24"/>
          <w:lang w:val="en-GB"/>
        </w:rPr>
      </w:pPr>
      <w:r w:rsidRPr="00DC6E3C">
        <w:rPr>
          <w:rFonts w:ascii="Calibri" w:hAnsi="Calibri" w:cs="Calibri"/>
          <w:b/>
          <w:sz w:val="24"/>
          <w:szCs w:val="24"/>
          <w:lang w:val="en-GB"/>
        </w:rPr>
        <w:t>No discrimination – article 3(9)</w:t>
      </w:r>
    </w:p>
    <w:p w:rsidR="00F756BF" w:rsidRPr="00DC6E3C" w:rsidRDefault="00F756BF" w:rsidP="00F756BF">
      <w:pPr>
        <w:spacing w:after="0"/>
        <w:ind w:left="360"/>
        <w:rPr>
          <w:rFonts w:ascii="Calibri" w:hAnsi="Calibri" w:cs="Calibri"/>
          <w:sz w:val="24"/>
          <w:szCs w:val="24"/>
          <w:lang w:val="en-GB"/>
        </w:rPr>
      </w:pPr>
    </w:p>
    <w:p w:rsidR="00F756BF" w:rsidRPr="00DC6E3C" w:rsidRDefault="00F756BF" w:rsidP="00F756BF">
      <w:pPr>
        <w:pStyle w:val="ListParagraph"/>
        <w:numPr>
          <w:ilvl w:val="0"/>
          <w:numId w:val="46"/>
        </w:numPr>
        <w:spacing w:after="0"/>
        <w:rPr>
          <w:rFonts w:ascii="Calibri" w:hAnsi="Calibri" w:cs="Calibri"/>
          <w:sz w:val="24"/>
          <w:szCs w:val="24"/>
          <w:lang w:val="en-GB"/>
        </w:rPr>
      </w:pPr>
      <w:r w:rsidRPr="00DC6E3C">
        <w:rPr>
          <w:rFonts w:ascii="Calibri" w:hAnsi="Calibri" w:cs="Calibri"/>
          <w:sz w:val="24"/>
          <w:szCs w:val="24"/>
          <w:lang w:val="en-GB"/>
        </w:rPr>
        <w:t>During the COVID-19 pandemic</w:t>
      </w:r>
      <w:r w:rsidRPr="00226C9A">
        <w:rPr>
          <w:rFonts w:ascii="Calibri" w:hAnsi="Calibri" w:cs="Calibri"/>
          <w:sz w:val="24"/>
          <w:szCs w:val="24"/>
          <w:lang w:val="en-GB"/>
        </w:rPr>
        <w:t xml:space="preserve"> </w:t>
      </w:r>
      <w:r>
        <w:rPr>
          <w:rFonts w:ascii="Calibri" w:hAnsi="Calibri" w:cs="Calibri"/>
          <w:sz w:val="24"/>
          <w:szCs w:val="24"/>
          <w:lang w:val="en-GB"/>
        </w:rPr>
        <w:t>and in the subsequent economic recovery phase</w:t>
      </w:r>
      <w:r w:rsidRPr="00DC6E3C">
        <w:rPr>
          <w:rFonts w:ascii="Calibri" w:hAnsi="Calibri" w:cs="Calibri"/>
          <w:sz w:val="24"/>
          <w:szCs w:val="24"/>
          <w:lang w:val="en-GB"/>
        </w:rPr>
        <w:t>, special arrangements may need to be put in place in order to ensure that the foreign public have access to information, have the possibility to participate in decision-making and have access to justice in environmental matters without discrimination as to citizenship, nationality or domicile. This is particularly so when they seek information, participate in decision-making and seek access to justice in cases that may have potential transboundary impacts.</w:t>
      </w:r>
    </w:p>
    <w:p w:rsidR="00F756BF" w:rsidRPr="00DC6E3C" w:rsidRDefault="00F756BF" w:rsidP="00F756BF">
      <w:pPr>
        <w:spacing w:after="0"/>
        <w:ind w:left="360"/>
        <w:rPr>
          <w:rFonts w:ascii="Calibri" w:hAnsi="Calibri" w:cs="Calibri"/>
          <w:sz w:val="24"/>
          <w:szCs w:val="24"/>
          <w:lang w:val="en-GB"/>
        </w:rPr>
      </w:pPr>
    </w:p>
    <w:p w:rsidR="00F756BF" w:rsidRPr="00DC6E3C" w:rsidRDefault="00F756BF" w:rsidP="00F756BF">
      <w:pPr>
        <w:pStyle w:val="ListParagraph"/>
        <w:numPr>
          <w:ilvl w:val="0"/>
          <w:numId w:val="47"/>
        </w:numPr>
        <w:spacing w:after="0"/>
        <w:rPr>
          <w:rFonts w:ascii="Calibri" w:hAnsi="Calibri" w:cs="Calibri"/>
          <w:b/>
          <w:sz w:val="24"/>
          <w:szCs w:val="24"/>
          <w:lang w:val="en-GB"/>
        </w:rPr>
      </w:pPr>
      <w:r w:rsidRPr="00DC6E3C">
        <w:rPr>
          <w:rFonts w:ascii="Calibri" w:hAnsi="Calibri" w:cs="Calibri"/>
          <w:b/>
          <w:sz w:val="24"/>
          <w:szCs w:val="24"/>
          <w:lang w:val="en-GB"/>
        </w:rPr>
        <w:t>Specific obligations</w:t>
      </w:r>
    </w:p>
    <w:p w:rsidR="00F756BF" w:rsidRPr="00DC6E3C" w:rsidRDefault="00F756BF" w:rsidP="00F756BF">
      <w:pPr>
        <w:spacing w:after="0"/>
        <w:ind w:left="360"/>
        <w:rPr>
          <w:rFonts w:ascii="Calibri" w:hAnsi="Calibri" w:cs="Calibri"/>
          <w:sz w:val="24"/>
          <w:szCs w:val="24"/>
          <w:lang w:val="en-GB"/>
        </w:rPr>
      </w:pPr>
    </w:p>
    <w:p w:rsidR="00F756BF" w:rsidRPr="00DC6E3C" w:rsidRDefault="00F756BF" w:rsidP="00F756BF">
      <w:pPr>
        <w:spacing w:after="0"/>
        <w:ind w:left="360" w:firstLine="360"/>
        <w:rPr>
          <w:rFonts w:ascii="Calibri" w:hAnsi="Calibri" w:cs="Calibri"/>
          <w:b/>
          <w:sz w:val="24"/>
          <w:szCs w:val="24"/>
          <w:lang w:val="en-GB"/>
        </w:rPr>
      </w:pPr>
      <w:r w:rsidRPr="00DC6E3C">
        <w:rPr>
          <w:rFonts w:ascii="Calibri" w:hAnsi="Calibri" w:cs="Calibri"/>
          <w:b/>
          <w:sz w:val="24"/>
          <w:szCs w:val="24"/>
          <w:lang w:val="en-GB"/>
        </w:rPr>
        <w:t>Access to information – articles 4 and 5</w:t>
      </w:r>
    </w:p>
    <w:p w:rsidR="00F756BF" w:rsidRPr="00DC6E3C" w:rsidRDefault="00F756BF" w:rsidP="00F756BF">
      <w:pPr>
        <w:spacing w:after="0"/>
        <w:ind w:left="360"/>
        <w:rPr>
          <w:rFonts w:ascii="Calibri" w:hAnsi="Calibri" w:cs="Calibri"/>
          <w:sz w:val="24"/>
          <w:szCs w:val="24"/>
          <w:lang w:val="en-GB"/>
        </w:rPr>
      </w:pPr>
    </w:p>
    <w:p w:rsidR="00F756BF" w:rsidRPr="00DC6E3C" w:rsidRDefault="00F756BF" w:rsidP="00F756BF">
      <w:pPr>
        <w:pStyle w:val="ListParagraph"/>
        <w:numPr>
          <w:ilvl w:val="0"/>
          <w:numId w:val="46"/>
        </w:numPr>
        <w:spacing w:after="0"/>
        <w:rPr>
          <w:rFonts w:ascii="Calibri" w:hAnsi="Calibri" w:cs="Calibri"/>
          <w:sz w:val="24"/>
          <w:szCs w:val="24"/>
          <w:lang w:val="en-GB"/>
        </w:rPr>
      </w:pPr>
      <w:r w:rsidRPr="00DC6E3C">
        <w:rPr>
          <w:rFonts w:ascii="Calibri" w:hAnsi="Calibri" w:cs="Calibri"/>
          <w:sz w:val="24"/>
          <w:szCs w:val="24"/>
          <w:lang w:val="en-GB"/>
        </w:rPr>
        <w:t>The Committee emphasises that the requirements to ensure access to information appl</w:t>
      </w:r>
      <w:r>
        <w:rPr>
          <w:rFonts w:ascii="Calibri" w:hAnsi="Calibri" w:cs="Calibri"/>
          <w:sz w:val="24"/>
          <w:szCs w:val="24"/>
          <w:lang w:val="en-GB"/>
        </w:rPr>
        <w:t>y with equal force</w:t>
      </w:r>
      <w:r w:rsidRPr="00DC6E3C">
        <w:rPr>
          <w:rFonts w:ascii="Calibri" w:hAnsi="Calibri" w:cs="Calibri"/>
          <w:sz w:val="24"/>
          <w:szCs w:val="24"/>
          <w:lang w:val="en-GB"/>
        </w:rPr>
        <w:t xml:space="preserve"> during the COVID-19 pandemic</w:t>
      </w:r>
      <w:r w:rsidRPr="00226C9A">
        <w:rPr>
          <w:rFonts w:ascii="Calibri" w:hAnsi="Calibri" w:cs="Calibri"/>
          <w:sz w:val="24"/>
          <w:szCs w:val="24"/>
          <w:lang w:val="en-GB"/>
        </w:rPr>
        <w:t xml:space="preserve"> </w:t>
      </w:r>
      <w:r>
        <w:rPr>
          <w:rFonts w:ascii="Calibri" w:hAnsi="Calibri" w:cs="Calibri"/>
          <w:sz w:val="24"/>
          <w:szCs w:val="24"/>
          <w:lang w:val="en-GB"/>
        </w:rPr>
        <w:t>and in the subsequent economic recovery phase</w:t>
      </w:r>
      <w:r w:rsidRPr="00DC6E3C">
        <w:rPr>
          <w:rFonts w:ascii="Calibri" w:hAnsi="Calibri" w:cs="Calibri"/>
          <w:sz w:val="24"/>
          <w:szCs w:val="24"/>
          <w:lang w:val="en-GB"/>
        </w:rPr>
        <w:t xml:space="preserve">. This includes keeping </w:t>
      </w:r>
      <w:r>
        <w:rPr>
          <w:rFonts w:ascii="Calibri" w:hAnsi="Calibri" w:cs="Calibri"/>
          <w:sz w:val="24"/>
          <w:szCs w:val="24"/>
          <w:lang w:val="en-GB"/>
        </w:rPr>
        <w:t xml:space="preserve">to </w:t>
      </w:r>
      <w:r w:rsidRPr="00DC6E3C">
        <w:rPr>
          <w:rFonts w:ascii="Calibri" w:hAnsi="Calibri" w:cs="Calibri"/>
          <w:sz w:val="24"/>
          <w:szCs w:val="24"/>
          <w:lang w:val="en-GB"/>
        </w:rPr>
        <w:t xml:space="preserve">the prescribed time-frames and limiting refusals only to </w:t>
      </w:r>
      <w:r>
        <w:rPr>
          <w:rFonts w:ascii="Calibri" w:hAnsi="Calibri" w:cs="Calibri"/>
          <w:sz w:val="24"/>
          <w:szCs w:val="24"/>
          <w:lang w:val="en-GB"/>
        </w:rPr>
        <w:t xml:space="preserve">the specific </w:t>
      </w:r>
      <w:r w:rsidRPr="00DC6E3C">
        <w:rPr>
          <w:rFonts w:ascii="Calibri" w:hAnsi="Calibri" w:cs="Calibri"/>
          <w:sz w:val="24"/>
          <w:szCs w:val="24"/>
          <w:lang w:val="en-GB"/>
        </w:rPr>
        <w:t xml:space="preserve">situations </w:t>
      </w:r>
      <w:r>
        <w:rPr>
          <w:rFonts w:ascii="Calibri" w:hAnsi="Calibri" w:cs="Calibri"/>
          <w:sz w:val="24"/>
          <w:szCs w:val="24"/>
          <w:lang w:val="en-GB"/>
        </w:rPr>
        <w:t>provided</w:t>
      </w:r>
      <w:r w:rsidRPr="00DC6E3C">
        <w:rPr>
          <w:rFonts w:ascii="Calibri" w:hAnsi="Calibri" w:cs="Calibri"/>
          <w:sz w:val="24"/>
          <w:szCs w:val="24"/>
          <w:lang w:val="en-GB"/>
        </w:rPr>
        <w:t xml:space="preserve"> for by article 4, while interpreting the grounds for refusal in a restrictive way, </w:t>
      </w:r>
      <w:r>
        <w:rPr>
          <w:rFonts w:ascii="Calibri" w:hAnsi="Calibri" w:cs="Calibri"/>
          <w:sz w:val="24"/>
          <w:szCs w:val="24"/>
          <w:lang w:val="en-GB"/>
        </w:rPr>
        <w:t xml:space="preserve">and </w:t>
      </w:r>
      <w:r w:rsidRPr="00DC6E3C">
        <w:rPr>
          <w:rFonts w:ascii="Calibri" w:hAnsi="Calibri" w:cs="Calibri"/>
          <w:sz w:val="24"/>
          <w:szCs w:val="24"/>
          <w:lang w:val="en-GB"/>
        </w:rPr>
        <w:t>taking into account the public interests served by disclosure and whether the information requested relates to emissions into the environment.</w:t>
      </w:r>
    </w:p>
    <w:p w:rsidR="00F756BF" w:rsidRPr="00DC6E3C" w:rsidRDefault="00F756BF" w:rsidP="00F756BF">
      <w:pPr>
        <w:pStyle w:val="ListParagraph"/>
        <w:spacing w:after="0"/>
        <w:rPr>
          <w:rFonts w:ascii="Calibri" w:hAnsi="Calibri" w:cs="Calibri"/>
          <w:sz w:val="24"/>
          <w:szCs w:val="24"/>
          <w:lang w:val="en-GB"/>
        </w:rPr>
      </w:pPr>
    </w:p>
    <w:p w:rsidR="00F756BF" w:rsidRPr="00DC6E3C" w:rsidRDefault="00F756BF" w:rsidP="00F756BF">
      <w:pPr>
        <w:pStyle w:val="ListParagraph"/>
        <w:numPr>
          <w:ilvl w:val="0"/>
          <w:numId w:val="46"/>
        </w:numPr>
        <w:spacing w:after="0"/>
        <w:rPr>
          <w:rFonts w:ascii="Calibri" w:hAnsi="Calibri" w:cs="Calibri"/>
          <w:sz w:val="24"/>
          <w:szCs w:val="24"/>
          <w:lang w:val="en-GB"/>
        </w:rPr>
      </w:pPr>
      <w:r w:rsidRPr="00DC6E3C">
        <w:rPr>
          <w:rFonts w:ascii="Calibri" w:hAnsi="Calibri" w:cs="Calibri"/>
          <w:sz w:val="24"/>
          <w:szCs w:val="24"/>
          <w:lang w:val="en-GB"/>
        </w:rPr>
        <w:t xml:space="preserve">While the obligation to collect and disseminate environmental information, as set out in article 5, applies </w:t>
      </w:r>
      <w:r>
        <w:rPr>
          <w:rFonts w:ascii="Calibri" w:hAnsi="Calibri" w:cs="Calibri"/>
          <w:sz w:val="24"/>
          <w:szCs w:val="24"/>
          <w:lang w:val="en-GB"/>
        </w:rPr>
        <w:t>with equal force</w:t>
      </w:r>
      <w:r w:rsidRPr="00DC6E3C">
        <w:rPr>
          <w:rFonts w:ascii="Calibri" w:hAnsi="Calibri" w:cs="Calibri"/>
          <w:sz w:val="24"/>
          <w:szCs w:val="24"/>
          <w:lang w:val="en-GB"/>
        </w:rPr>
        <w:t xml:space="preserve"> during the COVID-19 pandemic</w:t>
      </w:r>
      <w:r w:rsidRPr="00226C9A">
        <w:rPr>
          <w:rFonts w:ascii="Calibri" w:hAnsi="Calibri" w:cs="Calibri"/>
          <w:sz w:val="24"/>
          <w:szCs w:val="24"/>
          <w:lang w:val="en-GB"/>
        </w:rPr>
        <w:t xml:space="preserve"> </w:t>
      </w:r>
      <w:r>
        <w:rPr>
          <w:rFonts w:ascii="Calibri" w:hAnsi="Calibri" w:cs="Calibri"/>
          <w:sz w:val="24"/>
          <w:szCs w:val="24"/>
          <w:lang w:val="en-GB"/>
        </w:rPr>
        <w:t>and in the subsequent economic recovery phase</w:t>
      </w:r>
      <w:r w:rsidRPr="00DC6E3C">
        <w:rPr>
          <w:rFonts w:ascii="Calibri" w:hAnsi="Calibri" w:cs="Calibri"/>
          <w:sz w:val="24"/>
          <w:szCs w:val="24"/>
          <w:lang w:val="en-GB"/>
        </w:rPr>
        <w:t>, the Committee reminds the Parties that such information includes information concerning the pandemic itself with a bearing on the environment.</w:t>
      </w:r>
    </w:p>
    <w:p w:rsidR="00F756BF" w:rsidRPr="00DC6E3C" w:rsidRDefault="00F756BF" w:rsidP="00F756BF">
      <w:pPr>
        <w:spacing w:after="0"/>
        <w:ind w:left="360"/>
        <w:rPr>
          <w:rFonts w:ascii="Calibri" w:hAnsi="Calibri" w:cs="Calibri"/>
          <w:sz w:val="24"/>
          <w:szCs w:val="24"/>
          <w:lang w:val="en-GB"/>
        </w:rPr>
      </w:pPr>
    </w:p>
    <w:p w:rsidR="00F756BF" w:rsidRPr="00DC6E3C" w:rsidRDefault="00F756BF" w:rsidP="00F756BF">
      <w:pPr>
        <w:spacing w:after="0"/>
        <w:ind w:left="360" w:firstLine="360"/>
        <w:rPr>
          <w:rFonts w:ascii="Calibri" w:hAnsi="Calibri" w:cs="Calibri"/>
          <w:b/>
          <w:sz w:val="24"/>
          <w:szCs w:val="24"/>
          <w:lang w:val="en-GB"/>
        </w:rPr>
      </w:pPr>
      <w:r w:rsidRPr="00DC6E3C">
        <w:rPr>
          <w:rFonts w:ascii="Calibri" w:hAnsi="Calibri" w:cs="Calibri"/>
          <w:b/>
          <w:sz w:val="24"/>
          <w:szCs w:val="24"/>
          <w:lang w:val="en-GB"/>
        </w:rPr>
        <w:t>Participation in decision-making – articles 6-8</w:t>
      </w:r>
    </w:p>
    <w:p w:rsidR="00F756BF" w:rsidRPr="00DC6E3C" w:rsidRDefault="00F756BF" w:rsidP="00F756BF">
      <w:pPr>
        <w:spacing w:after="0"/>
        <w:ind w:left="360"/>
        <w:rPr>
          <w:rFonts w:ascii="Calibri" w:hAnsi="Calibri" w:cs="Calibri"/>
          <w:sz w:val="24"/>
          <w:szCs w:val="24"/>
          <w:lang w:val="en-GB"/>
        </w:rPr>
      </w:pPr>
      <w:r w:rsidRPr="00DC6E3C">
        <w:rPr>
          <w:rFonts w:ascii="Calibri" w:hAnsi="Calibri" w:cs="Calibri"/>
          <w:sz w:val="24"/>
          <w:szCs w:val="24"/>
          <w:lang w:val="en-GB"/>
        </w:rPr>
        <w:t xml:space="preserve"> </w:t>
      </w:r>
    </w:p>
    <w:p w:rsidR="00F756BF" w:rsidRDefault="00F756BF" w:rsidP="00F756BF">
      <w:pPr>
        <w:pStyle w:val="ListParagraph"/>
        <w:numPr>
          <w:ilvl w:val="0"/>
          <w:numId w:val="46"/>
        </w:numPr>
        <w:spacing w:after="0"/>
        <w:rPr>
          <w:rFonts w:ascii="Calibri" w:hAnsi="Calibri" w:cs="Calibri"/>
          <w:sz w:val="24"/>
          <w:szCs w:val="24"/>
          <w:lang w:val="en-GB"/>
        </w:rPr>
      </w:pPr>
      <w:r w:rsidRPr="00DC6E3C">
        <w:rPr>
          <w:rFonts w:ascii="Calibri" w:hAnsi="Calibri" w:cs="Calibri"/>
          <w:sz w:val="24"/>
          <w:szCs w:val="24"/>
          <w:lang w:val="en-GB"/>
        </w:rPr>
        <w:t xml:space="preserve">The Committee emphasises </w:t>
      </w:r>
      <w:r>
        <w:rPr>
          <w:rFonts w:ascii="Calibri" w:hAnsi="Calibri" w:cs="Calibri"/>
          <w:sz w:val="24"/>
          <w:szCs w:val="24"/>
          <w:lang w:val="en-GB"/>
        </w:rPr>
        <w:t>that the requirements to ensure public participation in all forms of decision-making under the Convention apply with equal force during the COVID-19 pandemic</w:t>
      </w:r>
      <w:r w:rsidRPr="00226C9A">
        <w:rPr>
          <w:rFonts w:ascii="Calibri" w:hAnsi="Calibri" w:cs="Calibri"/>
          <w:sz w:val="24"/>
          <w:szCs w:val="24"/>
          <w:lang w:val="en-GB"/>
        </w:rPr>
        <w:t xml:space="preserve"> </w:t>
      </w:r>
      <w:r>
        <w:rPr>
          <w:rFonts w:ascii="Calibri" w:hAnsi="Calibri" w:cs="Calibri"/>
          <w:sz w:val="24"/>
          <w:szCs w:val="24"/>
          <w:lang w:val="en-GB"/>
        </w:rPr>
        <w:t xml:space="preserve">and in the subsequent economic recovery phase. </w:t>
      </w:r>
    </w:p>
    <w:p w:rsidR="00F756BF" w:rsidRDefault="00F756BF" w:rsidP="00F756BF">
      <w:pPr>
        <w:pStyle w:val="ListParagraph"/>
        <w:spacing w:after="0"/>
        <w:rPr>
          <w:rFonts w:ascii="Calibri" w:hAnsi="Calibri" w:cs="Calibri"/>
          <w:sz w:val="24"/>
          <w:szCs w:val="24"/>
          <w:lang w:val="en-GB"/>
        </w:rPr>
      </w:pPr>
    </w:p>
    <w:p w:rsidR="00F756BF" w:rsidRPr="00DC6E3C" w:rsidRDefault="00F756BF" w:rsidP="00F756BF">
      <w:pPr>
        <w:pStyle w:val="ListParagraph"/>
        <w:numPr>
          <w:ilvl w:val="0"/>
          <w:numId w:val="46"/>
        </w:numPr>
        <w:spacing w:after="0"/>
        <w:rPr>
          <w:rFonts w:ascii="Calibri" w:hAnsi="Calibri" w:cs="Calibri"/>
          <w:sz w:val="24"/>
          <w:szCs w:val="24"/>
          <w:lang w:val="en-GB"/>
        </w:rPr>
      </w:pPr>
      <w:r>
        <w:rPr>
          <w:rFonts w:ascii="Calibri" w:hAnsi="Calibri" w:cs="Calibri"/>
          <w:sz w:val="24"/>
          <w:szCs w:val="24"/>
          <w:lang w:val="en-GB"/>
        </w:rPr>
        <w:t xml:space="preserve">The Committee reminds the Parties of </w:t>
      </w:r>
      <w:r w:rsidRPr="00DC6E3C">
        <w:rPr>
          <w:rFonts w:ascii="Calibri" w:hAnsi="Calibri" w:cs="Calibri"/>
          <w:sz w:val="24"/>
          <w:szCs w:val="24"/>
          <w:lang w:val="en-GB"/>
        </w:rPr>
        <w:t>the general obligation</w:t>
      </w:r>
      <w:r>
        <w:rPr>
          <w:rFonts w:ascii="Calibri" w:hAnsi="Calibri" w:cs="Calibri"/>
          <w:sz w:val="24"/>
          <w:szCs w:val="24"/>
          <w:lang w:val="en-GB"/>
        </w:rPr>
        <w:t xml:space="preserve"> to</w:t>
      </w:r>
      <w:r w:rsidRPr="00DC6E3C">
        <w:rPr>
          <w:rFonts w:ascii="Calibri" w:hAnsi="Calibri" w:cs="Calibri"/>
          <w:sz w:val="24"/>
          <w:szCs w:val="24"/>
          <w:lang w:val="en-GB"/>
        </w:rPr>
        <w:t xml:space="preserve"> provide for effective public participation in decision-making under articles 6-8 of the Convention. This obligation to ensure opportunities for the public to participate effectively is the fundamental standard against which all the </w:t>
      </w:r>
      <w:r>
        <w:rPr>
          <w:rFonts w:ascii="Calibri" w:hAnsi="Calibri" w:cs="Calibri"/>
          <w:sz w:val="24"/>
          <w:szCs w:val="24"/>
          <w:lang w:val="en-GB"/>
        </w:rPr>
        <w:t>elements</w:t>
      </w:r>
      <w:r w:rsidRPr="00DC6E3C">
        <w:rPr>
          <w:rFonts w:ascii="Calibri" w:hAnsi="Calibri" w:cs="Calibri"/>
          <w:sz w:val="24"/>
          <w:szCs w:val="24"/>
          <w:lang w:val="en-GB"/>
        </w:rPr>
        <w:t xml:space="preserve"> of a public participation procedure under the Convention should be measured, and it applies </w:t>
      </w:r>
      <w:r>
        <w:rPr>
          <w:rFonts w:ascii="Calibri" w:hAnsi="Calibri" w:cs="Calibri"/>
          <w:sz w:val="24"/>
          <w:szCs w:val="24"/>
          <w:lang w:val="en-GB"/>
        </w:rPr>
        <w:t>with equal force</w:t>
      </w:r>
      <w:r w:rsidRPr="00DC6E3C">
        <w:rPr>
          <w:rFonts w:ascii="Calibri" w:hAnsi="Calibri" w:cs="Calibri"/>
          <w:sz w:val="24"/>
          <w:szCs w:val="24"/>
          <w:lang w:val="en-GB"/>
        </w:rPr>
        <w:t xml:space="preserve"> to public participation procedures carried out during the COVID-19 pandemic</w:t>
      </w:r>
      <w:r w:rsidRPr="00226C9A">
        <w:rPr>
          <w:rFonts w:ascii="Calibri" w:hAnsi="Calibri" w:cs="Calibri"/>
          <w:sz w:val="24"/>
          <w:szCs w:val="24"/>
          <w:lang w:val="en-GB"/>
        </w:rPr>
        <w:t xml:space="preserve"> </w:t>
      </w:r>
      <w:r>
        <w:rPr>
          <w:rFonts w:ascii="Calibri" w:hAnsi="Calibri" w:cs="Calibri"/>
          <w:sz w:val="24"/>
          <w:szCs w:val="24"/>
          <w:lang w:val="en-GB"/>
        </w:rPr>
        <w:t>and in the subsequent economic recovery phase.</w:t>
      </w:r>
    </w:p>
    <w:p w:rsidR="00F756BF" w:rsidRPr="00DC6E3C" w:rsidRDefault="00F756BF" w:rsidP="00F756BF">
      <w:pPr>
        <w:spacing w:after="0"/>
        <w:ind w:left="360"/>
        <w:rPr>
          <w:rFonts w:ascii="Calibri" w:hAnsi="Calibri" w:cs="Calibri"/>
          <w:sz w:val="24"/>
          <w:szCs w:val="24"/>
          <w:lang w:val="en-GB"/>
        </w:rPr>
      </w:pPr>
    </w:p>
    <w:p w:rsidR="00F756BF" w:rsidRPr="00DC6E3C" w:rsidRDefault="00F756BF" w:rsidP="00F756BF">
      <w:pPr>
        <w:spacing w:after="0"/>
        <w:ind w:left="360" w:firstLine="360"/>
        <w:rPr>
          <w:rFonts w:ascii="Calibri" w:hAnsi="Calibri" w:cs="Calibri"/>
          <w:b/>
          <w:sz w:val="24"/>
          <w:szCs w:val="24"/>
          <w:lang w:val="en-GB"/>
        </w:rPr>
      </w:pPr>
      <w:r w:rsidRPr="00DC6E3C">
        <w:rPr>
          <w:rFonts w:ascii="Calibri" w:hAnsi="Calibri" w:cs="Calibri"/>
          <w:b/>
          <w:sz w:val="24"/>
          <w:szCs w:val="24"/>
          <w:lang w:val="en-GB"/>
        </w:rPr>
        <w:t>Access to justice – article 9</w:t>
      </w:r>
    </w:p>
    <w:p w:rsidR="00F756BF" w:rsidRPr="00DC6E3C" w:rsidRDefault="00F756BF" w:rsidP="00F756BF">
      <w:pPr>
        <w:spacing w:after="0"/>
        <w:ind w:left="360"/>
        <w:rPr>
          <w:rFonts w:ascii="Calibri" w:hAnsi="Calibri" w:cs="Calibri"/>
          <w:sz w:val="24"/>
          <w:szCs w:val="24"/>
          <w:lang w:val="en-GB"/>
        </w:rPr>
      </w:pPr>
    </w:p>
    <w:p w:rsidR="00F756BF" w:rsidRPr="00DC6E3C" w:rsidRDefault="00F756BF" w:rsidP="00F756BF">
      <w:pPr>
        <w:pStyle w:val="ListParagraph"/>
        <w:numPr>
          <w:ilvl w:val="0"/>
          <w:numId w:val="46"/>
        </w:numPr>
        <w:spacing w:after="0"/>
        <w:rPr>
          <w:rFonts w:ascii="Calibri" w:hAnsi="Calibri" w:cs="Calibri"/>
          <w:sz w:val="24"/>
          <w:szCs w:val="24"/>
          <w:lang w:val="en-GB"/>
        </w:rPr>
      </w:pPr>
      <w:r w:rsidRPr="00DC6E3C">
        <w:rPr>
          <w:rFonts w:ascii="Calibri" w:hAnsi="Calibri" w:cs="Calibri"/>
          <w:sz w:val="24"/>
          <w:szCs w:val="24"/>
          <w:lang w:val="en-GB"/>
        </w:rPr>
        <w:t>The Committee emphasises that the requirements in article 9 to ensure access to justice with respect to request</w:t>
      </w:r>
      <w:r>
        <w:rPr>
          <w:rFonts w:ascii="Calibri" w:hAnsi="Calibri" w:cs="Calibri"/>
          <w:sz w:val="24"/>
          <w:szCs w:val="24"/>
          <w:lang w:val="en-GB"/>
        </w:rPr>
        <w:t>s</w:t>
      </w:r>
      <w:r w:rsidRPr="00DC6E3C">
        <w:rPr>
          <w:rFonts w:ascii="Calibri" w:hAnsi="Calibri" w:cs="Calibri"/>
          <w:sz w:val="24"/>
          <w:szCs w:val="24"/>
          <w:lang w:val="en-GB"/>
        </w:rPr>
        <w:t xml:space="preserve"> for information under article 4, decisions, acts or omissions subject to the provisions of article 6, and any act or omission by private persons or public authorities which contravene provisions of national law relating to the environment appl</w:t>
      </w:r>
      <w:r>
        <w:rPr>
          <w:rFonts w:ascii="Calibri" w:hAnsi="Calibri" w:cs="Calibri"/>
          <w:sz w:val="24"/>
          <w:szCs w:val="24"/>
          <w:lang w:val="en-GB"/>
        </w:rPr>
        <w:t>y</w:t>
      </w:r>
      <w:r w:rsidRPr="00DC6E3C">
        <w:rPr>
          <w:rFonts w:ascii="Calibri" w:hAnsi="Calibri" w:cs="Calibri"/>
          <w:sz w:val="24"/>
          <w:szCs w:val="24"/>
          <w:lang w:val="en-GB"/>
        </w:rPr>
        <w:t xml:space="preserve"> </w:t>
      </w:r>
      <w:r>
        <w:rPr>
          <w:rFonts w:ascii="Calibri" w:hAnsi="Calibri" w:cs="Calibri"/>
          <w:sz w:val="24"/>
          <w:szCs w:val="24"/>
          <w:lang w:val="en-GB"/>
        </w:rPr>
        <w:t>with equal force</w:t>
      </w:r>
      <w:r w:rsidRPr="00DC6E3C">
        <w:rPr>
          <w:rFonts w:ascii="Calibri" w:hAnsi="Calibri" w:cs="Calibri"/>
          <w:sz w:val="24"/>
          <w:szCs w:val="24"/>
          <w:lang w:val="en-GB"/>
        </w:rPr>
        <w:t xml:space="preserve"> during the COVID-19 pandemic</w:t>
      </w:r>
      <w:r w:rsidRPr="00226C9A">
        <w:rPr>
          <w:rFonts w:ascii="Calibri" w:hAnsi="Calibri" w:cs="Calibri"/>
          <w:sz w:val="24"/>
          <w:szCs w:val="24"/>
          <w:lang w:val="en-GB"/>
        </w:rPr>
        <w:t xml:space="preserve"> </w:t>
      </w:r>
      <w:r>
        <w:rPr>
          <w:rFonts w:ascii="Calibri" w:hAnsi="Calibri" w:cs="Calibri"/>
          <w:sz w:val="24"/>
          <w:szCs w:val="24"/>
          <w:lang w:val="en-GB"/>
        </w:rPr>
        <w:t>and in the subsequent economic recovery phase</w:t>
      </w:r>
      <w:r w:rsidRPr="00DC6E3C">
        <w:rPr>
          <w:rFonts w:ascii="Calibri" w:hAnsi="Calibri" w:cs="Calibri"/>
          <w:sz w:val="24"/>
          <w:szCs w:val="24"/>
          <w:lang w:val="en-GB"/>
        </w:rPr>
        <w:t xml:space="preserve">. </w:t>
      </w:r>
    </w:p>
    <w:p w:rsidR="00F756BF" w:rsidRPr="00DC6E3C" w:rsidRDefault="00F756BF" w:rsidP="00F756BF">
      <w:pPr>
        <w:pStyle w:val="ListParagraph"/>
        <w:spacing w:after="0"/>
        <w:rPr>
          <w:rFonts w:ascii="Calibri" w:hAnsi="Calibri" w:cs="Calibri"/>
          <w:sz w:val="24"/>
          <w:szCs w:val="24"/>
          <w:lang w:val="en-GB"/>
        </w:rPr>
      </w:pPr>
    </w:p>
    <w:p w:rsidR="00F756BF" w:rsidRPr="00DC6E3C" w:rsidRDefault="00F756BF" w:rsidP="00F756BF">
      <w:pPr>
        <w:pStyle w:val="ListParagraph"/>
        <w:numPr>
          <w:ilvl w:val="0"/>
          <w:numId w:val="46"/>
        </w:numPr>
        <w:spacing w:after="0"/>
        <w:rPr>
          <w:rFonts w:ascii="Calibri" w:hAnsi="Calibri" w:cs="Calibri"/>
          <w:sz w:val="24"/>
          <w:szCs w:val="24"/>
          <w:lang w:val="en-GB"/>
        </w:rPr>
      </w:pPr>
      <w:r w:rsidRPr="00DC6E3C">
        <w:rPr>
          <w:rFonts w:ascii="Calibri" w:hAnsi="Calibri" w:cs="Calibri"/>
          <w:sz w:val="24"/>
          <w:szCs w:val="24"/>
          <w:lang w:val="en-GB"/>
        </w:rPr>
        <w:t xml:space="preserve">The </w:t>
      </w:r>
      <w:r>
        <w:rPr>
          <w:rFonts w:ascii="Calibri" w:hAnsi="Calibri" w:cs="Calibri"/>
          <w:sz w:val="24"/>
          <w:szCs w:val="24"/>
          <w:lang w:val="en-GB"/>
        </w:rPr>
        <w:t xml:space="preserve">Committee reminds the Parties that the </w:t>
      </w:r>
      <w:r w:rsidRPr="00DC6E3C">
        <w:rPr>
          <w:rFonts w:ascii="Calibri" w:hAnsi="Calibri" w:cs="Calibri"/>
          <w:sz w:val="24"/>
          <w:szCs w:val="24"/>
          <w:lang w:val="en-GB"/>
        </w:rPr>
        <w:t xml:space="preserve">requirements that review procedures provide adequate and effective remedies, including interim relief as appropriate, and be fair, equitable, timely and not prohibitively expensive applies </w:t>
      </w:r>
      <w:r>
        <w:rPr>
          <w:rFonts w:ascii="Calibri" w:hAnsi="Calibri" w:cs="Calibri"/>
          <w:sz w:val="24"/>
          <w:szCs w:val="24"/>
          <w:lang w:val="en-GB"/>
        </w:rPr>
        <w:t>with equal force</w:t>
      </w:r>
      <w:r w:rsidRPr="00DC6E3C">
        <w:rPr>
          <w:rFonts w:ascii="Calibri" w:hAnsi="Calibri" w:cs="Calibri"/>
          <w:sz w:val="24"/>
          <w:szCs w:val="24"/>
          <w:lang w:val="en-GB"/>
        </w:rPr>
        <w:t xml:space="preserve"> to review procedures during the COVID-19 pandemic</w:t>
      </w:r>
      <w:r w:rsidRPr="00226C9A">
        <w:rPr>
          <w:rFonts w:ascii="Calibri" w:hAnsi="Calibri" w:cs="Calibri"/>
          <w:sz w:val="24"/>
          <w:szCs w:val="24"/>
          <w:lang w:val="en-GB"/>
        </w:rPr>
        <w:t xml:space="preserve"> </w:t>
      </w:r>
      <w:r>
        <w:rPr>
          <w:rFonts w:ascii="Calibri" w:hAnsi="Calibri" w:cs="Calibri"/>
          <w:sz w:val="24"/>
          <w:szCs w:val="24"/>
          <w:lang w:val="en-GB"/>
        </w:rPr>
        <w:t>and in the subsequent economic recovery phase</w:t>
      </w:r>
      <w:r w:rsidRPr="00DC6E3C">
        <w:rPr>
          <w:rFonts w:ascii="Calibri" w:hAnsi="Calibri" w:cs="Calibri"/>
          <w:sz w:val="24"/>
          <w:szCs w:val="24"/>
          <w:lang w:val="en-GB"/>
        </w:rPr>
        <w:t xml:space="preserve">.  </w:t>
      </w:r>
    </w:p>
    <w:p w:rsidR="00F756BF" w:rsidRPr="00DC6E3C" w:rsidRDefault="00F756BF" w:rsidP="00F756BF">
      <w:pPr>
        <w:pStyle w:val="ListParagraph"/>
        <w:spacing w:after="0"/>
        <w:rPr>
          <w:rFonts w:ascii="Calibri" w:hAnsi="Calibri" w:cs="Calibri"/>
          <w:sz w:val="24"/>
          <w:szCs w:val="24"/>
          <w:lang w:val="en-GB"/>
        </w:rPr>
      </w:pPr>
    </w:p>
    <w:p w:rsidR="00F756BF" w:rsidRPr="00DC6E3C" w:rsidRDefault="00F756BF" w:rsidP="00F756BF">
      <w:pPr>
        <w:pStyle w:val="ListParagraph"/>
        <w:numPr>
          <w:ilvl w:val="0"/>
          <w:numId w:val="47"/>
        </w:numPr>
        <w:spacing w:after="0"/>
        <w:rPr>
          <w:rFonts w:ascii="Calibri" w:hAnsi="Calibri" w:cs="Calibri"/>
          <w:b/>
          <w:sz w:val="24"/>
          <w:szCs w:val="24"/>
          <w:lang w:val="en-GB"/>
        </w:rPr>
      </w:pPr>
      <w:r w:rsidRPr="00DC6E3C">
        <w:rPr>
          <w:rFonts w:ascii="Calibri" w:hAnsi="Calibri" w:cs="Calibri"/>
          <w:b/>
          <w:sz w:val="24"/>
          <w:szCs w:val="24"/>
          <w:lang w:val="en-GB"/>
        </w:rPr>
        <w:t>Conclusion</w:t>
      </w:r>
    </w:p>
    <w:p w:rsidR="00F756BF" w:rsidRPr="00DC6E3C" w:rsidRDefault="00F756BF" w:rsidP="00F756BF">
      <w:pPr>
        <w:pStyle w:val="ListParagraph"/>
        <w:rPr>
          <w:rFonts w:ascii="Calibri" w:hAnsi="Calibri" w:cs="Calibri"/>
          <w:sz w:val="24"/>
          <w:szCs w:val="24"/>
          <w:lang w:val="en-GB"/>
        </w:rPr>
      </w:pPr>
    </w:p>
    <w:p w:rsidR="00F756BF" w:rsidRPr="00DC6E3C" w:rsidRDefault="00F756BF" w:rsidP="00F756BF">
      <w:pPr>
        <w:pStyle w:val="ListParagraph"/>
        <w:numPr>
          <w:ilvl w:val="0"/>
          <w:numId w:val="46"/>
        </w:numPr>
        <w:spacing w:after="0"/>
        <w:rPr>
          <w:rFonts w:ascii="Calibri" w:hAnsi="Calibri" w:cs="Calibri"/>
          <w:sz w:val="24"/>
          <w:szCs w:val="24"/>
          <w:lang w:val="en-GB"/>
        </w:rPr>
      </w:pPr>
      <w:r w:rsidRPr="00DC6E3C">
        <w:rPr>
          <w:rFonts w:ascii="Calibri" w:hAnsi="Calibri" w:cs="Calibri"/>
          <w:sz w:val="24"/>
          <w:szCs w:val="24"/>
          <w:lang w:val="en-GB"/>
        </w:rPr>
        <w:t xml:space="preserve">The Committee </w:t>
      </w:r>
      <w:r>
        <w:rPr>
          <w:rFonts w:ascii="Calibri" w:hAnsi="Calibri" w:cs="Calibri"/>
          <w:sz w:val="24"/>
          <w:szCs w:val="24"/>
          <w:lang w:val="en-GB"/>
        </w:rPr>
        <w:t>emphasises that</w:t>
      </w:r>
      <w:r w:rsidRPr="00DC6E3C">
        <w:rPr>
          <w:rFonts w:ascii="Calibri" w:hAnsi="Calibri" w:cs="Calibri"/>
          <w:sz w:val="24"/>
          <w:szCs w:val="24"/>
          <w:lang w:val="en-GB"/>
        </w:rPr>
        <w:t xml:space="preserve"> the Convention applies in full </w:t>
      </w:r>
      <w:r>
        <w:rPr>
          <w:rFonts w:ascii="Calibri" w:hAnsi="Calibri" w:cs="Calibri"/>
          <w:sz w:val="24"/>
          <w:szCs w:val="24"/>
          <w:lang w:val="en-GB"/>
        </w:rPr>
        <w:t xml:space="preserve">and with equal force </w:t>
      </w:r>
      <w:r w:rsidRPr="00DC6E3C">
        <w:rPr>
          <w:rFonts w:ascii="Calibri" w:hAnsi="Calibri" w:cs="Calibri"/>
          <w:sz w:val="24"/>
          <w:szCs w:val="24"/>
          <w:lang w:val="en-GB"/>
        </w:rPr>
        <w:t>during the COVID-19 pandemic</w:t>
      </w:r>
      <w:r>
        <w:rPr>
          <w:rFonts w:ascii="Calibri" w:hAnsi="Calibri" w:cs="Calibri"/>
          <w:sz w:val="24"/>
          <w:szCs w:val="24"/>
          <w:lang w:val="en-GB"/>
        </w:rPr>
        <w:t xml:space="preserve"> and in the subsequent economic recovery phase</w:t>
      </w:r>
      <w:r w:rsidRPr="00DC6E3C">
        <w:rPr>
          <w:rFonts w:ascii="Calibri" w:hAnsi="Calibri" w:cs="Calibri"/>
          <w:sz w:val="24"/>
          <w:szCs w:val="24"/>
          <w:lang w:val="en-GB"/>
        </w:rPr>
        <w:t xml:space="preserve">, and that the binding rights set out in the Convention cannot be reduced or curtailed. Accordingly, the Parties cannot justify any restriction on </w:t>
      </w:r>
      <w:r>
        <w:rPr>
          <w:rFonts w:ascii="Calibri" w:hAnsi="Calibri" w:cs="Calibri"/>
          <w:sz w:val="24"/>
          <w:szCs w:val="24"/>
          <w:lang w:val="en-GB"/>
        </w:rPr>
        <w:t xml:space="preserve">the Convention rights </w:t>
      </w:r>
      <w:r w:rsidRPr="00DC6E3C">
        <w:rPr>
          <w:rFonts w:ascii="Calibri" w:hAnsi="Calibri" w:cs="Calibri"/>
          <w:sz w:val="24"/>
          <w:szCs w:val="24"/>
          <w:lang w:val="en-GB"/>
        </w:rPr>
        <w:t xml:space="preserve">by reference to the </w:t>
      </w:r>
      <w:r>
        <w:rPr>
          <w:rFonts w:ascii="Calibri" w:hAnsi="Calibri" w:cs="Calibri"/>
          <w:sz w:val="24"/>
          <w:szCs w:val="24"/>
          <w:lang w:val="en-GB"/>
        </w:rPr>
        <w:t xml:space="preserve">COVID-19 </w:t>
      </w:r>
      <w:r w:rsidRPr="00DC6E3C">
        <w:rPr>
          <w:rFonts w:ascii="Calibri" w:hAnsi="Calibri" w:cs="Calibri"/>
          <w:sz w:val="24"/>
          <w:szCs w:val="24"/>
          <w:lang w:val="en-GB"/>
        </w:rPr>
        <w:t xml:space="preserve">pandemic or to the need for a </w:t>
      </w:r>
      <w:r>
        <w:rPr>
          <w:rFonts w:ascii="Calibri" w:hAnsi="Calibri" w:cs="Calibri"/>
          <w:sz w:val="24"/>
          <w:szCs w:val="24"/>
          <w:lang w:val="en-GB"/>
        </w:rPr>
        <w:t>rapid</w:t>
      </w:r>
      <w:r w:rsidRPr="00DC6E3C">
        <w:rPr>
          <w:rFonts w:ascii="Calibri" w:hAnsi="Calibri" w:cs="Calibri"/>
          <w:sz w:val="24"/>
          <w:szCs w:val="24"/>
          <w:lang w:val="en-GB"/>
        </w:rPr>
        <w:t xml:space="preserve"> economic recovery due to the </w:t>
      </w:r>
      <w:r>
        <w:rPr>
          <w:rFonts w:ascii="Calibri" w:hAnsi="Calibri" w:cs="Calibri"/>
          <w:sz w:val="24"/>
          <w:szCs w:val="24"/>
          <w:lang w:val="en-GB"/>
        </w:rPr>
        <w:t xml:space="preserve">consequences of the </w:t>
      </w:r>
      <w:r w:rsidRPr="00DC6E3C">
        <w:rPr>
          <w:rFonts w:ascii="Calibri" w:hAnsi="Calibri" w:cs="Calibri"/>
          <w:sz w:val="24"/>
          <w:szCs w:val="24"/>
          <w:lang w:val="en-GB"/>
        </w:rPr>
        <w:t xml:space="preserve">pandemic. Any alternative means introduced to provide for </w:t>
      </w:r>
      <w:r>
        <w:rPr>
          <w:rFonts w:ascii="Calibri" w:hAnsi="Calibri" w:cs="Calibri"/>
          <w:sz w:val="24"/>
          <w:szCs w:val="24"/>
          <w:lang w:val="en-GB"/>
        </w:rPr>
        <w:t>the exercise of the rights under the Convention</w:t>
      </w:r>
      <w:r w:rsidRPr="00DC6E3C">
        <w:rPr>
          <w:rFonts w:ascii="Calibri" w:hAnsi="Calibri" w:cs="Calibri"/>
          <w:sz w:val="24"/>
          <w:szCs w:val="24"/>
          <w:lang w:val="en-GB"/>
        </w:rPr>
        <w:t xml:space="preserve"> during the COVID-19 pandemic </w:t>
      </w:r>
      <w:r>
        <w:rPr>
          <w:rFonts w:ascii="Calibri" w:hAnsi="Calibri" w:cs="Calibri"/>
          <w:sz w:val="24"/>
          <w:szCs w:val="24"/>
          <w:lang w:val="en-GB"/>
        </w:rPr>
        <w:t xml:space="preserve">or in the economic recovery phase </w:t>
      </w:r>
      <w:r w:rsidRPr="00DC6E3C">
        <w:rPr>
          <w:rFonts w:ascii="Calibri" w:hAnsi="Calibri" w:cs="Calibri"/>
          <w:sz w:val="24"/>
          <w:szCs w:val="24"/>
          <w:lang w:val="en-GB"/>
        </w:rPr>
        <w:t xml:space="preserve">must </w:t>
      </w:r>
      <w:r>
        <w:rPr>
          <w:rFonts w:ascii="Calibri" w:hAnsi="Calibri" w:cs="Calibri"/>
          <w:sz w:val="24"/>
          <w:szCs w:val="24"/>
          <w:lang w:val="en-GB"/>
        </w:rPr>
        <w:t>fully meet</w:t>
      </w:r>
      <w:r w:rsidRPr="00DC6E3C">
        <w:rPr>
          <w:rFonts w:ascii="Calibri" w:hAnsi="Calibri" w:cs="Calibri"/>
          <w:sz w:val="24"/>
          <w:szCs w:val="24"/>
          <w:lang w:val="en-GB"/>
        </w:rPr>
        <w:t xml:space="preserve"> the requirements </w:t>
      </w:r>
      <w:r>
        <w:rPr>
          <w:rFonts w:ascii="Calibri" w:hAnsi="Calibri" w:cs="Calibri"/>
          <w:sz w:val="24"/>
          <w:szCs w:val="24"/>
          <w:lang w:val="en-GB"/>
        </w:rPr>
        <w:t>set out in</w:t>
      </w:r>
      <w:r w:rsidRPr="00DC6E3C">
        <w:rPr>
          <w:rFonts w:ascii="Calibri" w:hAnsi="Calibri" w:cs="Calibri"/>
          <w:sz w:val="24"/>
          <w:szCs w:val="24"/>
          <w:lang w:val="en-GB"/>
        </w:rPr>
        <w:t xml:space="preserve"> the Convention.</w:t>
      </w:r>
    </w:p>
    <w:p w:rsidR="00F756BF" w:rsidRPr="00DC6E3C" w:rsidRDefault="00F756BF" w:rsidP="00F756BF">
      <w:pPr>
        <w:spacing w:after="0"/>
        <w:rPr>
          <w:rFonts w:ascii="Calibri" w:hAnsi="Calibri" w:cs="Calibri"/>
          <w:sz w:val="24"/>
          <w:szCs w:val="24"/>
          <w:lang w:val="en-GB"/>
        </w:rPr>
      </w:pPr>
    </w:p>
    <w:p w:rsidR="00F756BF" w:rsidRPr="00DC6E3C" w:rsidRDefault="00F756BF" w:rsidP="00F756BF">
      <w:pPr>
        <w:rPr>
          <w:rFonts w:ascii="Calibri" w:hAnsi="Calibri" w:cs="Calibri"/>
          <w:lang w:val="en-GB"/>
        </w:rPr>
      </w:pPr>
    </w:p>
    <w:p w:rsidR="00F756BF" w:rsidRPr="00822A20" w:rsidRDefault="00F756BF" w:rsidP="00F756BF">
      <w:pPr>
        <w:rPr>
          <w:lang w:val="en-US"/>
        </w:rPr>
      </w:pPr>
    </w:p>
    <w:p w:rsidR="00CD4B38" w:rsidRPr="00F756BF" w:rsidRDefault="00CD4B38" w:rsidP="00763178">
      <w:pPr>
        <w:rPr>
          <w:lang w:val="en-US"/>
        </w:rPr>
      </w:pPr>
    </w:p>
    <w:sectPr w:rsidR="00CD4B38" w:rsidRPr="00F756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6BF" w:rsidRDefault="00F756BF" w:rsidP="00183404">
      <w:pPr>
        <w:spacing w:after="0" w:line="240" w:lineRule="auto"/>
      </w:pPr>
      <w:r>
        <w:separator/>
      </w:r>
    </w:p>
  </w:endnote>
  <w:endnote w:type="continuationSeparator" w:id="0">
    <w:p w:rsidR="00F756BF" w:rsidRDefault="00F756BF" w:rsidP="00183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6BF" w:rsidRDefault="00F756BF" w:rsidP="00183404">
      <w:pPr>
        <w:spacing w:after="0" w:line="240" w:lineRule="auto"/>
      </w:pPr>
      <w:r>
        <w:separator/>
      </w:r>
    </w:p>
  </w:footnote>
  <w:footnote w:type="continuationSeparator" w:id="0">
    <w:p w:rsidR="00F756BF" w:rsidRDefault="00F756BF" w:rsidP="001834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79288CF2"/>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3A21E7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7D26849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7C619C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2214BB"/>
    <w:multiLevelType w:val="hybridMultilevel"/>
    <w:tmpl w:val="052013B0"/>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209484C"/>
    <w:multiLevelType w:val="multilevel"/>
    <w:tmpl w:val="63926BF0"/>
    <w:styleLink w:val="Listformatnumreradelistor"/>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22E5432"/>
    <w:multiLevelType w:val="multilevel"/>
    <w:tmpl w:val="4A2E246E"/>
    <w:numStyleLink w:val="Listformatpunktlistor"/>
  </w:abstractNum>
  <w:abstractNum w:abstractNumId="7" w15:restartNumberingAfterBreak="0">
    <w:nsid w:val="02D54A03"/>
    <w:multiLevelType w:val="multilevel"/>
    <w:tmpl w:val="1DC2DE82"/>
    <w:numStyleLink w:val="SUListor"/>
  </w:abstractNum>
  <w:abstractNum w:abstractNumId="8" w15:restartNumberingAfterBreak="0">
    <w:nsid w:val="034F1B33"/>
    <w:multiLevelType w:val="multilevel"/>
    <w:tmpl w:val="1DC2DE82"/>
    <w:numStyleLink w:val="SUListor"/>
  </w:abstractNum>
  <w:abstractNum w:abstractNumId="9" w15:restartNumberingAfterBreak="0">
    <w:nsid w:val="03950819"/>
    <w:multiLevelType w:val="multilevel"/>
    <w:tmpl w:val="AFF03998"/>
    <w:numStyleLink w:val="Listformatparagraflistor"/>
  </w:abstractNum>
  <w:abstractNum w:abstractNumId="10" w15:restartNumberingAfterBreak="0">
    <w:nsid w:val="0C6362B7"/>
    <w:multiLevelType w:val="multilevel"/>
    <w:tmpl w:val="1DC2DE82"/>
    <w:numStyleLink w:val="SUListor"/>
  </w:abstractNum>
  <w:abstractNum w:abstractNumId="11" w15:restartNumberingAfterBreak="0">
    <w:nsid w:val="16CC35F2"/>
    <w:multiLevelType w:val="multilevel"/>
    <w:tmpl w:val="AFF03998"/>
    <w:styleLink w:val="Listformatparagraflistor"/>
    <w:lvl w:ilvl="0">
      <w:start w:val="1"/>
      <w:numFmt w:val="decimal"/>
      <w:pStyle w:val="Paragraflista"/>
      <w:lvlText w:val="§    %1"/>
      <w:lvlJc w:val="left"/>
      <w:pPr>
        <w:tabs>
          <w:tab w:val="num" w:pos="794"/>
        </w:tabs>
        <w:ind w:left="794" w:hanging="794"/>
      </w:pPr>
      <w:rPr>
        <w:rFonts w:hint="default"/>
        <w:b/>
        <w:i w:val="0"/>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8257F8A"/>
    <w:multiLevelType w:val="multilevel"/>
    <w:tmpl w:val="4A2E246E"/>
    <w:styleLink w:val="Listformatpunktlistor"/>
    <w:lvl w:ilvl="0">
      <w:start w:val="1"/>
      <w:numFmt w:val="bullet"/>
      <w:pStyle w:val="List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1440" w:hanging="363"/>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C1D48CE"/>
    <w:multiLevelType w:val="multilevel"/>
    <w:tmpl w:val="63926BF0"/>
    <w:numStyleLink w:val="Listformatnumreradelistor"/>
  </w:abstractNum>
  <w:abstractNum w:abstractNumId="14" w15:restartNumberingAfterBreak="0">
    <w:nsid w:val="30DB7B8A"/>
    <w:multiLevelType w:val="hybridMultilevel"/>
    <w:tmpl w:val="05AACD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32C1E76"/>
    <w:multiLevelType w:val="multilevel"/>
    <w:tmpl w:val="1480C51E"/>
    <w:numStyleLink w:val="Listformatnumreraderubriker"/>
  </w:abstractNum>
  <w:abstractNum w:abstractNumId="16" w15:restartNumberingAfterBreak="0">
    <w:nsid w:val="48A368B5"/>
    <w:multiLevelType w:val="multilevel"/>
    <w:tmpl w:val="1480C51E"/>
    <w:styleLink w:val="Listformatnumreraderubriker"/>
    <w:lvl w:ilvl="0">
      <w:start w:val="1"/>
      <w:numFmt w:val="decimal"/>
      <w:pStyle w:val="Rubrik1numrerad"/>
      <w:suff w:val="space"/>
      <w:lvlText w:val="%1  "/>
      <w:lvlJc w:val="left"/>
      <w:pPr>
        <w:ind w:left="360" w:hanging="360"/>
      </w:pPr>
      <w:rPr>
        <w:rFonts w:hint="default"/>
      </w:rPr>
    </w:lvl>
    <w:lvl w:ilvl="1">
      <w:start w:val="1"/>
      <w:numFmt w:val="decimal"/>
      <w:pStyle w:val="Rubrik2numrerad"/>
      <w:suff w:val="space"/>
      <w:lvlText w:val="%1.%2  "/>
      <w:lvlJc w:val="left"/>
      <w:pPr>
        <w:ind w:left="357" w:hanging="357"/>
      </w:pPr>
      <w:rPr>
        <w:rFonts w:hint="default"/>
      </w:rPr>
    </w:lvl>
    <w:lvl w:ilvl="2">
      <w:start w:val="1"/>
      <w:numFmt w:val="decimal"/>
      <w:pStyle w:val="Rubrik3numrerad"/>
      <w:suff w:val="space"/>
      <w:lvlText w:val="%1.%2.%3  "/>
      <w:lvlJc w:val="left"/>
      <w:pPr>
        <w:ind w:left="357" w:hanging="357"/>
      </w:pPr>
      <w:rPr>
        <w:rFonts w:hint="default"/>
      </w:rPr>
    </w:lvl>
    <w:lvl w:ilvl="3">
      <w:start w:val="1"/>
      <w:numFmt w:val="decimal"/>
      <w:pStyle w:val="Rubrik4numrerad"/>
      <w:suff w:val="space"/>
      <w:lvlText w:val="%1.%2.%3.%4  "/>
      <w:lvlJc w:val="left"/>
      <w:pPr>
        <w:ind w:left="357"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2521C75"/>
    <w:multiLevelType w:val="multilevel"/>
    <w:tmpl w:val="1DC2DE82"/>
    <w:styleLink w:val="SUListor"/>
    <w:lvl w:ilvl="0">
      <w:start w:val="1"/>
      <w:numFmt w:val="decimal"/>
      <w:lvlText w:val="%1."/>
      <w:lvlJc w:val="left"/>
      <w:pPr>
        <w:tabs>
          <w:tab w:val="num" w:pos="357"/>
        </w:tabs>
        <w:ind w:left="360" w:hanging="360"/>
      </w:pPr>
      <w:rPr>
        <w:rFonts w:hint="default"/>
      </w:rPr>
    </w:lvl>
    <w:lvl w:ilvl="1">
      <w:start w:val="1"/>
      <w:numFmt w:val="bullet"/>
      <w:lvlText w:val=""/>
      <w:lvlJc w:val="left"/>
      <w:pPr>
        <w:tabs>
          <w:tab w:val="num" w:pos="357"/>
        </w:tabs>
        <w:ind w:left="357" w:hanging="357"/>
      </w:pPr>
      <w:rPr>
        <w:rFonts w:ascii="Symbol" w:hAnsi="Symbol" w:hint="default"/>
        <w:color w:val="auto"/>
      </w:rPr>
    </w:lvl>
    <w:lvl w:ilvl="2">
      <w:start w:val="1"/>
      <w:numFmt w:val="decimal"/>
      <w:lvlRestart w:val="0"/>
      <w:lvlText w:val="§   %3"/>
      <w:lvlJc w:val="left"/>
      <w:pPr>
        <w:tabs>
          <w:tab w:val="num" w:pos="794"/>
        </w:tabs>
        <w:ind w:left="794" w:hanging="794"/>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7"/>
  </w:num>
  <w:num w:numId="2">
    <w:abstractNumId w:val="10"/>
  </w:num>
  <w:num w:numId="3">
    <w:abstractNumId w:val="2"/>
  </w:num>
  <w:num w:numId="4">
    <w:abstractNumId w:val="3"/>
  </w:num>
  <w:num w:numId="5">
    <w:abstractNumId w:val="7"/>
  </w:num>
  <w:num w:numId="6">
    <w:abstractNumId w:val="8"/>
  </w:num>
  <w:num w:numId="7">
    <w:abstractNumId w:val="17"/>
  </w:num>
  <w:num w:numId="8">
    <w:abstractNumId w:val="17"/>
  </w:num>
  <w:num w:numId="9">
    <w:abstractNumId w:val="17"/>
  </w:num>
  <w:num w:numId="10">
    <w:abstractNumId w:val="17"/>
  </w:num>
  <w:num w:numId="11">
    <w:abstractNumId w:val="5"/>
  </w:num>
  <w:num w:numId="12">
    <w:abstractNumId w:val="16"/>
  </w:num>
  <w:num w:numId="13">
    <w:abstractNumId w:val="11"/>
  </w:num>
  <w:num w:numId="14">
    <w:abstractNumId w:val="12"/>
  </w:num>
  <w:num w:numId="15">
    <w:abstractNumId w:val="13"/>
  </w:num>
  <w:num w:numId="16">
    <w:abstractNumId w:val="9"/>
  </w:num>
  <w:num w:numId="17">
    <w:abstractNumId w:val="6"/>
  </w:num>
  <w:num w:numId="18">
    <w:abstractNumId w:val="15"/>
  </w:num>
  <w:num w:numId="19">
    <w:abstractNumId w:val="15"/>
  </w:num>
  <w:num w:numId="20">
    <w:abstractNumId w:val="15"/>
  </w:num>
  <w:num w:numId="21">
    <w:abstractNumId w:val="15"/>
  </w:num>
  <w:num w:numId="22">
    <w:abstractNumId w:val="5"/>
  </w:num>
  <w:num w:numId="23">
    <w:abstractNumId w:val="16"/>
  </w:num>
  <w:num w:numId="24">
    <w:abstractNumId w:val="11"/>
  </w:num>
  <w:num w:numId="25">
    <w:abstractNumId w:val="12"/>
  </w:num>
  <w:num w:numId="26">
    <w:abstractNumId w:val="13"/>
  </w:num>
  <w:num w:numId="27">
    <w:abstractNumId w:val="9"/>
  </w:num>
  <w:num w:numId="28">
    <w:abstractNumId w:val="6"/>
  </w:num>
  <w:num w:numId="29">
    <w:abstractNumId w:val="15"/>
  </w:num>
  <w:num w:numId="30">
    <w:abstractNumId w:val="15"/>
  </w:num>
  <w:num w:numId="31">
    <w:abstractNumId w:val="15"/>
  </w:num>
  <w:num w:numId="32">
    <w:abstractNumId w:val="15"/>
  </w:num>
  <w:num w:numId="33">
    <w:abstractNumId w:val="5"/>
  </w:num>
  <w:num w:numId="34">
    <w:abstractNumId w:val="16"/>
  </w:num>
  <w:num w:numId="35">
    <w:abstractNumId w:val="11"/>
  </w:num>
  <w:num w:numId="36">
    <w:abstractNumId w:val="12"/>
  </w:num>
  <w:num w:numId="37">
    <w:abstractNumId w:val="13"/>
  </w:num>
  <w:num w:numId="38">
    <w:abstractNumId w:val="9"/>
  </w:num>
  <w:num w:numId="39">
    <w:abstractNumId w:val="6"/>
  </w:num>
  <w:num w:numId="40">
    <w:abstractNumId w:val="15"/>
  </w:num>
  <w:num w:numId="41">
    <w:abstractNumId w:val="15"/>
  </w:num>
  <w:num w:numId="42">
    <w:abstractNumId w:val="15"/>
  </w:num>
  <w:num w:numId="43">
    <w:abstractNumId w:val="15"/>
  </w:num>
  <w:num w:numId="44">
    <w:abstractNumId w:val="1"/>
  </w:num>
  <w:num w:numId="45">
    <w:abstractNumId w:val="0"/>
  </w:num>
  <w:num w:numId="46">
    <w:abstractNumId w:val="14"/>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6BF"/>
    <w:rsid w:val="00030811"/>
    <w:rsid w:val="00143428"/>
    <w:rsid w:val="00183404"/>
    <w:rsid w:val="001A21D5"/>
    <w:rsid w:val="001A72EB"/>
    <w:rsid w:val="00317D35"/>
    <w:rsid w:val="0032599D"/>
    <w:rsid w:val="003334D7"/>
    <w:rsid w:val="0041258A"/>
    <w:rsid w:val="00451BA8"/>
    <w:rsid w:val="00460E12"/>
    <w:rsid w:val="004C26F1"/>
    <w:rsid w:val="00516BD0"/>
    <w:rsid w:val="00542AC8"/>
    <w:rsid w:val="00546568"/>
    <w:rsid w:val="005772FF"/>
    <w:rsid w:val="005A1B34"/>
    <w:rsid w:val="006876FA"/>
    <w:rsid w:val="00745125"/>
    <w:rsid w:val="00763178"/>
    <w:rsid w:val="008477C8"/>
    <w:rsid w:val="008B2BBD"/>
    <w:rsid w:val="008E0EA0"/>
    <w:rsid w:val="0093081C"/>
    <w:rsid w:val="009E408A"/>
    <w:rsid w:val="00A141ED"/>
    <w:rsid w:val="00A735C0"/>
    <w:rsid w:val="00A756A3"/>
    <w:rsid w:val="00C10E40"/>
    <w:rsid w:val="00CB6AB4"/>
    <w:rsid w:val="00CD4B38"/>
    <w:rsid w:val="00CF3875"/>
    <w:rsid w:val="00E31FB2"/>
    <w:rsid w:val="00E36E68"/>
    <w:rsid w:val="00F0035E"/>
    <w:rsid w:val="00F024EF"/>
    <w:rsid w:val="00F0715D"/>
    <w:rsid w:val="00F309F7"/>
    <w:rsid w:val="00F65005"/>
    <w:rsid w:val="00F756B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2A1AADA-11A5-4F69-9AF8-21F0EF13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60" w:line="26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56BF"/>
    <w:pPr>
      <w:spacing w:after="160" w:line="259" w:lineRule="auto"/>
    </w:pPr>
  </w:style>
  <w:style w:type="paragraph" w:styleId="Heading1">
    <w:name w:val="heading 1"/>
    <w:basedOn w:val="Normal"/>
    <w:next w:val="Normal"/>
    <w:link w:val="Heading1Char"/>
    <w:uiPriority w:val="9"/>
    <w:qFormat/>
    <w:rsid w:val="00C10E40"/>
    <w:pPr>
      <w:keepNext/>
      <w:keepLines/>
      <w:spacing w:line="340" w:lineRule="atLeast"/>
      <w:outlineLvl w:val="0"/>
    </w:pPr>
    <w:rPr>
      <w:rFonts w:asciiTheme="majorHAnsi" w:eastAsiaTheme="majorEastAsia" w:hAnsiTheme="majorHAnsi" w:cstheme="majorBidi"/>
      <w:color w:val="262626" w:themeColor="text1" w:themeTint="D9"/>
      <w:sz w:val="30"/>
      <w:szCs w:val="32"/>
    </w:rPr>
  </w:style>
  <w:style w:type="paragraph" w:styleId="Heading2">
    <w:name w:val="heading 2"/>
    <w:basedOn w:val="Normal"/>
    <w:next w:val="Normal"/>
    <w:link w:val="Heading2Char"/>
    <w:uiPriority w:val="9"/>
    <w:unhideWhenUsed/>
    <w:qFormat/>
    <w:rsid w:val="00C10E40"/>
    <w:pPr>
      <w:keepNext/>
      <w:keepLines/>
      <w:spacing w:after="140"/>
      <w:outlineLvl w:val="1"/>
    </w:pPr>
    <w:rPr>
      <w:rFonts w:asciiTheme="majorHAnsi" w:eastAsiaTheme="majorEastAsia" w:hAnsiTheme="majorHAnsi" w:cstheme="majorBidi"/>
      <w:b/>
      <w:color w:val="262626" w:themeColor="text1" w:themeTint="D9"/>
      <w:szCs w:val="28"/>
    </w:rPr>
  </w:style>
  <w:style w:type="paragraph" w:styleId="Heading3">
    <w:name w:val="heading 3"/>
    <w:basedOn w:val="Normal"/>
    <w:next w:val="Normal"/>
    <w:link w:val="Heading3Char"/>
    <w:uiPriority w:val="9"/>
    <w:qFormat/>
    <w:rsid w:val="00C10E40"/>
    <w:pPr>
      <w:keepNext/>
      <w:keepLines/>
      <w:spacing w:after="60"/>
      <w:outlineLvl w:val="2"/>
    </w:pPr>
    <w:rPr>
      <w:rFonts w:ascii="Times New Roman" w:eastAsiaTheme="majorEastAsia" w:hAnsi="Times New Roman" w:cstheme="majorBidi"/>
      <w:b/>
      <w:color w:val="262626" w:themeColor="text1" w:themeTint="D9"/>
      <w:szCs w:val="24"/>
    </w:rPr>
  </w:style>
  <w:style w:type="paragraph" w:styleId="Heading4">
    <w:name w:val="heading 4"/>
    <w:basedOn w:val="Normal"/>
    <w:next w:val="Normal"/>
    <w:link w:val="Heading4Char"/>
    <w:uiPriority w:val="9"/>
    <w:qFormat/>
    <w:rsid w:val="00C10E40"/>
    <w:pPr>
      <w:keepNext/>
      <w:keepLines/>
      <w:spacing w:after="60"/>
      <w:outlineLvl w:val="3"/>
    </w:pPr>
    <w:rPr>
      <w:rFonts w:ascii="Times New Roman" w:eastAsiaTheme="majorEastAsia" w:hAnsi="Times New Roman" w:cstheme="majorBidi"/>
      <w:b/>
      <w:i/>
      <w:iCs/>
      <w:color w:val="262626" w:themeColor="text1" w:themeTint="D9"/>
    </w:rPr>
  </w:style>
  <w:style w:type="paragraph" w:styleId="Heading5">
    <w:name w:val="heading 5"/>
    <w:basedOn w:val="Normal"/>
    <w:next w:val="Normal"/>
    <w:link w:val="Heading5Char"/>
    <w:uiPriority w:val="9"/>
    <w:semiHidden/>
    <w:qFormat/>
    <w:rsid w:val="006876FA"/>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qFormat/>
    <w:rsid w:val="006876FA"/>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qFormat/>
    <w:rsid w:val="006876FA"/>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6876F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qFormat/>
    <w:rsid w:val="006876F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E40"/>
    <w:rPr>
      <w:rFonts w:asciiTheme="majorHAnsi" w:eastAsiaTheme="majorEastAsia" w:hAnsiTheme="majorHAnsi" w:cstheme="majorBidi"/>
      <w:color w:val="262626" w:themeColor="text1" w:themeTint="D9"/>
      <w:sz w:val="30"/>
      <w:szCs w:val="32"/>
    </w:rPr>
  </w:style>
  <w:style w:type="character" w:customStyle="1" w:styleId="Heading2Char">
    <w:name w:val="Heading 2 Char"/>
    <w:basedOn w:val="DefaultParagraphFont"/>
    <w:link w:val="Heading2"/>
    <w:uiPriority w:val="9"/>
    <w:rsid w:val="00C10E40"/>
    <w:rPr>
      <w:rFonts w:asciiTheme="majorHAnsi" w:eastAsiaTheme="majorEastAsia" w:hAnsiTheme="majorHAnsi" w:cstheme="majorBidi"/>
      <w:b/>
      <w:color w:val="262626" w:themeColor="text1" w:themeTint="D9"/>
      <w:szCs w:val="28"/>
    </w:rPr>
  </w:style>
  <w:style w:type="character" w:customStyle="1" w:styleId="Heading3Char">
    <w:name w:val="Heading 3 Char"/>
    <w:basedOn w:val="DefaultParagraphFont"/>
    <w:link w:val="Heading3"/>
    <w:uiPriority w:val="9"/>
    <w:rsid w:val="00C10E40"/>
    <w:rPr>
      <w:rFonts w:ascii="Times New Roman" w:eastAsiaTheme="majorEastAsia" w:hAnsi="Times New Roman" w:cstheme="majorBidi"/>
      <w:b/>
      <w:color w:val="262626" w:themeColor="text1" w:themeTint="D9"/>
      <w:szCs w:val="24"/>
    </w:rPr>
  </w:style>
  <w:style w:type="character" w:customStyle="1" w:styleId="Heading4Char">
    <w:name w:val="Heading 4 Char"/>
    <w:basedOn w:val="DefaultParagraphFont"/>
    <w:link w:val="Heading4"/>
    <w:uiPriority w:val="9"/>
    <w:rsid w:val="00C10E40"/>
    <w:rPr>
      <w:rFonts w:ascii="Times New Roman" w:eastAsiaTheme="majorEastAsia" w:hAnsi="Times New Roman" w:cstheme="majorBidi"/>
      <w:b/>
      <w:i/>
      <w:iCs/>
      <w:color w:val="262626" w:themeColor="text1" w:themeTint="D9"/>
    </w:rPr>
  </w:style>
  <w:style w:type="character" w:customStyle="1" w:styleId="Heading5Char">
    <w:name w:val="Heading 5 Char"/>
    <w:basedOn w:val="DefaultParagraphFont"/>
    <w:link w:val="Heading5"/>
    <w:uiPriority w:val="9"/>
    <w:semiHidden/>
    <w:rsid w:val="006876FA"/>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6876FA"/>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6876F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876FA"/>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6876FA"/>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6876FA"/>
    <w:pPr>
      <w:spacing w:after="200" w:line="240" w:lineRule="auto"/>
    </w:pPr>
    <w:rPr>
      <w:i/>
      <w:iCs/>
      <w:color w:val="002F5F" w:themeColor="text2"/>
      <w:sz w:val="18"/>
      <w:szCs w:val="18"/>
    </w:rPr>
  </w:style>
  <w:style w:type="paragraph" w:styleId="Title">
    <w:name w:val="Title"/>
    <w:basedOn w:val="Normal"/>
    <w:next w:val="Normal"/>
    <w:link w:val="TitleChar"/>
    <w:uiPriority w:val="10"/>
    <w:semiHidden/>
    <w:qFormat/>
    <w:rsid w:val="006876FA"/>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semiHidden/>
    <w:rsid w:val="006876FA"/>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semiHidden/>
    <w:qFormat/>
    <w:rsid w:val="006876FA"/>
    <w:pPr>
      <w:numPr>
        <w:ilvl w:val="1"/>
      </w:numPr>
    </w:pPr>
    <w:rPr>
      <w:color w:val="5A5A5A" w:themeColor="text1" w:themeTint="A5"/>
      <w:spacing w:val="15"/>
    </w:rPr>
  </w:style>
  <w:style w:type="character" w:customStyle="1" w:styleId="SubtitleChar">
    <w:name w:val="Subtitle Char"/>
    <w:basedOn w:val="DefaultParagraphFont"/>
    <w:link w:val="Subtitle"/>
    <w:uiPriority w:val="11"/>
    <w:semiHidden/>
    <w:rsid w:val="006876FA"/>
    <w:rPr>
      <w:color w:val="5A5A5A" w:themeColor="text1" w:themeTint="A5"/>
      <w:spacing w:val="15"/>
    </w:rPr>
  </w:style>
  <w:style w:type="character" w:styleId="Strong">
    <w:name w:val="Strong"/>
    <w:basedOn w:val="DefaultParagraphFont"/>
    <w:uiPriority w:val="22"/>
    <w:semiHidden/>
    <w:qFormat/>
    <w:rsid w:val="006876FA"/>
    <w:rPr>
      <w:b/>
      <w:bCs/>
      <w:color w:val="auto"/>
    </w:rPr>
  </w:style>
  <w:style w:type="character" w:styleId="Emphasis">
    <w:name w:val="Emphasis"/>
    <w:basedOn w:val="DefaultParagraphFont"/>
    <w:uiPriority w:val="20"/>
    <w:semiHidden/>
    <w:qFormat/>
    <w:rsid w:val="006876FA"/>
    <w:rPr>
      <w:i/>
      <w:iCs/>
      <w:color w:val="auto"/>
    </w:rPr>
  </w:style>
  <w:style w:type="paragraph" w:styleId="NoSpacing">
    <w:name w:val="No Spacing"/>
    <w:uiPriority w:val="1"/>
    <w:qFormat/>
    <w:rsid w:val="006876FA"/>
    <w:pPr>
      <w:spacing w:after="0" w:line="240" w:lineRule="auto"/>
    </w:pPr>
  </w:style>
  <w:style w:type="paragraph" w:styleId="Quote">
    <w:name w:val="Quote"/>
    <w:basedOn w:val="Normal"/>
    <w:next w:val="Normal"/>
    <w:link w:val="QuoteChar"/>
    <w:uiPriority w:val="29"/>
    <w:semiHidden/>
    <w:qFormat/>
    <w:rsid w:val="006876FA"/>
    <w:pPr>
      <w:spacing w:before="200"/>
      <w:ind w:left="864" w:right="864"/>
    </w:pPr>
    <w:rPr>
      <w:i/>
      <w:iCs/>
      <w:color w:val="404040" w:themeColor="text1" w:themeTint="BF"/>
    </w:rPr>
  </w:style>
  <w:style w:type="character" w:customStyle="1" w:styleId="QuoteChar">
    <w:name w:val="Quote Char"/>
    <w:basedOn w:val="DefaultParagraphFont"/>
    <w:link w:val="Quote"/>
    <w:uiPriority w:val="29"/>
    <w:semiHidden/>
    <w:rsid w:val="006876FA"/>
    <w:rPr>
      <w:i/>
      <w:iCs/>
      <w:color w:val="404040" w:themeColor="text1" w:themeTint="BF"/>
    </w:rPr>
  </w:style>
  <w:style w:type="paragraph" w:styleId="IntenseQuote">
    <w:name w:val="Intense Quote"/>
    <w:basedOn w:val="Normal"/>
    <w:next w:val="Normal"/>
    <w:link w:val="IntenseQuoteChar"/>
    <w:uiPriority w:val="30"/>
    <w:semiHidden/>
    <w:qFormat/>
    <w:rsid w:val="006876F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6876FA"/>
    <w:rPr>
      <w:i/>
      <w:iCs/>
      <w:color w:val="404040" w:themeColor="text1" w:themeTint="BF"/>
    </w:rPr>
  </w:style>
  <w:style w:type="character" w:styleId="SubtleEmphasis">
    <w:name w:val="Subtle Emphasis"/>
    <w:basedOn w:val="DefaultParagraphFont"/>
    <w:uiPriority w:val="19"/>
    <w:semiHidden/>
    <w:qFormat/>
    <w:rsid w:val="006876FA"/>
    <w:rPr>
      <w:i/>
      <w:iCs/>
      <w:color w:val="404040" w:themeColor="text1" w:themeTint="BF"/>
    </w:rPr>
  </w:style>
  <w:style w:type="character" w:styleId="IntenseEmphasis">
    <w:name w:val="Intense Emphasis"/>
    <w:basedOn w:val="DefaultParagraphFont"/>
    <w:uiPriority w:val="21"/>
    <w:semiHidden/>
    <w:qFormat/>
    <w:rsid w:val="006876FA"/>
    <w:rPr>
      <w:b/>
      <w:bCs/>
      <w:i/>
      <w:iCs/>
      <w:color w:val="auto"/>
    </w:rPr>
  </w:style>
  <w:style w:type="character" w:styleId="SubtleReference">
    <w:name w:val="Subtle Reference"/>
    <w:basedOn w:val="DefaultParagraphFont"/>
    <w:uiPriority w:val="31"/>
    <w:semiHidden/>
    <w:qFormat/>
    <w:rsid w:val="006876FA"/>
    <w:rPr>
      <w:smallCaps/>
      <w:color w:val="404040" w:themeColor="text1" w:themeTint="BF"/>
    </w:rPr>
  </w:style>
  <w:style w:type="character" w:styleId="IntenseReference">
    <w:name w:val="Intense Reference"/>
    <w:basedOn w:val="DefaultParagraphFont"/>
    <w:uiPriority w:val="32"/>
    <w:semiHidden/>
    <w:qFormat/>
    <w:rsid w:val="006876FA"/>
    <w:rPr>
      <w:b/>
      <w:bCs/>
      <w:smallCaps/>
      <w:color w:val="404040" w:themeColor="text1" w:themeTint="BF"/>
      <w:spacing w:val="5"/>
    </w:rPr>
  </w:style>
  <w:style w:type="character" w:styleId="BookTitle">
    <w:name w:val="Book Title"/>
    <w:basedOn w:val="DefaultParagraphFont"/>
    <w:uiPriority w:val="33"/>
    <w:semiHidden/>
    <w:qFormat/>
    <w:rsid w:val="006876FA"/>
    <w:rPr>
      <w:b/>
      <w:bCs/>
      <w:i/>
      <w:iCs/>
      <w:spacing w:val="5"/>
    </w:rPr>
  </w:style>
  <w:style w:type="paragraph" w:styleId="TOCHeading">
    <w:name w:val="TOC Heading"/>
    <w:basedOn w:val="Heading1"/>
    <w:next w:val="Normal"/>
    <w:uiPriority w:val="39"/>
    <w:unhideWhenUsed/>
    <w:qFormat/>
    <w:rsid w:val="00C10E40"/>
    <w:pPr>
      <w:outlineLvl w:val="9"/>
    </w:pPr>
  </w:style>
  <w:style w:type="paragraph" w:styleId="Header">
    <w:name w:val="header"/>
    <w:basedOn w:val="Normal"/>
    <w:link w:val="HeaderChar"/>
    <w:uiPriority w:val="99"/>
    <w:unhideWhenUsed/>
    <w:rsid w:val="006876FA"/>
    <w:pPr>
      <w:tabs>
        <w:tab w:val="left" w:pos="4139"/>
        <w:tab w:val="left" w:pos="6010"/>
        <w:tab w:val="right" w:pos="9072"/>
      </w:tabs>
      <w:spacing w:after="0" w:line="240" w:lineRule="auto"/>
    </w:pPr>
  </w:style>
  <w:style w:type="character" w:customStyle="1" w:styleId="HeaderChar">
    <w:name w:val="Header Char"/>
    <w:basedOn w:val="DefaultParagraphFont"/>
    <w:link w:val="Header"/>
    <w:uiPriority w:val="99"/>
    <w:rsid w:val="006876FA"/>
  </w:style>
  <w:style w:type="paragraph" w:styleId="Footer">
    <w:name w:val="footer"/>
    <w:basedOn w:val="Normal"/>
    <w:link w:val="FooterChar"/>
    <w:uiPriority w:val="99"/>
    <w:unhideWhenUsed/>
    <w:rsid w:val="006876FA"/>
    <w:pPr>
      <w:tabs>
        <w:tab w:val="center" w:pos="4536"/>
        <w:tab w:val="right" w:pos="9072"/>
      </w:tabs>
      <w:spacing w:after="0" w:line="240" w:lineRule="auto"/>
    </w:pPr>
    <w:rPr>
      <w:sz w:val="16"/>
    </w:rPr>
  </w:style>
  <w:style w:type="character" w:customStyle="1" w:styleId="FooterChar">
    <w:name w:val="Footer Char"/>
    <w:basedOn w:val="DefaultParagraphFont"/>
    <w:link w:val="Footer"/>
    <w:uiPriority w:val="99"/>
    <w:rsid w:val="006876FA"/>
    <w:rPr>
      <w:sz w:val="16"/>
    </w:rPr>
  </w:style>
  <w:style w:type="numbering" w:customStyle="1" w:styleId="SUListor">
    <w:name w:val="SU Listor"/>
    <w:uiPriority w:val="99"/>
    <w:rsid w:val="006876FA"/>
    <w:pPr>
      <w:numPr>
        <w:numId w:val="1"/>
      </w:numPr>
    </w:pPr>
  </w:style>
  <w:style w:type="paragraph" w:styleId="ListNumber">
    <w:name w:val="List Number"/>
    <w:basedOn w:val="Normal"/>
    <w:uiPriority w:val="11"/>
    <w:qFormat/>
    <w:rsid w:val="00C10E40"/>
    <w:pPr>
      <w:numPr>
        <w:numId w:val="37"/>
      </w:numPr>
      <w:contextualSpacing/>
    </w:pPr>
    <w:rPr>
      <w:rFonts w:eastAsiaTheme="minorEastAsia"/>
    </w:rPr>
  </w:style>
  <w:style w:type="paragraph" w:styleId="ListBullet">
    <w:name w:val="List Bullet"/>
    <w:basedOn w:val="Normal"/>
    <w:uiPriority w:val="11"/>
    <w:qFormat/>
    <w:rsid w:val="00C10E40"/>
    <w:pPr>
      <w:numPr>
        <w:numId w:val="39"/>
      </w:numPr>
      <w:contextualSpacing/>
    </w:pPr>
    <w:rPr>
      <w:rFonts w:eastAsiaTheme="minorEastAsia"/>
    </w:rPr>
  </w:style>
  <w:style w:type="paragraph" w:customStyle="1" w:styleId="Paragraflista">
    <w:name w:val="Paragraflista"/>
    <w:basedOn w:val="Heading2"/>
    <w:next w:val="Paragraftext"/>
    <w:uiPriority w:val="1"/>
    <w:rsid w:val="00C10E40"/>
    <w:pPr>
      <w:numPr>
        <w:numId w:val="38"/>
      </w:numPr>
    </w:pPr>
  </w:style>
  <w:style w:type="table" w:styleId="TableGrid">
    <w:name w:val="Table Grid"/>
    <w:basedOn w:val="TableNormal"/>
    <w:uiPriority w:val="39"/>
    <w:rsid w:val="00CD4B38"/>
    <w:pPr>
      <w:spacing w:after="0"/>
    </w:pPr>
    <w:rPr>
      <w:rFonts w:ascii="Verdana" w:hAnsi="Verdana"/>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styleId="PlainTable3">
    <w:name w:val="Plain Table 3"/>
    <w:basedOn w:val="TableNormal"/>
    <w:uiPriority w:val="43"/>
    <w:rsid w:val="006876F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6876FA"/>
    <w:rPr>
      <w:color w:val="808080"/>
    </w:rPr>
  </w:style>
  <w:style w:type="paragraph" w:customStyle="1" w:styleId="Institutionsnamn">
    <w:name w:val="Institutionsnamn"/>
    <w:basedOn w:val="Normal"/>
    <w:uiPriority w:val="17"/>
    <w:semiHidden/>
    <w:rsid w:val="00A735C0"/>
    <w:pPr>
      <w:spacing w:after="20" w:line="240" w:lineRule="auto"/>
    </w:pPr>
    <w:rPr>
      <w:rFonts w:ascii="Georgia" w:eastAsiaTheme="minorEastAsia" w:hAnsi="Georgia"/>
      <w:color w:val="002F5F"/>
      <w:sz w:val="26"/>
    </w:rPr>
  </w:style>
  <w:style w:type="paragraph" w:customStyle="1" w:styleId="Paragraftext">
    <w:name w:val="Paragraftext"/>
    <w:basedOn w:val="Normal"/>
    <w:uiPriority w:val="1"/>
    <w:rsid w:val="00C10E40"/>
    <w:pPr>
      <w:ind w:left="794"/>
    </w:pPr>
    <w:rPr>
      <w:rFonts w:eastAsiaTheme="minorEastAsia"/>
    </w:rPr>
  </w:style>
  <w:style w:type="paragraph" w:styleId="TOC1">
    <w:name w:val="toc 1"/>
    <w:basedOn w:val="Normal"/>
    <w:next w:val="Normal"/>
    <w:autoRedefine/>
    <w:uiPriority w:val="39"/>
    <w:unhideWhenUsed/>
    <w:rsid w:val="00C10E40"/>
    <w:pPr>
      <w:tabs>
        <w:tab w:val="right" w:leader="dot" w:pos="8323"/>
      </w:tabs>
      <w:spacing w:after="40"/>
    </w:pPr>
    <w:rPr>
      <w:rFonts w:ascii="Verdana" w:eastAsiaTheme="minorEastAsia" w:hAnsi="Verdana"/>
      <w:b/>
    </w:rPr>
  </w:style>
  <w:style w:type="paragraph" w:styleId="TOC2">
    <w:name w:val="toc 2"/>
    <w:basedOn w:val="Normal"/>
    <w:next w:val="Normal"/>
    <w:autoRedefine/>
    <w:uiPriority w:val="39"/>
    <w:unhideWhenUsed/>
    <w:rsid w:val="00C10E40"/>
    <w:pPr>
      <w:tabs>
        <w:tab w:val="right" w:leader="dot" w:pos="8323"/>
      </w:tabs>
      <w:spacing w:after="100"/>
    </w:pPr>
    <w:rPr>
      <w:rFonts w:ascii="Verdana" w:eastAsiaTheme="minorEastAsia" w:hAnsi="Verdana"/>
      <w:sz w:val="18"/>
    </w:rPr>
  </w:style>
  <w:style w:type="paragraph" w:styleId="TOC3">
    <w:name w:val="toc 3"/>
    <w:basedOn w:val="Normal"/>
    <w:next w:val="Normal"/>
    <w:autoRedefine/>
    <w:uiPriority w:val="39"/>
    <w:semiHidden/>
    <w:rsid w:val="00C10E40"/>
    <w:pPr>
      <w:spacing w:after="100"/>
      <w:ind w:left="440"/>
    </w:pPr>
    <w:rPr>
      <w:rFonts w:eastAsiaTheme="minorEastAsia"/>
    </w:rPr>
  </w:style>
  <w:style w:type="numbering" w:customStyle="1" w:styleId="Listformatnumreradelistor">
    <w:name w:val="Listformat numrerade listor"/>
    <w:uiPriority w:val="99"/>
    <w:rsid w:val="00C10E40"/>
    <w:pPr>
      <w:numPr>
        <w:numId w:val="11"/>
      </w:numPr>
    </w:pPr>
  </w:style>
  <w:style w:type="numbering" w:customStyle="1" w:styleId="Listformatnumreraderubriker">
    <w:name w:val="Listformat numrerade rubriker"/>
    <w:uiPriority w:val="99"/>
    <w:rsid w:val="00C10E40"/>
    <w:pPr>
      <w:numPr>
        <w:numId w:val="12"/>
      </w:numPr>
    </w:pPr>
  </w:style>
  <w:style w:type="numbering" w:customStyle="1" w:styleId="Listformatparagraflistor">
    <w:name w:val="Listformat paragraflistor"/>
    <w:uiPriority w:val="99"/>
    <w:rsid w:val="00C10E40"/>
    <w:pPr>
      <w:numPr>
        <w:numId w:val="13"/>
      </w:numPr>
    </w:pPr>
  </w:style>
  <w:style w:type="numbering" w:customStyle="1" w:styleId="Listformatpunktlistor">
    <w:name w:val="Listformat punktlistor"/>
    <w:uiPriority w:val="99"/>
    <w:rsid w:val="00C10E40"/>
    <w:pPr>
      <w:numPr>
        <w:numId w:val="14"/>
      </w:numPr>
    </w:pPr>
  </w:style>
  <w:style w:type="paragraph" w:styleId="ListParagraph">
    <w:name w:val="List Paragraph"/>
    <w:basedOn w:val="Normal"/>
    <w:uiPriority w:val="34"/>
    <w:qFormat/>
    <w:rsid w:val="00C10E40"/>
    <w:pPr>
      <w:ind w:left="720"/>
      <w:contextualSpacing/>
    </w:pPr>
    <w:rPr>
      <w:rFonts w:eastAsiaTheme="minorEastAsia"/>
    </w:rPr>
  </w:style>
  <w:style w:type="paragraph" w:customStyle="1" w:styleId="Rubrik1numrerad">
    <w:name w:val="Rubrik 1 numrerad"/>
    <w:basedOn w:val="Heading1"/>
    <w:next w:val="Normal"/>
    <w:uiPriority w:val="10"/>
    <w:qFormat/>
    <w:rsid w:val="00C10E40"/>
    <w:pPr>
      <w:numPr>
        <w:numId w:val="43"/>
      </w:numPr>
    </w:pPr>
  </w:style>
  <w:style w:type="paragraph" w:customStyle="1" w:styleId="Rubrik2numrerad">
    <w:name w:val="Rubrik 2 numrerad"/>
    <w:basedOn w:val="Heading2"/>
    <w:next w:val="Normal"/>
    <w:uiPriority w:val="10"/>
    <w:qFormat/>
    <w:rsid w:val="00C10E40"/>
    <w:pPr>
      <w:numPr>
        <w:ilvl w:val="1"/>
        <w:numId w:val="43"/>
      </w:numPr>
    </w:pPr>
  </w:style>
  <w:style w:type="paragraph" w:customStyle="1" w:styleId="Rubrik3numrerad">
    <w:name w:val="Rubrik 3 numrerad"/>
    <w:basedOn w:val="Heading3"/>
    <w:next w:val="Normal"/>
    <w:uiPriority w:val="10"/>
    <w:qFormat/>
    <w:rsid w:val="00C10E40"/>
    <w:pPr>
      <w:numPr>
        <w:ilvl w:val="2"/>
        <w:numId w:val="43"/>
      </w:numPr>
    </w:pPr>
  </w:style>
  <w:style w:type="paragraph" w:customStyle="1" w:styleId="Rubrik4numrerad">
    <w:name w:val="Rubrik 4 numrerad"/>
    <w:basedOn w:val="Heading4"/>
    <w:next w:val="Normal"/>
    <w:uiPriority w:val="10"/>
    <w:qFormat/>
    <w:rsid w:val="00C10E40"/>
    <w:pPr>
      <w:numPr>
        <w:ilvl w:val="3"/>
        <w:numId w:val="43"/>
      </w:numPr>
    </w:pPr>
  </w:style>
  <w:style w:type="paragraph" w:customStyle="1" w:styleId="Bildtext">
    <w:name w:val="Bildtext"/>
    <w:basedOn w:val="Normal"/>
    <w:next w:val="Normal"/>
    <w:uiPriority w:val="12"/>
    <w:qFormat/>
    <w:rsid w:val="00460E12"/>
    <w:rPr>
      <w:rFonts w:eastAsiaTheme="minorEastAsia"/>
      <w:i/>
      <w:sz w:val="20"/>
    </w:rPr>
  </w:style>
  <w:style w:type="paragraph" w:styleId="ListBullet2">
    <w:name w:val="List Bullet 2"/>
    <w:basedOn w:val="Normal"/>
    <w:uiPriority w:val="99"/>
    <w:semiHidden/>
    <w:unhideWhenUsed/>
    <w:rsid w:val="00CD4B38"/>
    <w:pPr>
      <w:numPr>
        <w:numId w:val="44"/>
      </w:numPr>
      <w:contextualSpacing/>
    </w:pPr>
  </w:style>
  <w:style w:type="paragraph" w:styleId="ListBullet3">
    <w:name w:val="List Bullet 3"/>
    <w:basedOn w:val="Normal"/>
    <w:uiPriority w:val="99"/>
    <w:semiHidden/>
    <w:unhideWhenUsed/>
    <w:rsid w:val="00CD4B38"/>
    <w:pPr>
      <w:numPr>
        <w:numId w:val="4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Stockholms Universitet">
      <a:dk1>
        <a:srgbClr val="000000"/>
      </a:dk1>
      <a:lt1>
        <a:srgbClr val="FFFFFF"/>
      </a:lt1>
      <a:dk2>
        <a:srgbClr val="002F5F"/>
      </a:dk2>
      <a:lt2>
        <a:srgbClr val="808080"/>
      </a:lt2>
      <a:accent1>
        <a:srgbClr val="A3A86B"/>
      </a:accent1>
      <a:accent2>
        <a:srgbClr val="ACDEE6"/>
      </a:accent2>
      <a:accent3>
        <a:srgbClr val="9BB2CE"/>
      </a:accent3>
      <a:accent4>
        <a:srgbClr val="D95E00"/>
      </a:accent4>
      <a:accent5>
        <a:srgbClr val="DADCC3"/>
      </a:accent5>
      <a:accent6>
        <a:srgbClr val="FF9B4F"/>
      </a:accent6>
      <a:hlink>
        <a:srgbClr val="0000FF"/>
      </a:hlink>
      <a:folHlink>
        <a:srgbClr val="800080"/>
      </a:folHlink>
    </a:clrScheme>
    <a:fontScheme name="Stockholms Universitet">
      <a:majorFont>
        <a:latin typeface="Verdana"/>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1330</Words>
  <Characters>7582</Characters>
  <Application>Microsoft Office Word</Application>
  <DocSecurity>4</DocSecurity>
  <Lines>63</Lines>
  <Paragraphs>17</Paragraphs>
  <ScaleCrop>false</ScaleCrop>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Ebbesson</dc:creator>
  <cp:keywords/>
  <dc:description/>
  <cp:lastModifiedBy>Fiona Marshall</cp:lastModifiedBy>
  <cp:revision>2</cp:revision>
  <dcterms:created xsi:type="dcterms:W3CDTF">2020-08-02T15:30:00Z</dcterms:created>
  <dcterms:modified xsi:type="dcterms:W3CDTF">2020-08-02T15:30:00Z</dcterms:modified>
</cp:coreProperties>
</file>