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157C" w14:textId="79F469C0" w:rsidR="0095203B" w:rsidRPr="00A9211F" w:rsidRDefault="0095203B" w:rsidP="00EA5C8B">
      <w:pPr>
        <w:pStyle w:val="Header"/>
        <w:tabs>
          <w:tab w:val="left" w:pos="1701"/>
        </w:tabs>
        <w:jc w:val="right"/>
        <w:rPr>
          <w:rFonts w:asciiTheme="majorBidi" w:hAnsiTheme="majorBidi" w:cstheme="majorBidi"/>
          <w:b w:val="0"/>
        </w:rPr>
      </w:pPr>
      <w:r w:rsidRPr="00A9211F">
        <w:rPr>
          <w:rFonts w:asciiTheme="majorBidi" w:hAnsiTheme="majorBidi" w:cstheme="majorBidi"/>
          <w:b w:val="0"/>
        </w:rPr>
        <w:t>ACCC/C/2016/141 (Ireland)</w:t>
      </w:r>
    </w:p>
    <w:p w14:paraId="37D2192A" w14:textId="7CFBF79D" w:rsidR="0095203B" w:rsidRPr="00A9211F" w:rsidRDefault="00CB4772" w:rsidP="00EA5C8B">
      <w:pPr>
        <w:pStyle w:val="Header"/>
        <w:tabs>
          <w:tab w:val="left" w:pos="1701"/>
        </w:tabs>
        <w:jc w:val="right"/>
        <w:rPr>
          <w:rFonts w:asciiTheme="majorBidi" w:hAnsiTheme="majorBidi" w:cstheme="majorBidi"/>
          <w:b w:val="0"/>
        </w:rPr>
      </w:pPr>
      <w:r w:rsidRPr="00A9211F">
        <w:rPr>
          <w:rFonts w:asciiTheme="majorBidi" w:hAnsiTheme="majorBidi" w:cstheme="majorBidi"/>
          <w:b w:val="0"/>
        </w:rPr>
        <w:t xml:space="preserve">Draft </w:t>
      </w:r>
      <w:r w:rsidR="000D66DD" w:rsidRPr="00A9211F">
        <w:rPr>
          <w:rFonts w:asciiTheme="majorBidi" w:hAnsiTheme="majorBidi" w:cstheme="majorBidi"/>
          <w:b w:val="0"/>
        </w:rPr>
        <w:t>f</w:t>
      </w:r>
      <w:r w:rsidRPr="00A9211F">
        <w:rPr>
          <w:rFonts w:asciiTheme="majorBidi" w:hAnsiTheme="majorBidi" w:cstheme="majorBidi"/>
          <w:b w:val="0"/>
        </w:rPr>
        <w:t>indings</w:t>
      </w:r>
      <w:r w:rsidR="000D66DD" w:rsidRPr="00A9211F">
        <w:rPr>
          <w:rFonts w:asciiTheme="majorBidi" w:hAnsiTheme="majorBidi" w:cstheme="majorBidi"/>
          <w:b w:val="0"/>
        </w:rPr>
        <w:t xml:space="preserve"> </w:t>
      </w:r>
    </w:p>
    <w:p w14:paraId="1237CF5D" w14:textId="1798796D" w:rsidR="00215001" w:rsidRPr="00A9211F" w:rsidRDefault="0022415E" w:rsidP="00EA5C8B">
      <w:pPr>
        <w:tabs>
          <w:tab w:val="left" w:pos="1701"/>
        </w:tabs>
        <w:spacing w:before="360" w:after="240"/>
        <w:ind w:left="1138"/>
        <w:jc w:val="center"/>
        <w:rPr>
          <w:rFonts w:asciiTheme="majorBidi" w:hAnsiTheme="majorBidi" w:cstheme="majorBidi"/>
          <w:b/>
          <w:sz w:val="28"/>
        </w:rPr>
      </w:pPr>
      <w:r w:rsidRPr="00A9211F">
        <w:rPr>
          <w:rFonts w:asciiTheme="majorBidi" w:hAnsiTheme="majorBidi" w:cstheme="majorBidi"/>
          <w:b/>
          <w:sz w:val="28"/>
        </w:rPr>
        <w:t xml:space="preserve">Draft </w:t>
      </w:r>
      <w:r w:rsidR="00DD7B43" w:rsidRPr="00A9211F">
        <w:rPr>
          <w:rFonts w:asciiTheme="majorBidi" w:hAnsiTheme="majorBidi" w:cstheme="majorBidi"/>
          <w:b/>
          <w:sz w:val="28"/>
        </w:rPr>
        <w:t xml:space="preserve">findings and recommendations with regard to communication </w:t>
      </w:r>
      <w:r w:rsidR="00215001" w:rsidRPr="00A9211F">
        <w:rPr>
          <w:rFonts w:asciiTheme="majorBidi" w:hAnsiTheme="majorBidi" w:cstheme="majorBidi"/>
          <w:b/>
          <w:sz w:val="28"/>
        </w:rPr>
        <w:t>ACCC/C/2016/141</w:t>
      </w:r>
      <w:r w:rsidR="00DD7B43" w:rsidRPr="00A9211F">
        <w:rPr>
          <w:rFonts w:asciiTheme="majorBidi" w:hAnsiTheme="majorBidi" w:cstheme="majorBidi"/>
          <w:b/>
          <w:sz w:val="28"/>
        </w:rPr>
        <w:t xml:space="preserve"> concerning compliance by Ireland</w:t>
      </w:r>
    </w:p>
    <w:p w14:paraId="5AB758B8" w14:textId="2B752FD4" w:rsidR="00DD7B43" w:rsidRPr="00A9211F" w:rsidRDefault="00DD7B43" w:rsidP="00EA5C8B">
      <w:pPr>
        <w:tabs>
          <w:tab w:val="left" w:pos="1701"/>
        </w:tabs>
        <w:spacing w:before="360" w:after="240"/>
        <w:ind w:left="1138"/>
        <w:jc w:val="center"/>
        <w:outlineLvl w:val="0"/>
        <w:rPr>
          <w:rFonts w:asciiTheme="majorBidi" w:hAnsiTheme="majorBidi" w:cstheme="majorBidi"/>
          <w:b/>
        </w:rPr>
      </w:pPr>
      <w:r w:rsidRPr="00A9211F">
        <w:rPr>
          <w:rFonts w:asciiTheme="majorBidi" w:hAnsiTheme="majorBidi" w:cstheme="majorBidi"/>
          <w:b/>
        </w:rPr>
        <w:t>Adopted by the Compliance Committee on</w:t>
      </w:r>
      <w:r w:rsidR="0095203B" w:rsidRPr="00A9211F">
        <w:rPr>
          <w:rFonts w:asciiTheme="majorBidi" w:hAnsiTheme="majorBidi" w:cstheme="majorBidi"/>
          <w:b/>
        </w:rPr>
        <w:t xml:space="preserve"> …</w:t>
      </w:r>
    </w:p>
    <w:p w14:paraId="364BFBF1" w14:textId="5D0E366C" w:rsidR="00DD7B43" w:rsidRPr="00A9211F" w:rsidRDefault="00DD7B43" w:rsidP="00EA5C8B">
      <w:pPr>
        <w:pStyle w:val="ListParagraph"/>
        <w:numPr>
          <w:ilvl w:val="0"/>
          <w:numId w:val="5"/>
        </w:numPr>
        <w:tabs>
          <w:tab w:val="left" w:pos="1701"/>
        </w:tabs>
        <w:spacing w:before="360" w:after="240"/>
        <w:ind w:left="1217" w:hanging="540"/>
        <w:rPr>
          <w:rFonts w:asciiTheme="majorBidi" w:hAnsiTheme="majorBidi" w:cstheme="majorBidi"/>
          <w:b/>
          <w:sz w:val="28"/>
          <w:lang w:val="en-GB"/>
        </w:rPr>
      </w:pPr>
      <w:r w:rsidRPr="00A9211F">
        <w:rPr>
          <w:rFonts w:asciiTheme="majorBidi" w:hAnsiTheme="majorBidi" w:cstheme="majorBidi"/>
          <w:b/>
          <w:sz w:val="28"/>
          <w:lang w:val="en-GB"/>
        </w:rPr>
        <w:t>Introduction</w:t>
      </w:r>
    </w:p>
    <w:p w14:paraId="054AA3EE" w14:textId="77777777" w:rsidR="00DF146C" w:rsidRPr="00A9211F" w:rsidRDefault="00DF146C" w:rsidP="00EA5C8B">
      <w:pPr>
        <w:pStyle w:val="ListParagraph"/>
        <w:tabs>
          <w:tab w:val="left" w:pos="1701"/>
        </w:tabs>
        <w:spacing w:before="360" w:after="240"/>
        <w:ind w:left="1217"/>
        <w:rPr>
          <w:rFonts w:asciiTheme="majorBidi" w:hAnsiTheme="majorBidi" w:cstheme="majorBidi"/>
          <w:b/>
          <w:sz w:val="28"/>
          <w:lang w:val="en-GB"/>
        </w:rPr>
      </w:pPr>
    </w:p>
    <w:p w14:paraId="4870FC8A" w14:textId="695736B2"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0" w:name="_Hlk12518434"/>
      <w:r w:rsidRPr="00A9211F">
        <w:rPr>
          <w:rFonts w:asciiTheme="majorBidi" w:hAnsiTheme="majorBidi" w:cstheme="majorBidi"/>
          <w:sz w:val="20"/>
          <w:szCs w:val="20"/>
          <w:lang w:val="en-GB"/>
        </w:rPr>
        <w:t>On 19 August 2016, a non-governmental organization, Right to Know, (the communicant) submitted a communication to the Committee under the Convention on Access to Information, Public Participation in Decision-making and Access to Justice in Environmental Matters (Aarhus Convention) alleging a failure by Ireland to comply with its obligations under articles 3, 4 and 9 of the Convention with respect to requests for access to environmental information and review mechanisms therefor.</w:t>
      </w:r>
    </w:p>
    <w:bookmarkEnd w:id="0"/>
    <w:p w14:paraId="31952176"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413171DA"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At its fifty-fourth meeting (27-30 September 2016), the Committee determined on a preliminary basis that the communication was admissible.</w:t>
      </w:r>
    </w:p>
    <w:p w14:paraId="20E984B3"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39948BF6"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Pursuant to paragraph 22 of the annex to decision I/7 of the Meeting of the Parties to the Convention, the communication was forwarded to the Party concerned on 6 December 2016 with a deadline for its response of 6 May 2017. </w:t>
      </w:r>
    </w:p>
    <w:p w14:paraId="12CA3A68"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732F59AE"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color w:val="000000" w:themeColor="text1"/>
          <w:sz w:val="20"/>
          <w:szCs w:val="20"/>
          <w:lang w:val="en-GB"/>
        </w:rPr>
      </w:pPr>
      <w:r w:rsidRPr="00A9211F">
        <w:rPr>
          <w:rFonts w:asciiTheme="majorBidi" w:hAnsiTheme="majorBidi" w:cstheme="majorBidi"/>
          <w:color w:val="000000" w:themeColor="text1"/>
          <w:sz w:val="20"/>
          <w:szCs w:val="20"/>
          <w:lang w:val="en-GB"/>
        </w:rPr>
        <w:t>On 5 May 2017, the Party concerned provided its response to the communication.</w:t>
      </w:r>
    </w:p>
    <w:p w14:paraId="7A90675C" w14:textId="77777777" w:rsidR="0018721E" w:rsidRPr="00A9211F" w:rsidRDefault="0018721E" w:rsidP="00EA5C8B">
      <w:pPr>
        <w:tabs>
          <w:tab w:val="left" w:pos="1701"/>
        </w:tabs>
        <w:jc w:val="both"/>
        <w:rPr>
          <w:rFonts w:asciiTheme="majorBidi" w:hAnsiTheme="majorBidi" w:cstheme="majorBidi"/>
          <w:color w:val="000000" w:themeColor="text1"/>
          <w:sz w:val="20"/>
          <w:szCs w:val="20"/>
        </w:rPr>
      </w:pPr>
    </w:p>
    <w:p w14:paraId="10DA3E11" w14:textId="60E2AEE0"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color w:val="000000" w:themeColor="text1"/>
          <w:sz w:val="20"/>
          <w:szCs w:val="20"/>
          <w:lang w:val="en-GB"/>
        </w:rPr>
      </w:pPr>
      <w:r w:rsidRPr="00A9211F">
        <w:rPr>
          <w:rFonts w:asciiTheme="majorBidi" w:hAnsiTheme="majorBidi" w:cstheme="majorBidi"/>
          <w:color w:val="000000" w:themeColor="text1"/>
          <w:sz w:val="20"/>
          <w:szCs w:val="20"/>
          <w:lang w:val="en-GB"/>
        </w:rPr>
        <w:t>On 18 and 27 October 2017, respectively, the Environmental Pillar, a network of Irish environmental non-governmental organizations, and Mr. Minch, a member of the public, submitted statements</w:t>
      </w:r>
      <w:r w:rsidR="002C08C3" w:rsidRPr="00A9211F">
        <w:rPr>
          <w:rFonts w:asciiTheme="majorBidi" w:hAnsiTheme="majorBidi" w:cstheme="majorBidi"/>
          <w:color w:val="000000" w:themeColor="text1"/>
          <w:sz w:val="20"/>
          <w:szCs w:val="20"/>
          <w:lang w:val="en-GB"/>
        </w:rPr>
        <w:t xml:space="preserve"> as observers</w:t>
      </w:r>
      <w:r w:rsidRPr="00A9211F">
        <w:rPr>
          <w:rFonts w:asciiTheme="majorBidi" w:hAnsiTheme="majorBidi" w:cstheme="majorBidi"/>
          <w:color w:val="000000" w:themeColor="text1"/>
          <w:sz w:val="20"/>
          <w:szCs w:val="20"/>
          <w:lang w:val="en-GB"/>
        </w:rPr>
        <w:t>.</w:t>
      </w:r>
    </w:p>
    <w:p w14:paraId="1F8BDF94" w14:textId="77777777" w:rsidR="0018721E" w:rsidRPr="00A9211F" w:rsidRDefault="0018721E" w:rsidP="00EA5C8B">
      <w:pPr>
        <w:pStyle w:val="ListParagraph"/>
        <w:rPr>
          <w:rFonts w:asciiTheme="majorBidi" w:hAnsiTheme="majorBidi" w:cstheme="majorBidi"/>
          <w:color w:val="000000" w:themeColor="text1"/>
          <w:sz w:val="20"/>
          <w:lang w:val="en-GB"/>
        </w:rPr>
      </w:pPr>
    </w:p>
    <w:p w14:paraId="540CFC98"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color w:val="000000" w:themeColor="text1"/>
          <w:sz w:val="20"/>
          <w:szCs w:val="20"/>
          <w:lang w:val="en-GB"/>
        </w:rPr>
      </w:pPr>
      <w:r w:rsidRPr="00A9211F">
        <w:rPr>
          <w:rFonts w:asciiTheme="majorBidi" w:hAnsiTheme="majorBidi" w:cstheme="majorBidi"/>
          <w:color w:val="000000" w:themeColor="text1"/>
          <w:sz w:val="20"/>
          <w:szCs w:val="20"/>
          <w:lang w:val="en-GB"/>
        </w:rPr>
        <w:t>On 24 October 2018, the Party concerned submitted additional information.</w:t>
      </w:r>
    </w:p>
    <w:p w14:paraId="1143262B" w14:textId="77777777" w:rsidR="0018721E" w:rsidRPr="00A9211F" w:rsidRDefault="0018721E" w:rsidP="00EA5C8B">
      <w:pPr>
        <w:tabs>
          <w:tab w:val="left" w:pos="1701"/>
        </w:tabs>
        <w:rPr>
          <w:rFonts w:asciiTheme="majorBidi" w:hAnsiTheme="majorBidi" w:cstheme="majorBidi"/>
          <w:color w:val="000000" w:themeColor="text1"/>
          <w:sz w:val="20"/>
          <w:szCs w:val="20"/>
        </w:rPr>
      </w:pPr>
    </w:p>
    <w:p w14:paraId="581BF605" w14:textId="735BAB6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color w:val="000000" w:themeColor="text1"/>
          <w:sz w:val="20"/>
          <w:szCs w:val="20"/>
          <w:lang w:val="en-GB"/>
        </w:rPr>
      </w:pPr>
      <w:r w:rsidRPr="00A9211F">
        <w:rPr>
          <w:rFonts w:asciiTheme="majorBidi" w:eastAsia="Times New Roman" w:hAnsiTheme="majorBidi" w:cstheme="majorBidi"/>
          <w:color w:val="000000" w:themeColor="text1"/>
          <w:sz w:val="20"/>
          <w:szCs w:val="20"/>
          <w:lang w:val="en-GB"/>
        </w:rPr>
        <w:t xml:space="preserve">The Committee held a hearing to discuss the substance of the communication at its sixty-second meeting (Geneva, 5-9 November 2018), with the participation of representatives of the communicant, the Party concerned, and </w:t>
      </w:r>
      <w:r w:rsidR="00656556" w:rsidRPr="00A9211F">
        <w:rPr>
          <w:rFonts w:asciiTheme="majorBidi" w:eastAsia="Times New Roman" w:hAnsiTheme="majorBidi" w:cstheme="majorBidi"/>
          <w:color w:val="000000" w:themeColor="text1"/>
          <w:sz w:val="20"/>
          <w:szCs w:val="20"/>
          <w:lang w:val="en-GB"/>
        </w:rPr>
        <w:t xml:space="preserve">the </w:t>
      </w:r>
      <w:r w:rsidRPr="00A9211F">
        <w:rPr>
          <w:rFonts w:asciiTheme="majorBidi" w:eastAsia="Times New Roman" w:hAnsiTheme="majorBidi" w:cstheme="majorBidi"/>
          <w:color w:val="000000" w:themeColor="text1"/>
          <w:sz w:val="20"/>
          <w:szCs w:val="20"/>
          <w:lang w:val="en-GB"/>
        </w:rPr>
        <w:t>Environmental Pillar. At the same meeting, the Committee confirmed the admissibility of the communication.</w:t>
      </w:r>
    </w:p>
    <w:p w14:paraId="1BD2FCFA" w14:textId="77777777" w:rsidR="00F55C68" w:rsidRPr="00A9211F" w:rsidRDefault="00F55C68" w:rsidP="00EA5C8B">
      <w:pPr>
        <w:pStyle w:val="ListParagraph"/>
        <w:rPr>
          <w:rFonts w:asciiTheme="majorBidi" w:hAnsiTheme="majorBidi" w:cstheme="majorBidi"/>
          <w:color w:val="000000" w:themeColor="text1"/>
          <w:sz w:val="20"/>
          <w:szCs w:val="20"/>
          <w:lang w:val="en-GB"/>
        </w:rPr>
      </w:pPr>
    </w:p>
    <w:p w14:paraId="3926AD4C" w14:textId="2E493D65" w:rsidR="00F55C68" w:rsidRPr="00A9211F" w:rsidRDefault="00F55C68" w:rsidP="00EA5C8B">
      <w:pPr>
        <w:pStyle w:val="ListParagraph"/>
        <w:numPr>
          <w:ilvl w:val="0"/>
          <w:numId w:val="7"/>
        </w:numPr>
        <w:tabs>
          <w:tab w:val="left" w:pos="1701"/>
        </w:tabs>
        <w:ind w:left="1094" w:firstLine="0"/>
        <w:jc w:val="both"/>
        <w:rPr>
          <w:rFonts w:asciiTheme="majorBidi" w:hAnsiTheme="majorBidi" w:cstheme="majorBidi"/>
          <w:color w:val="000000" w:themeColor="text1"/>
          <w:sz w:val="20"/>
          <w:szCs w:val="20"/>
          <w:lang w:val="en-GB"/>
        </w:rPr>
      </w:pPr>
      <w:r w:rsidRPr="00A9211F">
        <w:rPr>
          <w:rFonts w:asciiTheme="majorBidi" w:hAnsiTheme="majorBidi" w:cstheme="majorBidi"/>
          <w:color w:val="000000" w:themeColor="text1"/>
          <w:sz w:val="20"/>
          <w:szCs w:val="20"/>
          <w:lang w:val="en-GB"/>
        </w:rPr>
        <w:t xml:space="preserve">On 21 August 2019, the communicant provided an update. On 23 August 2019, the Committee invited the Party concerned to provide any comments it had on the communicant’s update by </w:t>
      </w:r>
      <w:r w:rsidR="0040007A" w:rsidRPr="00A9211F">
        <w:rPr>
          <w:rFonts w:asciiTheme="majorBidi" w:hAnsiTheme="majorBidi" w:cstheme="majorBidi"/>
          <w:color w:val="000000" w:themeColor="text1"/>
          <w:sz w:val="20"/>
          <w:szCs w:val="20"/>
          <w:lang w:val="en-GB"/>
        </w:rPr>
        <w:t>13</w:t>
      </w:r>
      <w:r w:rsidRPr="00A9211F">
        <w:rPr>
          <w:rFonts w:asciiTheme="majorBidi" w:hAnsiTheme="majorBidi" w:cstheme="majorBidi"/>
          <w:color w:val="000000" w:themeColor="text1"/>
          <w:sz w:val="20"/>
          <w:szCs w:val="20"/>
          <w:lang w:val="en-GB"/>
        </w:rPr>
        <w:t xml:space="preserve"> September 2019. No comments were received from the Party concerned.</w:t>
      </w:r>
    </w:p>
    <w:p w14:paraId="43B9F2B6" w14:textId="77777777" w:rsidR="0018721E" w:rsidRPr="00A9211F" w:rsidRDefault="0018721E" w:rsidP="00EA5C8B">
      <w:pPr>
        <w:pStyle w:val="ListParagraph"/>
        <w:tabs>
          <w:tab w:val="left" w:pos="1701"/>
        </w:tabs>
        <w:rPr>
          <w:rFonts w:asciiTheme="majorBidi" w:hAnsiTheme="majorBidi" w:cstheme="majorBidi"/>
          <w:i/>
          <w:iCs/>
          <w:color w:val="000000" w:themeColor="text1"/>
          <w:sz w:val="20"/>
          <w:szCs w:val="20"/>
          <w:lang w:val="en-GB"/>
        </w:rPr>
      </w:pPr>
    </w:p>
    <w:p w14:paraId="4FA1023D" w14:textId="191E474E" w:rsidR="0018721E" w:rsidRPr="006B2913"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6B2913">
        <w:rPr>
          <w:rFonts w:asciiTheme="majorBidi" w:eastAsia="Times New Roman" w:hAnsiTheme="majorBidi" w:cstheme="majorBidi"/>
          <w:color w:val="000000" w:themeColor="text1"/>
          <w:sz w:val="20"/>
          <w:szCs w:val="20"/>
          <w:lang w:val="en-GB"/>
        </w:rPr>
        <w:t xml:space="preserve">The Committee completed its draft findings through its electronic decision-making procedure on </w:t>
      </w:r>
      <w:r w:rsidR="006B2913" w:rsidRPr="006B2913">
        <w:rPr>
          <w:rFonts w:asciiTheme="majorBidi" w:eastAsia="Times New Roman" w:hAnsiTheme="majorBidi" w:cstheme="majorBidi"/>
          <w:color w:val="000000" w:themeColor="text1"/>
          <w:sz w:val="20"/>
          <w:szCs w:val="20"/>
          <w:lang w:val="en-GB"/>
        </w:rPr>
        <w:t>5 August 2020.</w:t>
      </w:r>
      <w:r w:rsidRPr="006B2913">
        <w:rPr>
          <w:rFonts w:asciiTheme="majorBidi" w:eastAsia="Times New Roman" w:hAnsiTheme="majorBidi" w:cstheme="majorBidi"/>
          <w:color w:val="000000" w:themeColor="text1"/>
          <w:sz w:val="20"/>
          <w:szCs w:val="20"/>
          <w:lang w:val="en-GB"/>
        </w:rPr>
        <w:t xml:space="preserve"> In accordance with paragraph 34 of the annex to decision I/7, the draft findings were forwarded on </w:t>
      </w:r>
      <w:r w:rsidR="006B2913" w:rsidRPr="006B2913">
        <w:rPr>
          <w:rFonts w:asciiTheme="majorBidi" w:eastAsia="Times New Roman" w:hAnsiTheme="majorBidi" w:cstheme="majorBidi"/>
          <w:color w:val="000000" w:themeColor="text1"/>
          <w:sz w:val="20"/>
          <w:szCs w:val="20"/>
          <w:lang w:val="en-GB"/>
        </w:rPr>
        <w:t xml:space="preserve">7 August 2020 </w:t>
      </w:r>
      <w:r w:rsidRPr="006B2913">
        <w:rPr>
          <w:rFonts w:asciiTheme="majorBidi" w:eastAsia="Times New Roman" w:hAnsiTheme="majorBidi" w:cstheme="majorBidi"/>
          <w:color w:val="000000" w:themeColor="text1"/>
          <w:sz w:val="20"/>
          <w:szCs w:val="20"/>
          <w:lang w:val="en-GB"/>
        </w:rPr>
        <w:t xml:space="preserve">for comments to the Party concerned and the communicant. Both were invited to provide comments by </w:t>
      </w:r>
      <w:r w:rsidR="00090A68">
        <w:rPr>
          <w:rFonts w:asciiTheme="majorBidi" w:eastAsia="Times New Roman" w:hAnsiTheme="majorBidi" w:cstheme="majorBidi"/>
          <w:color w:val="000000" w:themeColor="text1"/>
          <w:sz w:val="20"/>
          <w:szCs w:val="20"/>
          <w:lang w:val="en-GB"/>
        </w:rPr>
        <w:t>25</w:t>
      </w:r>
      <w:bookmarkStart w:id="1" w:name="_GoBack"/>
      <w:bookmarkEnd w:id="1"/>
      <w:r w:rsidR="006B2913" w:rsidRPr="006B2913">
        <w:rPr>
          <w:rFonts w:asciiTheme="majorBidi" w:eastAsia="Times New Roman" w:hAnsiTheme="majorBidi" w:cstheme="majorBidi"/>
          <w:color w:val="000000" w:themeColor="text1"/>
          <w:sz w:val="20"/>
          <w:szCs w:val="20"/>
          <w:lang w:val="en-GB"/>
        </w:rPr>
        <w:t xml:space="preserve"> September 2020.</w:t>
      </w:r>
    </w:p>
    <w:p w14:paraId="6EDFBAFE" w14:textId="77777777" w:rsidR="0018721E" w:rsidRPr="00A9211F" w:rsidRDefault="0018721E" w:rsidP="00EA5C8B">
      <w:pPr>
        <w:tabs>
          <w:tab w:val="left" w:pos="1701"/>
        </w:tabs>
        <w:ind w:left="1094"/>
        <w:contextualSpacing/>
        <w:jc w:val="both"/>
        <w:rPr>
          <w:rFonts w:asciiTheme="majorBidi" w:hAnsiTheme="majorBidi" w:cstheme="majorBidi"/>
          <w:i/>
          <w:iCs/>
          <w:sz w:val="20"/>
          <w:szCs w:val="20"/>
        </w:rPr>
      </w:pPr>
    </w:p>
    <w:p w14:paraId="1815A480"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i/>
          <w:iCs/>
          <w:sz w:val="20"/>
          <w:szCs w:val="20"/>
          <w:lang w:val="en-GB"/>
        </w:rPr>
      </w:pPr>
      <w:r w:rsidRPr="00A9211F">
        <w:rPr>
          <w:rFonts w:asciiTheme="majorBidi" w:hAnsiTheme="majorBidi" w:cstheme="majorBidi"/>
          <w:i/>
          <w:iCs/>
          <w:sz w:val="20"/>
          <w:szCs w:val="20"/>
          <w:lang w:val="en-GB"/>
        </w:rPr>
        <w:t>The Party concerned and the communicant provided comments on […] and […] respectively.</w:t>
      </w:r>
    </w:p>
    <w:p w14:paraId="115490A7" w14:textId="77777777" w:rsidR="0018721E" w:rsidRPr="00A9211F" w:rsidRDefault="0018721E" w:rsidP="00EA5C8B">
      <w:pPr>
        <w:tabs>
          <w:tab w:val="left" w:pos="1701"/>
        </w:tabs>
        <w:ind w:left="1094"/>
        <w:contextualSpacing/>
        <w:jc w:val="both"/>
        <w:rPr>
          <w:rFonts w:asciiTheme="majorBidi" w:hAnsiTheme="majorBidi" w:cstheme="majorBidi"/>
          <w:i/>
          <w:iCs/>
          <w:sz w:val="20"/>
          <w:szCs w:val="20"/>
        </w:rPr>
      </w:pPr>
    </w:p>
    <w:p w14:paraId="743E1B73"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i/>
          <w:sz w:val="20"/>
          <w:szCs w:val="20"/>
          <w:lang w:val="en-GB"/>
        </w:rPr>
      </w:pPr>
      <w:r w:rsidRPr="00A9211F">
        <w:rPr>
          <w:rFonts w:asciiTheme="majorBidi" w:hAnsiTheme="majorBidi" w:cstheme="majorBidi"/>
          <w:i/>
          <w:iCs/>
          <w:sz w:val="20"/>
          <w:szCs w:val="20"/>
          <w:lang w:val="en-GB"/>
        </w:rPr>
        <w:t>At its […] meeting</w:t>
      </w:r>
      <w:r w:rsidRPr="00A9211F">
        <w:rPr>
          <w:rFonts w:asciiTheme="majorBidi" w:hAnsiTheme="majorBidi" w:cstheme="majorBidi"/>
          <w:i/>
          <w:sz w:val="20"/>
          <w:szCs w:val="20"/>
          <w:lang w:val="en-GB"/>
        </w:rPr>
        <w:t xml:space="preserve">, the Committee proceeded to finalize its findings in closed session, taking account of the comments received. The Committee then adopted its findings and agreed that they </w:t>
      </w:r>
      <w:r w:rsidRPr="00A9211F">
        <w:rPr>
          <w:rFonts w:asciiTheme="majorBidi" w:hAnsiTheme="majorBidi" w:cstheme="majorBidi"/>
          <w:i/>
          <w:sz w:val="20"/>
          <w:szCs w:val="20"/>
          <w:lang w:val="en-GB"/>
        </w:rPr>
        <w:lastRenderedPageBreak/>
        <w:t>should be published as a formal pre-session document to its […] meeting. It requested the secretariat to send the findings to the Party concerned and the communicant.</w:t>
      </w:r>
    </w:p>
    <w:p w14:paraId="0DB0013E" w14:textId="77777777" w:rsidR="0018721E" w:rsidRPr="00A9211F" w:rsidRDefault="0018721E" w:rsidP="00EA5C8B">
      <w:pPr>
        <w:tabs>
          <w:tab w:val="left" w:pos="1701"/>
        </w:tabs>
        <w:spacing w:after="120"/>
        <w:ind w:left="1094"/>
        <w:contextualSpacing/>
        <w:jc w:val="both"/>
        <w:rPr>
          <w:rFonts w:asciiTheme="majorBidi" w:hAnsiTheme="majorBidi" w:cstheme="majorBidi"/>
          <w:i/>
        </w:rPr>
      </w:pPr>
    </w:p>
    <w:p w14:paraId="342C61BE" w14:textId="77777777" w:rsidR="0018721E" w:rsidRPr="00A9211F" w:rsidRDefault="0018721E" w:rsidP="00EA5C8B">
      <w:pPr>
        <w:pStyle w:val="ListParagraph"/>
        <w:numPr>
          <w:ilvl w:val="0"/>
          <w:numId w:val="5"/>
        </w:numPr>
        <w:tabs>
          <w:tab w:val="left" w:pos="1701"/>
        </w:tabs>
        <w:spacing w:before="360" w:after="240"/>
        <w:ind w:left="1217" w:hanging="540"/>
        <w:rPr>
          <w:rFonts w:asciiTheme="majorBidi" w:hAnsiTheme="majorBidi" w:cstheme="majorBidi"/>
          <w:b/>
          <w:sz w:val="28"/>
          <w:szCs w:val="28"/>
          <w:lang w:val="en-GB"/>
        </w:rPr>
      </w:pPr>
      <w:r w:rsidRPr="00A9211F">
        <w:rPr>
          <w:rFonts w:asciiTheme="majorBidi" w:hAnsiTheme="majorBidi" w:cstheme="majorBidi"/>
          <w:b/>
          <w:sz w:val="28"/>
          <w:szCs w:val="28"/>
          <w:lang w:val="en-GB"/>
        </w:rPr>
        <w:t>Summary of facts, evidence and issues</w:t>
      </w:r>
      <w:r w:rsidRPr="00A9211F">
        <w:rPr>
          <w:rStyle w:val="FootnoteReference"/>
          <w:rFonts w:asciiTheme="majorBidi" w:hAnsiTheme="majorBidi" w:cstheme="majorBidi"/>
          <w:b/>
          <w:sz w:val="28"/>
          <w:szCs w:val="28"/>
          <w:lang w:val="en-GB"/>
        </w:rPr>
        <w:footnoteReference w:id="2"/>
      </w:r>
    </w:p>
    <w:p w14:paraId="25AE9509" w14:textId="77777777" w:rsidR="0018721E" w:rsidRPr="00A9211F" w:rsidRDefault="0018721E" w:rsidP="00EA5C8B">
      <w:pPr>
        <w:pStyle w:val="ListParagraph"/>
        <w:tabs>
          <w:tab w:val="left" w:pos="1701"/>
        </w:tabs>
        <w:ind w:left="0"/>
        <w:jc w:val="both"/>
        <w:rPr>
          <w:rFonts w:asciiTheme="majorBidi" w:hAnsiTheme="majorBidi" w:cstheme="majorBidi"/>
          <w:b/>
          <w:lang w:val="en-GB"/>
        </w:rPr>
      </w:pPr>
    </w:p>
    <w:p w14:paraId="35983A09" w14:textId="77777777" w:rsidR="0018721E" w:rsidRPr="00A9211F" w:rsidRDefault="0018721E" w:rsidP="00EA5C8B">
      <w:pPr>
        <w:pStyle w:val="ListParagraph"/>
        <w:numPr>
          <w:ilvl w:val="0"/>
          <w:numId w:val="17"/>
        </w:numPr>
        <w:tabs>
          <w:tab w:val="left" w:pos="1701"/>
        </w:tabs>
        <w:spacing w:before="360" w:after="240"/>
        <w:ind w:left="1037"/>
        <w:rPr>
          <w:rFonts w:asciiTheme="majorBidi" w:hAnsiTheme="majorBidi" w:cstheme="majorBidi"/>
          <w:b/>
          <w:lang w:val="en-GB"/>
        </w:rPr>
      </w:pPr>
      <w:r w:rsidRPr="00A9211F">
        <w:rPr>
          <w:rFonts w:asciiTheme="majorBidi" w:hAnsiTheme="majorBidi" w:cstheme="majorBidi"/>
          <w:b/>
          <w:lang w:val="en-GB"/>
        </w:rPr>
        <w:t>Legal framework</w:t>
      </w:r>
    </w:p>
    <w:p w14:paraId="2BF734DA" w14:textId="77777777" w:rsidR="0018721E" w:rsidRPr="00A9211F" w:rsidRDefault="0018721E" w:rsidP="00EA5C8B">
      <w:pPr>
        <w:pStyle w:val="ListParagraph"/>
        <w:tabs>
          <w:tab w:val="left" w:pos="1701"/>
        </w:tabs>
        <w:spacing w:before="360" w:after="240"/>
        <w:ind w:left="1037"/>
        <w:rPr>
          <w:rFonts w:asciiTheme="majorBidi" w:hAnsiTheme="majorBidi" w:cstheme="majorBidi"/>
          <w:b/>
          <w:lang w:val="en-GB"/>
        </w:rPr>
      </w:pPr>
    </w:p>
    <w:p w14:paraId="45B350E8" w14:textId="04A52F10" w:rsidR="0018721E" w:rsidRPr="00A9211F" w:rsidRDefault="00F93B8B" w:rsidP="00EA5C8B">
      <w:pPr>
        <w:pStyle w:val="ListParagraph"/>
        <w:tabs>
          <w:tab w:val="left" w:pos="1701"/>
        </w:tabs>
        <w:spacing w:before="360" w:after="240"/>
        <w:ind w:left="1037"/>
        <w:rPr>
          <w:rFonts w:asciiTheme="majorBidi" w:hAnsiTheme="majorBidi" w:cstheme="majorBidi"/>
          <w:b/>
          <w:lang w:val="en-GB"/>
        </w:rPr>
      </w:pPr>
      <w:r w:rsidRPr="00A9211F">
        <w:rPr>
          <w:rFonts w:asciiTheme="majorBidi" w:hAnsiTheme="majorBidi" w:cstheme="majorBidi"/>
          <w:b/>
          <w:sz w:val="20"/>
          <w:szCs w:val="20"/>
        </w:rPr>
        <w:t xml:space="preserve">   </w:t>
      </w:r>
      <w:r w:rsidR="0018721E" w:rsidRPr="00A9211F">
        <w:rPr>
          <w:rFonts w:asciiTheme="majorBidi" w:hAnsiTheme="majorBidi" w:cstheme="majorBidi"/>
          <w:b/>
          <w:sz w:val="20"/>
          <w:szCs w:val="20"/>
        </w:rPr>
        <w:t>Access to environmental information</w:t>
      </w:r>
    </w:p>
    <w:p w14:paraId="0B33B996" w14:textId="77777777" w:rsidR="0018721E" w:rsidRPr="00A9211F" w:rsidRDefault="0018721E" w:rsidP="00EA5C8B">
      <w:pPr>
        <w:pStyle w:val="ListParagraph"/>
        <w:tabs>
          <w:tab w:val="left" w:pos="1701"/>
        </w:tabs>
        <w:ind w:left="0"/>
        <w:jc w:val="both"/>
        <w:rPr>
          <w:rFonts w:asciiTheme="majorBidi" w:hAnsiTheme="majorBidi" w:cstheme="majorBidi"/>
          <w:b/>
          <w:lang w:val="en-GB"/>
        </w:rPr>
      </w:pPr>
    </w:p>
    <w:p w14:paraId="207E186C" w14:textId="38019B73" w:rsidR="005E3BBD"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b/>
          <w:sz w:val="20"/>
          <w:szCs w:val="20"/>
          <w:lang w:val="en-GB"/>
        </w:rPr>
      </w:pPr>
      <w:r w:rsidRPr="00A9211F">
        <w:rPr>
          <w:rFonts w:asciiTheme="majorBidi" w:hAnsiTheme="majorBidi" w:cstheme="majorBidi"/>
          <w:sz w:val="20"/>
          <w:szCs w:val="20"/>
          <w:lang w:val="en-GB"/>
        </w:rPr>
        <w:t xml:space="preserve">The European Communities (Access to Information on the Environment) Regulations </w:t>
      </w:r>
      <w:r w:rsidR="00F93B8B" w:rsidRPr="00A9211F">
        <w:rPr>
          <w:rFonts w:asciiTheme="majorBidi" w:hAnsiTheme="majorBidi" w:cstheme="majorBidi"/>
          <w:sz w:val="20"/>
          <w:szCs w:val="20"/>
          <w:lang w:val="en-GB"/>
        </w:rPr>
        <w:t>(the AIE Regulations)</w:t>
      </w:r>
      <w:r w:rsidRPr="00A9211F">
        <w:rPr>
          <w:rFonts w:asciiTheme="majorBidi" w:hAnsiTheme="majorBidi" w:cstheme="majorBidi"/>
          <w:sz w:val="20"/>
          <w:szCs w:val="20"/>
          <w:lang w:val="en-GB"/>
        </w:rPr>
        <w:t xml:space="preserve"> govern access to environmental information in the Party concerned.</w:t>
      </w:r>
      <w:r w:rsidRPr="00A9211F">
        <w:rPr>
          <w:rStyle w:val="FootnoteReference"/>
          <w:rFonts w:asciiTheme="majorBidi" w:hAnsiTheme="majorBidi" w:cstheme="majorBidi"/>
          <w:szCs w:val="20"/>
          <w:lang w:val="en-GB"/>
        </w:rPr>
        <w:footnoteReference w:id="3"/>
      </w:r>
      <w:r w:rsidRPr="00A9211F">
        <w:rPr>
          <w:rFonts w:asciiTheme="majorBidi" w:hAnsiTheme="majorBidi" w:cstheme="majorBidi"/>
          <w:sz w:val="20"/>
          <w:szCs w:val="20"/>
          <w:lang w:val="en-GB"/>
        </w:rPr>
        <w:t xml:space="preserve"> </w:t>
      </w:r>
      <w:r w:rsidR="005E3BBD" w:rsidRPr="00A9211F">
        <w:rPr>
          <w:rFonts w:asciiTheme="majorBidi" w:hAnsiTheme="majorBidi" w:cstheme="majorBidi"/>
          <w:sz w:val="20"/>
          <w:szCs w:val="20"/>
          <w:lang w:val="en-GB"/>
        </w:rPr>
        <w:t xml:space="preserve">   </w:t>
      </w:r>
    </w:p>
    <w:p w14:paraId="4D33B4A6" w14:textId="77777777" w:rsidR="005E3BBD" w:rsidRPr="00A9211F" w:rsidRDefault="005E3BBD" w:rsidP="00EA5C8B">
      <w:pPr>
        <w:pStyle w:val="ListParagraph"/>
        <w:tabs>
          <w:tab w:val="left" w:pos="1701"/>
        </w:tabs>
        <w:spacing w:after="115"/>
        <w:ind w:left="1166"/>
        <w:jc w:val="both"/>
        <w:rPr>
          <w:rFonts w:asciiTheme="majorBidi" w:hAnsiTheme="majorBidi" w:cstheme="majorBidi"/>
          <w:b/>
          <w:sz w:val="20"/>
          <w:szCs w:val="20"/>
          <w:lang w:val="en-GB"/>
        </w:rPr>
      </w:pPr>
    </w:p>
    <w:p w14:paraId="2D42E864" w14:textId="0DC1A58A"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Article 6(1)(b) of the AIE Regulations provides that environmental information requests must state that they are made under those Regulations.</w:t>
      </w:r>
      <w:r w:rsidRPr="00A9211F">
        <w:rPr>
          <w:rStyle w:val="FootnoteReference"/>
          <w:rFonts w:asciiTheme="majorBidi" w:hAnsiTheme="majorBidi" w:cstheme="majorBidi"/>
          <w:szCs w:val="20"/>
          <w:lang w:val="en-GB"/>
        </w:rPr>
        <w:footnoteReference w:id="4"/>
      </w:r>
      <w:r w:rsidRPr="00A9211F">
        <w:rPr>
          <w:rFonts w:asciiTheme="majorBidi" w:hAnsiTheme="majorBidi" w:cstheme="majorBidi"/>
          <w:sz w:val="20"/>
          <w:szCs w:val="20"/>
          <w:lang w:val="en-GB"/>
        </w:rPr>
        <w:t xml:space="preserve"> </w:t>
      </w:r>
    </w:p>
    <w:p w14:paraId="58F86304" w14:textId="77777777" w:rsidR="00AF6DB5" w:rsidRPr="00A9211F" w:rsidRDefault="00AF6DB5" w:rsidP="00A9211F">
      <w:pPr>
        <w:pStyle w:val="ListParagraph"/>
        <w:tabs>
          <w:tab w:val="left" w:pos="1701"/>
        </w:tabs>
        <w:ind w:left="1166"/>
        <w:jc w:val="both"/>
        <w:rPr>
          <w:rFonts w:asciiTheme="majorBidi" w:hAnsiTheme="majorBidi"/>
          <w:sz w:val="20"/>
          <w:lang w:val="en-GB"/>
        </w:rPr>
      </w:pPr>
    </w:p>
    <w:p w14:paraId="0A6B2B6B" w14:textId="7594C288" w:rsidR="00AF6DB5"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sz w:val="20"/>
        </w:rPr>
        <w:t>Article 7(2</w:t>
      </w:r>
      <w:r w:rsidRPr="00A9211F">
        <w:rPr>
          <w:rFonts w:asciiTheme="majorBidi" w:hAnsiTheme="majorBidi" w:cstheme="majorBidi"/>
          <w:sz w:val="20"/>
          <w:szCs w:val="20"/>
        </w:rPr>
        <w:t xml:space="preserve">) </w:t>
      </w:r>
      <w:r w:rsidR="005E3BBD" w:rsidRPr="00A9211F">
        <w:rPr>
          <w:rFonts w:asciiTheme="majorBidi" w:hAnsiTheme="majorBidi" w:cstheme="majorBidi"/>
          <w:sz w:val="20"/>
          <w:szCs w:val="20"/>
          <w:lang w:val="en-GB"/>
        </w:rPr>
        <w:t>requires</w:t>
      </w:r>
      <w:r w:rsidRPr="00A9211F">
        <w:rPr>
          <w:rFonts w:asciiTheme="majorBidi" w:hAnsiTheme="majorBidi"/>
          <w:sz w:val="20"/>
        </w:rPr>
        <w:t xml:space="preserve"> a public authority </w:t>
      </w:r>
      <w:r w:rsidR="005E3BBD" w:rsidRPr="00A9211F">
        <w:rPr>
          <w:rFonts w:asciiTheme="majorBidi" w:hAnsiTheme="majorBidi" w:cstheme="majorBidi"/>
          <w:sz w:val="20"/>
          <w:szCs w:val="20"/>
          <w:lang w:val="en-GB"/>
        </w:rPr>
        <w:t>to</w:t>
      </w:r>
      <w:r w:rsidR="005E3BBD" w:rsidRPr="00A9211F">
        <w:rPr>
          <w:rFonts w:asciiTheme="majorBidi" w:hAnsiTheme="majorBidi"/>
          <w:sz w:val="20"/>
        </w:rPr>
        <w:t xml:space="preserve"> </w:t>
      </w:r>
      <w:r w:rsidRPr="00A9211F">
        <w:rPr>
          <w:rFonts w:asciiTheme="majorBidi" w:hAnsiTheme="majorBidi"/>
          <w:sz w:val="20"/>
        </w:rPr>
        <w:t xml:space="preserve">make a decision on </w:t>
      </w:r>
      <w:r w:rsidRPr="00A9211F">
        <w:rPr>
          <w:rFonts w:asciiTheme="majorBidi" w:hAnsiTheme="majorBidi" w:cstheme="majorBidi"/>
          <w:sz w:val="20"/>
          <w:szCs w:val="20"/>
        </w:rPr>
        <w:t>a</w:t>
      </w:r>
      <w:r w:rsidR="00AF6DB5" w:rsidRPr="00A9211F">
        <w:rPr>
          <w:rFonts w:asciiTheme="majorBidi" w:hAnsiTheme="majorBidi" w:cstheme="majorBidi"/>
          <w:sz w:val="20"/>
          <w:szCs w:val="20"/>
        </w:rPr>
        <w:t>n environmental information</w:t>
      </w:r>
      <w:r w:rsidRPr="00A9211F">
        <w:rPr>
          <w:rFonts w:asciiTheme="majorBidi" w:hAnsiTheme="majorBidi" w:cstheme="majorBidi"/>
          <w:sz w:val="20"/>
          <w:szCs w:val="20"/>
        </w:rPr>
        <w:t xml:space="preserve"> </w:t>
      </w:r>
      <w:r w:rsidRPr="00A9211F">
        <w:rPr>
          <w:rFonts w:asciiTheme="majorBidi" w:hAnsiTheme="majorBidi"/>
          <w:sz w:val="20"/>
        </w:rPr>
        <w:t xml:space="preserve">request </w:t>
      </w:r>
      <w:r w:rsidR="00AF6DB5" w:rsidRPr="00A9211F">
        <w:rPr>
          <w:rFonts w:asciiTheme="majorBidi" w:hAnsiTheme="majorBidi" w:cstheme="majorBidi"/>
          <w:sz w:val="20"/>
          <w:szCs w:val="20"/>
        </w:rPr>
        <w:t xml:space="preserve">within </w:t>
      </w:r>
      <w:r w:rsidRPr="00A9211F">
        <w:rPr>
          <w:rFonts w:asciiTheme="majorBidi" w:hAnsiTheme="majorBidi" w:cstheme="majorBidi"/>
          <w:sz w:val="20"/>
          <w:szCs w:val="20"/>
        </w:rPr>
        <w:t>one month</w:t>
      </w:r>
      <w:r w:rsidR="00AF6DB5" w:rsidRPr="00A9211F">
        <w:rPr>
          <w:rFonts w:asciiTheme="majorBidi" w:hAnsiTheme="majorBidi" w:cstheme="majorBidi"/>
          <w:sz w:val="20"/>
          <w:szCs w:val="20"/>
          <w:lang w:val="en-GB"/>
        </w:rPr>
        <w:t xml:space="preserve">. </w:t>
      </w:r>
      <w:r w:rsidR="005E3BBD" w:rsidRPr="00A9211F">
        <w:rPr>
          <w:rFonts w:asciiTheme="majorBidi" w:hAnsiTheme="majorBidi" w:cstheme="majorBidi"/>
          <w:sz w:val="20"/>
          <w:szCs w:val="20"/>
          <w:lang w:val="en-GB"/>
        </w:rPr>
        <w:t>If</w:t>
      </w:r>
      <w:r w:rsidRPr="00A9211F">
        <w:rPr>
          <w:rFonts w:asciiTheme="majorBidi" w:hAnsiTheme="majorBidi" w:cstheme="majorBidi"/>
          <w:sz w:val="20"/>
          <w:szCs w:val="20"/>
          <w:lang w:val="en-GB"/>
        </w:rPr>
        <w:t>, because of the volume or complexity of the environmental information requested</w:t>
      </w:r>
      <w:r w:rsidR="005E3BBD" w:rsidRPr="00A9211F">
        <w:rPr>
          <w:rFonts w:asciiTheme="majorBidi" w:hAnsiTheme="majorBidi" w:cstheme="majorBidi"/>
          <w:sz w:val="20"/>
          <w:szCs w:val="20"/>
          <w:lang w:val="en-GB"/>
        </w:rPr>
        <w:t>, the public authority is unable</w:t>
      </w:r>
      <w:r w:rsidR="00AF6DB5" w:rsidRPr="00A9211F">
        <w:rPr>
          <w:rFonts w:asciiTheme="majorBidi" w:hAnsiTheme="majorBidi" w:cstheme="majorBidi"/>
          <w:sz w:val="20"/>
          <w:szCs w:val="20"/>
          <w:lang w:val="en-GB"/>
        </w:rPr>
        <w:t xml:space="preserve"> to make a decision </w:t>
      </w:r>
      <w:r w:rsidR="005E3BBD" w:rsidRPr="00A9211F">
        <w:rPr>
          <w:rFonts w:asciiTheme="majorBidi" w:hAnsiTheme="majorBidi" w:cstheme="majorBidi"/>
          <w:sz w:val="20"/>
          <w:szCs w:val="20"/>
          <w:lang w:val="en-GB"/>
        </w:rPr>
        <w:t>within one month, it shall give notice to the applicant and specify the date not later than 2 months from the request by which the response will be made.</w:t>
      </w:r>
    </w:p>
    <w:p w14:paraId="4141E67A" w14:textId="7AC12C77" w:rsidR="0018721E" w:rsidRPr="00A9211F" w:rsidRDefault="0018721E" w:rsidP="00A9211F">
      <w:pPr>
        <w:pStyle w:val="ListParagraph"/>
        <w:rPr>
          <w:rFonts w:asciiTheme="majorBidi" w:hAnsiTheme="majorBidi"/>
          <w:sz w:val="20"/>
          <w:lang w:val="en-GB"/>
        </w:rPr>
      </w:pPr>
    </w:p>
    <w:p w14:paraId="7C6990B7" w14:textId="5BE4F97D" w:rsidR="005866E4" w:rsidRPr="00A9211F" w:rsidRDefault="005866E4" w:rsidP="00A9211F">
      <w:pPr>
        <w:pStyle w:val="ListParagraph"/>
        <w:numPr>
          <w:ilvl w:val="0"/>
          <w:numId w:val="7"/>
        </w:numPr>
        <w:tabs>
          <w:tab w:val="left" w:pos="1701"/>
        </w:tabs>
        <w:ind w:left="1166" w:firstLine="0"/>
        <w:jc w:val="both"/>
        <w:rPr>
          <w:rFonts w:asciiTheme="majorBidi" w:hAnsiTheme="majorBidi"/>
          <w:sz w:val="20"/>
          <w:lang w:val="en-GB"/>
        </w:rPr>
      </w:pPr>
      <w:bookmarkStart w:id="2" w:name="_Ref11687669"/>
      <w:bookmarkStart w:id="3" w:name="_Ref11925605"/>
      <w:r w:rsidRPr="00A9211F">
        <w:rPr>
          <w:rFonts w:asciiTheme="majorBidi" w:hAnsiTheme="majorBidi" w:cstheme="majorBidi"/>
          <w:sz w:val="20"/>
          <w:szCs w:val="20"/>
          <w:lang w:val="en-GB"/>
        </w:rPr>
        <w:t>Article 10(7) provides that</w:t>
      </w:r>
      <w:r w:rsidR="00F1434F"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w:t>
      </w:r>
      <w:r w:rsidR="005E3BBD" w:rsidRPr="00A9211F">
        <w:rPr>
          <w:rFonts w:asciiTheme="majorBidi" w:hAnsiTheme="majorBidi" w:cstheme="majorBidi"/>
          <w:sz w:val="20"/>
          <w:szCs w:val="20"/>
          <w:lang w:val="en-GB"/>
        </w:rPr>
        <w:t>where</w:t>
      </w:r>
      <w:r w:rsidRPr="00A9211F">
        <w:rPr>
          <w:rFonts w:asciiTheme="majorBidi" w:hAnsiTheme="majorBidi" w:cstheme="majorBidi"/>
          <w:sz w:val="20"/>
          <w:szCs w:val="20"/>
          <w:lang w:val="en-GB"/>
        </w:rPr>
        <w:t xml:space="preserve"> a decision is not notified to the applicant within the relevant period specified in article 7, a decision refusing the request shall be deemed to have been made on the date of expiry of </w:t>
      </w:r>
      <w:r w:rsidR="005E3BBD" w:rsidRPr="00A9211F">
        <w:rPr>
          <w:rFonts w:asciiTheme="majorBidi" w:hAnsiTheme="majorBidi" w:cstheme="majorBidi"/>
          <w:sz w:val="20"/>
          <w:szCs w:val="20"/>
          <w:lang w:val="en-GB"/>
        </w:rPr>
        <w:t xml:space="preserve">the specified </w:t>
      </w:r>
      <w:r w:rsidRPr="00A9211F">
        <w:rPr>
          <w:rFonts w:asciiTheme="majorBidi" w:hAnsiTheme="majorBidi" w:cstheme="majorBidi"/>
          <w:sz w:val="20"/>
          <w:szCs w:val="20"/>
          <w:lang w:val="en-GB"/>
        </w:rPr>
        <w:t>period.</w:t>
      </w:r>
      <w:r w:rsidRPr="00A9211F">
        <w:rPr>
          <w:rFonts w:asciiTheme="majorBidi" w:hAnsiTheme="majorBidi"/>
          <w:sz w:val="20"/>
          <w:lang w:val="en-GB"/>
        </w:rPr>
        <w:t xml:space="preserve"> </w:t>
      </w:r>
      <w:bookmarkEnd w:id="2"/>
    </w:p>
    <w:bookmarkEnd w:id="3"/>
    <w:p w14:paraId="6F20D72E" w14:textId="77777777" w:rsidR="0018721E" w:rsidRPr="00A9211F" w:rsidRDefault="0018721E" w:rsidP="00EA5C8B">
      <w:pPr>
        <w:tabs>
          <w:tab w:val="left" w:pos="1701"/>
        </w:tabs>
        <w:jc w:val="both"/>
        <w:rPr>
          <w:rFonts w:asciiTheme="majorBidi" w:hAnsiTheme="majorBidi" w:cstheme="majorBidi"/>
          <w:sz w:val="20"/>
          <w:szCs w:val="20"/>
        </w:rPr>
      </w:pPr>
    </w:p>
    <w:p w14:paraId="59EC03E2" w14:textId="17B3B422"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In May </w:t>
      </w:r>
      <w:r w:rsidR="005F296C" w:rsidRPr="00A9211F">
        <w:rPr>
          <w:rFonts w:asciiTheme="majorBidi" w:hAnsiTheme="majorBidi" w:cstheme="majorBidi"/>
          <w:sz w:val="20"/>
          <w:szCs w:val="20"/>
          <w:lang w:val="en-GB"/>
        </w:rPr>
        <w:t>2014</w:t>
      </w:r>
      <w:r w:rsidRPr="00A9211F">
        <w:rPr>
          <w:rFonts w:asciiTheme="majorBidi" w:hAnsiTheme="majorBidi" w:cstheme="majorBidi"/>
          <w:sz w:val="20"/>
          <w:szCs w:val="20"/>
          <w:lang w:val="en-GB"/>
        </w:rPr>
        <w:t xml:space="preserve">, the Minister for Housing, Planning and Local Government published </w:t>
      </w:r>
      <w:r w:rsidR="005F296C" w:rsidRPr="00A9211F">
        <w:rPr>
          <w:rFonts w:asciiTheme="majorBidi" w:hAnsiTheme="majorBidi" w:cstheme="majorBidi"/>
          <w:sz w:val="20"/>
          <w:szCs w:val="20"/>
          <w:lang w:val="en-GB"/>
        </w:rPr>
        <w:t>Guidelines</w:t>
      </w:r>
      <w:r w:rsidRPr="00A9211F">
        <w:rPr>
          <w:rFonts w:asciiTheme="majorBidi" w:hAnsiTheme="majorBidi" w:cstheme="majorBidi"/>
          <w:sz w:val="20"/>
          <w:szCs w:val="20"/>
          <w:lang w:val="en-GB"/>
        </w:rPr>
        <w:t xml:space="preserve"> for Public Authorities and others on the implementation of the</w:t>
      </w:r>
      <w:r w:rsidR="005F296C" w:rsidRPr="00A9211F">
        <w:rPr>
          <w:rFonts w:asciiTheme="majorBidi" w:hAnsiTheme="majorBidi" w:cstheme="majorBidi"/>
          <w:sz w:val="20"/>
          <w:szCs w:val="20"/>
          <w:lang w:val="en-GB"/>
        </w:rPr>
        <w:t xml:space="preserve"> AIE</w:t>
      </w:r>
      <w:r w:rsidRPr="00A9211F">
        <w:rPr>
          <w:rFonts w:asciiTheme="majorBidi" w:hAnsiTheme="majorBidi" w:cstheme="majorBidi"/>
          <w:sz w:val="20"/>
          <w:szCs w:val="20"/>
          <w:lang w:val="en-GB"/>
        </w:rPr>
        <w:t xml:space="preserve"> Regulations.</w:t>
      </w:r>
      <w:r w:rsidRPr="00A9211F">
        <w:rPr>
          <w:rStyle w:val="FootnoteReference"/>
          <w:rFonts w:asciiTheme="majorBidi" w:hAnsiTheme="majorBidi" w:cstheme="majorBidi"/>
          <w:szCs w:val="20"/>
          <w:lang w:val="en-GB"/>
        </w:rPr>
        <w:footnoteReference w:id="5"/>
      </w:r>
    </w:p>
    <w:p w14:paraId="4E5DDED3" w14:textId="77777777" w:rsidR="0018721E" w:rsidRPr="00A9211F" w:rsidRDefault="0018721E" w:rsidP="00EA5C8B">
      <w:pPr>
        <w:tabs>
          <w:tab w:val="left" w:pos="1701"/>
        </w:tabs>
        <w:jc w:val="both"/>
        <w:rPr>
          <w:rFonts w:asciiTheme="majorBidi" w:hAnsiTheme="majorBidi" w:cstheme="majorBidi"/>
          <w:sz w:val="20"/>
          <w:szCs w:val="20"/>
        </w:rPr>
      </w:pPr>
    </w:p>
    <w:p w14:paraId="023A29CF" w14:textId="467F7F49" w:rsidR="0018721E" w:rsidRPr="00A9211F" w:rsidRDefault="0018721E" w:rsidP="00EA5C8B">
      <w:pPr>
        <w:pStyle w:val="ListParagraph"/>
        <w:tabs>
          <w:tab w:val="left" w:pos="1701"/>
        </w:tabs>
        <w:ind w:left="1166"/>
        <w:jc w:val="both"/>
        <w:outlineLvl w:val="0"/>
        <w:rPr>
          <w:rFonts w:asciiTheme="majorBidi" w:hAnsiTheme="majorBidi" w:cstheme="majorBidi"/>
          <w:b/>
          <w:sz w:val="20"/>
          <w:szCs w:val="20"/>
          <w:lang w:val="en-GB"/>
        </w:rPr>
      </w:pPr>
      <w:r w:rsidRPr="00A9211F">
        <w:rPr>
          <w:rFonts w:asciiTheme="majorBidi" w:hAnsiTheme="majorBidi" w:cstheme="majorBidi"/>
          <w:b/>
          <w:sz w:val="20"/>
          <w:szCs w:val="20"/>
          <w:lang w:val="en-GB"/>
        </w:rPr>
        <w:t>Review of environmental information requests</w:t>
      </w:r>
    </w:p>
    <w:p w14:paraId="772BF101" w14:textId="77777777" w:rsidR="00124724" w:rsidRPr="00A9211F" w:rsidRDefault="00124724" w:rsidP="00EA5C8B">
      <w:pPr>
        <w:pStyle w:val="ListParagraph"/>
        <w:tabs>
          <w:tab w:val="left" w:pos="1701"/>
        </w:tabs>
        <w:ind w:left="1166"/>
        <w:jc w:val="both"/>
        <w:rPr>
          <w:rStyle w:val="FootnoteReference"/>
          <w:rFonts w:asciiTheme="majorBidi" w:hAnsiTheme="majorBidi" w:cstheme="majorBidi"/>
          <w:b/>
          <w:sz w:val="20"/>
          <w:szCs w:val="20"/>
          <w:vertAlign w:val="baseline"/>
          <w:lang w:val="en-GB"/>
        </w:rPr>
      </w:pPr>
    </w:p>
    <w:p w14:paraId="6BC9ACD2" w14:textId="2442EA10" w:rsidR="00124724" w:rsidRPr="00A9211F" w:rsidRDefault="00124724"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Under the AIE Regulations, an unsatisfied applicant of a request for access to environmental information is required to first lodge an application for internal review to the public authority concerned before appealing to the </w:t>
      </w:r>
      <w:r w:rsidR="00690351" w:rsidRPr="00A9211F">
        <w:rPr>
          <w:rFonts w:asciiTheme="majorBidi" w:hAnsiTheme="majorBidi" w:cstheme="majorBidi"/>
          <w:iCs/>
          <w:sz w:val="20"/>
          <w:szCs w:val="20"/>
          <w:lang w:val="en-GB"/>
        </w:rPr>
        <w:t>Office of Commissioner for Environmental Information</w:t>
      </w:r>
      <w:r w:rsidR="00690351"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OCEI</w:t>
      </w:r>
      <w:r w:rsidR="00690351"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and finally to the courts.</w:t>
      </w:r>
    </w:p>
    <w:p w14:paraId="1D589718" w14:textId="77777777" w:rsidR="00124724" w:rsidRPr="00A9211F" w:rsidRDefault="00124724" w:rsidP="00EA5C8B">
      <w:pPr>
        <w:pStyle w:val="ListParagraph"/>
        <w:tabs>
          <w:tab w:val="left" w:pos="1701"/>
        </w:tabs>
        <w:ind w:left="1166"/>
        <w:jc w:val="both"/>
        <w:outlineLvl w:val="0"/>
        <w:rPr>
          <w:rFonts w:asciiTheme="majorBidi" w:hAnsiTheme="majorBidi" w:cstheme="majorBidi"/>
          <w:i/>
          <w:sz w:val="20"/>
          <w:szCs w:val="20"/>
          <w:lang w:val="en-GB"/>
        </w:rPr>
      </w:pPr>
    </w:p>
    <w:p w14:paraId="3F83F94C" w14:textId="70418A03" w:rsidR="0018721E" w:rsidRPr="00A9211F" w:rsidRDefault="0018721E" w:rsidP="00EA5C8B">
      <w:pPr>
        <w:pStyle w:val="ListParagraph"/>
        <w:tabs>
          <w:tab w:val="left" w:pos="1701"/>
        </w:tabs>
        <w:ind w:left="1166"/>
        <w:jc w:val="both"/>
        <w:outlineLvl w:val="0"/>
        <w:rPr>
          <w:rFonts w:asciiTheme="majorBidi" w:hAnsiTheme="majorBidi" w:cstheme="majorBidi"/>
          <w:i/>
          <w:sz w:val="20"/>
          <w:szCs w:val="20"/>
          <w:lang w:val="en-GB"/>
        </w:rPr>
      </w:pPr>
      <w:r w:rsidRPr="00A9211F">
        <w:rPr>
          <w:rFonts w:asciiTheme="majorBidi" w:hAnsiTheme="majorBidi" w:cstheme="majorBidi"/>
          <w:i/>
          <w:sz w:val="20"/>
          <w:szCs w:val="20"/>
          <w:lang w:val="en-GB"/>
        </w:rPr>
        <w:t>Internal review of refusal</w:t>
      </w:r>
    </w:p>
    <w:p w14:paraId="44FFA9AC" w14:textId="77777777" w:rsidR="0018721E" w:rsidRPr="00A9211F" w:rsidRDefault="0018721E" w:rsidP="00EA5C8B">
      <w:pPr>
        <w:pStyle w:val="ListParagraph"/>
        <w:tabs>
          <w:tab w:val="left" w:pos="1701"/>
        </w:tabs>
        <w:ind w:left="1166"/>
        <w:jc w:val="both"/>
        <w:rPr>
          <w:rStyle w:val="FootnoteReference"/>
          <w:rFonts w:asciiTheme="majorBidi" w:hAnsiTheme="majorBidi" w:cstheme="majorBidi"/>
          <w:b/>
          <w:sz w:val="20"/>
          <w:szCs w:val="20"/>
          <w:vertAlign w:val="baseline"/>
          <w:lang w:val="en-GB"/>
        </w:rPr>
      </w:pPr>
    </w:p>
    <w:p w14:paraId="1F1D0A92" w14:textId="44F19E09"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bookmarkStart w:id="4" w:name="_Ref7694713"/>
      <w:r w:rsidRPr="00A9211F">
        <w:rPr>
          <w:rFonts w:asciiTheme="majorBidi" w:hAnsiTheme="majorBidi" w:cstheme="majorBidi"/>
          <w:sz w:val="20"/>
          <w:szCs w:val="20"/>
          <w:lang w:val="en-GB"/>
        </w:rPr>
        <w:t xml:space="preserve">Article 11 of the AIE Regulations sets out the procedures for the internal review of refusals </w:t>
      </w:r>
      <w:r w:rsidR="00690351" w:rsidRPr="00A9211F">
        <w:rPr>
          <w:rFonts w:asciiTheme="majorBidi" w:hAnsiTheme="majorBidi" w:cstheme="majorBidi"/>
          <w:sz w:val="20"/>
          <w:szCs w:val="20"/>
          <w:lang w:val="en-GB"/>
        </w:rPr>
        <w:t>of environmental information requests</w:t>
      </w:r>
      <w:r w:rsidRPr="00A9211F">
        <w:rPr>
          <w:rFonts w:asciiTheme="majorBidi" w:hAnsiTheme="majorBidi" w:cstheme="majorBidi"/>
          <w:sz w:val="20"/>
          <w:szCs w:val="20"/>
          <w:lang w:val="en-GB"/>
        </w:rPr>
        <w:t>. Article 11(1) provides that, where the applicant’s request has been refused, in whole or in part, the applicant may, not later than one month following receipt of the decision of the public authority concerned, request the public authority to review the decision, in whole or in part.</w:t>
      </w:r>
      <w:bookmarkEnd w:id="4"/>
      <w:r w:rsidR="00EC5717" w:rsidRPr="00A9211F">
        <w:rPr>
          <w:rFonts w:asciiTheme="majorBidi" w:hAnsiTheme="majorBidi" w:cstheme="majorBidi"/>
          <w:sz w:val="20"/>
          <w:szCs w:val="20"/>
          <w:lang w:val="en-GB"/>
        </w:rPr>
        <w:t xml:space="preserve"> The one</w:t>
      </w:r>
      <w:r w:rsidR="007A71B2" w:rsidRPr="00A9211F">
        <w:rPr>
          <w:rFonts w:asciiTheme="majorBidi" w:hAnsiTheme="majorBidi" w:cstheme="majorBidi"/>
          <w:sz w:val="20"/>
          <w:szCs w:val="20"/>
          <w:lang w:val="en-GB"/>
        </w:rPr>
        <w:t>-</w:t>
      </w:r>
      <w:r w:rsidR="00EC5717" w:rsidRPr="00A9211F">
        <w:rPr>
          <w:rFonts w:asciiTheme="majorBidi" w:hAnsiTheme="majorBidi" w:cstheme="majorBidi"/>
          <w:sz w:val="20"/>
          <w:szCs w:val="20"/>
          <w:lang w:val="en-GB"/>
        </w:rPr>
        <w:t xml:space="preserve">month deadline </w:t>
      </w:r>
      <w:r w:rsidR="005E3BBD" w:rsidRPr="00A9211F">
        <w:rPr>
          <w:rFonts w:asciiTheme="majorBidi" w:hAnsiTheme="majorBidi" w:cstheme="majorBidi"/>
          <w:sz w:val="20"/>
          <w:szCs w:val="20"/>
          <w:lang w:val="en-GB"/>
        </w:rPr>
        <w:t xml:space="preserve">for seeking </w:t>
      </w:r>
      <w:r w:rsidR="00A06851" w:rsidRPr="00A9211F">
        <w:rPr>
          <w:rFonts w:asciiTheme="majorBidi" w:hAnsiTheme="majorBidi" w:cstheme="majorBidi"/>
          <w:sz w:val="20"/>
          <w:szCs w:val="20"/>
          <w:lang w:val="en-GB"/>
        </w:rPr>
        <w:t>internal review</w:t>
      </w:r>
      <w:r w:rsidR="00CC0180" w:rsidRPr="00A9211F">
        <w:rPr>
          <w:rFonts w:asciiTheme="majorBidi" w:hAnsiTheme="majorBidi" w:cstheme="majorBidi"/>
          <w:sz w:val="20"/>
          <w:szCs w:val="20"/>
          <w:lang w:val="en-GB"/>
        </w:rPr>
        <w:t xml:space="preserve"> </w:t>
      </w:r>
      <w:r w:rsidR="00A06851" w:rsidRPr="00A9211F">
        <w:rPr>
          <w:rFonts w:asciiTheme="majorBidi" w:hAnsiTheme="majorBidi" w:cstheme="majorBidi"/>
          <w:sz w:val="20"/>
          <w:szCs w:val="20"/>
          <w:lang w:val="en-GB"/>
        </w:rPr>
        <w:t xml:space="preserve">also applies in the case of </w:t>
      </w:r>
      <w:r w:rsidR="000F2F90" w:rsidRPr="00A9211F">
        <w:rPr>
          <w:rFonts w:asciiTheme="majorBidi" w:hAnsiTheme="majorBidi" w:cstheme="majorBidi"/>
          <w:sz w:val="20"/>
          <w:szCs w:val="20"/>
          <w:lang w:val="en-GB"/>
        </w:rPr>
        <w:t xml:space="preserve">a </w:t>
      </w:r>
      <w:r w:rsidR="00CC0180" w:rsidRPr="00A9211F">
        <w:rPr>
          <w:rFonts w:asciiTheme="majorBidi" w:hAnsiTheme="majorBidi" w:cstheme="majorBidi"/>
          <w:sz w:val="20"/>
          <w:szCs w:val="20"/>
          <w:lang w:val="en-GB"/>
        </w:rPr>
        <w:t xml:space="preserve">deemed refusal. </w:t>
      </w:r>
    </w:p>
    <w:p w14:paraId="382B49C6" w14:textId="77777777" w:rsidR="0018721E" w:rsidRPr="00A9211F" w:rsidRDefault="0018721E" w:rsidP="00EA5C8B">
      <w:pPr>
        <w:tabs>
          <w:tab w:val="left" w:pos="1701"/>
        </w:tabs>
        <w:jc w:val="both"/>
        <w:rPr>
          <w:rFonts w:asciiTheme="majorBidi" w:hAnsiTheme="majorBidi" w:cstheme="majorBidi"/>
          <w:sz w:val="20"/>
        </w:rPr>
      </w:pPr>
    </w:p>
    <w:p w14:paraId="6FB9F663" w14:textId="77777777"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lang w:val="en-GB"/>
        </w:rPr>
      </w:pPr>
      <w:r w:rsidRPr="00A9211F">
        <w:rPr>
          <w:rFonts w:asciiTheme="majorBidi" w:hAnsiTheme="majorBidi" w:cstheme="majorBidi"/>
          <w:sz w:val="20"/>
          <w:lang w:val="en-GB"/>
        </w:rPr>
        <w:t xml:space="preserve">Article 11(2) provides that, following the receipt of a request for a review under article 11(1), the public authority concerned shall designate a person unconnected with the original decision </w:t>
      </w:r>
      <w:r w:rsidRPr="00A9211F">
        <w:rPr>
          <w:rFonts w:asciiTheme="majorBidi" w:hAnsiTheme="majorBidi" w:cstheme="majorBidi"/>
          <w:sz w:val="20"/>
          <w:lang w:val="en-GB"/>
        </w:rPr>
        <w:lastRenderedPageBreak/>
        <w:t xml:space="preserve">whose rank is the same as, or higher than, that of the original decision-maker to review the decision and that person shall:  </w:t>
      </w:r>
    </w:p>
    <w:p w14:paraId="4C2E1C6A" w14:textId="77777777" w:rsidR="0018721E" w:rsidRPr="00A9211F" w:rsidRDefault="0018721E" w:rsidP="00EA5C8B">
      <w:pPr>
        <w:pStyle w:val="ListParagraph"/>
        <w:tabs>
          <w:tab w:val="left" w:pos="1701"/>
        </w:tabs>
        <w:spacing w:after="115"/>
        <w:ind w:left="1701"/>
        <w:jc w:val="both"/>
        <w:rPr>
          <w:rFonts w:asciiTheme="majorBidi" w:hAnsiTheme="majorBidi" w:cstheme="majorBidi"/>
          <w:sz w:val="20"/>
          <w:lang w:val="en-GB"/>
        </w:rPr>
      </w:pPr>
      <w:r w:rsidRPr="00A9211F">
        <w:rPr>
          <w:rFonts w:asciiTheme="majorBidi" w:hAnsiTheme="majorBidi" w:cstheme="majorBidi"/>
          <w:sz w:val="20"/>
          <w:lang w:val="en-GB"/>
        </w:rPr>
        <w:t xml:space="preserve">(a) </w:t>
      </w:r>
      <w:r w:rsidRPr="00A9211F">
        <w:rPr>
          <w:rFonts w:asciiTheme="majorBidi" w:hAnsiTheme="majorBidi" w:cstheme="majorBidi"/>
          <w:sz w:val="20"/>
          <w:lang w:val="en-GB"/>
        </w:rPr>
        <w:tab/>
        <w:t xml:space="preserve">Affirm, vary or annul the decision; and </w:t>
      </w:r>
    </w:p>
    <w:p w14:paraId="3125328F" w14:textId="04489F1B" w:rsidR="00611818" w:rsidRPr="00A9211F" w:rsidRDefault="00611818" w:rsidP="00EA5C8B">
      <w:pPr>
        <w:pStyle w:val="ListParagraph"/>
        <w:tabs>
          <w:tab w:val="left" w:pos="1701"/>
        </w:tabs>
        <w:ind w:left="1166"/>
        <w:jc w:val="both"/>
        <w:rPr>
          <w:rFonts w:asciiTheme="majorBidi" w:hAnsiTheme="majorBidi" w:cstheme="majorBidi"/>
          <w:sz w:val="20"/>
          <w:szCs w:val="20"/>
          <w:lang w:val="en-GB"/>
        </w:rPr>
      </w:pPr>
      <w:r w:rsidRPr="00A9211F">
        <w:rPr>
          <w:rFonts w:asciiTheme="majorBidi" w:hAnsiTheme="majorBidi" w:cstheme="majorBidi"/>
          <w:sz w:val="20"/>
          <w:lang w:val="en-GB"/>
        </w:rPr>
        <w:tab/>
      </w:r>
      <w:r w:rsidR="0018721E" w:rsidRPr="00A9211F">
        <w:rPr>
          <w:rFonts w:asciiTheme="majorBidi" w:hAnsiTheme="majorBidi" w:cstheme="majorBidi"/>
          <w:sz w:val="20"/>
          <w:lang w:val="en-GB"/>
        </w:rPr>
        <w:t xml:space="preserve">(b) </w:t>
      </w:r>
      <w:r w:rsidR="0018721E" w:rsidRPr="00A9211F">
        <w:rPr>
          <w:rFonts w:asciiTheme="majorBidi" w:hAnsiTheme="majorBidi" w:cstheme="majorBidi"/>
          <w:sz w:val="20"/>
          <w:lang w:val="en-GB"/>
        </w:rPr>
        <w:tab/>
        <w:t>Where appropriate, require the public authority to make available environmental information to the applicant, in accordance with these Regulations.</w:t>
      </w:r>
      <w:bookmarkStart w:id="5" w:name="_Ref7694727"/>
      <w:bookmarkStart w:id="6" w:name="_Ref11749461"/>
    </w:p>
    <w:p w14:paraId="68219A39" w14:textId="77777777" w:rsidR="00611818" w:rsidRPr="00A9211F" w:rsidRDefault="00611818" w:rsidP="00EA5C8B">
      <w:pPr>
        <w:pStyle w:val="ListParagraph"/>
        <w:tabs>
          <w:tab w:val="left" w:pos="1701"/>
        </w:tabs>
        <w:ind w:left="1166"/>
        <w:jc w:val="both"/>
        <w:rPr>
          <w:rFonts w:asciiTheme="majorBidi" w:hAnsiTheme="majorBidi" w:cstheme="majorBidi"/>
          <w:sz w:val="20"/>
          <w:szCs w:val="20"/>
          <w:lang w:val="en-GB"/>
        </w:rPr>
      </w:pPr>
    </w:p>
    <w:p w14:paraId="753D7B2D" w14:textId="0D4596B2" w:rsidR="00083917" w:rsidRPr="00A9211F" w:rsidRDefault="00083917" w:rsidP="00EA5C8B">
      <w:pPr>
        <w:pStyle w:val="ListParagraph"/>
        <w:numPr>
          <w:ilvl w:val="0"/>
          <w:numId w:val="7"/>
        </w:numPr>
        <w:tabs>
          <w:tab w:val="left" w:pos="1701"/>
        </w:tabs>
        <w:ind w:left="1166" w:firstLine="0"/>
        <w:jc w:val="both"/>
        <w:rPr>
          <w:rFonts w:asciiTheme="majorBidi" w:eastAsia="Times New Roman" w:hAnsiTheme="majorBidi" w:cstheme="majorBidi"/>
          <w:sz w:val="20"/>
          <w:szCs w:val="20"/>
          <w:lang w:val="en-GB"/>
        </w:rPr>
      </w:pPr>
      <w:r w:rsidRPr="00A9211F">
        <w:rPr>
          <w:rFonts w:asciiTheme="majorBidi" w:eastAsia="Times New Roman" w:hAnsiTheme="majorBidi" w:cstheme="majorBidi"/>
          <w:sz w:val="20"/>
          <w:szCs w:val="20"/>
          <w:lang w:val="en-GB"/>
        </w:rPr>
        <w:t>Pursuant to article 11(4), if the request for internal review results in a decision refusing the information request in whole or in part, the public authority shall specify the reasons for the decision to refuse, and inform the applicant of his or her right of appeal.</w:t>
      </w:r>
    </w:p>
    <w:p w14:paraId="6E7CDD6A" w14:textId="77777777" w:rsidR="00083917" w:rsidRPr="00A9211F" w:rsidRDefault="00083917" w:rsidP="00EA5C8B">
      <w:pPr>
        <w:pStyle w:val="ListParagraph"/>
        <w:tabs>
          <w:tab w:val="left" w:pos="1701"/>
        </w:tabs>
        <w:ind w:left="1166"/>
        <w:jc w:val="both"/>
        <w:rPr>
          <w:rFonts w:asciiTheme="majorBidi" w:hAnsiTheme="majorBidi" w:cstheme="majorBidi"/>
          <w:sz w:val="20"/>
          <w:szCs w:val="20"/>
          <w:lang w:val="en-GB"/>
        </w:rPr>
      </w:pPr>
    </w:p>
    <w:p w14:paraId="36545BF2" w14:textId="718ACF3E"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According to </w:t>
      </w:r>
      <w:r w:rsidR="005F296C" w:rsidRPr="00A9211F">
        <w:rPr>
          <w:rFonts w:asciiTheme="majorBidi" w:hAnsiTheme="majorBidi" w:cstheme="majorBidi"/>
          <w:sz w:val="20"/>
          <w:szCs w:val="20"/>
          <w:lang w:val="en-GB"/>
        </w:rPr>
        <w:t>a</w:t>
      </w:r>
      <w:r w:rsidRPr="00A9211F">
        <w:rPr>
          <w:rFonts w:asciiTheme="majorBidi" w:hAnsiTheme="majorBidi" w:cstheme="majorBidi"/>
          <w:sz w:val="20"/>
          <w:szCs w:val="20"/>
          <w:lang w:val="en-GB"/>
        </w:rPr>
        <w:t xml:space="preserve">rticle 11(3), </w:t>
      </w:r>
      <w:r w:rsidRPr="00A9211F">
        <w:rPr>
          <w:rFonts w:asciiTheme="majorBidi" w:eastAsia="Times New Roman" w:hAnsiTheme="majorBidi" w:cstheme="majorBidi"/>
          <w:sz w:val="20"/>
          <w:szCs w:val="20"/>
          <w:lang w:val="en-GB"/>
        </w:rPr>
        <w:t>a decision under article 11(2) “shall be notified to the applicant within one month from receipt of the request for the internal review”.</w:t>
      </w:r>
      <w:bookmarkEnd w:id="5"/>
      <w:r w:rsidRPr="00A9211F">
        <w:rPr>
          <w:rFonts w:asciiTheme="majorBidi" w:eastAsia="Times New Roman" w:hAnsiTheme="majorBidi" w:cstheme="majorBidi"/>
          <w:sz w:val="20"/>
          <w:szCs w:val="20"/>
          <w:lang w:val="en-GB"/>
        </w:rPr>
        <w:t xml:space="preserve"> </w:t>
      </w:r>
      <w:r w:rsidR="005F296C" w:rsidRPr="00A9211F">
        <w:rPr>
          <w:rFonts w:asciiTheme="majorBidi" w:eastAsia="Times New Roman" w:hAnsiTheme="majorBidi" w:cstheme="majorBidi"/>
          <w:sz w:val="20"/>
          <w:szCs w:val="20"/>
          <w:lang w:val="en-GB"/>
        </w:rPr>
        <w:t>In the Party concerned, t</w:t>
      </w:r>
      <w:r w:rsidRPr="00A9211F">
        <w:rPr>
          <w:rFonts w:asciiTheme="majorBidi" w:eastAsia="Times New Roman" w:hAnsiTheme="majorBidi" w:cstheme="majorBidi"/>
          <w:sz w:val="20"/>
          <w:szCs w:val="20"/>
          <w:lang w:val="en-GB"/>
        </w:rPr>
        <w:t>he failure of a public authority to respond at the internal review decision-making stage within this one</w:t>
      </w:r>
      <w:r w:rsidR="00582520" w:rsidRPr="00A9211F">
        <w:rPr>
          <w:rFonts w:asciiTheme="majorBidi" w:eastAsia="Times New Roman" w:hAnsiTheme="majorBidi" w:cstheme="majorBidi"/>
          <w:sz w:val="20"/>
          <w:szCs w:val="20"/>
          <w:lang w:val="en-GB"/>
        </w:rPr>
        <w:t>-</w:t>
      </w:r>
      <w:r w:rsidRPr="00A9211F">
        <w:rPr>
          <w:rFonts w:asciiTheme="majorBidi" w:eastAsia="Times New Roman" w:hAnsiTheme="majorBidi" w:cstheme="majorBidi"/>
          <w:sz w:val="20"/>
          <w:szCs w:val="20"/>
          <w:lang w:val="en-GB"/>
        </w:rPr>
        <w:t>month period or at all is called a “deemed refusal at the second stage”.</w:t>
      </w:r>
      <w:r w:rsidRPr="00A9211F">
        <w:rPr>
          <w:rFonts w:asciiTheme="majorBidi" w:hAnsiTheme="majorBidi" w:cstheme="majorBidi"/>
          <w:sz w:val="18"/>
          <w:szCs w:val="18"/>
          <w:vertAlign w:val="superscript"/>
          <w:lang w:val="en-GB"/>
        </w:rPr>
        <w:footnoteReference w:id="6"/>
      </w:r>
      <w:bookmarkEnd w:id="6"/>
      <w:r w:rsidRPr="00A9211F">
        <w:rPr>
          <w:rFonts w:asciiTheme="majorBidi" w:eastAsia="Times New Roman" w:hAnsiTheme="majorBidi" w:cstheme="majorBidi"/>
          <w:sz w:val="20"/>
          <w:szCs w:val="20"/>
          <w:lang w:val="en-GB"/>
        </w:rPr>
        <w:t xml:space="preserve"> </w:t>
      </w:r>
    </w:p>
    <w:p w14:paraId="5D582350" w14:textId="77777777" w:rsidR="0018721E" w:rsidRPr="00A9211F" w:rsidRDefault="0018721E" w:rsidP="00EA5C8B">
      <w:pPr>
        <w:tabs>
          <w:tab w:val="left" w:pos="1701"/>
        </w:tabs>
        <w:jc w:val="both"/>
        <w:rPr>
          <w:rFonts w:asciiTheme="majorBidi" w:hAnsiTheme="majorBidi" w:cstheme="majorBidi"/>
          <w:sz w:val="20"/>
        </w:rPr>
      </w:pPr>
    </w:p>
    <w:p w14:paraId="194F8A15" w14:textId="7606FC1C" w:rsidR="0018721E" w:rsidRPr="00A9211F" w:rsidRDefault="0018721E" w:rsidP="00EA5C8B">
      <w:pPr>
        <w:pStyle w:val="ListParagraph"/>
        <w:tabs>
          <w:tab w:val="left" w:pos="1701"/>
        </w:tabs>
        <w:ind w:left="1166"/>
        <w:jc w:val="both"/>
        <w:outlineLvl w:val="0"/>
        <w:rPr>
          <w:rFonts w:asciiTheme="majorBidi" w:hAnsiTheme="majorBidi" w:cstheme="majorBidi"/>
          <w:i/>
          <w:sz w:val="20"/>
          <w:szCs w:val="20"/>
          <w:lang w:val="en-GB"/>
        </w:rPr>
      </w:pPr>
      <w:r w:rsidRPr="00A9211F">
        <w:rPr>
          <w:rFonts w:asciiTheme="majorBidi" w:hAnsiTheme="majorBidi" w:cstheme="majorBidi"/>
          <w:i/>
          <w:sz w:val="20"/>
          <w:szCs w:val="20"/>
          <w:lang w:val="en-GB"/>
        </w:rPr>
        <w:t xml:space="preserve">Appeal to the </w:t>
      </w:r>
      <w:r w:rsidR="0062662E" w:rsidRPr="00A9211F">
        <w:rPr>
          <w:rFonts w:asciiTheme="majorBidi" w:hAnsiTheme="majorBidi" w:cstheme="majorBidi"/>
          <w:i/>
          <w:sz w:val="20"/>
          <w:szCs w:val="20"/>
          <w:lang w:val="en-GB"/>
        </w:rPr>
        <w:t>OCEI</w:t>
      </w:r>
    </w:p>
    <w:p w14:paraId="1B710F30" w14:textId="77777777" w:rsidR="0018721E" w:rsidRPr="00A9211F" w:rsidRDefault="0018721E" w:rsidP="00EA5C8B">
      <w:pPr>
        <w:pStyle w:val="ListParagraph"/>
        <w:tabs>
          <w:tab w:val="left" w:pos="1701"/>
        </w:tabs>
        <w:spacing w:after="115"/>
        <w:ind w:left="1166"/>
        <w:jc w:val="both"/>
        <w:rPr>
          <w:rFonts w:asciiTheme="majorBidi" w:hAnsiTheme="majorBidi" w:cstheme="majorBidi"/>
          <w:i/>
          <w:sz w:val="20"/>
          <w:szCs w:val="20"/>
          <w:lang w:val="en-GB"/>
        </w:rPr>
      </w:pPr>
    </w:p>
    <w:p w14:paraId="381F2324" w14:textId="459A09B3" w:rsidR="00E14216"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Article 12 of the AIE Regulations establishes the OCEI. </w:t>
      </w:r>
      <w:bookmarkStart w:id="7" w:name="_Ref527620916"/>
      <w:r w:rsidR="00E14216" w:rsidRPr="00A9211F">
        <w:rPr>
          <w:rFonts w:asciiTheme="majorBidi" w:hAnsiTheme="majorBidi" w:cstheme="majorBidi"/>
          <w:sz w:val="20"/>
          <w:szCs w:val="20"/>
          <w:lang w:val="en-GB"/>
        </w:rPr>
        <w:t xml:space="preserve">Pursuant to article 12(4), the applicant may appeal an internal review decision not later than one month from receipt of the decision (or in the case of a deemed refusal of a request for internal review, the time the decision should have been notified), unless the OCEI is satisfied in the circumstances of a particular case that it is reasonable to extend the time limit. </w:t>
      </w:r>
    </w:p>
    <w:p w14:paraId="1069AE4B" w14:textId="77777777" w:rsidR="00E14216" w:rsidRPr="00A9211F" w:rsidRDefault="00E14216" w:rsidP="00EA5C8B">
      <w:pPr>
        <w:pStyle w:val="ListParagraph"/>
        <w:tabs>
          <w:tab w:val="left" w:pos="1701"/>
        </w:tabs>
        <w:spacing w:after="115"/>
        <w:ind w:left="1166"/>
        <w:jc w:val="both"/>
        <w:rPr>
          <w:rFonts w:asciiTheme="majorBidi" w:hAnsiTheme="majorBidi" w:cstheme="majorBidi"/>
          <w:sz w:val="20"/>
          <w:szCs w:val="20"/>
          <w:lang w:val="en-GB"/>
        </w:rPr>
      </w:pPr>
    </w:p>
    <w:p w14:paraId="5B6069D2" w14:textId="4EDD9626" w:rsidR="0018721E"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Article 12(5) states that in case of receipt of an appeal under this article the OCEI shall:</w:t>
      </w:r>
      <w:bookmarkEnd w:id="7"/>
      <w:r w:rsidRPr="00A9211F">
        <w:rPr>
          <w:rFonts w:asciiTheme="majorBidi" w:hAnsiTheme="majorBidi" w:cstheme="majorBidi"/>
          <w:sz w:val="20"/>
          <w:szCs w:val="20"/>
          <w:lang w:val="en-GB"/>
        </w:rPr>
        <w:t xml:space="preserve"> </w:t>
      </w:r>
    </w:p>
    <w:p w14:paraId="20F49CD4" w14:textId="77777777" w:rsidR="0062662E" w:rsidRPr="00A9211F" w:rsidRDefault="0062662E" w:rsidP="00EA5C8B">
      <w:pPr>
        <w:pStyle w:val="ListParagraph"/>
        <w:rPr>
          <w:rFonts w:asciiTheme="majorBidi" w:hAnsiTheme="majorBidi" w:cstheme="majorBidi"/>
          <w:sz w:val="20"/>
          <w:szCs w:val="20"/>
          <w:lang w:val="en-GB"/>
        </w:rPr>
      </w:pPr>
    </w:p>
    <w:p w14:paraId="1CC87EC6" w14:textId="77777777" w:rsidR="0018721E" w:rsidRPr="00A9211F" w:rsidRDefault="0018721E" w:rsidP="00EA5C8B">
      <w:pPr>
        <w:pStyle w:val="ListParagraph"/>
        <w:numPr>
          <w:ilvl w:val="0"/>
          <w:numId w:val="41"/>
        </w:numPr>
        <w:tabs>
          <w:tab w:val="left" w:pos="1701"/>
        </w:tabs>
        <w:spacing w:after="115"/>
        <w:jc w:val="both"/>
        <w:rPr>
          <w:rFonts w:asciiTheme="majorBidi" w:hAnsiTheme="majorBidi" w:cstheme="majorBidi"/>
          <w:sz w:val="20"/>
          <w:szCs w:val="20"/>
          <w:lang w:val="en-GB"/>
        </w:rPr>
      </w:pPr>
      <w:r w:rsidRPr="00A9211F">
        <w:rPr>
          <w:rFonts w:asciiTheme="majorBidi" w:hAnsiTheme="majorBidi" w:cstheme="majorBidi"/>
          <w:sz w:val="20"/>
          <w:szCs w:val="20"/>
          <w:lang w:val="en-GB"/>
        </w:rPr>
        <w:t>Review the decision of the public authority;</w:t>
      </w:r>
    </w:p>
    <w:p w14:paraId="52B43178" w14:textId="77777777" w:rsidR="0018721E" w:rsidRPr="00A9211F" w:rsidRDefault="0018721E" w:rsidP="00EA5C8B">
      <w:pPr>
        <w:pStyle w:val="ListParagraph"/>
        <w:numPr>
          <w:ilvl w:val="0"/>
          <w:numId w:val="41"/>
        </w:numPr>
        <w:tabs>
          <w:tab w:val="left" w:pos="1701"/>
        </w:tabs>
        <w:spacing w:after="115"/>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Affirm, vary or annul the decision concerned, specifying the reasons for his or her decision; and </w:t>
      </w:r>
    </w:p>
    <w:p w14:paraId="65DAA3A1" w14:textId="77777777" w:rsidR="0018721E" w:rsidRPr="00A9211F" w:rsidRDefault="0018721E" w:rsidP="00EA5C8B">
      <w:pPr>
        <w:pStyle w:val="ListParagraph"/>
        <w:numPr>
          <w:ilvl w:val="0"/>
          <w:numId w:val="41"/>
        </w:numPr>
        <w:tabs>
          <w:tab w:val="left" w:pos="1701"/>
        </w:tabs>
        <w:spacing w:after="115"/>
        <w:jc w:val="both"/>
        <w:rPr>
          <w:rFonts w:asciiTheme="majorBidi" w:hAnsiTheme="majorBidi" w:cstheme="majorBidi"/>
          <w:sz w:val="20"/>
          <w:szCs w:val="20"/>
          <w:lang w:val="en-GB"/>
        </w:rPr>
      </w:pPr>
      <w:r w:rsidRPr="00A9211F">
        <w:rPr>
          <w:rFonts w:asciiTheme="majorBidi" w:hAnsiTheme="majorBidi" w:cstheme="majorBidi"/>
          <w:sz w:val="20"/>
          <w:szCs w:val="20"/>
          <w:lang w:val="en-GB"/>
        </w:rPr>
        <w:t>Where appropriate, require the public authority to make available environmental information to the applicant,</w:t>
      </w:r>
    </w:p>
    <w:p w14:paraId="0FC44BEE" w14:textId="4172F3F7" w:rsidR="0018721E" w:rsidRPr="00A9211F" w:rsidRDefault="0018721E" w:rsidP="00EA5C8B">
      <w:pPr>
        <w:tabs>
          <w:tab w:val="left" w:pos="1701"/>
        </w:tabs>
        <w:spacing w:after="115"/>
        <w:ind w:left="1166"/>
        <w:jc w:val="both"/>
        <w:rPr>
          <w:rFonts w:asciiTheme="majorBidi" w:hAnsiTheme="majorBidi" w:cstheme="majorBidi"/>
          <w:sz w:val="20"/>
          <w:szCs w:val="20"/>
        </w:rPr>
      </w:pPr>
      <w:r w:rsidRPr="00A9211F">
        <w:rPr>
          <w:rFonts w:asciiTheme="majorBidi" w:hAnsiTheme="majorBidi" w:cstheme="majorBidi"/>
          <w:sz w:val="20"/>
          <w:szCs w:val="20"/>
        </w:rPr>
        <w:t xml:space="preserve"> </w:t>
      </w:r>
      <w:r w:rsidR="0062662E" w:rsidRPr="00A9211F">
        <w:rPr>
          <w:rFonts w:asciiTheme="majorBidi" w:hAnsiTheme="majorBidi" w:cstheme="majorBidi"/>
          <w:sz w:val="20"/>
          <w:szCs w:val="20"/>
        </w:rPr>
        <w:tab/>
      </w:r>
      <w:r w:rsidRPr="00A9211F">
        <w:rPr>
          <w:rFonts w:asciiTheme="majorBidi" w:hAnsiTheme="majorBidi" w:cstheme="majorBidi"/>
          <w:sz w:val="20"/>
          <w:szCs w:val="20"/>
        </w:rPr>
        <w:t xml:space="preserve">in accordance with the Regulations. </w:t>
      </w:r>
    </w:p>
    <w:p w14:paraId="78A1A746" w14:textId="6FFAEF1D" w:rsidR="0018721E"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Article 12(7) requires a public authority to comply with a decision of the OCEI within 3 weeks of its receipt. Article 12(8) provides that, where a public authority fails to do so, the Commissioner may apply to the High Court for an order directing the public authority to comply with that decision and, on the hearing of such an application, the High Court may grant such relief. </w:t>
      </w:r>
    </w:p>
    <w:p w14:paraId="6C9B2303" w14:textId="77777777" w:rsidR="0018721E" w:rsidRPr="00A9211F" w:rsidRDefault="0018721E" w:rsidP="00EA5C8B">
      <w:pPr>
        <w:pStyle w:val="ListParagraph"/>
        <w:tabs>
          <w:tab w:val="left" w:pos="1701"/>
        </w:tabs>
        <w:ind w:left="1166"/>
        <w:jc w:val="both"/>
        <w:rPr>
          <w:rFonts w:asciiTheme="majorBidi" w:hAnsiTheme="majorBidi" w:cstheme="majorBidi"/>
          <w:i/>
          <w:sz w:val="20"/>
          <w:szCs w:val="20"/>
          <w:lang w:val="en-GB"/>
        </w:rPr>
      </w:pPr>
    </w:p>
    <w:p w14:paraId="32031A5F" w14:textId="77777777" w:rsidR="0018721E"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OCEI has the power to conduct a full factual and legal review of any decision taken by the public authority.</w:t>
      </w:r>
      <w:r w:rsidRPr="00A9211F">
        <w:rPr>
          <w:rFonts w:asciiTheme="majorBidi" w:hAnsiTheme="majorBidi" w:cstheme="majorBidi"/>
          <w:sz w:val="20"/>
          <w:vertAlign w:val="superscript"/>
          <w:lang w:val="en-GB"/>
        </w:rPr>
        <w:footnoteReference w:id="7"/>
      </w:r>
      <w:r w:rsidRPr="00A9211F">
        <w:rPr>
          <w:rFonts w:asciiTheme="majorBidi" w:hAnsiTheme="majorBidi" w:cstheme="majorBidi"/>
          <w:sz w:val="20"/>
          <w:szCs w:val="20"/>
          <w:vertAlign w:val="superscript"/>
          <w:lang w:val="en-GB"/>
        </w:rPr>
        <w:t xml:space="preserve"> </w:t>
      </w:r>
      <w:r w:rsidRPr="00A9211F">
        <w:rPr>
          <w:rFonts w:asciiTheme="majorBidi" w:hAnsiTheme="majorBidi" w:cstheme="majorBidi"/>
          <w:sz w:val="20"/>
          <w:szCs w:val="20"/>
          <w:lang w:val="en-GB"/>
        </w:rPr>
        <w:t xml:space="preserve"> However, the OCEI cannot suspend a decision-making procedure that is subject to public participation.</w:t>
      </w:r>
      <w:r w:rsidRPr="00A9211F">
        <w:rPr>
          <w:rStyle w:val="FootnoteReference"/>
          <w:rFonts w:asciiTheme="majorBidi" w:hAnsiTheme="majorBidi" w:cstheme="majorBidi"/>
          <w:szCs w:val="20"/>
          <w:lang w:val="en-GB"/>
        </w:rPr>
        <w:footnoteReference w:id="8"/>
      </w:r>
      <w:r w:rsidRPr="00A9211F">
        <w:rPr>
          <w:rFonts w:asciiTheme="majorBidi" w:hAnsiTheme="majorBidi" w:cstheme="majorBidi"/>
          <w:sz w:val="20"/>
          <w:szCs w:val="20"/>
          <w:lang w:val="en-GB"/>
        </w:rPr>
        <w:t xml:space="preserve"> There is no statutory obligation to take a decision within a certain time frame.</w:t>
      </w:r>
      <w:r w:rsidRPr="00A9211F">
        <w:rPr>
          <w:rStyle w:val="FootnoteReference"/>
          <w:rFonts w:asciiTheme="majorBidi" w:hAnsiTheme="majorBidi" w:cstheme="majorBidi"/>
          <w:szCs w:val="20"/>
          <w:lang w:val="en-GB"/>
        </w:rPr>
        <w:footnoteReference w:id="9"/>
      </w:r>
      <w:r w:rsidRPr="00A9211F">
        <w:rPr>
          <w:rFonts w:asciiTheme="majorBidi" w:hAnsiTheme="majorBidi" w:cstheme="majorBidi"/>
          <w:sz w:val="20"/>
          <w:szCs w:val="20"/>
          <w:lang w:val="en-GB"/>
        </w:rPr>
        <w:t xml:space="preserve"> </w:t>
      </w:r>
    </w:p>
    <w:p w14:paraId="3C176FA0" w14:textId="77777777" w:rsidR="0018721E" w:rsidRPr="00A9211F" w:rsidRDefault="0018721E" w:rsidP="00EA5C8B">
      <w:pPr>
        <w:pStyle w:val="ListParagraph"/>
        <w:rPr>
          <w:rFonts w:asciiTheme="majorBidi" w:hAnsiTheme="majorBidi" w:cstheme="majorBidi"/>
          <w:sz w:val="20"/>
          <w:szCs w:val="20"/>
          <w:lang w:val="en-GB"/>
        </w:rPr>
      </w:pPr>
    </w:p>
    <w:p w14:paraId="6A22210B" w14:textId="292ABAD4" w:rsidR="0018721E" w:rsidRPr="00A9211F" w:rsidRDefault="0018721E" w:rsidP="00EA5C8B">
      <w:pPr>
        <w:pStyle w:val="ListParagraph"/>
        <w:numPr>
          <w:ilvl w:val="0"/>
          <w:numId w:val="7"/>
        </w:numPr>
        <w:tabs>
          <w:tab w:val="left" w:pos="1701"/>
        </w:tabs>
        <w:spacing w:after="115"/>
        <w:ind w:left="1166" w:firstLine="0"/>
        <w:jc w:val="both"/>
        <w:rPr>
          <w:rFonts w:asciiTheme="majorBidi" w:hAnsiTheme="majorBidi" w:cstheme="majorBidi"/>
          <w:sz w:val="20"/>
          <w:szCs w:val="20"/>
          <w:lang w:val="en-GB"/>
        </w:rPr>
      </w:pPr>
      <w:bookmarkStart w:id="8" w:name="_Ref533067343"/>
      <w:r w:rsidRPr="00A9211F">
        <w:rPr>
          <w:rFonts w:asciiTheme="majorBidi" w:hAnsiTheme="majorBidi" w:cstheme="majorBidi"/>
          <w:sz w:val="20"/>
          <w:szCs w:val="20"/>
          <w:lang w:val="en-GB"/>
        </w:rPr>
        <w:t>Paragraph 14(2) of the OCEI’s Procedures Manual states that:</w:t>
      </w:r>
      <w:bookmarkEnd w:id="8"/>
      <w:r w:rsidRPr="00A9211F">
        <w:rPr>
          <w:rFonts w:asciiTheme="majorBidi" w:hAnsiTheme="majorBidi" w:cstheme="majorBidi"/>
          <w:sz w:val="20"/>
          <w:szCs w:val="20"/>
          <w:lang w:val="en-GB"/>
        </w:rPr>
        <w:t xml:space="preserve"> </w:t>
      </w:r>
    </w:p>
    <w:p w14:paraId="3A5A8D9F" w14:textId="45B9F8BF" w:rsidR="0018721E" w:rsidRPr="00A9211F" w:rsidRDefault="0018721E" w:rsidP="00EA5C8B">
      <w:pPr>
        <w:pStyle w:val="ListParagraph"/>
        <w:tabs>
          <w:tab w:val="left" w:pos="1701"/>
        </w:tabs>
        <w:spacing w:after="115"/>
        <w:ind w:left="1166"/>
        <w:jc w:val="both"/>
        <w:rPr>
          <w:rFonts w:asciiTheme="majorBidi" w:hAnsiTheme="majorBidi" w:cstheme="majorBidi"/>
          <w:sz w:val="20"/>
          <w:szCs w:val="20"/>
          <w:lang w:val="en-GB"/>
        </w:rPr>
      </w:pPr>
    </w:p>
    <w:p w14:paraId="3EF7D272" w14:textId="77777777" w:rsidR="0018721E" w:rsidRPr="00A9211F" w:rsidRDefault="0018721E" w:rsidP="00EA5C8B">
      <w:pPr>
        <w:pStyle w:val="ListParagraph"/>
        <w:tabs>
          <w:tab w:val="left" w:pos="1701"/>
        </w:tabs>
        <w:spacing w:after="115"/>
        <w:ind w:left="1701"/>
        <w:jc w:val="both"/>
        <w:rPr>
          <w:rFonts w:asciiTheme="majorBidi" w:hAnsiTheme="majorBidi" w:cstheme="majorBidi"/>
          <w:sz w:val="20"/>
          <w:lang w:val="en-GB"/>
        </w:rPr>
      </w:pPr>
      <w:r w:rsidRPr="00A9211F">
        <w:rPr>
          <w:rFonts w:asciiTheme="majorBidi" w:hAnsiTheme="majorBidi" w:cstheme="majorBidi"/>
          <w:sz w:val="20"/>
          <w:szCs w:val="20"/>
          <w:lang w:val="en-GB"/>
        </w:rPr>
        <w:t>“</w:t>
      </w:r>
      <w:r w:rsidRPr="00A9211F">
        <w:rPr>
          <w:rFonts w:asciiTheme="majorBidi" w:hAnsiTheme="majorBidi" w:cstheme="majorBidi"/>
          <w:sz w:val="20"/>
          <w:lang w:val="en-GB"/>
        </w:rPr>
        <w:t xml:space="preserve">Cases will not be dealt with solely by reference to age. In some circumstances, more recent cases may be dealt with before older cases. The circumstances in which this may arise include: </w:t>
      </w:r>
      <w:r w:rsidRPr="00A9211F">
        <w:rPr>
          <w:rFonts w:asciiTheme="majorBidi" w:hAnsiTheme="majorBidi" w:cstheme="majorBidi"/>
          <w:sz w:val="20"/>
          <w:szCs w:val="20"/>
        </w:rPr>
        <w:t xml:space="preserve"> </w:t>
      </w:r>
    </w:p>
    <w:p w14:paraId="5CE02DA0" w14:textId="341FE5D5" w:rsidR="0018721E" w:rsidRPr="00A9211F" w:rsidRDefault="0018721E" w:rsidP="00EA5C8B">
      <w:pPr>
        <w:pStyle w:val="ListParagraph"/>
        <w:tabs>
          <w:tab w:val="left" w:pos="1701"/>
        </w:tabs>
        <w:spacing w:after="115"/>
        <w:ind w:left="1701"/>
        <w:jc w:val="both"/>
        <w:rPr>
          <w:rFonts w:asciiTheme="majorBidi" w:hAnsiTheme="majorBidi" w:cstheme="majorBidi"/>
          <w:sz w:val="20"/>
          <w:szCs w:val="20"/>
          <w:lang w:val="en-GB"/>
        </w:rPr>
      </w:pPr>
      <w:r w:rsidRPr="00A9211F">
        <w:rPr>
          <w:rFonts w:asciiTheme="majorBidi" w:hAnsiTheme="majorBidi" w:cstheme="majorBidi"/>
          <w:sz w:val="20"/>
          <w:szCs w:val="20"/>
          <w:lang w:val="en-GB"/>
        </w:rPr>
        <w:t>…</w:t>
      </w:r>
    </w:p>
    <w:p w14:paraId="1F433A01" w14:textId="46C0F505" w:rsidR="0018721E" w:rsidRPr="00A9211F" w:rsidRDefault="0018721E" w:rsidP="00EA5C8B">
      <w:pPr>
        <w:pStyle w:val="ListParagraph"/>
        <w:numPr>
          <w:ilvl w:val="0"/>
          <w:numId w:val="56"/>
        </w:numPr>
        <w:tabs>
          <w:tab w:val="left" w:pos="1701"/>
        </w:tabs>
        <w:spacing w:after="115"/>
        <w:jc w:val="both"/>
        <w:rPr>
          <w:rStyle w:val="FootnoteReference"/>
          <w:rFonts w:asciiTheme="majorBidi" w:hAnsiTheme="majorBidi" w:cstheme="majorBidi"/>
        </w:rPr>
      </w:pPr>
      <w:r w:rsidRPr="00A9211F">
        <w:rPr>
          <w:rFonts w:asciiTheme="majorBidi" w:hAnsiTheme="majorBidi" w:cstheme="majorBidi"/>
          <w:sz w:val="20"/>
          <w:lang w:val="en-GB"/>
        </w:rPr>
        <w:t xml:space="preserve">where the appellant seeks priority for a specific pressing reason; however, as most appellants will be anxious, understandably, to have their cases expedited, this ground </w:t>
      </w:r>
      <w:r w:rsidRPr="00A9211F">
        <w:rPr>
          <w:rFonts w:asciiTheme="majorBidi" w:hAnsiTheme="majorBidi" w:cstheme="majorBidi"/>
          <w:sz w:val="20"/>
          <w:lang w:val="en-GB"/>
        </w:rPr>
        <w:lastRenderedPageBreak/>
        <w:t>will apply in exceptional circumstances only and only where resources allow – time-consuming cases involving a large volume of records and/or complex issues are unlikely to be considered suitable for expedited processing</w:t>
      </w:r>
      <w:r w:rsidRPr="00A9211F">
        <w:rPr>
          <w:rFonts w:asciiTheme="majorBidi" w:hAnsiTheme="majorBidi" w:cstheme="majorBidi"/>
          <w:sz w:val="20"/>
          <w:szCs w:val="20"/>
          <w:lang w:val="en-GB"/>
        </w:rPr>
        <w:t>”.</w:t>
      </w:r>
      <w:r w:rsidRPr="00A9211F">
        <w:rPr>
          <w:rFonts w:asciiTheme="majorBidi" w:hAnsiTheme="majorBidi" w:cstheme="majorBidi"/>
          <w:sz w:val="18"/>
          <w:szCs w:val="18"/>
          <w:vertAlign w:val="superscript"/>
          <w:lang w:val="en-GB"/>
        </w:rPr>
        <w:footnoteReference w:id="10"/>
      </w:r>
    </w:p>
    <w:p w14:paraId="245E084E" w14:textId="77777777" w:rsidR="00124724" w:rsidRPr="00A9211F" w:rsidRDefault="00124724" w:rsidP="00EA5C8B">
      <w:pPr>
        <w:pStyle w:val="ListParagraph"/>
        <w:tabs>
          <w:tab w:val="left" w:pos="1701"/>
        </w:tabs>
        <w:ind w:left="1166"/>
        <w:jc w:val="both"/>
        <w:rPr>
          <w:rFonts w:asciiTheme="majorBidi" w:hAnsiTheme="majorBidi" w:cstheme="majorBidi"/>
          <w:i/>
          <w:sz w:val="20"/>
          <w:szCs w:val="20"/>
          <w:lang w:val="en-GB"/>
        </w:rPr>
      </w:pPr>
    </w:p>
    <w:p w14:paraId="46714FA2" w14:textId="08B42AB1" w:rsidR="00124724" w:rsidRPr="00A9211F" w:rsidRDefault="00124724" w:rsidP="00EA5C8B">
      <w:pPr>
        <w:pStyle w:val="ListParagraph"/>
        <w:numPr>
          <w:ilvl w:val="0"/>
          <w:numId w:val="7"/>
        </w:numPr>
        <w:tabs>
          <w:tab w:val="left" w:pos="1701"/>
        </w:tabs>
        <w:ind w:left="1166" w:firstLine="0"/>
        <w:jc w:val="both"/>
        <w:rPr>
          <w:rFonts w:asciiTheme="majorBidi" w:hAnsiTheme="majorBidi" w:cstheme="majorBidi"/>
        </w:rPr>
      </w:pPr>
      <w:r w:rsidRPr="00A9211F">
        <w:rPr>
          <w:rFonts w:asciiTheme="majorBidi" w:hAnsiTheme="majorBidi" w:cstheme="majorBidi"/>
          <w:sz w:val="20"/>
          <w:szCs w:val="20"/>
          <w:lang w:val="en-GB"/>
        </w:rPr>
        <w:t xml:space="preserve">By virtue of article 12(2) of the AIE Regulations, the </w:t>
      </w:r>
      <w:r w:rsidR="0062662E" w:rsidRPr="00A9211F">
        <w:rPr>
          <w:rFonts w:asciiTheme="majorBidi" w:hAnsiTheme="majorBidi" w:cstheme="majorBidi"/>
          <w:sz w:val="20"/>
          <w:szCs w:val="20"/>
          <w:lang w:val="en-GB"/>
        </w:rPr>
        <w:t xml:space="preserve">Commissioner for Environmental Information (CEI) </w:t>
      </w:r>
      <w:r w:rsidRPr="00A9211F">
        <w:rPr>
          <w:rFonts w:asciiTheme="majorBidi" w:hAnsiTheme="majorBidi" w:cstheme="majorBidi"/>
          <w:sz w:val="20"/>
          <w:szCs w:val="20"/>
          <w:lang w:val="en-GB"/>
        </w:rPr>
        <w:t>is also the person who acts as Information Commissioner under the FOI Act.  The FOI and AIE legal regimes are, however, independent of each other, as are the roles of Information Commissioner and the CEI.</w:t>
      </w:r>
      <w:r w:rsidRPr="00A9211F">
        <w:rPr>
          <w:rStyle w:val="FootnoteReference"/>
          <w:rFonts w:asciiTheme="majorBidi" w:hAnsiTheme="majorBidi" w:cstheme="majorBidi"/>
          <w:sz w:val="20"/>
          <w:szCs w:val="20"/>
          <w:lang w:val="en-GB"/>
        </w:rPr>
        <w:footnoteReference w:id="11"/>
      </w:r>
      <w:r w:rsidRPr="00A9211F">
        <w:rPr>
          <w:rFonts w:asciiTheme="majorBidi" w:hAnsiTheme="majorBidi" w:cstheme="majorBidi"/>
          <w:sz w:val="20"/>
          <w:szCs w:val="20"/>
          <w:lang w:val="en-GB"/>
        </w:rPr>
        <w:t xml:space="preserve"> The FOI Act applies to information requests not made under the AIE Regulations. </w:t>
      </w:r>
    </w:p>
    <w:p w14:paraId="0408D5A5" w14:textId="77777777" w:rsidR="00124724" w:rsidRPr="00A9211F" w:rsidRDefault="00124724" w:rsidP="00EA5C8B">
      <w:pPr>
        <w:pStyle w:val="ListParagraph"/>
        <w:tabs>
          <w:tab w:val="left" w:pos="1701"/>
        </w:tabs>
        <w:ind w:left="1166"/>
        <w:jc w:val="both"/>
        <w:rPr>
          <w:rFonts w:asciiTheme="majorBidi" w:hAnsiTheme="majorBidi" w:cstheme="majorBidi"/>
        </w:rPr>
      </w:pPr>
    </w:p>
    <w:p w14:paraId="61F8BB9C" w14:textId="77777777" w:rsidR="00124724" w:rsidRPr="00A9211F" w:rsidRDefault="00124724" w:rsidP="00EA5C8B">
      <w:pPr>
        <w:pStyle w:val="ListParagraph"/>
        <w:numPr>
          <w:ilvl w:val="0"/>
          <w:numId w:val="7"/>
        </w:numPr>
        <w:tabs>
          <w:tab w:val="left" w:pos="1701"/>
        </w:tabs>
        <w:ind w:left="1166" w:firstLine="0"/>
        <w:jc w:val="both"/>
        <w:rPr>
          <w:rFonts w:asciiTheme="majorBidi" w:hAnsiTheme="majorBidi" w:cstheme="majorBidi"/>
        </w:rPr>
      </w:pPr>
      <w:r w:rsidRPr="00A9211F">
        <w:rPr>
          <w:rFonts w:asciiTheme="majorBidi" w:hAnsiTheme="majorBidi" w:cstheme="majorBidi"/>
          <w:sz w:val="20"/>
          <w:szCs w:val="20"/>
          <w:lang w:val="en-GB"/>
        </w:rPr>
        <w:t>According to section 22(3) of the FOI Act, the Information Commissioner is required to rule on appeals “</w:t>
      </w:r>
      <w:r w:rsidRPr="00A9211F">
        <w:rPr>
          <w:rFonts w:asciiTheme="majorBidi" w:hAnsiTheme="majorBidi" w:cstheme="majorBidi"/>
          <w:sz w:val="20"/>
          <w:szCs w:val="20"/>
          <w:shd w:val="clear" w:color="auto" w:fill="FFFFFF"/>
          <w:lang w:val="en-GB"/>
        </w:rPr>
        <w:t>as soon as may be and, insofar as practicable, not later than 4 months after the receipt by the Commissioner of the application for the review concerned.”</w:t>
      </w:r>
      <w:r w:rsidRPr="00A9211F">
        <w:rPr>
          <w:rStyle w:val="FootnoteReference"/>
          <w:rFonts w:asciiTheme="majorBidi" w:hAnsiTheme="majorBidi" w:cstheme="majorBidi"/>
          <w:sz w:val="20"/>
          <w:szCs w:val="20"/>
          <w:lang w:val="en-GB"/>
        </w:rPr>
        <w:footnoteReference w:id="12"/>
      </w:r>
      <w:r w:rsidRPr="00A9211F">
        <w:rPr>
          <w:rFonts w:asciiTheme="majorBidi" w:hAnsiTheme="majorBidi" w:cstheme="majorBidi"/>
          <w:sz w:val="20"/>
          <w:szCs w:val="20"/>
          <w:lang w:val="en-GB"/>
        </w:rPr>
        <w:t xml:space="preserve"> </w:t>
      </w:r>
    </w:p>
    <w:p w14:paraId="11B9EA4B" w14:textId="77777777" w:rsidR="00124724" w:rsidRPr="00A9211F" w:rsidRDefault="00124724" w:rsidP="00EA5C8B">
      <w:pPr>
        <w:tabs>
          <w:tab w:val="left" w:pos="1701"/>
        </w:tabs>
        <w:ind w:left="1166"/>
        <w:jc w:val="both"/>
        <w:outlineLvl w:val="0"/>
        <w:rPr>
          <w:rFonts w:asciiTheme="majorBidi" w:hAnsiTheme="majorBidi" w:cstheme="majorBidi"/>
          <w:i/>
          <w:sz w:val="20"/>
          <w:lang w:val="en-US"/>
        </w:rPr>
      </w:pPr>
    </w:p>
    <w:p w14:paraId="7AD125F5" w14:textId="384BEAC0" w:rsidR="0018721E" w:rsidRPr="00A9211F" w:rsidRDefault="000F2F90" w:rsidP="00EA5C8B">
      <w:pPr>
        <w:tabs>
          <w:tab w:val="left" w:pos="1701"/>
        </w:tabs>
        <w:ind w:left="1166"/>
        <w:jc w:val="both"/>
        <w:outlineLvl w:val="0"/>
        <w:rPr>
          <w:rFonts w:asciiTheme="majorBidi" w:hAnsiTheme="majorBidi" w:cstheme="majorBidi"/>
          <w:i/>
          <w:sz w:val="20"/>
        </w:rPr>
      </w:pPr>
      <w:r w:rsidRPr="00A9211F">
        <w:rPr>
          <w:rFonts w:asciiTheme="majorBidi" w:hAnsiTheme="majorBidi" w:cstheme="majorBidi"/>
          <w:i/>
          <w:sz w:val="20"/>
        </w:rPr>
        <w:t>Appeal to a court of law</w:t>
      </w:r>
    </w:p>
    <w:p w14:paraId="44AA13D3" w14:textId="77777777" w:rsidR="0018721E" w:rsidRPr="00A9211F" w:rsidRDefault="0018721E" w:rsidP="00EA5C8B">
      <w:pPr>
        <w:pStyle w:val="ListParagraph"/>
        <w:tabs>
          <w:tab w:val="left" w:pos="1701"/>
        </w:tabs>
        <w:ind w:left="1166"/>
        <w:jc w:val="both"/>
        <w:outlineLvl w:val="0"/>
        <w:rPr>
          <w:rFonts w:asciiTheme="majorBidi" w:hAnsiTheme="majorBidi" w:cstheme="majorBidi"/>
          <w:i/>
          <w:sz w:val="20"/>
          <w:szCs w:val="20"/>
          <w:lang w:val="en-GB"/>
        </w:rPr>
      </w:pPr>
    </w:p>
    <w:p w14:paraId="5811CE5C" w14:textId="02D68539" w:rsidR="000F2F90"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bookmarkStart w:id="9" w:name="_Ref533074618"/>
      <w:r w:rsidRPr="00A9211F">
        <w:rPr>
          <w:rFonts w:asciiTheme="majorBidi" w:hAnsiTheme="majorBidi" w:cstheme="majorBidi"/>
          <w:sz w:val="20"/>
          <w:szCs w:val="20"/>
          <w:lang w:val="en-GB"/>
        </w:rPr>
        <w:t>Under article 13(1) of the AIE Regulations, “a party to an appeal under article 12 or any other person affected by a decision” of the OCEI may appeal against that decision to the High Court on a point of law.</w:t>
      </w:r>
      <w:r w:rsidRPr="00A9211F">
        <w:rPr>
          <w:rFonts w:asciiTheme="majorBidi" w:hAnsiTheme="majorBidi" w:cstheme="majorBidi"/>
          <w:sz w:val="20"/>
          <w:szCs w:val="20"/>
          <w:vertAlign w:val="superscript"/>
          <w:lang w:val="en-GB"/>
        </w:rPr>
        <w:t xml:space="preserve"> </w:t>
      </w:r>
    </w:p>
    <w:p w14:paraId="503AD9D3" w14:textId="0C1ED779" w:rsidR="0018721E" w:rsidRPr="00A9211F" w:rsidRDefault="0018721E" w:rsidP="00EA5C8B">
      <w:pPr>
        <w:pStyle w:val="ListParagraph"/>
        <w:tabs>
          <w:tab w:val="left" w:pos="1701"/>
        </w:tabs>
        <w:ind w:left="1166"/>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 </w:t>
      </w:r>
      <w:bookmarkEnd w:id="9"/>
    </w:p>
    <w:p w14:paraId="7CC349AB" w14:textId="3B6E94F7"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Appeals proceed according to the general rules for statutory appeals.</w:t>
      </w:r>
      <w:r w:rsidRPr="00A9211F">
        <w:rPr>
          <w:rStyle w:val="FootnoteReference"/>
          <w:rFonts w:asciiTheme="majorBidi" w:hAnsiTheme="majorBidi" w:cstheme="majorBidi"/>
          <w:szCs w:val="20"/>
          <w:lang w:val="en-GB"/>
        </w:rPr>
        <w:footnoteReference w:id="13"/>
      </w:r>
      <w:r w:rsidRPr="00A9211F">
        <w:rPr>
          <w:rFonts w:asciiTheme="majorBidi" w:hAnsiTheme="majorBidi" w:cstheme="majorBidi"/>
          <w:sz w:val="16"/>
          <w:szCs w:val="20"/>
          <w:lang w:val="en-GB"/>
        </w:rPr>
        <w:t xml:space="preserve"> </w:t>
      </w:r>
      <w:r w:rsidRPr="00A9211F">
        <w:rPr>
          <w:rFonts w:asciiTheme="majorBidi" w:hAnsiTheme="majorBidi" w:cstheme="majorBidi"/>
          <w:sz w:val="20"/>
          <w:szCs w:val="20"/>
          <w:lang w:val="en-GB"/>
        </w:rPr>
        <w:t>Challenges to OCEI decisions can alternatively be brought by way of judicial review.</w:t>
      </w:r>
      <w:r w:rsidRPr="00A9211F">
        <w:rPr>
          <w:rStyle w:val="FootnoteReference"/>
          <w:rFonts w:asciiTheme="majorBidi" w:hAnsiTheme="majorBidi" w:cstheme="majorBidi"/>
          <w:szCs w:val="20"/>
          <w:lang w:val="en-GB"/>
        </w:rPr>
        <w:footnoteReference w:id="14"/>
      </w:r>
      <w:r w:rsidRPr="00A9211F">
        <w:rPr>
          <w:rFonts w:asciiTheme="majorBidi" w:hAnsiTheme="majorBidi" w:cstheme="majorBidi"/>
          <w:sz w:val="20"/>
          <w:szCs w:val="20"/>
          <w:lang w:val="en-GB"/>
        </w:rPr>
        <w:t xml:space="preserve"> The court’s jurisdiction in an application for judicial review is similar to that for statutory appeals in limiting consideration of questions of fact.</w:t>
      </w:r>
      <w:r w:rsidRPr="00A9211F">
        <w:rPr>
          <w:rStyle w:val="FootnoteReference"/>
          <w:rFonts w:asciiTheme="majorBidi" w:hAnsiTheme="majorBidi" w:cstheme="majorBidi"/>
          <w:szCs w:val="20"/>
          <w:lang w:val="en-GB"/>
        </w:rPr>
        <w:footnoteReference w:id="15"/>
      </w:r>
    </w:p>
    <w:p w14:paraId="6AEE130A" w14:textId="77777777" w:rsidR="0018721E" w:rsidRPr="00A9211F" w:rsidRDefault="0018721E" w:rsidP="00EA5C8B">
      <w:pPr>
        <w:tabs>
          <w:tab w:val="left" w:pos="1701"/>
        </w:tabs>
        <w:jc w:val="both"/>
        <w:rPr>
          <w:rFonts w:asciiTheme="majorBidi" w:hAnsiTheme="majorBidi" w:cstheme="majorBidi"/>
          <w:sz w:val="20"/>
          <w:szCs w:val="20"/>
        </w:rPr>
      </w:pPr>
    </w:p>
    <w:p w14:paraId="4A5D5274" w14:textId="1A94A1B1"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High Court cannot order interim measures pending its review, nor can it issue an order to release the requested information.</w:t>
      </w:r>
      <w:r w:rsidRPr="00A9211F">
        <w:rPr>
          <w:rStyle w:val="FootnoteReference"/>
          <w:rFonts w:asciiTheme="majorBidi" w:hAnsiTheme="majorBidi" w:cstheme="majorBidi"/>
          <w:szCs w:val="20"/>
          <w:lang w:val="en-GB"/>
        </w:rPr>
        <w:footnoteReference w:id="16"/>
      </w:r>
      <w:r w:rsidRPr="00A9211F">
        <w:rPr>
          <w:rFonts w:asciiTheme="majorBidi" w:hAnsiTheme="majorBidi" w:cstheme="majorBidi"/>
          <w:sz w:val="20"/>
          <w:szCs w:val="20"/>
          <w:lang w:val="en-GB"/>
        </w:rPr>
        <w:t xml:space="preserve"> However, it has jurisdiction to uphold a refusal to provide information or refer the matter back to the OCEI for further consideration. The OCEI in turn may again remit the matter to the public authority for further consideration.</w:t>
      </w:r>
      <w:r w:rsidRPr="00A9211F">
        <w:rPr>
          <w:rFonts w:asciiTheme="majorBidi" w:hAnsiTheme="majorBidi" w:cstheme="majorBidi"/>
          <w:sz w:val="18"/>
          <w:szCs w:val="18"/>
          <w:vertAlign w:val="superscript"/>
          <w:lang w:val="en-GB"/>
        </w:rPr>
        <w:footnoteReference w:id="17"/>
      </w:r>
    </w:p>
    <w:p w14:paraId="793114AA" w14:textId="77777777" w:rsidR="0018721E" w:rsidRPr="00A9211F" w:rsidRDefault="0018721E" w:rsidP="00EA5C8B">
      <w:pPr>
        <w:tabs>
          <w:tab w:val="left" w:pos="1701"/>
        </w:tabs>
        <w:jc w:val="both"/>
        <w:rPr>
          <w:rFonts w:asciiTheme="majorBidi" w:hAnsiTheme="majorBidi" w:cstheme="majorBidi"/>
          <w:sz w:val="20"/>
          <w:szCs w:val="20"/>
        </w:rPr>
      </w:pPr>
    </w:p>
    <w:p w14:paraId="6AF2A681" w14:textId="222071C8" w:rsidR="0018721E" w:rsidRPr="00A9211F" w:rsidRDefault="0018721E" w:rsidP="00EA5C8B">
      <w:pPr>
        <w:pStyle w:val="ListParagraph"/>
        <w:numPr>
          <w:ilvl w:val="0"/>
          <w:numId w:val="7"/>
        </w:numPr>
        <w:tabs>
          <w:tab w:val="left" w:pos="1701"/>
        </w:tabs>
        <w:ind w:left="1166"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High Court rulings can be appealed to the Court of Appeal. The decisions of </w:t>
      </w:r>
      <w:r w:rsidR="000F2F90" w:rsidRPr="00A9211F">
        <w:rPr>
          <w:rFonts w:asciiTheme="majorBidi" w:hAnsiTheme="majorBidi" w:cstheme="majorBidi"/>
          <w:sz w:val="20"/>
          <w:szCs w:val="20"/>
          <w:lang w:val="en-GB"/>
        </w:rPr>
        <w:t xml:space="preserve">Court of Appeal may </w:t>
      </w:r>
      <w:r w:rsidRPr="00A9211F">
        <w:rPr>
          <w:rFonts w:asciiTheme="majorBidi" w:hAnsiTheme="majorBidi" w:cstheme="majorBidi"/>
          <w:sz w:val="20"/>
          <w:szCs w:val="20"/>
          <w:lang w:val="en-GB"/>
        </w:rPr>
        <w:t>be appealed to the Supreme Court, which has discretion as to which cases it takes.</w:t>
      </w:r>
      <w:r w:rsidRPr="00A9211F">
        <w:rPr>
          <w:rStyle w:val="FootnoteReference"/>
          <w:rFonts w:asciiTheme="majorBidi" w:hAnsiTheme="majorBidi" w:cstheme="majorBidi"/>
          <w:szCs w:val="20"/>
          <w:lang w:val="en-GB"/>
        </w:rPr>
        <w:footnoteReference w:id="18"/>
      </w:r>
    </w:p>
    <w:p w14:paraId="79EAA0AA" w14:textId="77777777" w:rsidR="0018721E" w:rsidRPr="00A9211F" w:rsidRDefault="0018721E" w:rsidP="00EA5C8B">
      <w:pPr>
        <w:tabs>
          <w:tab w:val="left" w:pos="1701"/>
        </w:tabs>
        <w:jc w:val="both"/>
        <w:rPr>
          <w:rFonts w:asciiTheme="majorBidi" w:hAnsiTheme="majorBidi" w:cstheme="majorBidi"/>
          <w:sz w:val="20"/>
          <w:szCs w:val="20"/>
        </w:rPr>
      </w:pPr>
    </w:p>
    <w:p w14:paraId="12E26D5B" w14:textId="1D0E9CC0" w:rsidR="0018721E" w:rsidRPr="00A9211F" w:rsidRDefault="0018721E" w:rsidP="00A9211F">
      <w:pPr>
        <w:pStyle w:val="ListParagraph"/>
        <w:rPr>
          <w:rFonts w:asciiTheme="majorBidi" w:hAnsiTheme="majorBidi"/>
          <w:sz w:val="20"/>
          <w:lang w:val="en-GB"/>
        </w:rPr>
      </w:pPr>
    </w:p>
    <w:p w14:paraId="138A02F2" w14:textId="77777777" w:rsidR="0018721E" w:rsidRPr="00A9211F" w:rsidRDefault="0018721E" w:rsidP="00EA5C8B">
      <w:pPr>
        <w:pStyle w:val="ListParagraph"/>
        <w:tabs>
          <w:tab w:val="left" w:pos="1701"/>
        </w:tabs>
        <w:spacing w:before="360" w:after="240"/>
        <w:ind w:left="1134"/>
        <w:rPr>
          <w:rFonts w:asciiTheme="majorBidi" w:hAnsiTheme="majorBidi" w:cstheme="majorBidi"/>
          <w:b/>
          <w:lang w:val="en-GB"/>
        </w:rPr>
      </w:pPr>
      <w:r w:rsidRPr="00A9211F">
        <w:rPr>
          <w:rFonts w:asciiTheme="majorBidi" w:hAnsiTheme="majorBidi" w:cstheme="majorBidi"/>
          <w:b/>
          <w:lang w:val="en-GB"/>
        </w:rPr>
        <w:t>Facts</w:t>
      </w:r>
    </w:p>
    <w:p w14:paraId="309FAAF2" w14:textId="77CCFD76" w:rsidR="0018721E" w:rsidRPr="00A9211F" w:rsidRDefault="0018721E" w:rsidP="00EA5C8B">
      <w:pPr>
        <w:tabs>
          <w:tab w:val="left" w:pos="1701"/>
        </w:tabs>
        <w:ind w:left="1134"/>
        <w:jc w:val="both"/>
        <w:outlineLvl w:val="0"/>
        <w:rPr>
          <w:rFonts w:asciiTheme="majorBidi" w:hAnsiTheme="majorBidi" w:cstheme="majorBidi"/>
          <w:b/>
          <w:bCs/>
          <w:sz w:val="20"/>
          <w:szCs w:val="20"/>
        </w:rPr>
      </w:pPr>
      <w:r w:rsidRPr="00A9211F">
        <w:rPr>
          <w:rFonts w:asciiTheme="majorBidi" w:hAnsiTheme="majorBidi" w:cstheme="majorBidi"/>
          <w:b/>
          <w:bCs/>
          <w:sz w:val="20"/>
          <w:szCs w:val="20"/>
        </w:rPr>
        <w:t xml:space="preserve">Statistics on AIE requests </w:t>
      </w:r>
    </w:p>
    <w:p w14:paraId="786DE61E" w14:textId="77777777" w:rsidR="0018721E" w:rsidRPr="00A9211F" w:rsidRDefault="0018721E" w:rsidP="00EA5C8B">
      <w:pPr>
        <w:tabs>
          <w:tab w:val="left" w:pos="1701"/>
        </w:tabs>
        <w:jc w:val="both"/>
        <w:rPr>
          <w:rFonts w:asciiTheme="majorBidi" w:hAnsiTheme="majorBidi" w:cstheme="majorBidi"/>
          <w:i/>
          <w:sz w:val="20"/>
          <w:szCs w:val="20"/>
        </w:rPr>
      </w:pPr>
    </w:p>
    <w:p w14:paraId="2B2215CB" w14:textId="5FBAF36F"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0" w:name="_Ref533006517"/>
      <w:r w:rsidRPr="00A9211F">
        <w:rPr>
          <w:rFonts w:asciiTheme="majorBidi" w:hAnsiTheme="majorBidi" w:cstheme="majorBidi"/>
          <w:sz w:val="20"/>
          <w:szCs w:val="20"/>
          <w:lang w:val="en-GB"/>
        </w:rPr>
        <w:t>The table below reflects the number of AIE requests received by public authorities</w:t>
      </w:r>
      <w:r w:rsidR="00356935" w:rsidRPr="00A9211F">
        <w:rPr>
          <w:rFonts w:asciiTheme="majorBidi" w:hAnsiTheme="majorBidi" w:cstheme="majorBidi"/>
          <w:sz w:val="20"/>
          <w:szCs w:val="20"/>
          <w:lang w:val="en-GB"/>
        </w:rPr>
        <w:t xml:space="preserve"> in the Party concerned</w:t>
      </w:r>
      <w:r w:rsidRPr="00A9211F">
        <w:rPr>
          <w:rFonts w:asciiTheme="majorBidi" w:hAnsiTheme="majorBidi" w:cstheme="majorBidi"/>
          <w:sz w:val="20"/>
          <w:szCs w:val="20"/>
          <w:lang w:val="en-GB"/>
        </w:rPr>
        <w:t xml:space="preserve"> between 2013 and 2017</w:t>
      </w:r>
      <w:r w:rsidR="00FC7F9D" w:rsidRPr="00A9211F">
        <w:rPr>
          <w:rFonts w:asciiTheme="majorBidi" w:hAnsiTheme="majorBidi" w:cstheme="majorBidi"/>
          <w:sz w:val="20"/>
          <w:szCs w:val="20"/>
          <w:lang w:val="en-GB"/>
        </w:rPr>
        <w:t>, their outcome and any resulting review procedures</w:t>
      </w:r>
      <w:r w:rsidRPr="00A9211F">
        <w:rPr>
          <w:rFonts w:asciiTheme="majorBidi" w:hAnsiTheme="majorBidi" w:cstheme="majorBidi"/>
          <w:sz w:val="20"/>
          <w:szCs w:val="20"/>
          <w:lang w:val="en-GB"/>
        </w:rPr>
        <w:t>.</w:t>
      </w:r>
      <w:r w:rsidRPr="00A9211F">
        <w:rPr>
          <w:rFonts w:asciiTheme="majorBidi" w:hAnsiTheme="majorBidi" w:cstheme="majorBidi"/>
          <w:sz w:val="20"/>
          <w:vertAlign w:val="superscript"/>
          <w:lang w:val="en-GB"/>
        </w:rPr>
        <w:footnoteReference w:id="19"/>
      </w:r>
      <w:bookmarkEnd w:id="10"/>
    </w:p>
    <w:p w14:paraId="55AAE130" w14:textId="77777777" w:rsidR="0018721E" w:rsidRPr="00A9211F" w:rsidRDefault="0018721E" w:rsidP="00EA5C8B">
      <w:pPr>
        <w:tabs>
          <w:tab w:val="left" w:pos="1701"/>
        </w:tabs>
        <w:spacing w:after="120"/>
        <w:jc w:val="both"/>
        <w:rPr>
          <w:rFonts w:asciiTheme="majorBidi" w:hAnsiTheme="majorBidi" w:cstheme="majorBidi"/>
          <w:sz w:val="20"/>
          <w:szCs w:val="20"/>
        </w:rPr>
      </w:pPr>
    </w:p>
    <w:tbl>
      <w:tblPr>
        <w:tblStyle w:val="TableGrid"/>
        <w:tblW w:w="8280" w:type="dxa"/>
        <w:tblInd w:w="1075" w:type="dxa"/>
        <w:tblLook w:val="04A0" w:firstRow="1" w:lastRow="0" w:firstColumn="1" w:lastColumn="0" w:noHBand="0" w:noVBand="1"/>
      </w:tblPr>
      <w:tblGrid>
        <w:gridCol w:w="1027"/>
        <w:gridCol w:w="1028"/>
        <w:gridCol w:w="1095"/>
        <w:gridCol w:w="990"/>
        <w:gridCol w:w="990"/>
        <w:gridCol w:w="1080"/>
        <w:gridCol w:w="990"/>
        <w:gridCol w:w="1080"/>
      </w:tblGrid>
      <w:tr w:rsidR="0018721E" w:rsidRPr="00A9211F" w14:paraId="249A79B1" w14:textId="77777777" w:rsidTr="00396F07">
        <w:tc>
          <w:tcPr>
            <w:tcW w:w="1027" w:type="dxa"/>
          </w:tcPr>
          <w:p w14:paraId="178DE37A"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Year</w:t>
            </w:r>
          </w:p>
        </w:tc>
        <w:tc>
          <w:tcPr>
            <w:tcW w:w="1028" w:type="dxa"/>
          </w:tcPr>
          <w:p w14:paraId="395C8E85"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Requests received</w:t>
            </w:r>
          </w:p>
        </w:tc>
        <w:tc>
          <w:tcPr>
            <w:tcW w:w="1095" w:type="dxa"/>
          </w:tcPr>
          <w:p w14:paraId="2ED45DEF"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Requests granted in full</w:t>
            </w:r>
          </w:p>
        </w:tc>
        <w:tc>
          <w:tcPr>
            <w:tcW w:w="990" w:type="dxa"/>
          </w:tcPr>
          <w:p w14:paraId="24245698"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Requests granted in part</w:t>
            </w:r>
          </w:p>
        </w:tc>
        <w:tc>
          <w:tcPr>
            <w:tcW w:w="990" w:type="dxa"/>
          </w:tcPr>
          <w:p w14:paraId="211AC49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Requests refused</w:t>
            </w:r>
          </w:p>
        </w:tc>
        <w:tc>
          <w:tcPr>
            <w:tcW w:w="1080" w:type="dxa"/>
          </w:tcPr>
          <w:p w14:paraId="1AF561C7"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Internal reviews</w:t>
            </w:r>
          </w:p>
        </w:tc>
        <w:tc>
          <w:tcPr>
            <w:tcW w:w="990" w:type="dxa"/>
          </w:tcPr>
          <w:p w14:paraId="52B4BF3F"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Appeals to OCEI</w:t>
            </w:r>
          </w:p>
        </w:tc>
        <w:tc>
          <w:tcPr>
            <w:tcW w:w="1080" w:type="dxa"/>
          </w:tcPr>
          <w:p w14:paraId="7B19B75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Appeals to High Court</w:t>
            </w:r>
          </w:p>
        </w:tc>
      </w:tr>
      <w:tr w:rsidR="0018721E" w:rsidRPr="00A9211F" w14:paraId="20E96682" w14:textId="77777777" w:rsidTr="00057246">
        <w:tc>
          <w:tcPr>
            <w:tcW w:w="1027" w:type="dxa"/>
          </w:tcPr>
          <w:p w14:paraId="553B3811"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lastRenderedPageBreak/>
              <w:t>2013</w:t>
            </w:r>
          </w:p>
        </w:tc>
        <w:tc>
          <w:tcPr>
            <w:tcW w:w="1028" w:type="dxa"/>
          </w:tcPr>
          <w:p w14:paraId="5BE2C9ED"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374</w:t>
            </w:r>
          </w:p>
        </w:tc>
        <w:tc>
          <w:tcPr>
            <w:tcW w:w="1095" w:type="dxa"/>
          </w:tcPr>
          <w:p w14:paraId="26697C9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192</w:t>
            </w:r>
          </w:p>
        </w:tc>
        <w:tc>
          <w:tcPr>
            <w:tcW w:w="990" w:type="dxa"/>
          </w:tcPr>
          <w:p w14:paraId="37DC76A1"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60</w:t>
            </w:r>
          </w:p>
        </w:tc>
        <w:tc>
          <w:tcPr>
            <w:tcW w:w="990" w:type="dxa"/>
          </w:tcPr>
          <w:p w14:paraId="1FBFE1E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91</w:t>
            </w:r>
          </w:p>
        </w:tc>
        <w:tc>
          <w:tcPr>
            <w:tcW w:w="1080" w:type="dxa"/>
          </w:tcPr>
          <w:p w14:paraId="1F4ACFA3"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40</w:t>
            </w:r>
          </w:p>
        </w:tc>
        <w:tc>
          <w:tcPr>
            <w:tcW w:w="990" w:type="dxa"/>
          </w:tcPr>
          <w:p w14:paraId="140C5CD6"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7</w:t>
            </w:r>
          </w:p>
        </w:tc>
        <w:tc>
          <w:tcPr>
            <w:tcW w:w="1080" w:type="dxa"/>
          </w:tcPr>
          <w:p w14:paraId="39522F32" w14:textId="72F59205"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0</w:t>
            </w:r>
          </w:p>
        </w:tc>
      </w:tr>
      <w:tr w:rsidR="0018721E" w:rsidRPr="00A9211F" w14:paraId="02E73FA5" w14:textId="77777777" w:rsidTr="00057246">
        <w:tc>
          <w:tcPr>
            <w:tcW w:w="1027" w:type="dxa"/>
          </w:tcPr>
          <w:p w14:paraId="350E5EC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2014</w:t>
            </w:r>
          </w:p>
        </w:tc>
        <w:tc>
          <w:tcPr>
            <w:tcW w:w="1028" w:type="dxa"/>
          </w:tcPr>
          <w:p w14:paraId="03577C39"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608</w:t>
            </w:r>
          </w:p>
        </w:tc>
        <w:tc>
          <w:tcPr>
            <w:tcW w:w="1095" w:type="dxa"/>
          </w:tcPr>
          <w:p w14:paraId="4E454E74"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325</w:t>
            </w:r>
          </w:p>
        </w:tc>
        <w:tc>
          <w:tcPr>
            <w:tcW w:w="990" w:type="dxa"/>
          </w:tcPr>
          <w:p w14:paraId="53DF976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97</w:t>
            </w:r>
          </w:p>
        </w:tc>
        <w:tc>
          <w:tcPr>
            <w:tcW w:w="990" w:type="dxa"/>
          </w:tcPr>
          <w:p w14:paraId="43BF128B"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124</w:t>
            </w:r>
          </w:p>
        </w:tc>
        <w:tc>
          <w:tcPr>
            <w:tcW w:w="1080" w:type="dxa"/>
          </w:tcPr>
          <w:p w14:paraId="14374214"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61</w:t>
            </w:r>
          </w:p>
        </w:tc>
        <w:tc>
          <w:tcPr>
            <w:tcW w:w="990" w:type="dxa"/>
          </w:tcPr>
          <w:p w14:paraId="26EEBC1B"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13</w:t>
            </w:r>
          </w:p>
        </w:tc>
        <w:tc>
          <w:tcPr>
            <w:tcW w:w="1080" w:type="dxa"/>
          </w:tcPr>
          <w:p w14:paraId="2FB30C2F"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0</w:t>
            </w:r>
          </w:p>
        </w:tc>
      </w:tr>
      <w:tr w:rsidR="0018721E" w:rsidRPr="00A9211F" w14:paraId="2E80926D" w14:textId="77777777" w:rsidTr="00057246">
        <w:tc>
          <w:tcPr>
            <w:tcW w:w="1027" w:type="dxa"/>
          </w:tcPr>
          <w:p w14:paraId="7C8144E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2015</w:t>
            </w:r>
          </w:p>
        </w:tc>
        <w:tc>
          <w:tcPr>
            <w:tcW w:w="1028" w:type="dxa"/>
          </w:tcPr>
          <w:p w14:paraId="063C3E77"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658</w:t>
            </w:r>
          </w:p>
        </w:tc>
        <w:tc>
          <w:tcPr>
            <w:tcW w:w="1095" w:type="dxa"/>
          </w:tcPr>
          <w:p w14:paraId="503513CD"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322</w:t>
            </w:r>
          </w:p>
        </w:tc>
        <w:tc>
          <w:tcPr>
            <w:tcW w:w="990" w:type="dxa"/>
          </w:tcPr>
          <w:p w14:paraId="1F457EA2"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94</w:t>
            </w:r>
          </w:p>
        </w:tc>
        <w:tc>
          <w:tcPr>
            <w:tcW w:w="990" w:type="dxa"/>
          </w:tcPr>
          <w:p w14:paraId="4817DA8D"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174</w:t>
            </w:r>
          </w:p>
        </w:tc>
        <w:tc>
          <w:tcPr>
            <w:tcW w:w="1080" w:type="dxa"/>
          </w:tcPr>
          <w:p w14:paraId="56283AE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57</w:t>
            </w:r>
          </w:p>
        </w:tc>
        <w:tc>
          <w:tcPr>
            <w:tcW w:w="990" w:type="dxa"/>
          </w:tcPr>
          <w:p w14:paraId="6069588F"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23</w:t>
            </w:r>
          </w:p>
        </w:tc>
        <w:tc>
          <w:tcPr>
            <w:tcW w:w="1080" w:type="dxa"/>
          </w:tcPr>
          <w:p w14:paraId="44774436"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w:t>
            </w:r>
          </w:p>
        </w:tc>
      </w:tr>
      <w:tr w:rsidR="0018721E" w:rsidRPr="00A9211F" w14:paraId="71DEB60C" w14:textId="77777777" w:rsidTr="00057246">
        <w:tc>
          <w:tcPr>
            <w:tcW w:w="1027" w:type="dxa"/>
          </w:tcPr>
          <w:p w14:paraId="157E2C07"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2016</w:t>
            </w:r>
          </w:p>
        </w:tc>
        <w:tc>
          <w:tcPr>
            <w:tcW w:w="1028" w:type="dxa"/>
          </w:tcPr>
          <w:p w14:paraId="246BC683"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670</w:t>
            </w:r>
          </w:p>
        </w:tc>
        <w:tc>
          <w:tcPr>
            <w:tcW w:w="1095" w:type="dxa"/>
          </w:tcPr>
          <w:p w14:paraId="55AB4B62"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338</w:t>
            </w:r>
          </w:p>
        </w:tc>
        <w:tc>
          <w:tcPr>
            <w:tcW w:w="990" w:type="dxa"/>
          </w:tcPr>
          <w:p w14:paraId="2777C67F"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104</w:t>
            </w:r>
          </w:p>
        </w:tc>
        <w:tc>
          <w:tcPr>
            <w:tcW w:w="990" w:type="dxa"/>
          </w:tcPr>
          <w:p w14:paraId="3906AC16"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170</w:t>
            </w:r>
          </w:p>
        </w:tc>
        <w:tc>
          <w:tcPr>
            <w:tcW w:w="1080" w:type="dxa"/>
          </w:tcPr>
          <w:p w14:paraId="5004997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96</w:t>
            </w:r>
          </w:p>
        </w:tc>
        <w:tc>
          <w:tcPr>
            <w:tcW w:w="990" w:type="dxa"/>
          </w:tcPr>
          <w:p w14:paraId="5B7F4889"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52</w:t>
            </w:r>
          </w:p>
        </w:tc>
        <w:tc>
          <w:tcPr>
            <w:tcW w:w="1080" w:type="dxa"/>
          </w:tcPr>
          <w:p w14:paraId="3D0E8A5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w:t>
            </w:r>
          </w:p>
        </w:tc>
      </w:tr>
      <w:tr w:rsidR="0018721E" w:rsidRPr="00A9211F" w14:paraId="3FE9F6CE" w14:textId="77777777" w:rsidTr="00057246">
        <w:tc>
          <w:tcPr>
            <w:tcW w:w="1027" w:type="dxa"/>
          </w:tcPr>
          <w:p w14:paraId="07FAE745"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2017</w:t>
            </w:r>
          </w:p>
        </w:tc>
        <w:tc>
          <w:tcPr>
            <w:tcW w:w="1028" w:type="dxa"/>
          </w:tcPr>
          <w:p w14:paraId="3F86EDC0"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606</w:t>
            </w:r>
          </w:p>
        </w:tc>
        <w:tc>
          <w:tcPr>
            <w:tcW w:w="1095" w:type="dxa"/>
          </w:tcPr>
          <w:p w14:paraId="365BB49E"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276</w:t>
            </w:r>
          </w:p>
        </w:tc>
        <w:tc>
          <w:tcPr>
            <w:tcW w:w="990" w:type="dxa"/>
          </w:tcPr>
          <w:p w14:paraId="772CF161"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128</w:t>
            </w:r>
          </w:p>
        </w:tc>
        <w:tc>
          <w:tcPr>
            <w:tcW w:w="990" w:type="dxa"/>
          </w:tcPr>
          <w:p w14:paraId="12350A3B"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141</w:t>
            </w:r>
          </w:p>
        </w:tc>
        <w:tc>
          <w:tcPr>
            <w:tcW w:w="1080" w:type="dxa"/>
          </w:tcPr>
          <w:p w14:paraId="17D633CE"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91</w:t>
            </w:r>
          </w:p>
        </w:tc>
        <w:tc>
          <w:tcPr>
            <w:tcW w:w="990" w:type="dxa"/>
          </w:tcPr>
          <w:p w14:paraId="0F8E2C6C"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52</w:t>
            </w:r>
          </w:p>
        </w:tc>
        <w:tc>
          <w:tcPr>
            <w:tcW w:w="1080" w:type="dxa"/>
          </w:tcPr>
          <w:p w14:paraId="5C4AE2C1" w14:textId="77777777" w:rsidR="0018721E" w:rsidRPr="00A9211F" w:rsidRDefault="0018721E" w:rsidP="00EA5C8B">
            <w:pPr>
              <w:tabs>
                <w:tab w:val="left" w:pos="1701"/>
              </w:tabs>
              <w:spacing w:after="120"/>
              <w:jc w:val="both"/>
              <w:rPr>
                <w:rFonts w:asciiTheme="majorBidi" w:hAnsiTheme="majorBidi" w:cstheme="majorBidi"/>
                <w:sz w:val="20"/>
                <w:szCs w:val="20"/>
              </w:rPr>
            </w:pPr>
            <w:r w:rsidRPr="00A9211F">
              <w:rPr>
                <w:rFonts w:asciiTheme="majorBidi" w:hAnsiTheme="majorBidi" w:cstheme="majorBidi"/>
                <w:sz w:val="20"/>
                <w:szCs w:val="20"/>
              </w:rPr>
              <w:t>2</w:t>
            </w:r>
          </w:p>
        </w:tc>
      </w:tr>
    </w:tbl>
    <w:p w14:paraId="0DAE1DDF" w14:textId="77777777" w:rsidR="0018721E" w:rsidRPr="00A9211F" w:rsidRDefault="0018721E" w:rsidP="00EA5C8B">
      <w:pPr>
        <w:tabs>
          <w:tab w:val="left" w:pos="1701"/>
        </w:tabs>
        <w:jc w:val="both"/>
        <w:rPr>
          <w:rFonts w:asciiTheme="majorBidi" w:hAnsiTheme="majorBidi" w:cstheme="majorBidi"/>
          <w:sz w:val="20"/>
          <w:szCs w:val="20"/>
        </w:rPr>
      </w:pPr>
    </w:p>
    <w:p w14:paraId="20E6157D" w14:textId="77777777" w:rsidR="00963B39" w:rsidRPr="00A9211F" w:rsidRDefault="00963B39" w:rsidP="00EA5C8B">
      <w:pPr>
        <w:pStyle w:val="ListParagraph"/>
        <w:tabs>
          <w:tab w:val="left" w:pos="1701"/>
        </w:tabs>
        <w:ind w:left="1094"/>
        <w:jc w:val="both"/>
        <w:rPr>
          <w:rFonts w:asciiTheme="majorBidi" w:hAnsiTheme="majorBidi" w:cstheme="majorBidi"/>
          <w:b/>
          <w:bCs/>
          <w:sz w:val="20"/>
          <w:szCs w:val="20"/>
          <w:lang w:val="en-GB"/>
        </w:rPr>
      </w:pPr>
      <w:bookmarkStart w:id="11" w:name="_Ref532848760"/>
      <w:bookmarkStart w:id="12" w:name="_Ref532828669"/>
    </w:p>
    <w:bookmarkEnd w:id="11"/>
    <w:bookmarkEnd w:id="12"/>
    <w:p w14:paraId="1B711E5E" w14:textId="77777777" w:rsidR="0018721E" w:rsidRPr="00A9211F" w:rsidRDefault="0018721E" w:rsidP="00EA5C8B">
      <w:pPr>
        <w:tabs>
          <w:tab w:val="left" w:pos="1701"/>
        </w:tabs>
        <w:spacing w:after="115"/>
        <w:ind w:left="1094"/>
        <w:jc w:val="both"/>
        <w:outlineLvl w:val="0"/>
        <w:rPr>
          <w:rFonts w:asciiTheme="majorBidi" w:hAnsiTheme="majorBidi" w:cstheme="majorBidi"/>
          <w:b/>
          <w:bCs/>
          <w:sz w:val="20"/>
          <w:szCs w:val="20"/>
        </w:rPr>
      </w:pPr>
      <w:r w:rsidRPr="00A9211F">
        <w:rPr>
          <w:rFonts w:asciiTheme="majorBidi" w:hAnsiTheme="majorBidi" w:cstheme="majorBidi"/>
          <w:b/>
          <w:bCs/>
          <w:sz w:val="20"/>
          <w:szCs w:val="20"/>
        </w:rPr>
        <w:t xml:space="preserve">Appeals to the OCEI </w:t>
      </w:r>
    </w:p>
    <w:p w14:paraId="2D794304" w14:textId="028184CD" w:rsidR="005019F5" w:rsidRPr="00A9211F" w:rsidRDefault="008939EB"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3" w:name="_Ref533008606"/>
      <w:r w:rsidRPr="00A9211F">
        <w:rPr>
          <w:rFonts w:asciiTheme="majorBidi" w:hAnsiTheme="majorBidi" w:cstheme="majorBidi"/>
          <w:sz w:val="20"/>
          <w:szCs w:val="20"/>
          <w:lang w:val="en-GB"/>
        </w:rPr>
        <w:t xml:space="preserve">The </w:t>
      </w:r>
      <w:r w:rsidR="00E27FD2" w:rsidRPr="00A9211F">
        <w:rPr>
          <w:rFonts w:asciiTheme="majorBidi" w:hAnsiTheme="majorBidi" w:cstheme="majorBidi"/>
          <w:sz w:val="20"/>
          <w:szCs w:val="20"/>
          <w:lang w:val="en-GB"/>
        </w:rPr>
        <w:t xml:space="preserve">percentage </w:t>
      </w:r>
      <w:r w:rsidRPr="00A9211F">
        <w:rPr>
          <w:rFonts w:asciiTheme="majorBidi" w:hAnsiTheme="majorBidi" w:cstheme="majorBidi"/>
          <w:sz w:val="20"/>
          <w:szCs w:val="20"/>
          <w:lang w:val="en-GB"/>
        </w:rPr>
        <w:t xml:space="preserve">of </w:t>
      </w:r>
      <w:r w:rsidR="00E27FD2" w:rsidRPr="00A9211F">
        <w:rPr>
          <w:rFonts w:asciiTheme="majorBidi" w:hAnsiTheme="majorBidi" w:cstheme="majorBidi"/>
          <w:sz w:val="20"/>
          <w:szCs w:val="20"/>
          <w:lang w:val="en-GB"/>
        </w:rPr>
        <w:t>requests for environmental information</w:t>
      </w:r>
      <w:r w:rsidRPr="00A9211F">
        <w:rPr>
          <w:rFonts w:asciiTheme="majorBidi" w:hAnsiTheme="majorBidi" w:cstheme="majorBidi"/>
          <w:sz w:val="20"/>
          <w:szCs w:val="20"/>
          <w:lang w:val="en-GB"/>
        </w:rPr>
        <w:t xml:space="preserve"> made to public authorities </w:t>
      </w:r>
      <w:r w:rsidR="00E27FD2" w:rsidRPr="00A9211F">
        <w:rPr>
          <w:rFonts w:asciiTheme="majorBidi" w:hAnsiTheme="majorBidi" w:cstheme="majorBidi"/>
          <w:sz w:val="20"/>
          <w:szCs w:val="20"/>
          <w:lang w:val="en-GB"/>
        </w:rPr>
        <w:t>that</w:t>
      </w:r>
      <w:r w:rsidRPr="00A9211F">
        <w:rPr>
          <w:rFonts w:asciiTheme="majorBidi" w:hAnsiTheme="majorBidi" w:cstheme="majorBidi"/>
          <w:sz w:val="20"/>
          <w:szCs w:val="20"/>
          <w:lang w:val="en-GB"/>
        </w:rPr>
        <w:t xml:space="preserve"> </w:t>
      </w:r>
      <w:r w:rsidR="00E27FD2" w:rsidRPr="00A9211F">
        <w:rPr>
          <w:rFonts w:asciiTheme="majorBidi" w:hAnsiTheme="majorBidi" w:cstheme="majorBidi"/>
          <w:sz w:val="20"/>
          <w:szCs w:val="20"/>
          <w:lang w:val="en-GB"/>
        </w:rPr>
        <w:t xml:space="preserve">were subsequently </w:t>
      </w:r>
      <w:r w:rsidRPr="00A9211F">
        <w:rPr>
          <w:rFonts w:asciiTheme="majorBidi" w:hAnsiTheme="majorBidi" w:cstheme="majorBidi"/>
          <w:sz w:val="20"/>
          <w:szCs w:val="20"/>
          <w:lang w:val="en-GB"/>
        </w:rPr>
        <w:t>appealed to the OCEI was 3% in 2013 and 2014</w:t>
      </w:r>
      <w:r w:rsidR="00E27FD2"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5% in 2015, 8% in 2016, 9% in 2017</w:t>
      </w:r>
      <w:r w:rsidR="000B6977"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8% in 2018</w:t>
      </w:r>
      <w:r w:rsidR="000B6977" w:rsidRPr="00A9211F">
        <w:rPr>
          <w:rFonts w:asciiTheme="majorBidi" w:hAnsiTheme="majorBidi" w:cstheme="majorBidi"/>
          <w:sz w:val="20"/>
          <w:szCs w:val="20"/>
          <w:lang w:val="en-GB"/>
        </w:rPr>
        <w:t xml:space="preserve"> and 9% in 2019</w:t>
      </w:r>
      <w:r w:rsidRPr="00A9211F">
        <w:rPr>
          <w:rFonts w:asciiTheme="majorBidi" w:hAnsiTheme="majorBidi" w:cstheme="majorBidi"/>
          <w:sz w:val="20"/>
          <w:szCs w:val="20"/>
          <w:lang w:val="en-GB"/>
        </w:rPr>
        <w:t>.</w:t>
      </w:r>
      <w:r w:rsidRPr="00A9211F">
        <w:rPr>
          <w:rFonts w:asciiTheme="majorBidi" w:hAnsiTheme="majorBidi" w:cstheme="majorBidi"/>
          <w:sz w:val="20"/>
          <w:szCs w:val="20"/>
          <w:vertAlign w:val="superscript"/>
          <w:lang w:val="en-GB"/>
        </w:rPr>
        <w:footnoteReference w:id="20"/>
      </w:r>
      <w:r w:rsidR="00FC7F9D" w:rsidRPr="00A9211F">
        <w:rPr>
          <w:rFonts w:asciiTheme="majorBidi" w:hAnsiTheme="majorBidi" w:cstheme="majorBidi"/>
          <w:sz w:val="20"/>
          <w:szCs w:val="20"/>
          <w:vertAlign w:val="superscript"/>
          <w:lang w:val="en-GB"/>
        </w:rPr>
        <w:t xml:space="preserve"> </w:t>
      </w:r>
    </w:p>
    <w:p w14:paraId="25F5CE34" w14:textId="77777777" w:rsidR="005019F5" w:rsidRPr="00A9211F" w:rsidRDefault="005019F5" w:rsidP="00EA5C8B">
      <w:pPr>
        <w:pStyle w:val="ListParagraph"/>
        <w:tabs>
          <w:tab w:val="left" w:pos="1701"/>
        </w:tabs>
        <w:ind w:left="1094"/>
        <w:jc w:val="both"/>
        <w:rPr>
          <w:rFonts w:asciiTheme="majorBidi" w:hAnsiTheme="majorBidi" w:cstheme="majorBidi"/>
          <w:sz w:val="20"/>
          <w:szCs w:val="20"/>
          <w:lang w:val="en-GB"/>
        </w:rPr>
      </w:pPr>
    </w:p>
    <w:p w14:paraId="21E6B5C5" w14:textId="6C67D84D" w:rsidR="00F73535" w:rsidRPr="00A9211F" w:rsidRDefault="005019F5"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4" w:name="_Ref11765837"/>
      <w:bookmarkEnd w:id="13"/>
      <w:r w:rsidRPr="00A9211F">
        <w:rPr>
          <w:rFonts w:asciiTheme="majorBidi" w:hAnsiTheme="majorBidi" w:cstheme="majorBidi"/>
          <w:sz w:val="20"/>
          <w:szCs w:val="20"/>
          <w:lang w:val="en-GB"/>
        </w:rPr>
        <w:t>The table below sets out the outcomes of the decisions issued by the OCEI in 2016, 2017 and 2018:</w:t>
      </w:r>
    </w:p>
    <w:p w14:paraId="3085E605" w14:textId="77777777" w:rsidR="009E5C74" w:rsidRPr="00A9211F" w:rsidRDefault="009E5C74" w:rsidP="00EA5C8B">
      <w:pPr>
        <w:pStyle w:val="ListParagraph"/>
        <w:tabs>
          <w:tab w:val="left" w:pos="1701"/>
        </w:tabs>
        <w:ind w:left="1094"/>
        <w:jc w:val="both"/>
        <w:rPr>
          <w:rFonts w:asciiTheme="majorBidi" w:hAnsiTheme="majorBidi" w:cstheme="majorBidi"/>
          <w:sz w:val="20"/>
          <w:szCs w:val="20"/>
          <w:lang w:val="en-GB"/>
        </w:rPr>
      </w:pPr>
    </w:p>
    <w:bookmarkEnd w:id="14"/>
    <w:p w14:paraId="21AAA17A" w14:textId="77777777" w:rsidR="00B9795E" w:rsidRPr="00A9211F" w:rsidRDefault="00B9795E" w:rsidP="00EA5C8B">
      <w:pPr>
        <w:pStyle w:val="ListParagraph"/>
        <w:rPr>
          <w:rFonts w:asciiTheme="majorBidi" w:hAnsiTheme="majorBidi" w:cstheme="majorBidi"/>
          <w:sz w:val="20"/>
          <w:szCs w:val="20"/>
          <w:lang w:val="en-GB"/>
        </w:rPr>
      </w:pPr>
    </w:p>
    <w:tbl>
      <w:tblPr>
        <w:tblStyle w:val="TableGrid"/>
        <w:tblW w:w="0" w:type="auto"/>
        <w:tblInd w:w="1129" w:type="dxa"/>
        <w:tblLook w:val="04A0" w:firstRow="1" w:lastRow="0" w:firstColumn="1" w:lastColumn="0" w:noHBand="0" w:noVBand="1"/>
      </w:tblPr>
      <w:tblGrid>
        <w:gridCol w:w="969"/>
        <w:gridCol w:w="1263"/>
        <w:gridCol w:w="1415"/>
        <w:gridCol w:w="1263"/>
        <w:gridCol w:w="1572"/>
        <w:gridCol w:w="1478"/>
      </w:tblGrid>
      <w:tr w:rsidR="00B9795E" w:rsidRPr="00A9211F" w14:paraId="22807090" w14:textId="77777777" w:rsidTr="00A9211F">
        <w:tc>
          <w:tcPr>
            <w:tcW w:w="969" w:type="dxa"/>
          </w:tcPr>
          <w:p w14:paraId="0408BC83" w14:textId="77777777" w:rsidR="00B9795E" w:rsidRPr="00A9211F" w:rsidRDefault="00B9795E" w:rsidP="00EA5C8B">
            <w:pPr>
              <w:tabs>
                <w:tab w:val="left" w:pos="1701"/>
              </w:tabs>
              <w:jc w:val="both"/>
              <w:rPr>
                <w:rFonts w:asciiTheme="majorBidi" w:hAnsiTheme="majorBidi" w:cstheme="majorBidi"/>
                <w:sz w:val="20"/>
                <w:szCs w:val="20"/>
              </w:rPr>
            </w:pPr>
          </w:p>
        </w:tc>
        <w:tc>
          <w:tcPr>
            <w:tcW w:w="1263" w:type="dxa"/>
          </w:tcPr>
          <w:p w14:paraId="5E34A39D" w14:textId="3C7BE86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OCEI decisions</w:t>
            </w:r>
          </w:p>
        </w:tc>
        <w:tc>
          <w:tcPr>
            <w:tcW w:w="1415" w:type="dxa"/>
          </w:tcPr>
          <w:p w14:paraId="24759674" w14:textId="37627B89"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Appeal upheld by OCEI in full or in part</w:t>
            </w:r>
          </w:p>
        </w:tc>
        <w:tc>
          <w:tcPr>
            <w:tcW w:w="1263" w:type="dxa"/>
          </w:tcPr>
          <w:p w14:paraId="4E19A081" w14:textId="2F83638B"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 xml:space="preserve">Public authority granted full access </w:t>
            </w:r>
            <w:r w:rsidR="008460D6" w:rsidRPr="00A9211F">
              <w:rPr>
                <w:rFonts w:asciiTheme="majorBidi" w:hAnsiTheme="majorBidi" w:cstheme="majorBidi"/>
                <w:sz w:val="20"/>
                <w:szCs w:val="20"/>
              </w:rPr>
              <w:t>during OCEI’s review</w:t>
            </w:r>
          </w:p>
        </w:tc>
        <w:tc>
          <w:tcPr>
            <w:tcW w:w="1572" w:type="dxa"/>
          </w:tcPr>
          <w:p w14:paraId="482F4FD3"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OCEI ordered public authorities to provide all or some of the requested information</w:t>
            </w:r>
          </w:p>
        </w:tc>
        <w:tc>
          <w:tcPr>
            <w:tcW w:w="1478" w:type="dxa"/>
          </w:tcPr>
          <w:p w14:paraId="5A163F1F"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OCEI remitted case to public authority for new decision</w:t>
            </w:r>
          </w:p>
        </w:tc>
      </w:tr>
      <w:tr w:rsidR="00B9795E" w:rsidRPr="00A9211F" w14:paraId="1A8F9DDA" w14:textId="77777777" w:rsidTr="00A9211F">
        <w:tc>
          <w:tcPr>
            <w:tcW w:w="969" w:type="dxa"/>
          </w:tcPr>
          <w:p w14:paraId="346B1829"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2016</w:t>
            </w:r>
            <w:r w:rsidRPr="00A9211F">
              <w:rPr>
                <w:rStyle w:val="FootnoteReference"/>
                <w:rFonts w:asciiTheme="majorBidi" w:hAnsiTheme="majorBidi" w:cstheme="majorBidi"/>
                <w:sz w:val="20"/>
                <w:szCs w:val="20"/>
              </w:rPr>
              <w:footnoteReference w:id="21"/>
            </w:r>
          </w:p>
        </w:tc>
        <w:tc>
          <w:tcPr>
            <w:tcW w:w="1263" w:type="dxa"/>
          </w:tcPr>
          <w:p w14:paraId="0B8A9A30"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27</w:t>
            </w:r>
          </w:p>
        </w:tc>
        <w:tc>
          <w:tcPr>
            <w:tcW w:w="1415" w:type="dxa"/>
          </w:tcPr>
          <w:p w14:paraId="5F49ED3E"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19</w:t>
            </w:r>
          </w:p>
        </w:tc>
        <w:tc>
          <w:tcPr>
            <w:tcW w:w="1263" w:type="dxa"/>
          </w:tcPr>
          <w:p w14:paraId="321F3A24"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w:t>
            </w:r>
          </w:p>
        </w:tc>
        <w:tc>
          <w:tcPr>
            <w:tcW w:w="1572" w:type="dxa"/>
          </w:tcPr>
          <w:p w14:paraId="73065004"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12</w:t>
            </w:r>
          </w:p>
        </w:tc>
        <w:tc>
          <w:tcPr>
            <w:tcW w:w="1478" w:type="dxa"/>
          </w:tcPr>
          <w:p w14:paraId="54389A98"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9</w:t>
            </w:r>
          </w:p>
        </w:tc>
      </w:tr>
      <w:tr w:rsidR="00B9795E" w:rsidRPr="00A9211F" w14:paraId="7D6A238F" w14:textId="77777777" w:rsidTr="00A9211F">
        <w:tc>
          <w:tcPr>
            <w:tcW w:w="969" w:type="dxa"/>
          </w:tcPr>
          <w:p w14:paraId="12A76580"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2017</w:t>
            </w:r>
            <w:r w:rsidRPr="00A9211F">
              <w:rPr>
                <w:rStyle w:val="FootnoteReference"/>
                <w:rFonts w:asciiTheme="majorBidi" w:hAnsiTheme="majorBidi" w:cstheme="majorBidi"/>
                <w:sz w:val="20"/>
                <w:szCs w:val="20"/>
              </w:rPr>
              <w:footnoteReference w:id="22"/>
            </w:r>
          </w:p>
        </w:tc>
        <w:tc>
          <w:tcPr>
            <w:tcW w:w="1263" w:type="dxa"/>
          </w:tcPr>
          <w:p w14:paraId="3AEDA6E8"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35</w:t>
            </w:r>
          </w:p>
        </w:tc>
        <w:tc>
          <w:tcPr>
            <w:tcW w:w="1415" w:type="dxa"/>
          </w:tcPr>
          <w:p w14:paraId="4A28F017"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18</w:t>
            </w:r>
          </w:p>
        </w:tc>
        <w:tc>
          <w:tcPr>
            <w:tcW w:w="1263" w:type="dxa"/>
          </w:tcPr>
          <w:p w14:paraId="1F8F8C15"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w:t>
            </w:r>
          </w:p>
        </w:tc>
        <w:tc>
          <w:tcPr>
            <w:tcW w:w="1572" w:type="dxa"/>
          </w:tcPr>
          <w:p w14:paraId="60FDC06B"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2</w:t>
            </w:r>
          </w:p>
        </w:tc>
        <w:tc>
          <w:tcPr>
            <w:tcW w:w="1478" w:type="dxa"/>
          </w:tcPr>
          <w:p w14:paraId="01CBAAF5"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w:t>
            </w:r>
          </w:p>
        </w:tc>
      </w:tr>
      <w:tr w:rsidR="00B9795E" w:rsidRPr="00A9211F" w14:paraId="4CD97A4B" w14:textId="77777777" w:rsidTr="00A9211F">
        <w:tc>
          <w:tcPr>
            <w:tcW w:w="969" w:type="dxa"/>
          </w:tcPr>
          <w:p w14:paraId="6BE32BBF"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2018</w:t>
            </w:r>
            <w:r w:rsidRPr="00A9211F">
              <w:rPr>
                <w:rStyle w:val="FootnoteReference"/>
                <w:rFonts w:asciiTheme="majorBidi" w:hAnsiTheme="majorBidi" w:cstheme="majorBidi"/>
                <w:sz w:val="20"/>
                <w:szCs w:val="20"/>
              </w:rPr>
              <w:footnoteReference w:id="23"/>
            </w:r>
          </w:p>
        </w:tc>
        <w:tc>
          <w:tcPr>
            <w:tcW w:w="1263" w:type="dxa"/>
          </w:tcPr>
          <w:p w14:paraId="05122677"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40</w:t>
            </w:r>
          </w:p>
        </w:tc>
        <w:tc>
          <w:tcPr>
            <w:tcW w:w="1415" w:type="dxa"/>
          </w:tcPr>
          <w:p w14:paraId="245A623F"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15</w:t>
            </w:r>
          </w:p>
        </w:tc>
        <w:tc>
          <w:tcPr>
            <w:tcW w:w="1263" w:type="dxa"/>
          </w:tcPr>
          <w:p w14:paraId="3A77DB83"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3</w:t>
            </w:r>
          </w:p>
        </w:tc>
        <w:tc>
          <w:tcPr>
            <w:tcW w:w="1572" w:type="dxa"/>
          </w:tcPr>
          <w:p w14:paraId="232CF527"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9</w:t>
            </w:r>
          </w:p>
        </w:tc>
        <w:tc>
          <w:tcPr>
            <w:tcW w:w="1478" w:type="dxa"/>
          </w:tcPr>
          <w:p w14:paraId="0EC5945D" w14:textId="77777777" w:rsidR="00B9795E" w:rsidRPr="00A9211F" w:rsidRDefault="00B9795E" w:rsidP="00EA5C8B">
            <w:pPr>
              <w:tabs>
                <w:tab w:val="left" w:pos="1701"/>
              </w:tabs>
              <w:jc w:val="both"/>
              <w:rPr>
                <w:rFonts w:asciiTheme="majorBidi" w:hAnsiTheme="majorBidi" w:cstheme="majorBidi"/>
                <w:sz w:val="20"/>
                <w:szCs w:val="20"/>
              </w:rPr>
            </w:pPr>
            <w:r w:rsidRPr="00A9211F">
              <w:rPr>
                <w:rFonts w:asciiTheme="majorBidi" w:hAnsiTheme="majorBidi" w:cstheme="majorBidi"/>
                <w:sz w:val="20"/>
                <w:szCs w:val="20"/>
              </w:rPr>
              <w:t>3</w:t>
            </w:r>
          </w:p>
        </w:tc>
      </w:tr>
    </w:tbl>
    <w:p w14:paraId="74A2B946" w14:textId="747C1611" w:rsidR="00B9795E" w:rsidRPr="00A9211F" w:rsidRDefault="00B9795E" w:rsidP="00EA5C8B">
      <w:pPr>
        <w:pStyle w:val="ListParagraph"/>
        <w:tabs>
          <w:tab w:val="left" w:pos="1701"/>
        </w:tabs>
        <w:ind w:left="1094"/>
        <w:jc w:val="both"/>
        <w:rPr>
          <w:rFonts w:asciiTheme="majorBidi" w:hAnsiTheme="majorBidi" w:cstheme="majorBidi"/>
          <w:sz w:val="20"/>
          <w:szCs w:val="20"/>
          <w:lang w:val="en-GB"/>
        </w:rPr>
      </w:pPr>
    </w:p>
    <w:p w14:paraId="0C7096FF" w14:textId="783A36DD" w:rsidR="005019F5" w:rsidRPr="00A9211F" w:rsidRDefault="005019F5"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In 2016, 2017</w:t>
      </w:r>
      <w:r w:rsidR="00362777"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2018</w:t>
      </w:r>
      <w:r w:rsidR="00362777" w:rsidRPr="00A9211F">
        <w:rPr>
          <w:rFonts w:asciiTheme="majorBidi" w:hAnsiTheme="majorBidi" w:cstheme="majorBidi"/>
          <w:sz w:val="20"/>
          <w:szCs w:val="20"/>
          <w:lang w:val="en-GB"/>
        </w:rPr>
        <w:t xml:space="preserve"> and 2019 </w:t>
      </w:r>
      <w:r w:rsidRPr="00A9211F">
        <w:rPr>
          <w:rFonts w:asciiTheme="majorBidi" w:hAnsiTheme="majorBidi" w:cstheme="majorBidi"/>
          <w:sz w:val="20"/>
          <w:szCs w:val="20"/>
          <w:lang w:val="en-GB"/>
        </w:rPr>
        <w:t>the OCEI took an average of 316, 262</w:t>
      </w:r>
      <w:r w:rsidR="00362777"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279 </w:t>
      </w:r>
      <w:r w:rsidR="00362777" w:rsidRPr="00A9211F">
        <w:rPr>
          <w:rFonts w:asciiTheme="majorBidi" w:hAnsiTheme="majorBidi" w:cstheme="majorBidi"/>
          <w:sz w:val="20"/>
          <w:szCs w:val="20"/>
          <w:lang w:val="en-GB"/>
        </w:rPr>
        <w:t xml:space="preserve">and 249 </w:t>
      </w:r>
      <w:r w:rsidRPr="00A9211F">
        <w:rPr>
          <w:rFonts w:asciiTheme="majorBidi" w:hAnsiTheme="majorBidi" w:cstheme="majorBidi"/>
          <w:sz w:val="20"/>
          <w:szCs w:val="20"/>
          <w:lang w:val="en-GB"/>
        </w:rPr>
        <w:t>days respectively to close a case.</w:t>
      </w:r>
      <w:r w:rsidRPr="00A9211F">
        <w:rPr>
          <w:rStyle w:val="FootnoteReference"/>
          <w:rFonts w:asciiTheme="majorBidi" w:hAnsiTheme="majorBidi" w:cstheme="majorBidi"/>
          <w:szCs w:val="20"/>
          <w:lang w:val="en-GB"/>
        </w:rPr>
        <w:footnoteReference w:id="24"/>
      </w:r>
      <w:r w:rsidRPr="00A9211F">
        <w:rPr>
          <w:rFonts w:asciiTheme="majorBidi" w:hAnsiTheme="majorBidi" w:cstheme="majorBidi"/>
          <w:sz w:val="20"/>
          <w:szCs w:val="20"/>
          <w:lang w:val="en-GB"/>
        </w:rPr>
        <w:t xml:space="preserve"> These times do not include the two-month period following the adoption of the decision, during which either party may appeal against it. (There is no obligation on a public authority to give effect to the decision until the two-month deadline for appeal expires.)</w:t>
      </w:r>
      <w:r w:rsidRPr="00A9211F">
        <w:rPr>
          <w:rStyle w:val="FootnoteReference"/>
          <w:rFonts w:asciiTheme="majorBidi" w:hAnsiTheme="majorBidi" w:cstheme="majorBidi"/>
          <w:sz w:val="20"/>
          <w:szCs w:val="20"/>
          <w:lang w:val="en-GB"/>
        </w:rPr>
        <w:footnoteReference w:id="25"/>
      </w:r>
      <w:r w:rsidRPr="00A9211F">
        <w:rPr>
          <w:rFonts w:asciiTheme="majorBidi" w:hAnsiTheme="majorBidi" w:cstheme="majorBidi"/>
          <w:sz w:val="20"/>
          <w:szCs w:val="20"/>
          <w:lang w:val="en-GB"/>
        </w:rPr>
        <w:t xml:space="preserve"> </w:t>
      </w:r>
    </w:p>
    <w:p w14:paraId="78E998BC" w14:textId="77777777" w:rsidR="0018721E" w:rsidRPr="00A9211F" w:rsidRDefault="0018721E" w:rsidP="00A9211F">
      <w:pPr>
        <w:tabs>
          <w:tab w:val="left" w:pos="1701"/>
        </w:tabs>
        <w:jc w:val="both"/>
        <w:rPr>
          <w:rFonts w:asciiTheme="majorBidi" w:hAnsiTheme="majorBidi"/>
          <w:sz w:val="20"/>
        </w:rPr>
      </w:pPr>
    </w:p>
    <w:p w14:paraId="39869887" w14:textId="07703AE8" w:rsidR="008939EB" w:rsidRPr="00A9211F" w:rsidRDefault="008939EB" w:rsidP="00EA5C8B">
      <w:pPr>
        <w:tabs>
          <w:tab w:val="left" w:pos="1701"/>
        </w:tabs>
        <w:ind w:left="1094"/>
        <w:jc w:val="both"/>
        <w:outlineLvl w:val="0"/>
        <w:rPr>
          <w:rFonts w:asciiTheme="majorBidi" w:hAnsiTheme="majorBidi" w:cstheme="majorBidi"/>
          <w:b/>
          <w:sz w:val="20"/>
          <w:szCs w:val="20"/>
        </w:rPr>
      </w:pPr>
      <w:r w:rsidRPr="00A9211F">
        <w:rPr>
          <w:rFonts w:asciiTheme="majorBidi" w:hAnsiTheme="majorBidi" w:cstheme="majorBidi"/>
          <w:b/>
          <w:sz w:val="20"/>
          <w:szCs w:val="20"/>
        </w:rPr>
        <w:t>Court appeals on points of law</w:t>
      </w:r>
    </w:p>
    <w:p w14:paraId="7790846F" w14:textId="7E359254" w:rsidR="008939EB" w:rsidRPr="00A9211F" w:rsidRDefault="008939EB" w:rsidP="00EA5C8B">
      <w:pPr>
        <w:tabs>
          <w:tab w:val="left" w:pos="1701"/>
        </w:tabs>
        <w:ind w:left="1094"/>
        <w:jc w:val="both"/>
        <w:outlineLvl w:val="0"/>
        <w:rPr>
          <w:rFonts w:asciiTheme="majorBidi" w:hAnsiTheme="majorBidi" w:cstheme="majorBidi"/>
          <w:b/>
          <w:sz w:val="20"/>
          <w:szCs w:val="20"/>
        </w:rPr>
      </w:pPr>
    </w:p>
    <w:p w14:paraId="683B9208" w14:textId="54CBC849" w:rsidR="008939EB" w:rsidRPr="00A9211F" w:rsidRDefault="00E27FD2" w:rsidP="00EA5C8B">
      <w:pPr>
        <w:pStyle w:val="ListParagraph"/>
        <w:numPr>
          <w:ilvl w:val="0"/>
          <w:numId w:val="7"/>
        </w:numPr>
        <w:tabs>
          <w:tab w:val="left" w:pos="1701"/>
        </w:tabs>
        <w:ind w:left="1094" w:firstLine="0"/>
        <w:jc w:val="both"/>
        <w:rPr>
          <w:rFonts w:asciiTheme="majorBidi" w:hAnsiTheme="majorBidi" w:cstheme="majorBidi"/>
          <w:sz w:val="20"/>
          <w:szCs w:val="20"/>
        </w:rPr>
      </w:pPr>
      <w:r w:rsidRPr="00A9211F">
        <w:rPr>
          <w:rFonts w:asciiTheme="majorBidi" w:hAnsiTheme="majorBidi" w:cstheme="majorBidi"/>
          <w:sz w:val="20"/>
          <w:szCs w:val="20"/>
        </w:rPr>
        <w:t xml:space="preserve">As set out in the table in paragraph </w:t>
      </w:r>
      <w:r w:rsidRPr="00A9211F">
        <w:rPr>
          <w:rFonts w:asciiTheme="majorBidi" w:hAnsiTheme="majorBidi" w:cstheme="majorBidi"/>
          <w:sz w:val="20"/>
          <w:szCs w:val="20"/>
        </w:rPr>
        <w:fldChar w:fldCharType="begin"/>
      </w:r>
      <w:r w:rsidRPr="00A9211F">
        <w:rPr>
          <w:rFonts w:asciiTheme="majorBidi" w:hAnsiTheme="majorBidi" w:cstheme="majorBidi"/>
          <w:sz w:val="20"/>
          <w:szCs w:val="20"/>
        </w:rPr>
        <w:instrText xml:space="preserve"> REF _Ref533006517 \r \h </w:instrText>
      </w:r>
      <w:r w:rsidR="00E442C4" w:rsidRPr="00A9211F">
        <w:rPr>
          <w:rFonts w:asciiTheme="majorBidi" w:hAnsiTheme="majorBidi" w:cstheme="majorBidi"/>
          <w:sz w:val="20"/>
          <w:szCs w:val="20"/>
        </w:rPr>
        <w:instrText xml:space="preserve"> \* MERGEFORMAT </w:instrText>
      </w:r>
      <w:r w:rsidRPr="00A9211F">
        <w:rPr>
          <w:rFonts w:asciiTheme="majorBidi" w:hAnsiTheme="majorBidi" w:cstheme="majorBidi"/>
          <w:sz w:val="20"/>
          <w:szCs w:val="20"/>
        </w:rPr>
      </w:r>
      <w:r w:rsidRPr="00A9211F">
        <w:rPr>
          <w:rFonts w:asciiTheme="majorBidi" w:hAnsiTheme="majorBidi" w:cstheme="majorBidi"/>
          <w:sz w:val="20"/>
          <w:szCs w:val="20"/>
        </w:rPr>
        <w:fldChar w:fldCharType="separate"/>
      </w:r>
      <w:r w:rsidR="006B2913">
        <w:rPr>
          <w:rFonts w:asciiTheme="majorBidi" w:hAnsiTheme="majorBidi" w:cstheme="majorBidi"/>
          <w:sz w:val="20"/>
          <w:szCs w:val="20"/>
          <w:cs/>
        </w:rPr>
        <w:t>‎</w:t>
      </w:r>
      <w:r w:rsidR="006B2913">
        <w:rPr>
          <w:rFonts w:asciiTheme="majorBidi" w:hAnsiTheme="majorBidi" w:cstheme="majorBidi"/>
          <w:sz w:val="20"/>
          <w:szCs w:val="20"/>
        </w:rPr>
        <w:t>33</w:t>
      </w:r>
      <w:r w:rsidRPr="00A9211F">
        <w:rPr>
          <w:rFonts w:asciiTheme="majorBidi" w:hAnsiTheme="majorBidi" w:cstheme="majorBidi"/>
          <w:sz w:val="20"/>
          <w:szCs w:val="20"/>
        </w:rPr>
        <w:fldChar w:fldCharType="end"/>
      </w:r>
      <w:r w:rsidRPr="00A9211F">
        <w:rPr>
          <w:rFonts w:asciiTheme="majorBidi" w:hAnsiTheme="majorBidi" w:cstheme="majorBidi"/>
          <w:sz w:val="20"/>
          <w:szCs w:val="20"/>
        </w:rPr>
        <w:t xml:space="preserve"> above, from 2013-2017 there were a total of five appeals of OCEI decisions to the High Court under article 13 of the AIE Regulations. In addition, f</w:t>
      </w:r>
      <w:r w:rsidR="008939EB" w:rsidRPr="00A9211F">
        <w:rPr>
          <w:rFonts w:asciiTheme="majorBidi" w:hAnsiTheme="majorBidi" w:cstheme="majorBidi"/>
          <w:sz w:val="20"/>
          <w:szCs w:val="20"/>
        </w:rPr>
        <w:t xml:space="preserve">ive of the decisions made by the OCEI in 2018 were appealed to the High Court under </w:t>
      </w:r>
      <w:r w:rsidR="005C2A53" w:rsidRPr="00A9211F">
        <w:rPr>
          <w:rFonts w:asciiTheme="majorBidi" w:hAnsiTheme="majorBidi" w:cstheme="majorBidi"/>
          <w:sz w:val="20"/>
          <w:szCs w:val="20"/>
        </w:rPr>
        <w:t>the same provision</w:t>
      </w:r>
      <w:r w:rsidR="008939EB" w:rsidRPr="00A9211F">
        <w:rPr>
          <w:rFonts w:asciiTheme="majorBidi" w:hAnsiTheme="majorBidi" w:cstheme="majorBidi"/>
          <w:sz w:val="20"/>
          <w:szCs w:val="20"/>
        </w:rPr>
        <w:t xml:space="preserve">. Three </w:t>
      </w:r>
      <w:r w:rsidRPr="00A9211F">
        <w:rPr>
          <w:rFonts w:asciiTheme="majorBidi" w:hAnsiTheme="majorBidi" w:cstheme="majorBidi"/>
          <w:sz w:val="20"/>
          <w:szCs w:val="20"/>
        </w:rPr>
        <w:t xml:space="preserve">of these </w:t>
      </w:r>
      <w:r w:rsidR="008939EB" w:rsidRPr="00A9211F">
        <w:rPr>
          <w:rFonts w:asciiTheme="majorBidi" w:hAnsiTheme="majorBidi" w:cstheme="majorBidi"/>
          <w:sz w:val="20"/>
          <w:szCs w:val="20"/>
        </w:rPr>
        <w:t>were appealed by the public authority and two were appealed by the applicant.</w:t>
      </w:r>
      <w:r w:rsidR="008939EB" w:rsidRPr="00A9211F">
        <w:rPr>
          <w:rStyle w:val="FootnoteReference"/>
          <w:rFonts w:asciiTheme="majorBidi" w:hAnsiTheme="majorBidi" w:cstheme="majorBidi"/>
          <w:sz w:val="20"/>
          <w:szCs w:val="20"/>
        </w:rPr>
        <w:footnoteReference w:id="26"/>
      </w:r>
      <w:r w:rsidR="00DA627D" w:rsidRPr="00A9211F">
        <w:rPr>
          <w:rFonts w:asciiTheme="majorBidi" w:hAnsiTheme="majorBidi" w:cstheme="majorBidi"/>
          <w:sz w:val="20"/>
          <w:szCs w:val="20"/>
        </w:rPr>
        <w:t xml:space="preserve"> </w:t>
      </w:r>
    </w:p>
    <w:p w14:paraId="0CC34641" w14:textId="3A6AE23D" w:rsidR="008939EB" w:rsidRPr="00A9211F" w:rsidRDefault="008939EB" w:rsidP="00EA5C8B">
      <w:pPr>
        <w:tabs>
          <w:tab w:val="left" w:pos="1701"/>
        </w:tabs>
        <w:ind w:left="1094"/>
        <w:jc w:val="both"/>
        <w:outlineLvl w:val="0"/>
        <w:rPr>
          <w:rFonts w:asciiTheme="majorBidi" w:hAnsiTheme="majorBidi" w:cstheme="majorBidi"/>
          <w:sz w:val="20"/>
          <w:szCs w:val="20"/>
        </w:rPr>
      </w:pPr>
    </w:p>
    <w:p w14:paraId="12525071" w14:textId="4F02036A" w:rsidR="00A7342E" w:rsidRPr="00A9211F" w:rsidRDefault="00A7342E" w:rsidP="00EA5C8B">
      <w:pPr>
        <w:pStyle w:val="ListParagraph"/>
        <w:numPr>
          <w:ilvl w:val="0"/>
          <w:numId w:val="7"/>
        </w:numPr>
        <w:tabs>
          <w:tab w:val="left" w:pos="1701"/>
        </w:tabs>
        <w:ind w:left="1094" w:firstLine="0"/>
        <w:jc w:val="both"/>
        <w:rPr>
          <w:rFonts w:asciiTheme="majorBidi" w:hAnsiTheme="majorBidi" w:cstheme="majorBidi"/>
          <w:b/>
          <w:sz w:val="20"/>
          <w:szCs w:val="20"/>
        </w:rPr>
      </w:pPr>
      <w:r w:rsidRPr="00A9211F">
        <w:rPr>
          <w:rFonts w:asciiTheme="majorBidi" w:hAnsiTheme="majorBidi" w:cstheme="majorBidi"/>
          <w:sz w:val="20"/>
          <w:szCs w:val="20"/>
        </w:rPr>
        <w:lastRenderedPageBreak/>
        <w:t xml:space="preserve">In addition to the five appeals to the High Court under article 13, there was one judicial review in 2018 of a decision made by </w:t>
      </w:r>
      <w:r w:rsidR="00E27FD2" w:rsidRPr="00A9211F">
        <w:rPr>
          <w:rFonts w:asciiTheme="majorBidi" w:hAnsiTheme="majorBidi" w:cstheme="majorBidi"/>
          <w:sz w:val="20"/>
          <w:szCs w:val="20"/>
        </w:rPr>
        <w:t>a public authority (</w:t>
      </w:r>
      <w:r w:rsidRPr="00A9211F">
        <w:rPr>
          <w:rFonts w:asciiTheme="majorBidi" w:hAnsiTheme="majorBidi" w:cstheme="majorBidi"/>
          <w:sz w:val="20"/>
          <w:szCs w:val="20"/>
        </w:rPr>
        <w:t>the Department of the Taoiseach (the Prime Minister)</w:t>
      </w:r>
      <w:r w:rsidR="00E27FD2" w:rsidRPr="00A9211F">
        <w:rPr>
          <w:rFonts w:asciiTheme="majorBidi" w:hAnsiTheme="majorBidi" w:cstheme="majorBidi"/>
          <w:sz w:val="20"/>
          <w:szCs w:val="20"/>
        </w:rPr>
        <w:t>)</w:t>
      </w:r>
      <w:r w:rsidRPr="00A9211F">
        <w:rPr>
          <w:rFonts w:asciiTheme="majorBidi" w:hAnsiTheme="majorBidi" w:cstheme="majorBidi"/>
          <w:sz w:val="20"/>
          <w:szCs w:val="20"/>
        </w:rPr>
        <w:t xml:space="preserve"> under the AIE Regulations.</w:t>
      </w:r>
      <w:r w:rsidRPr="00A9211F">
        <w:rPr>
          <w:rStyle w:val="FootnoteReference"/>
          <w:rFonts w:asciiTheme="majorBidi" w:hAnsiTheme="majorBidi" w:cstheme="majorBidi"/>
          <w:sz w:val="20"/>
          <w:szCs w:val="20"/>
        </w:rPr>
        <w:t xml:space="preserve"> </w:t>
      </w:r>
      <w:r w:rsidRPr="00A9211F">
        <w:rPr>
          <w:rStyle w:val="FootnoteReference"/>
          <w:rFonts w:asciiTheme="majorBidi" w:hAnsiTheme="majorBidi" w:cstheme="majorBidi"/>
          <w:sz w:val="20"/>
          <w:szCs w:val="20"/>
        </w:rPr>
        <w:footnoteReference w:id="27"/>
      </w:r>
      <w:r w:rsidRPr="00A9211F">
        <w:rPr>
          <w:rFonts w:asciiTheme="majorBidi" w:hAnsiTheme="majorBidi" w:cstheme="majorBidi"/>
          <w:sz w:val="20"/>
          <w:szCs w:val="20"/>
        </w:rPr>
        <w:t xml:space="preserve"> </w:t>
      </w:r>
    </w:p>
    <w:p w14:paraId="7AE4AF27" w14:textId="77777777" w:rsidR="00A7342E" w:rsidRPr="00A9211F" w:rsidRDefault="00A7342E" w:rsidP="00EA5C8B">
      <w:pPr>
        <w:pStyle w:val="ListParagraph"/>
        <w:rPr>
          <w:rFonts w:asciiTheme="majorBidi" w:hAnsiTheme="majorBidi" w:cstheme="majorBidi"/>
          <w:sz w:val="20"/>
          <w:szCs w:val="20"/>
        </w:rPr>
      </w:pPr>
    </w:p>
    <w:p w14:paraId="31760199" w14:textId="3ED1D12C" w:rsidR="008939EB" w:rsidRPr="00A9211F" w:rsidRDefault="008939EB" w:rsidP="00EA5C8B">
      <w:pPr>
        <w:pStyle w:val="ListParagraph"/>
        <w:numPr>
          <w:ilvl w:val="0"/>
          <w:numId w:val="7"/>
        </w:numPr>
        <w:tabs>
          <w:tab w:val="left" w:pos="1701"/>
        </w:tabs>
        <w:ind w:left="1094" w:firstLine="0"/>
        <w:jc w:val="both"/>
        <w:rPr>
          <w:rFonts w:asciiTheme="majorBidi" w:hAnsiTheme="majorBidi" w:cstheme="majorBidi"/>
          <w:b/>
          <w:sz w:val="20"/>
          <w:szCs w:val="20"/>
        </w:rPr>
      </w:pPr>
      <w:r w:rsidRPr="00A9211F">
        <w:rPr>
          <w:rFonts w:asciiTheme="majorBidi" w:hAnsiTheme="majorBidi" w:cstheme="majorBidi"/>
          <w:sz w:val="20"/>
          <w:szCs w:val="20"/>
        </w:rPr>
        <w:t>In 2018, one High Court decision was appealed to the Court of Appeal.</w:t>
      </w:r>
      <w:r w:rsidRPr="00A9211F">
        <w:rPr>
          <w:rStyle w:val="FootnoteReference"/>
          <w:rFonts w:asciiTheme="majorBidi" w:hAnsiTheme="majorBidi" w:cstheme="majorBidi"/>
          <w:sz w:val="20"/>
          <w:szCs w:val="20"/>
        </w:rPr>
        <w:t xml:space="preserve"> </w:t>
      </w:r>
      <w:r w:rsidRPr="00A9211F">
        <w:rPr>
          <w:rStyle w:val="FootnoteReference"/>
          <w:rFonts w:asciiTheme="majorBidi" w:hAnsiTheme="majorBidi" w:cstheme="majorBidi"/>
          <w:sz w:val="20"/>
          <w:szCs w:val="20"/>
        </w:rPr>
        <w:footnoteReference w:id="28"/>
      </w:r>
    </w:p>
    <w:p w14:paraId="02D92040" w14:textId="77777777" w:rsidR="00A7342E" w:rsidRPr="00A9211F" w:rsidRDefault="00A7342E" w:rsidP="00EA5C8B">
      <w:pPr>
        <w:pStyle w:val="ListParagraph"/>
        <w:rPr>
          <w:rFonts w:asciiTheme="majorBidi" w:hAnsiTheme="majorBidi" w:cstheme="majorBidi"/>
          <w:b/>
          <w:sz w:val="20"/>
          <w:szCs w:val="20"/>
        </w:rPr>
      </w:pPr>
    </w:p>
    <w:p w14:paraId="0A27D358" w14:textId="2D243D95" w:rsidR="0018721E" w:rsidRPr="00A9211F" w:rsidRDefault="00E27FD2" w:rsidP="00EA5C8B">
      <w:pPr>
        <w:tabs>
          <w:tab w:val="left" w:pos="1701"/>
        </w:tabs>
        <w:ind w:left="1094"/>
        <w:jc w:val="both"/>
        <w:outlineLvl w:val="0"/>
        <w:rPr>
          <w:rFonts w:asciiTheme="majorBidi" w:hAnsiTheme="majorBidi" w:cstheme="majorBidi"/>
          <w:i/>
          <w:iCs/>
          <w:sz w:val="20"/>
          <w:szCs w:val="20"/>
        </w:rPr>
      </w:pPr>
      <w:r w:rsidRPr="00A9211F">
        <w:rPr>
          <w:rFonts w:asciiTheme="majorBidi" w:hAnsiTheme="majorBidi" w:cstheme="majorBidi"/>
          <w:i/>
          <w:iCs/>
          <w:sz w:val="20"/>
          <w:szCs w:val="20"/>
        </w:rPr>
        <w:t>Relevant c</w:t>
      </w:r>
      <w:r w:rsidR="0018721E" w:rsidRPr="00A9211F">
        <w:rPr>
          <w:rFonts w:asciiTheme="majorBidi" w:hAnsiTheme="majorBidi" w:cstheme="majorBidi"/>
          <w:i/>
          <w:iCs/>
          <w:sz w:val="20"/>
          <w:szCs w:val="20"/>
        </w:rPr>
        <w:t xml:space="preserve">ase law </w:t>
      </w:r>
    </w:p>
    <w:p w14:paraId="74267018" w14:textId="77777777" w:rsidR="0018721E" w:rsidRPr="00A9211F" w:rsidRDefault="0018721E" w:rsidP="00EA5C8B">
      <w:pPr>
        <w:tabs>
          <w:tab w:val="left" w:pos="1701"/>
        </w:tabs>
        <w:jc w:val="both"/>
        <w:rPr>
          <w:rFonts w:asciiTheme="majorBidi" w:hAnsiTheme="majorBidi" w:cstheme="majorBidi"/>
          <w:sz w:val="20"/>
          <w:szCs w:val="20"/>
        </w:rPr>
      </w:pPr>
      <w:bookmarkStart w:id="15" w:name="_Ref527444361"/>
    </w:p>
    <w:p w14:paraId="01A74A6C" w14:textId="3BDFD538"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6" w:name="_Ref528429789"/>
      <w:r w:rsidRPr="00A9211F">
        <w:rPr>
          <w:rFonts w:asciiTheme="majorBidi" w:hAnsiTheme="majorBidi" w:cstheme="majorBidi"/>
          <w:sz w:val="20"/>
          <w:szCs w:val="20"/>
          <w:lang w:val="en-GB"/>
        </w:rPr>
        <w:t xml:space="preserve"> In </w:t>
      </w:r>
      <w:r w:rsidRPr="00A9211F">
        <w:rPr>
          <w:rFonts w:asciiTheme="majorBidi" w:hAnsiTheme="majorBidi" w:cstheme="majorBidi"/>
          <w:i/>
          <w:iCs/>
          <w:sz w:val="20"/>
          <w:szCs w:val="20"/>
          <w:lang w:val="en-GB"/>
        </w:rPr>
        <w:t>NAMA v. Commissioner for Environmental Information</w:t>
      </w:r>
      <w:r w:rsidRPr="00A9211F">
        <w:rPr>
          <w:rStyle w:val="FootnoteReference"/>
          <w:rFonts w:asciiTheme="majorBidi" w:hAnsiTheme="majorBidi" w:cstheme="majorBidi"/>
          <w:szCs w:val="20"/>
          <w:lang w:val="en-GB"/>
        </w:rPr>
        <w:footnoteReference w:id="29"/>
      </w:r>
      <w:r w:rsidRPr="00A9211F">
        <w:rPr>
          <w:rFonts w:asciiTheme="majorBidi" w:hAnsiTheme="majorBidi" w:cstheme="majorBidi"/>
          <w:sz w:val="20"/>
          <w:szCs w:val="20"/>
          <w:lang w:val="en-GB"/>
        </w:rPr>
        <w:t>, Mr. Sheridan, the communicant’s director, had requested information from the National Asset Management Authority (NAMA) on 3 February 2010.</w:t>
      </w:r>
      <w:r w:rsidRPr="00A9211F">
        <w:rPr>
          <w:rStyle w:val="FootnoteReference"/>
          <w:rFonts w:asciiTheme="majorBidi" w:hAnsiTheme="majorBidi" w:cstheme="majorBidi"/>
          <w:szCs w:val="20"/>
          <w:lang w:val="en-GB"/>
        </w:rPr>
        <w:footnoteReference w:id="30"/>
      </w:r>
      <w:r w:rsidRPr="00A9211F">
        <w:rPr>
          <w:rFonts w:asciiTheme="majorBidi" w:hAnsiTheme="majorBidi" w:cstheme="majorBidi"/>
          <w:sz w:val="20"/>
          <w:szCs w:val="20"/>
          <w:lang w:val="en-GB"/>
        </w:rPr>
        <w:t xml:space="preserve"> On 13 September 2011, the OCEI determined that NAMA was a public authority under the AIE Regulations. In November 2011, NAMA appealed against OCEI’s determination that it was a public authority; the High Court upheld the OCEI’s decision on 27 February 2013. NAMA then appealed to the Supreme Court on 19 April 2013, which dismissed the appeal on</w:t>
      </w:r>
      <w:r w:rsidR="007A41B8"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23 June 2015.</w:t>
      </w:r>
      <w:r w:rsidRPr="00A9211F">
        <w:rPr>
          <w:rStyle w:val="FootnoteReference"/>
          <w:rFonts w:asciiTheme="majorBidi" w:hAnsiTheme="majorBidi" w:cstheme="majorBidi"/>
          <w:szCs w:val="20"/>
          <w:lang w:val="en-GB"/>
        </w:rPr>
        <w:footnoteReference w:id="31"/>
      </w:r>
      <w:bookmarkEnd w:id="16"/>
      <w:r w:rsidRPr="00A9211F">
        <w:rPr>
          <w:rFonts w:asciiTheme="majorBidi" w:hAnsiTheme="majorBidi" w:cstheme="majorBidi"/>
          <w:sz w:val="20"/>
          <w:szCs w:val="20"/>
          <w:lang w:val="en-GB"/>
        </w:rPr>
        <w:t xml:space="preserve"> </w:t>
      </w:r>
    </w:p>
    <w:p w14:paraId="09DED4E6" w14:textId="77777777" w:rsidR="0018721E" w:rsidRPr="00A9211F" w:rsidRDefault="0018721E" w:rsidP="00EA5C8B">
      <w:pPr>
        <w:tabs>
          <w:tab w:val="left" w:pos="1701"/>
        </w:tabs>
        <w:jc w:val="both"/>
        <w:rPr>
          <w:rFonts w:asciiTheme="majorBidi" w:hAnsiTheme="majorBidi" w:cstheme="majorBidi"/>
          <w:sz w:val="20"/>
          <w:szCs w:val="20"/>
        </w:rPr>
      </w:pPr>
    </w:p>
    <w:p w14:paraId="449A2FDB" w14:textId="77777777"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7" w:name="_Ref528313233"/>
      <w:r w:rsidRPr="00A9211F">
        <w:rPr>
          <w:rFonts w:asciiTheme="majorBidi" w:hAnsiTheme="majorBidi" w:cstheme="majorBidi"/>
          <w:sz w:val="20"/>
          <w:szCs w:val="20"/>
          <w:lang w:val="en-GB"/>
        </w:rPr>
        <w:t xml:space="preserve">On 9 August 2016, Mr. Sheridan asked the OCEI for an update on what action had been taken following the judgment of the Supreme Court in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w:t>
      </w:r>
      <w:r w:rsidRPr="00A9211F">
        <w:rPr>
          <w:rStyle w:val="FootnoteReference"/>
          <w:rFonts w:asciiTheme="majorBidi" w:hAnsiTheme="majorBidi" w:cstheme="majorBidi"/>
          <w:szCs w:val="20"/>
          <w:lang w:val="en-GB"/>
        </w:rPr>
        <w:footnoteReference w:id="32"/>
      </w:r>
      <w:r w:rsidRPr="00A9211F">
        <w:rPr>
          <w:rFonts w:asciiTheme="majorBidi" w:hAnsiTheme="majorBidi" w:cstheme="majorBidi"/>
          <w:sz w:val="20"/>
          <w:szCs w:val="20"/>
          <w:lang w:val="en-GB"/>
        </w:rPr>
        <w:t xml:space="preserve"> The OCEI replied on 18 August 2016 that he would need to contact NAMA directly because the Supreme Court had simply dismissed NAMA’s appeal without issuing any order or directions following its judgment.</w:t>
      </w:r>
      <w:r w:rsidRPr="00A9211F">
        <w:rPr>
          <w:rStyle w:val="FootnoteReference"/>
          <w:rFonts w:asciiTheme="majorBidi" w:hAnsiTheme="majorBidi" w:cstheme="majorBidi"/>
          <w:szCs w:val="20"/>
          <w:lang w:val="en-GB"/>
        </w:rPr>
        <w:footnoteReference w:id="33"/>
      </w:r>
      <w:r w:rsidRPr="00A9211F">
        <w:rPr>
          <w:rFonts w:asciiTheme="majorBidi" w:hAnsiTheme="majorBidi" w:cstheme="majorBidi"/>
          <w:sz w:val="20"/>
          <w:szCs w:val="20"/>
          <w:lang w:val="en-GB"/>
        </w:rPr>
        <w:t xml:space="preserve"> NAMA refused Mr. Sheridan’s request on 30 August 2016 on the grounds that the information did not constitute environmental information within the meaning of article 3(1) of the AIE Regulations.</w:t>
      </w:r>
      <w:r w:rsidRPr="00A9211F">
        <w:rPr>
          <w:rStyle w:val="FootnoteReference"/>
          <w:rFonts w:asciiTheme="majorBidi" w:hAnsiTheme="majorBidi" w:cstheme="majorBidi"/>
          <w:szCs w:val="20"/>
          <w:lang w:val="en-GB"/>
        </w:rPr>
        <w:footnoteReference w:id="34"/>
      </w:r>
      <w:r w:rsidRPr="00A9211F">
        <w:rPr>
          <w:rFonts w:asciiTheme="majorBidi" w:hAnsiTheme="majorBidi" w:cstheme="majorBidi"/>
          <w:sz w:val="20"/>
          <w:szCs w:val="20"/>
          <w:lang w:val="en-GB"/>
        </w:rPr>
        <w:t xml:space="preserve"> He was informed that he was entitled to submit a request for the information under the FOI Act.</w:t>
      </w:r>
      <w:r w:rsidRPr="00A9211F">
        <w:rPr>
          <w:rStyle w:val="FootnoteReference"/>
          <w:rFonts w:asciiTheme="majorBidi" w:hAnsiTheme="majorBidi" w:cstheme="majorBidi"/>
          <w:szCs w:val="20"/>
          <w:lang w:val="en-GB"/>
        </w:rPr>
        <w:footnoteReference w:id="35"/>
      </w:r>
      <w:bookmarkStart w:id="18" w:name="_Ref527621813"/>
      <w:bookmarkEnd w:id="15"/>
      <w:bookmarkEnd w:id="17"/>
    </w:p>
    <w:p w14:paraId="6A2AC1A8" w14:textId="77777777" w:rsidR="0018721E" w:rsidRPr="00A9211F" w:rsidRDefault="0018721E" w:rsidP="00EA5C8B">
      <w:pPr>
        <w:tabs>
          <w:tab w:val="left" w:pos="1701"/>
        </w:tabs>
        <w:jc w:val="both"/>
        <w:rPr>
          <w:rFonts w:asciiTheme="majorBidi" w:hAnsiTheme="majorBidi" w:cstheme="majorBidi"/>
          <w:sz w:val="20"/>
          <w:szCs w:val="20"/>
        </w:rPr>
      </w:pPr>
    </w:p>
    <w:p w14:paraId="05542B24" w14:textId="3CA77F76"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19" w:name="_Ref532664119"/>
      <w:r w:rsidRPr="00A9211F">
        <w:rPr>
          <w:rFonts w:asciiTheme="majorBidi" w:hAnsiTheme="majorBidi" w:cstheme="majorBidi"/>
          <w:sz w:val="20"/>
          <w:szCs w:val="20"/>
          <w:lang w:val="en-GB"/>
        </w:rPr>
        <w:t xml:space="preserve">Mr. Sheridan was also the applicant in </w:t>
      </w:r>
      <w:r w:rsidRPr="00A9211F">
        <w:rPr>
          <w:rFonts w:asciiTheme="majorBidi" w:hAnsiTheme="majorBidi" w:cstheme="majorBidi"/>
          <w:i/>
          <w:iCs/>
          <w:sz w:val="20"/>
          <w:szCs w:val="20"/>
          <w:lang w:val="en-GB"/>
        </w:rPr>
        <w:t>IBRC Limited (formerly Anglo Irish Bank) v. Commissioner for Environmental Information</w:t>
      </w:r>
      <w:r w:rsidRPr="00A9211F">
        <w:rPr>
          <w:rFonts w:asciiTheme="majorBidi" w:hAnsiTheme="majorBidi" w:cstheme="majorBidi"/>
          <w:sz w:val="20"/>
          <w:szCs w:val="20"/>
          <w:lang w:val="en-GB"/>
        </w:rPr>
        <w:t>. On 1 April 2010, he appealed against the bank’s refusal to provide information to the OCEI, which issued its decision on 1 September 2011, finding that the bank was not justified in refusing the request on the grounds that it is not a public authority within the meaning of the AIE Regulations.</w:t>
      </w:r>
      <w:r w:rsidRPr="00A9211F">
        <w:rPr>
          <w:rStyle w:val="FootnoteReference"/>
          <w:rFonts w:asciiTheme="majorBidi" w:hAnsiTheme="majorBidi" w:cstheme="majorBidi"/>
          <w:sz w:val="20"/>
          <w:szCs w:val="20"/>
          <w:lang w:val="en-GB"/>
        </w:rPr>
        <w:footnoteReference w:id="36"/>
      </w:r>
      <w:r w:rsidRPr="00A9211F">
        <w:rPr>
          <w:rFonts w:asciiTheme="majorBidi" w:hAnsiTheme="majorBidi" w:cstheme="majorBidi"/>
          <w:sz w:val="20"/>
          <w:szCs w:val="20"/>
          <w:lang w:val="en-GB"/>
        </w:rPr>
        <w:t xml:space="preserve"> </w:t>
      </w:r>
      <w:r w:rsidRPr="00A9211F">
        <w:rPr>
          <w:rStyle w:val="CommentReference"/>
          <w:rFonts w:asciiTheme="majorBidi" w:hAnsiTheme="majorBidi" w:cstheme="majorBidi"/>
          <w:sz w:val="20"/>
          <w:szCs w:val="20"/>
          <w:lang w:val="en-GB"/>
        </w:rPr>
        <w:t>On app</w:t>
      </w:r>
      <w:r w:rsidRPr="00A9211F">
        <w:rPr>
          <w:rFonts w:asciiTheme="majorBidi" w:hAnsiTheme="majorBidi" w:cstheme="majorBidi"/>
          <w:sz w:val="20"/>
          <w:szCs w:val="20"/>
          <w:lang w:val="en-GB"/>
        </w:rPr>
        <w:t xml:space="preserve">eal, the High Court stayed the proceedings pending the outcome of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 In its reply of 18 August 2016 to Mr. Sheridan’s request for an update (see para. </w:t>
      </w:r>
      <w:r w:rsidRPr="00A9211F">
        <w:rPr>
          <w:rFonts w:asciiTheme="majorBidi" w:hAnsiTheme="majorBidi" w:cstheme="majorBidi"/>
          <w:sz w:val="20"/>
          <w:szCs w:val="20"/>
          <w:lang w:val="en-GB"/>
        </w:rPr>
        <w:fldChar w:fldCharType="begin"/>
      </w:r>
      <w:r w:rsidRPr="00A9211F">
        <w:rPr>
          <w:rFonts w:asciiTheme="majorBidi" w:hAnsiTheme="majorBidi" w:cstheme="majorBidi"/>
          <w:sz w:val="20"/>
          <w:szCs w:val="20"/>
          <w:lang w:val="en-GB"/>
        </w:rPr>
        <w:instrText xml:space="preserve"> REF _Ref528313233 \r \h  \* MERGEFORMAT </w:instrText>
      </w:r>
      <w:r w:rsidRPr="00A9211F">
        <w:rPr>
          <w:rFonts w:asciiTheme="majorBidi" w:hAnsiTheme="majorBidi" w:cstheme="majorBidi"/>
          <w:sz w:val="20"/>
          <w:szCs w:val="20"/>
          <w:lang w:val="en-GB"/>
        </w:rPr>
      </w:r>
      <w:r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sidRPr="006B2913">
        <w:rPr>
          <w:rFonts w:asciiTheme="majorBidi" w:hAnsiTheme="majorBidi" w:cstheme="majorBidi"/>
          <w:sz w:val="20"/>
          <w:lang w:val="en-GB"/>
        </w:rPr>
        <w:t>41</w:t>
      </w:r>
      <w:r w:rsidRPr="00A9211F">
        <w:rPr>
          <w:rFonts w:asciiTheme="majorBidi" w:hAnsiTheme="majorBidi" w:cstheme="majorBidi"/>
          <w:sz w:val="20"/>
          <w:szCs w:val="20"/>
          <w:lang w:val="en-GB"/>
        </w:rPr>
        <w:fldChar w:fldCharType="end"/>
      </w:r>
      <w:r w:rsidRPr="00A9211F">
        <w:rPr>
          <w:rFonts w:asciiTheme="majorBidi" w:hAnsiTheme="majorBidi" w:cstheme="majorBidi"/>
          <w:sz w:val="20"/>
          <w:szCs w:val="20"/>
          <w:lang w:val="en-GB"/>
        </w:rPr>
        <w:t xml:space="preserve"> above), the OCEI indicated that neither party had applied to re-activate the proceeding following the outcome of the NAMA case and the High Court’s stay remained in effect.</w:t>
      </w:r>
      <w:r w:rsidRPr="00A9211F">
        <w:rPr>
          <w:rStyle w:val="FootnoteReference"/>
          <w:rFonts w:asciiTheme="majorBidi" w:hAnsiTheme="majorBidi" w:cstheme="majorBidi"/>
          <w:sz w:val="20"/>
          <w:szCs w:val="20"/>
          <w:lang w:val="en-GB"/>
        </w:rPr>
        <w:footnoteReference w:id="37"/>
      </w:r>
      <w:bookmarkEnd w:id="19"/>
      <w:r w:rsidRPr="00A9211F">
        <w:rPr>
          <w:rFonts w:asciiTheme="majorBidi" w:hAnsiTheme="majorBidi" w:cstheme="majorBidi"/>
          <w:sz w:val="20"/>
          <w:szCs w:val="20"/>
          <w:lang w:val="en-GB"/>
        </w:rPr>
        <w:t xml:space="preserve"> </w:t>
      </w:r>
      <w:bookmarkStart w:id="20" w:name="_Ref528010495"/>
      <w:bookmarkEnd w:id="18"/>
    </w:p>
    <w:p w14:paraId="5144AA4F" w14:textId="77777777" w:rsidR="00AC73BE" w:rsidRPr="00A9211F" w:rsidRDefault="00AC73BE" w:rsidP="00A9211F">
      <w:pPr>
        <w:pStyle w:val="ListParagraph"/>
        <w:rPr>
          <w:rFonts w:asciiTheme="majorBidi" w:hAnsiTheme="majorBidi"/>
          <w:sz w:val="20"/>
          <w:lang w:val="en-GB"/>
        </w:rPr>
      </w:pPr>
    </w:p>
    <w:p w14:paraId="38306E57" w14:textId="368F6B24" w:rsidR="00AC73BE" w:rsidRPr="00A9211F" w:rsidRDefault="00AC73BE" w:rsidP="00AC73BE">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21" w:name="_Ref3012914"/>
      <w:bookmarkStart w:id="22" w:name="_Ref528578760"/>
      <w:r w:rsidRPr="00A9211F">
        <w:rPr>
          <w:rFonts w:asciiTheme="majorBidi" w:hAnsiTheme="majorBidi" w:cstheme="majorBidi"/>
          <w:i/>
          <w:iCs/>
          <w:sz w:val="20"/>
          <w:szCs w:val="20"/>
          <w:lang w:val="en-GB"/>
        </w:rPr>
        <w:t xml:space="preserve">Minch v. </w:t>
      </w:r>
      <w:r w:rsidR="00BA3340" w:rsidRPr="00A9211F">
        <w:rPr>
          <w:rFonts w:asciiTheme="majorBidi" w:hAnsiTheme="majorBidi" w:cstheme="majorBidi"/>
          <w:i/>
          <w:iCs/>
          <w:sz w:val="20"/>
          <w:szCs w:val="20"/>
          <w:lang w:val="en-GB"/>
        </w:rPr>
        <w:t xml:space="preserve">CEI </w:t>
      </w:r>
      <w:r w:rsidRPr="00A9211F">
        <w:rPr>
          <w:rFonts w:asciiTheme="majorBidi" w:hAnsiTheme="majorBidi" w:cstheme="majorBidi"/>
          <w:sz w:val="20"/>
          <w:szCs w:val="20"/>
          <w:lang w:val="en-GB"/>
        </w:rPr>
        <w:t xml:space="preserve"> concerned a request made by Mr. Minch on 18 May 2013, which was refused on appeal by the OCEI on 15 December 2014 on the grounds that the information requested was not environmental information.</w:t>
      </w:r>
      <w:r w:rsidRPr="00A9211F">
        <w:rPr>
          <w:rStyle w:val="FootnoteReference"/>
          <w:rFonts w:asciiTheme="majorBidi" w:hAnsiTheme="majorBidi" w:cstheme="majorBidi"/>
          <w:szCs w:val="20"/>
          <w:lang w:val="en-GB"/>
        </w:rPr>
        <w:footnoteReference w:id="38"/>
      </w:r>
      <w:r w:rsidRPr="00A9211F">
        <w:rPr>
          <w:rFonts w:asciiTheme="majorBidi" w:hAnsiTheme="majorBidi" w:cstheme="majorBidi"/>
          <w:sz w:val="20"/>
          <w:szCs w:val="20"/>
          <w:lang w:val="en-GB"/>
        </w:rPr>
        <w:t xml:space="preserve"> On 16 February 2016, the High Court quashed the OCEI’s decision, finding that the OCEI had applied an incorrect legal test. Both the OCEI and the public authority appealed. The Court of Appeal accepted the argument made by all parties that the appeal urgently needed to be heard and assigned an “early” hearing date on 16 June 2017.</w:t>
      </w:r>
      <w:r w:rsidRPr="00A9211F">
        <w:rPr>
          <w:rStyle w:val="FootnoteReference"/>
          <w:rFonts w:asciiTheme="majorBidi" w:hAnsiTheme="majorBidi" w:cstheme="majorBidi"/>
          <w:sz w:val="20"/>
          <w:szCs w:val="20"/>
          <w:lang w:val="en-GB"/>
        </w:rPr>
        <w:footnoteReference w:id="39"/>
      </w:r>
      <w:r w:rsidRPr="00A9211F">
        <w:rPr>
          <w:rFonts w:asciiTheme="majorBidi" w:hAnsiTheme="majorBidi" w:cstheme="majorBidi"/>
          <w:sz w:val="20"/>
          <w:szCs w:val="20"/>
          <w:lang w:val="en-GB"/>
        </w:rPr>
        <w:t xml:space="preserve"> On 28 July 2017 the Court of Appeal found that the request concerned environmental information and in the subsequent court order of 6 October 2017 set aside the contested decision. It remitted the matter to the OCEI to </w:t>
      </w:r>
      <w:r w:rsidRPr="00A9211F">
        <w:rPr>
          <w:rFonts w:asciiTheme="majorBidi" w:hAnsiTheme="majorBidi" w:cstheme="majorBidi"/>
          <w:sz w:val="20"/>
          <w:szCs w:val="20"/>
          <w:lang w:val="en-GB"/>
        </w:rPr>
        <w:lastRenderedPageBreak/>
        <w:t xml:space="preserve">determine whether the exemptions on disclosure raised by the public authority at the request stage should apply. </w:t>
      </w:r>
      <w:bookmarkEnd w:id="21"/>
      <w:r w:rsidRPr="00A9211F">
        <w:rPr>
          <w:rFonts w:asciiTheme="majorBidi" w:hAnsiTheme="majorBidi" w:cstheme="majorBidi"/>
          <w:sz w:val="20"/>
          <w:szCs w:val="20"/>
          <w:lang w:val="en-GB"/>
        </w:rPr>
        <w:t xml:space="preserve">In January 2018 the appellant was provided with a redacted copy of the information requested. On 15 February 2018 the OCEI delivered its decision finding that the remainder of the information requested could be withheld on the grounds of commercial confidentiality. No </w:t>
      </w:r>
      <w:r w:rsidR="00EC10FF" w:rsidRPr="00A9211F">
        <w:rPr>
          <w:rFonts w:asciiTheme="majorBidi" w:hAnsiTheme="majorBidi" w:cstheme="majorBidi"/>
          <w:sz w:val="20"/>
          <w:szCs w:val="20"/>
          <w:lang w:val="en-GB"/>
        </w:rPr>
        <w:t xml:space="preserve">further </w:t>
      </w:r>
      <w:r w:rsidRPr="00A9211F">
        <w:rPr>
          <w:rFonts w:asciiTheme="majorBidi" w:hAnsiTheme="majorBidi" w:cstheme="majorBidi"/>
          <w:sz w:val="20"/>
          <w:szCs w:val="20"/>
          <w:lang w:val="en-GB"/>
        </w:rPr>
        <w:t>appeal was lodged against that decision.</w:t>
      </w:r>
      <w:r w:rsidRPr="00A9211F">
        <w:rPr>
          <w:rStyle w:val="FootnoteReference"/>
          <w:rFonts w:asciiTheme="majorBidi" w:hAnsiTheme="majorBidi" w:cstheme="majorBidi"/>
          <w:szCs w:val="20"/>
          <w:lang w:val="en-GB"/>
        </w:rPr>
        <w:footnoteReference w:id="40"/>
      </w:r>
      <w:bookmarkEnd w:id="22"/>
    </w:p>
    <w:p w14:paraId="0907C725" w14:textId="45419573" w:rsidR="0018721E" w:rsidRPr="00A9211F" w:rsidRDefault="0018721E" w:rsidP="0080340E">
      <w:pPr>
        <w:tabs>
          <w:tab w:val="left" w:pos="1701"/>
        </w:tabs>
        <w:ind w:left="1134"/>
        <w:jc w:val="both"/>
        <w:rPr>
          <w:rFonts w:asciiTheme="majorBidi" w:hAnsiTheme="majorBidi"/>
          <w:sz w:val="20"/>
        </w:rPr>
      </w:pPr>
    </w:p>
    <w:bookmarkEnd w:id="20"/>
    <w:p w14:paraId="3E30F8FD" w14:textId="02A543ED" w:rsidR="00F60E1C" w:rsidRPr="00A9211F" w:rsidRDefault="00F60E1C" w:rsidP="00EA5C8B">
      <w:pPr>
        <w:tabs>
          <w:tab w:val="left" w:pos="1701"/>
        </w:tabs>
        <w:ind w:left="1094"/>
        <w:jc w:val="both"/>
        <w:outlineLvl w:val="0"/>
        <w:rPr>
          <w:rFonts w:asciiTheme="majorBidi" w:hAnsiTheme="majorBidi" w:cstheme="majorBidi"/>
          <w:b/>
          <w:sz w:val="20"/>
          <w:szCs w:val="20"/>
        </w:rPr>
      </w:pPr>
      <w:r w:rsidRPr="00A9211F">
        <w:rPr>
          <w:rFonts w:asciiTheme="majorBidi" w:hAnsiTheme="majorBidi" w:cstheme="majorBidi"/>
          <w:b/>
          <w:sz w:val="20"/>
          <w:szCs w:val="20"/>
        </w:rPr>
        <w:t>Resources and capacity-building</w:t>
      </w:r>
    </w:p>
    <w:p w14:paraId="192B9326" w14:textId="77777777" w:rsidR="00056F63" w:rsidRPr="00A9211F" w:rsidRDefault="00056F63" w:rsidP="00EA5C8B">
      <w:pPr>
        <w:tabs>
          <w:tab w:val="left" w:pos="1701"/>
        </w:tabs>
        <w:ind w:left="1094"/>
        <w:jc w:val="both"/>
        <w:outlineLvl w:val="0"/>
        <w:rPr>
          <w:rFonts w:asciiTheme="majorBidi" w:hAnsiTheme="majorBidi" w:cstheme="majorBidi"/>
          <w:sz w:val="20"/>
          <w:szCs w:val="20"/>
        </w:rPr>
      </w:pPr>
    </w:p>
    <w:p w14:paraId="09AF7F92" w14:textId="7CE7C39A" w:rsidR="00F60E1C" w:rsidRPr="00A9211F" w:rsidRDefault="00F60E1C"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To enable public authorities to process requests for information more rapidly, the Department of Communications, Climate Action and Environment arranged training days about the AIE Regulations in 2014, 2015, 2016, and 2018 for their staff.  Each of these sessions was attended by over 100 people.</w:t>
      </w:r>
      <w:r w:rsidR="006B2913">
        <w:rPr>
          <w:rStyle w:val="FootnoteReference"/>
          <w:rFonts w:cstheme="majorBidi"/>
          <w:szCs w:val="20"/>
          <w:lang w:val="en-GB"/>
        </w:rPr>
        <w:footnoteReference w:id="41"/>
      </w:r>
    </w:p>
    <w:p w14:paraId="2CBDC2E8" w14:textId="77777777" w:rsidR="00F60E1C" w:rsidRPr="00A9211F" w:rsidRDefault="00F60E1C" w:rsidP="00EA5C8B">
      <w:pPr>
        <w:tabs>
          <w:tab w:val="left" w:pos="1701"/>
        </w:tabs>
        <w:jc w:val="both"/>
        <w:rPr>
          <w:rFonts w:asciiTheme="majorBidi" w:hAnsiTheme="majorBidi" w:cstheme="majorBidi"/>
          <w:sz w:val="20"/>
          <w:szCs w:val="20"/>
        </w:rPr>
      </w:pPr>
    </w:p>
    <w:p w14:paraId="06EB00F9" w14:textId="77777777" w:rsidR="00F60E1C" w:rsidRPr="00A9211F" w:rsidRDefault="00F60E1C"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23" w:name="_Ref532850145"/>
      <w:r w:rsidRPr="00A9211F">
        <w:rPr>
          <w:rFonts w:asciiTheme="majorBidi" w:hAnsiTheme="majorBidi" w:cstheme="majorBidi"/>
          <w:sz w:val="20"/>
          <w:szCs w:val="20"/>
          <w:lang w:val="en-GB"/>
        </w:rPr>
        <w:t>Prior to 2015, the OCEI relied on the subsidies granted to the Information Commissioner, leaving the holder of the two offices to apportion those sums between them as he or she saw fit. In 2015, the OCEI was allocated dedicated funding for the first time.</w:t>
      </w:r>
      <w:r w:rsidRPr="00A9211F">
        <w:rPr>
          <w:rStyle w:val="FootnoteReference"/>
          <w:rFonts w:asciiTheme="majorBidi" w:hAnsiTheme="majorBidi" w:cstheme="majorBidi"/>
          <w:szCs w:val="20"/>
          <w:lang w:val="en-GB"/>
        </w:rPr>
        <w:footnoteReference w:id="42"/>
      </w:r>
    </w:p>
    <w:bookmarkEnd w:id="23"/>
    <w:p w14:paraId="43661499" w14:textId="6D13D1F5" w:rsidR="00F60E1C" w:rsidRPr="00A9211F" w:rsidRDefault="00F60E1C" w:rsidP="00EA5C8B">
      <w:pPr>
        <w:tabs>
          <w:tab w:val="left" w:pos="1701"/>
        </w:tabs>
        <w:jc w:val="both"/>
        <w:rPr>
          <w:rFonts w:asciiTheme="majorBidi" w:hAnsiTheme="majorBidi" w:cstheme="majorBidi"/>
          <w:sz w:val="20"/>
          <w:szCs w:val="20"/>
        </w:rPr>
      </w:pPr>
    </w:p>
    <w:p w14:paraId="072345B0" w14:textId="77777777" w:rsidR="0018721E" w:rsidRPr="00A9211F" w:rsidRDefault="0018721E" w:rsidP="00EA5C8B">
      <w:pPr>
        <w:pStyle w:val="ListParagraph"/>
        <w:numPr>
          <w:ilvl w:val="0"/>
          <w:numId w:val="17"/>
        </w:numPr>
        <w:tabs>
          <w:tab w:val="left" w:pos="1701"/>
        </w:tabs>
        <w:spacing w:before="360" w:after="120" w:line="240" w:lineRule="atLeast"/>
        <w:ind w:left="1037"/>
        <w:contextualSpacing w:val="0"/>
        <w:jc w:val="both"/>
        <w:rPr>
          <w:rFonts w:asciiTheme="majorBidi" w:hAnsiTheme="majorBidi" w:cstheme="majorBidi"/>
          <w:b/>
          <w:lang w:val="en-GB"/>
        </w:rPr>
      </w:pPr>
      <w:r w:rsidRPr="00A9211F">
        <w:rPr>
          <w:rFonts w:asciiTheme="majorBidi" w:hAnsiTheme="majorBidi" w:cstheme="majorBidi"/>
          <w:b/>
          <w:lang w:val="en-GB"/>
        </w:rPr>
        <w:t>Domestic remedies and admissibility</w:t>
      </w:r>
    </w:p>
    <w:p w14:paraId="65EADADB" w14:textId="014F7073"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communicant submits that its communication concerns systemic problems in the scheme of the Party concerned regarding access to environmental information, which are not amenable to domestic remedies.</w:t>
      </w:r>
      <w:r w:rsidRPr="00A9211F">
        <w:rPr>
          <w:rStyle w:val="FootnoteReference"/>
          <w:rFonts w:asciiTheme="majorBidi" w:hAnsiTheme="majorBidi" w:cstheme="majorBidi"/>
          <w:szCs w:val="20"/>
          <w:lang w:val="en-GB"/>
        </w:rPr>
        <w:footnoteReference w:id="43"/>
      </w:r>
      <w:r w:rsidRPr="00A9211F">
        <w:rPr>
          <w:rFonts w:asciiTheme="majorBidi" w:hAnsiTheme="majorBidi" w:cstheme="majorBidi"/>
          <w:sz w:val="20"/>
          <w:szCs w:val="20"/>
          <w:lang w:val="en-GB"/>
        </w:rPr>
        <w:t xml:space="preserve"> As well as his court cases summarized above, Mr. Sheridan, the communicant’s director, has made repeated submissions to the OCEI on the manner of its review of refusals of access to environmental information requests.  The communicant argues that seeking any further domestic redress would be pointless as legislative changes are needed to ensure expeditious and timely decisions by courts and the OCEI.</w:t>
      </w:r>
      <w:r w:rsidRPr="00A9211F">
        <w:rPr>
          <w:rStyle w:val="FootnoteReference"/>
          <w:rFonts w:asciiTheme="majorBidi" w:hAnsiTheme="majorBidi" w:cstheme="majorBidi"/>
          <w:szCs w:val="20"/>
          <w:lang w:val="en-GB"/>
        </w:rPr>
        <w:footnoteReference w:id="44"/>
      </w:r>
    </w:p>
    <w:p w14:paraId="7DDB00E9"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55BEE66D" w14:textId="5127918B"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24" w:name="_Ref532906986"/>
      <w:r w:rsidRPr="00A9211F">
        <w:rPr>
          <w:rFonts w:asciiTheme="majorBidi" w:hAnsiTheme="majorBidi" w:cstheme="majorBidi"/>
          <w:sz w:val="20"/>
          <w:szCs w:val="20"/>
          <w:lang w:val="en-GB"/>
        </w:rPr>
        <w:t>The Party concerned has not challenged the admissibility of the communication.</w:t>
      </w:r>
      <w:bookmarkEnd w:id="24"/>
    </w:p>
    <w:p w14:paraId="179AC023" w14:textId="77777777" w:rsidR="0018721E" w:rsidRPr="00A9211F" w:rsidRDefault="0018721E" w:rsidP="00EA5C8B">
      <w:pPr>
        <w:tabs>
          <w:tab w:val="left" w:pos="1701"/>
        </w:tabs>
        <w:ind w:left="1094"/>
        <w:jc w:val="both"/>
        <w:rPr>
          <w:rFonts w:asciiTheme="majorBidi" w:hAnsiTheme="majorBidi" w:cstheme="majorBidi"/>
          <w:sz w:val="20"/>
        </w:rPr>
      </w:pPr>
    </w:p>
    <w:p w14:paraId="26C9BEB5" w14:textId="77777777" w:rsidR="0018721E" w:rsidRPr="00A9211F" w:rsidRDefault="0018721E" w:rsidP="00EA5C8B">
      <w:pPr>
        <w:tabs>
          <w:tab w:val="left" w:pos="1701"/>
        </w:tabs>
        <w:jc w:val="both"/>
        <w:rPr>
          <w:rFonts w:asciiTheme="majorBidi" w:hAnsiTheme="majorBidi" w:cstheme="majorBidi"/>
          <w:sz w:val="20"/>
          <w:szCs w:val="20"/>
        </w:rPr>
      </w:pPr>
    </w:p>
    <w:p w14:paraId="24A5DDE1" w14:textId="77777777" w:rsidR="0018721E" w:rsidRPr="00A9211F" w:rsidRDefault="0018721E" w:rsidP="00EA5C8B">
      <w:pPr>
        <w:pStyle w:val="ListParagraph"/>
        <w:numPr>
          <w:ilvl w:val="0"/>
          <w:numId w:val="17"/>
        </w:numPr>
        <w:tabs>
          <w:tab w:val="left" w:pos="1701"/>
        </w:tabs>
        <w:spacing w:after="120" w:line="240" w:lineRule="atLeast"/>
        <w:ind w:left="1037"/>
        <w:contextualSpacing w:val="0"/>
        <w:rPr>
          <w:rFonts w:asciiTheme="majorBidi" w:hAnsiTheme="majorBidi" w:cstheme="majorBidi"/>
          <w:b/>
          <w:lang w:val="en-GB"/>
        </w:rPr>
      </w:pPr>
      <w:r w:rsidRPr="00A9211F">
        <w:rPr>
          <w:rFonts w:asciiTheme="majorBidi" w:hAnsiTheme="majorBidi" w:cstheme="majorBidi"/>
          <w:b/>
          <w:lang w:val="en-GB"/>
        </w:rPr>
        <w:t>Substantive issues</w:t>
      </w:r>
    </w:p>
    <w:p w14:paraId="0A3DB617" w14:textId="3FDB4111" w:rsidR="0018721E" w:rsidRPr="00A9211F" w:rsidRDefault="0018721E" w:rsidP="00EA5C8B">
      <w:pPr>
        <w:tabs>
          <w:tab w:val="left" w:pos="1701"/>
        </w:tabs>
        <w:spacing w:after="120" w:line="240" w:lineRule="atLeast"/>
        <w:ind w:left="1094"/>
        <w:jc w:val="both"/>
        <w:outlineLvl w:val="0"/>
        <w:rPr>
          <w:rFonts w:asciiTheme="majorBidi" w:hAnsiTheme="majorBidi" w:cstheme="majorBidi"/>
          <w:i/>
          <w:sz w:val="20"/>
          <w:szCs w:val="20"/>
        </w:rPr>
      </w:pPr>
      <w:r w:rsidRPr="00A9211F">
        <w:rPr>
          <w:rFonts w:asciiTheme="majorBidi" w:hAnsiTheme="majorBidi" w:cstheme="majorBidi"/>
          <w:b/>
          <w:sz w:val="20"/>
          <w:szCs w:val="20"/>
        </w:rPr>
        <w:t xml:space="preserve">Article 4(2) and (7) </w:t>
      </w:r>
    </w:p>
    <w:p w14:paraId="7C7F506A" w14:textId="506DD77F"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communicant claims that there is a systemic failure by public authorities</w:t>
      </w:r>
      <w:r w:rsidR="00BC1C69" w:rsidRPr="00A9211F">
        <w:rPr>
          <w:rFonts w:asciiTheme="majorBidi" w:hAnsiTheme="majorBidi" w:cstheme="majorBidi"/>
          <w:sz w:val="20"/>
          <w:szCs w:val="20"/>
          <w:lang w:val="en-GB"/>
        </w:rPr>
        <w:t xml:space="preserve"> in the Party concerned</w:t>
      </w:r>
      <w:r w:rsidRPr="00A9211F">
        <w:rPr>
          <w:rFonts w:asciiTheme="majorBidi" w:hAnsiTheme="majorBidi" w:cstheme="majorBidi"/>
          <w:sz w:val="20"/>
          <w:szCs w:val="20"/>
          <w:lang w:val="en-GB"/>
        </w:rPr>
        <w:t xml:space="preserve"> to comply with the maximum two-month period prescribed under article 4(2) and (7) of the Convention when request</w:t>
      </w:r>
      <w:r w:rsidR="005D7E46" w:rsidRPr="00A9211F">
        <w:rPr>
          <w:rFonts w:asciiTheme="majorBidi" w:hAnsiTheme="majorBidi" w:cstheme="majorBidi"/>
          <w:sz w:val="20"/>
          <w:szCs w:val="20"/>
          <w:lang w:val="en-GB"/>
        </w:rPr>
        <w:t>s</w:t>
      </w:r>
      <w:r w:rsidRPr="00A9211F">
        <w:rPr>
          <w:rFonts w:asciiTheme="majorBidi" w:hAnsiTheme="majorBidi" w:cstheme="majorBidi"/>
          <w:sz w:val="20"/>
          <w:szCs w:val="20"/>
          <w:lang w:val="en-GB"/>
        </w:rPr>
        <w:t xml:space="preserve"> for access to environmental information </w:t>
      </w:r>
      <w:r w:rsidR="005D7E46" w:rsidRPr="00A9211F">
        <w:rPr>
          <w:rFonts w:asciiTheme="majorBidi" w:hAnsiTheme="majorBidi" w:cstheme="majorBidi"/>
          <w:sz w:val="20"/>
          <w:szCs w:val="20"/>
          <w:lang w:val="en-GB"/>
        </w:rPr>
        <w:t xml:space="preserve">are refused </w:t>
      </w:r>
      <w:r w:rsidRPr="00A9211F">
        <w:rPr>
          <w:rFonts w:asciiTheme="majorBidi" w:hAnsiTheme="majorBidi" w:cstheme="majorBidi"/>
          <w:sz w:val="20"/>
          <w:szCs w:val="20"/>
          <w:lang w:val="en-GB"/>
        </w:rPr>
        <w:t xml:space="preserve">on </w:t>
      </w:r>
      <w:r w:rsidR="00CE0788"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narrow threshold jurisdictional point</w:t>
      </w:r>
      <w:r w:rsidR="005D7E46" w:rsidRPr="00A9211F">
        <w:rPr>
          <w:rFonts w:asciiTheme="majorBidi" w:hAnsiTheme="majorBidi" w:cstheme="majorBidi"/>
          <w:sz w:val="20"/>
          <w:szCs w:val="20"/>
          <w:lang w:val="en-GB"/>
        </w:rPr>
        <w:t>s</w:t>
      </w:r>
      <w:r w:rsidRPr="00A9211F">
        <w:rPr>
          <w:rFonts w:asciiTheme="majorBidi" w:hAnsiTheme="majorBidi" w:cstheme="majorBidi"/>
          <w:sz w:val="20"/>
          <w:szCs w:val="20"/>
          <w:lang w:val="en-GB"/>
        </w:rPr>
        <w:t>” (i.e. whether the body concerned constitutes a public authority or whether the request</w:t>
      </w:r>
      <w:r w:rsidR="005D7E46" w:rsidRPr="00A9211F">
        <w:rPr>
          <w:rFonts w:asciiTheme="majorBidi" w:hAnsiTheme="majorBidi" w:cstheme="majorBidi"/>
          <w:sz w:val="20"/>
          <w:szCs w:val="20"/>
          <w:lang w:val="en-GB"/>
        </w:rPr>
        <w:t xml:space="preserve">ed information is </w:t>
      </w:r>
      <w:r w:rsidRPr="00A9211F">
        <w:rPr>
          <w:rFonts w:asciiTheme="majorBidi" w:hAnsiTheme="majorBidi" w:cstheme="majorBidi"/>
          <w:sz w:val="20"/>
          <w:szCs w:val="20"/>
          <w:lang w:val="en-GB"/>
        </w:rPr>
        <w:t xml:space="preserve">environmental information). </w:t>
      </w:r>
    </w:p>
    <w:p w14:paraId="3B3CFE53" w14:textId="77777777" w:rsidR="0018721E" w:rsidRPr="00A9211F" w:rsidRDefault="0018721E" w:rsidP="00EA5C8B">
      <w:pPr>
        <w:tabs>
          <w:tab w:val="left" w:pos="1701"/>
        </w:tabs>
        <w:jc w:val="both"/>
        <w:rPr>
          <w:rFonts w:asciiTheme="majorBidi" w:hAnsiTheme="majorBidi" w:cstheme="majorBidi"/>
          <w:sz w:val="20"/>
          <w:szCs w:val="20"/>
        </w:rPr>
      </w:pPr>
    </w:p>
    <w:p w14:paraId="209F0B6D" w14:textId="3715055F" w:rsidR="00391CA9" w:rsidRPr="00A9211F" w:rsidRDefault="00391CA9"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bookmarkStart w:id="25" w:name="_Ref40016618"/>
      <w:r w:rsidRPr="00A9211F">
        <w:rPr>
          <w:rFonts w:asciiTheme="majorBidi" w:hAnsiTheme="majorBidi" w:cstheme="majorBidi"/>
          <w:sz w:val="20"/>
          <w:szCs w:val="20"/>
          <w:lang w:val="en-GB"/>
        </w:rPr>
        <w:t>The communicant submits that, even where a public authority rejects a request on jurisdictional grounds, it should still be required to deal in its decision with all issues arising unless it would be prejudicial to do so.</w:t>
      </w:r>
      <w:r w:rsidRPr="00A9211F">
        <w:rPr>
          <w:rStyle w:val="FootnoteReference"/>
          <w:rFonts w:asciiTheme="majorBidi" w:hAnsiTheme="majorBidi" w:cstheme="majorBidi"/>
          <w:szCs w:val="20"/>
          <w:lang w:val="en-GB"/>
        </w:rPr>
        <w:footnoteReference w:id="45"/>
      </w:r>
      <w:r w:rsidRPr="00A9211F">
        <w:rPr>
          <w:rFonts w:asciiTheme="majorBidi" w:hAnsiTheme="majorBidi" w:cstheme="majorBidi"/>
          <w:sz w:val="20"/>
          <w:szCs w:val="20"/>
          <w:lang w:val="en-GB"/>
        </w:rPr>
        <w:t xml:space="preserve"> The communicant states that this would ensure that all these points could be considered in any subsequent appeals so that there would be no need for the OCEI to remit the appeal to the public authority, if the latter’s jurisdictional argument was rejected.</w:t>
      </w:r>
      <w:bookmarkEnd w:id="25"/>
    </w:p>
    <w:p w14:paraId="432F798A" w14:textId="77777777" w:rsidR="00391CA9" w:rsidRPr="00A9211F" w:rsidRDefault="00391CA9" w:rsidP="00EA5C8B">
      <w:pPr>
        <w:pStyle w:val="ListParagraph"/>
        <w:tabs>
          <w:tab w:val="left" w:pos="1701"/>
        </w:tabs>
        <w:ind w:left="1094"/>
        <w:jc w:val="both"/>
        <w:rPr>
          <w:rFonts w:asciiTheme="majorBidi" w:hAnsiTheme="majorBidi" w:cstheme="majorBidi"/>
          <w:sz w:val="20"/>
          <w:szCs w:val="20"/>
          <w:lang w:val="en-GB"/>
        </w:rPr>
      </w:pPr>
    </w:p>
    <w:p w14:paraId="5DCD7565" w14:textId="61AA88B3"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rPr>
      </w:pPr>
      <w:r w:rsidRPr="00A9211F">
        <w:rPr>
          <w:rFonts w:asciiTheme="majorBidi" w:hAnsiTheme="majorBidi" w:cstheme="majorBidi"/>
          <w:sz w:val="20"/>
          <w:szCs w:val="20"/>
        </w:rPr>
        <w:lastRenderedPageBreak/>
        <w:t xml:space="preserve">The Party concerned refutes the communicant’s allegation concerning </w:t>
      </w:r>
      <w:r w:rsidR="00C00291" w:rsidRPr="00A9211F">
        <w:rPr>
          <w:rFonts w:asciiTheme="majorBidi" w:hAnsiTheme="majorBidi" w:cstheme="majorBidi"/>
          <w:sz w:val="20"/>
          <w:szCs w:val="20"/>
        </w:rPr>
        <w:t>“</w:t>
      </w:r>
      <w:r w:rsidRPr="00A9211F">
        <w:rPr>
          <w:rFonts w:asciiTheme="majorBidi" w:hAnsiTheme="majorBidi" w:cstheme="majorBidi"/>
          <w:sz w:val="20"/>
          <w:szCs w:val="20"/>
        </w:rPr>
        <w:t>narrow</w:t>
      </w:r>
      <w:r w:rsidR="00C00291" w:rsidRPr="00A9211F">
        <w:rPr>
          <w:rFonts w:asciiTheme="majorBidi" w:hAnsiTheme="majorBidi" w:cstheme="majorBidi"/>
          <w:sz w:val="20"/>
          <w:szCs w:val="20"/>
        </w:rPr>
        <w:t>”</w:t>
      </w:r>
      <w:r w:rsidRPr="00A9211F">
        <w:rPr>
          <w:rFonts w:asciiTheme="majorBidi" w:hAnsiTheme="majorBidi" w:cstheme="majorBidi"/>
          <w:sz w:val="20"/>
          <w:szCs w:val="20"/>
        </w:rPr>
        <w:t xml:space="preserve"> threshold jurisdiction</w:t>
      </w:r>
      <w:r w:rsidR="00391CA9" w:rsidRPr="00A9211F">
        <w:rPr>
          <w:rFonts w:asciiTheme="majorBidi" w:hAnsiTheme="majorBidi" w:cstheme="majorBidi"/>
          <w:sz w:val="20"/>
          <w:szCs w:val="20"/>
        </w:rPr>
        <w:t>al</w:t>
      </w:r>
      <w:r w:rsidRPr="00A9211F">
        <w:rPr>
          <w:rFonts w:asciiTheme="majorBidi" w:hAnsiTheme="majorBidi" w:cstheme="majorBidi"/>
          <w:sz w:val="20"/>
          <w:szCs w:val="20"/>
        </w:rPr>
        <w:t xml:space="preserve"> points</w:t>
      </w:r>
      <w:r w:rsidR="00D0082A" w:rsidRPr="00A9211F">
        <w:rPr>
          <w:rFonts w:asciiTheme="majorBidi" w:hAnsiTheme="majorBidi" w:cstheme="majorBidi"/>
          <w:sz w:val="20"/>
          <w:szCs w:val="20"/>
        </w:rPr>
        <w:t>, claiming</w:t>
      </w:r>
      <w:r w:rsidRPr="00A9211F">
        <w:rPr>
          <w:rFonts w:asciiTheme="majorBidi" w:hAnsiTheme="majorBidi" w:cstheme="majorBidi"/>
          <w:sz w:val="20"/>
          <w:szCs w:val="20"/>
        </w:rPr>
        <w:t xml:space="preserve"> that the communicant has not provided a definition of this concept. </w:t>
      </w:r>
      <w:r w:rsidR="00502436" w:rsidRPr="00A9211F">
        <w:rPr>
          <w:rFonts w:asciiTheme="majorBidi" w:hAnsiTheme="majorBidi" w:cstheme="majorBidi"/>
          <w:sz w:val="20"/>
          <w:szCs w:val="20"/>
        </w:rPr>
        <w:t xml:space="preserve"> According to t</w:t>
      </w:r>
      <w:r w:rsidRPr="00A9211F">
        <w:rPr>
          <w:rFonts w:asciiTheme="majorBidi" w:hAnsiTheme="majorBidi" w:cstheme="majorBidi"/>
          <w:sz w:val="20"/>
          <w:szCs w:val="20"/>
        </w:rPr>
        <w:t>he Party, even assuming that the threshold jurisdiction</w:t>
      </w:r>
      <w:r w:rsidR="005966DD" w:rsidRPr="00A9211F">
        <w:rPr>
          <w:rFonts w:asciiTheme="majorBidi" w:hAnsiTheme="majorBidi" w:cstheme="majorBidi"/>
          <w:sz w:val="20"/>
          <w:szCs w:val="20"/>
        </w:rPr>
        <w:t>al</w:t>
      </w:r>
      <w:r w:rsidRPr="00A9211F">
        <w:rPr>
          <w:rFonts w:asciiTheme="majorBidi" w:hAnsiTheme="majorBidi" w:cstheme="majorBidi"/>
          <w:sz w:val="20"/>
          <w:szCs w:val="20"/>
        </w:rPr>
        <w:t xml:space="preserve"> </w:t>
      </w:r>
      <w:r w:rsidR="00C00291" w:rsidRPr="00A9211F">
        <w:rPr>
          <w:rFonts w:asciiTheme="majorBidi" w:hAnsiTheme="majorBidi" w:cstheme="majorBidi"/>
          <w:sz w:val="20"/>
          <w:szCs w:val="20"/>
        </w:rPr>
        <w:t xml:space="preserve">questions as to </w:t>
      </w:r>
      <w:r w:rsidRPr="00A9211F">
        <w:rPr>
          <w:rFonts w:asciiTheme="majorBidi" w:hAnsiTheme="majorBidi" w:cstheme="majorBidi"/>
          <w:sz w:val="20"/>
          <w:szCs w:val="20"/>
        </w:rPr>
        <w:t xml:space="preserve">whether institutions are public authorities and whether information requested is environmental information, those questions are not “narrow” and they are more properly to be seen as “substantive determinations” on the application of the Convention and the AIE Regulations. </w:t>
      </w:r>
    </w:p>
    <w:p w14:paraId="61F0D90C" w14:textId="57A943DD" w:rsidR="00391CA9" w:rsidRPr="00A9211F" w:rsidRDefault="00391CA9" w:rsidP="00EA5C8B">
      <w:pPr>
        <w:pStyle w:val="ListParagraph"/>
        <w:tabs>
          <w:tab w:val="left" w:pos="1701"/>
        </w:tabs>
        <w:ind w:left="1094"/>
        <w:jc w:val="both"/>
        <w:rPr>
          <w:rFonts w:asciiTheme="majorBidi" w:hAnsiTheme="majorBidi" w:cstheme="majorBidi"/>
          <w:sz w:val="20"/>
          <w:szCs w:val="20"/>
          <w:lang w:val="en-GB"/>
        </w:rPr>
      </w:pPr>
    </w:p>
    <w:p w14:paraId="2E1D80D4" w14:textId="51DEE7D9"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Party concerned claims that the communicant has not provided any evidence in support of </w:t>
      </w:r>
      <w:r w:rsidR="005966DD" w:rsidRPr="00A9211F">
        <w:rPr>
          <w:rFonts w:asciiTheme="majorBidi" w:hAnsiTheme="majorBidi" w:cstheme="majorBidi"/>
          <w:sz w:val="20"/>
          <w:szCs w:val="20"/>
          <w:lang w:val="en-GB"/>
        </w:rPr>
        <w:t>its</w:t>
      </w:r>
      <w:r w:rsidRPr="00A9211F">
        <w:rPr>
          <w:rFonts w:asciiTheme="majorBidi" w:hAnsiTheme="majorBidi" w:cstheme="majorBidi"/>
          <w:sz w:val="20"/>
          <w:szCs w:val="20"/>
          <w:lang w:val="en-GB"/>
        </w:rPr>
        <w:t xml:space="preserve"> allegation that public authorities are deliberately making determinations on </w:t>
      </w:r>
      <w:r w:rsidR="005966DD" w:rsidRPr="00A9211F">
        <w:rPr>
          <w:rFonts w:asciiTheme="majorBidi" w:hAnsiTheme="majorBidi" w:cstheme="majorBidi"/>
          <w:sz w:val="20"/>
          <w:szCs w:val="20"/>
          <w:lang w:val="en-GB"/>
        </w:rPr>
        <w:t>threshold jurisdictional issues</w:t>
      </w:r>
      <w:r w:rsidRPr="00A9211F">
        <w:rPr>
          <w:rFonts w:asciiTheme="majorBidi" w:hAnsiTheme="majorBidi" w:cstheme="majorBidi"/>
          <w:sz w:val="20"/>
          <w:szCs w:val="20"/>
          <w:lang w:val="en-GB"/>
        </w:rPr>
        <w:t xml:space="preserve"> with the knowledge that it may take some time for an appeal to be determined.</w:t>
      </w:r>
      <w:r w:rsidRPr="00A9211F">
        <w:rPr>
          <w:rFonts w:asciiTheme="majorBidi" w:hAnsiTheme="majorBidi" w:cstheme="majorBidi"/>
          <w:sz w:val="18"/>
          <w:szCs w:val="18"/>
          <w:vertAlign w:val="superscript"/>
          <w:lang w:val="en-GB"/>
        </w:rPr>
        <w:footnoteReference w:id="46"/>
      </w:r>
      <w:r w:rsidRPr="00A9211F">
        <w:rPr>
          <w:rFonts w:asciiTheme="majorBidi" w:hAnsiTheme="majorBidi" w:cstheme="majorBidi"/>
          <w:sz w:val="18"/>
          <w:szCs w:val="18"/>
          <w:lang w:val="en-GB"/>
        </w:rPr>
        <w:t xml:space="preserve"> </w:t>
      </w:r>
      <w:bookmarkStart w:id="26" w:name="_Ref527624357"/>
    </w:p>
    <w:p w14:paraId="3CE41663" w14:textId="77777777" w:rsidR="0018721E" w:rsidRPr="00A9211F" w:rsidRDefault="0018721E" w:rsidP="00EA5C8B">
      <w:pPr>
        <w:tabs>
          <w:tab w:val="left" w:pos="1701"/>
        </w:tabs>
        <w:jc w:val="both"/>
        <w:rPr>
          <w:rFonts w:asciiTheme="majorBidi" w:hAnsiTheme="majorBidi" w:cstheme="majorBidi"/>
          <w:sz w:val="20"/>
          <w:szCs w:val="20"/>
        </w:rPr>
      </w:pPr>
    </w:p>
    <w:p w14:paraId="153BB7D9" w14:textId="5A4CC148" w:rsidR="0018721E" w:rsidRPr="00A9211F" w:rsidRDefault="00457B06"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Moreover, t</w:t>
      </w:r>
      <w:r w:rsidR="0018721E" w:rsidRPr="00A9211F">
        <w:rPr>
          <w:rFonts w:asciiTheme="majorBidi" w:hAnsiTheme="majorBidi" w:cstheme="majorBidi"/>
          <w:sz w:val="20"/>
          <w:szCs w:val="20"/>
          <w:lang w:val="en-GB"/>
        </w:rPr>
        <w:t xml:space="preserve">he Party concerned claims </w:t>
      </w:r>
      <w:r w:rsidR="005966DD" w:rsidRPr="00A9211F">
        <w:rPr>
          <w:rFonts w:asciiTheme="majorBidi" w:hAnsiTheme="majorBidi" w:cstheme="majorBidi"/>
          <w:sz w:val="20"/>
          <w:szCs w:val="20"/>
          <w:lang w:val="en-GB"/>
        </w:rPr>
        <w:t xml:space="preserve">that </w:t>
      </w:r>
      <w:r w:rsidR="0018721E" w:rsidRPr="00A9211F">
        <w:rPr>
          <w:rFonts w:asciiTheme="majorBidi" w:hAnsiTheme="majorBidi" w:cstheme="majorBidi"/>
          <w:sz w:val="20"/>
          <w:szCs w:val="20"/>
          <w:lang w:val="en-GB"/>
        </w:rPr>
        <w:t xml:space="preserve">a majority of the requests for environmental information are granted by public authorities while only a very small percentage are appealed to the OCEI, with still fewer being appealed to the High Court on a point of law. It considers the statistics concerning AIE requests received </w:t>
      </w:r>
      <w:r w:rsidR="0018721E" w:rsidRPr="00A9211F">
        <w:rPr>
          <w:rFonts w:asciiTheme="majorBidi" w:hAnsiTheme="majorBidi" w:cstheme="majorBidi"/>
          <w:sz w:val="20"/>
          <w:lang w:val="en-GB"/>
        </w:rPr>
        <w:t xml:space="preserve">by public authorities support its claim (see para. </w:t>
      </w:r>
      <w:r w:rsidR="0018721E" w:rsidRPr="00A9211F">
        <w:rPr>
          <w:rFonts w:asciiTheme="majorBidi" w:hAnsiTheme="majorBidi" w:cstheme="majorBidi"/>
          <w:sz w:val="20"/>
          <w:szCs w:val="20"/>
          <w:lang w:val="en-GB"/>
        </w:rPr>
        <w:fldChar w:fldCharType="begin"/>
      </w:r>
      <w:r w:rsidR="0018721E" w:rsidRPr="00A9211F">
        <w:rPr>
          <w:rFonts w:asciiTheme="majorBidi" w:hAnsiTheme="majorBidi" w:cstheme="majorBidi"/>
          <w:sz w:val="20"/>
          <w:szCs w:val="20"/>
          <w:lang w:val="en-GB"/>
        </w:rPr>
        <w:instrText xml:space="preserve"> REF _Ref533006517 \r \h  \* MERGEFORMAT </w:instrText>
      </w:r>
      <w:r w:rsidR="0018721E" w:rsidRPr="00A9211F">
        <w:rPr>
          <w:rFonts w:asciiTheme="majorBidi" w:hAnsiTheme="majorBidi" w:cstheme="majorBidi"/>
          <w:sz w:val="20"/>
          <w:szCs w:val="20"/>
          <w:lang w:val="en-GB"/>
        </w:rPr>
      </w:r>
      <w:r w:rsidR="0018721E"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33</w:t>
      </w:r>
      <w:r w:rsidR="0018721E" w:rsidRPr="00A9211F">
        <w:rPr>
          <w:rFonts w:asciiTheme="majorBidi" w:hAnsiTheme="majorBidi" w:cstheme="majorBidi"/>
          <w:sz w:val="20"/>
          <w:szCs w:val="20"/>
          <w:lang w:val="en-GB"/>
        </w:rPr>
        <w:fldChar w:fldCharType="end"/>
      </w:r>
      <w:r w:rsidR="005966DD" w:rsidRPr="00A9211F">
        <w:rPr>
          <w:rFonts w:asciiTheme="majorBidi" w:hAnsiTheme="majorBidi" w:cstheme="majorBidi"/>
          <w:sz w:val="20"/>
          <w:szCs w:val="20"/>
          <w:lang w:val="en-GB"/>
        </w:rPr>
        <w:t xml:space="preserve"> </w:t>
      </w:r>
      <w:r w:rsidR="0018721E" w:rsidRPr="00A9211F">
        <w:rPr>
          <w:rFonts w:asciiTheme="majorBidi" w:hAnsiTheme="majorBidi" w:cstheme="majorBidi"/>
          <w:sz w:val="20"/>
          <w:lang w:val="en-GB"/>
        </w:rPr>
        <w:t>above</w:t>
      </w:r>
      <w:r w:rsidR="0018721E" w:rsidRPr="00A9211F">
        <w:rPr>
          <w:rFonts w:asciiTheme="majorBidi" w:hAnsiTheme="majorBidi" w:cstheme="majorBidi"/>
          <w:sz w:val="20"/>
          <w:szCs w:val="20"/>
          <w:lang w:val="en-GB"/>
        </w:rPr>
        <w:t>).</w:t>
      </w:r>
      <w:r w:rsidR="0018721E" w:rsidRPr="00A9211F">
        <w:rPr>
          <w:rFonts w:asciiTheme="majorBidi" w:hAnsiTheme="majorBidi" w:cstheme="majorBidi"/>
          <w:sz w:val="18"/>
          <w:szCs w:val="18"/>
          <w:vertAlign w:val="superscript"/>
          <w:lang w:val="en-GB"/>
        </w:rPr>
        <w:footnoteReference w:id="47"/>
      </w:r>
      <w:bookmarkEnd w:id="26"/>
      <w:r w:rsidR="0018721E" w:rsidRPr="00A9211F">
        <w:rPr>
          <w:rFonts w:asciiTheme="majorBidi" w:hAnsiTheme="majorBidi" w:cstheme="majorBidi"/>
          <w:sz w:val="18"/>
          <w:szCs w:val="18"/>
          <w:lang w:val="en-GB"/>
        </w:rPr>
        <w:t xml:space="preserve"> </w:t>
      </w:r>
    </w:p>
    <w:p w14:paraId="2F08B82E" w14:textId="77777777" w:rsidR="0018721E" w:rsidRPr="00A9211F" w:rsidRDefault="0018721E" w:rsidP="00EA5C8B">
      <w:pPr>
        <w:pStyle w:val="ListParagraph"/>
        <w:rPr>
          <w:rFonts w:asciiTheme="majorBidi" w:hAnsiTheme="majorBidi" w:cstheme="majorBidi"/>
          <w:sz w:val="20"/>
          <w:szCs w:val="20"/>
          <w:lang w:val="en-GB"/>
        </w:rPr>
      </w:pPr>
    </w:p>
    <w:p w14:paraId="7C8E86F6" w14:textId="7F8F50FD"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Concerning the communicant’s contention that public authorities should be required to deal with “all issues arising” (see para. </w:t>
      </w:r>
      <w:r w:rsidR="005966DD" w:rsidRPr="00A9211F">
        <w:rPr>
          <w:rFonts w:asciiTheme="majorBidi" w:hAnsiTheme="majorBidi" w:cstheme="majorBidi"/>
          <w:sz w:val="20"/>
          <w:szCs w:val="20"/>
          <w:lang w:val="en-GB"/>
        </w:rPr>
        <w:fldChar w:fldCharType="begin"/>
      </w:r>
      <w:r w:rsidR="005966DD" w:rsidRPr="00A9211F">
        <w:rPr>
          <w:rFonts w:asciiTheme="majorBidi" w:hAnsiTheme="majorBidi" w:cstheme="majorBidi"/>
          <w:sz w:val="20"/>
          <w:szCs w:val="20"/>
          <w:lang w:val="en-GB"/>
        </w:rPr>
        <w:instrText xml:space="preserve"> REF _Ref40016618 \r \h </w:instrText>
      </w:r>
      <w:r w:rsidR="00E442C4" w:rsidRPr="00A9211F">
        <w:rPr>
          <w:rFonts w:asciiTheme="majorBidi" w:hAnsiTheme="majorBidi" w:cstheme="majorBidi"/>
          <w:sz w:val="20"/>
          <w:szCs w:val="20"/>
          <w:lang w:val="en-GB"/>
        </w:rPr>
        <w:instrText xml:space="preserve"> \* MERGEFORMAT </w:instrText>
      </w:r>
      <w:r w:rsidR="005966DD" w:rsidRPr="00A9211F">
        <w:rPr>
          <w:rFonts w:asciiTheme="majorBidi" w:hAnsiTheme="majorBidi" w:cstheme="majorBidi"/>
          <w:sz w:val="20"/>
          <w:szCs w:val="20"/>
          <w:lang w:val="en-GB"/>
        </w:rPr>
      </w:r>
      <w:r w:rsidR="005966DD"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49</w:t>
      </w:r>
      <w:r w:rsidR="005966DD" w:rsidRPr="00A9211F">
        <w:rPr>
          <w:rFonts w:asciiTheme="majorBidi" w:hAnsiTheme="majorBidi" w:cstheme="majorBidi"/>
          <w:sz w:val="20"/>
          <w:szCs w:val="20"/>
          <w:lang w:val="en-GB"/>
        </w:rPr>
        <w:fldChar w:fldCharType="end"/>
      </w:r>
      <w:r w:rsidR="005966DD"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above), the Party concerned maintains that it would be illogical to require public authorities to deal with the substance exhaustively when they believe that a request falls outside the scope of the AIE Regulations. The Party concerned maintains that this would entail an unreasonable use of the authorities’ time and resources</w:t>
      </w:r>
      <w:r w:rsidRPr="00A9211F">
        <w:rPr>
          <w:rFonts w:asciiTheme="majorBidi" w:hAnsiTheme="majorBidi" w:cstheme="majorBidi"/>
          <w:sz w:val="18"/>
          <w:szCs w:val="18"/>
          <w:vertAlign w:val="superscript"/>
          <w:lang w:val="en-GB"/>
        </w:rPr>
        <w:footnoteReference w:id="48"/>
      </w:r>
      <w:r w:rsidRPr="00A9211F">
        <w:rPr>
          <w:rFonts w:asciiTheme="majorBidi" w:hAnsiTheme="majorBidi" w:cstheme="majorBidi"/>
          <w:sz w:val="20"/>
          <w:szCs w:val="20"/>
          <w:lang w:val="en-GB"/>
        </w:rPr>
        <w:t xml:space="preserve"> and that there is no basis in the Convention for the communicant’s contention on this issue.</w:t>
      </w:r>
      <w:r w:rsidRPr="00A9211F">
        <w:rPr>
          <w:rStyle w:val="FootnoteReference"/>
          <w:rFonts w:asciiTheme="majorBidi" w:hAnsiTheme="majorBidi" w:cstheme="majorBidi"/>
          <w:szCs w:val="20"/>
          <w:lang w:val="en-GB"/>
        </w:rPr>
        <w:footnoteReference w:id="49"/>
      </w:r>
    </w:p>
    <w:p w14:paraId="02DC8BCC"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61EBD179" w14:textId="04C3AE82"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With regard to the claim of the Party concerned that the communicant has not evidenced and established systemic intentional abuse by public authorities, </w:t>
      </w:r>
      <w:r w:rsidR="00E274D1" w:rsidRPr="00A9211F">
        <w:rPr>
          <w:rFonts w:asciiTheme="majorBidi" w:hAnsiTheme="majorBidi" w:cstheme="majorBidi"/>
          <w:sz w:val="20"/>
          <w:szCs w:val="20"/>
          <w:lang w:val="en-GB"/>
        </w:rPr>
        <w:t xml:space="preserve">the </w:t>
      </w:r>
      <w:r w:rsidR="00787908" w:rsidRPr="00A9211F">
        <w:rPr>
          <w:rFonts w:asciiTheme="majorBidi" w:hAnsiTheme="majorBidi" w:cstheme="majorBidi"/>
          <w:sz w:val="20"/>
          <w:szCs w:val="20"/>
          <w:lang w:val="en-GB"/>
        </w:rPr>
        <w:t xml:space="preserve">observer the </w:t>
      </w:r>
      <w:r w:rsidRPr="00A9211F">
        <w:rPr>
          <w:rFonts w:asciiTheme="majorBidi" w:hAnsiTheme="majorBidi" w:cstheme="majorBidi"/>
          <w:sz w:val="20"/>
          <w:szCs w:val="20"/>
          <w:lang w:val="en-GB"/>
        </w:rPr>
        <w:t xml:space="preserve">Environmental Pillar submits that it would be nearly impossible for the communicant to provide evidence of this and the Party concerned has not established evidence to the contrary. </w:t>
      </w:r>
      <w:r w:rsidR="00E274D1" w:rsidRPr="00A9211F">
        <w:rPr>
          <w:rFonts w:asciiTheme="majorBidi" w:hAnsiTheme="majorBidi" w:cstheme="majorBidi"/>
          <w:sz w:val="20"/>
          <w:szCs w:val="20"/>
          <w:lang w:val="en-GB"/>
        </w:rPr>
        <w:t>The</w:t>
      </w:r>
      <w:r w:rsidRPr="00A9211F">
        <w:rPr>
          <w:rFonts w:asciiTheme="majorBidi" w:hAnsiTheme="majorBidi" w:cstheme="majorBidi"/>
          <w:sz w:val="20"/>
          <w:szCs w:val="20"/>
          <w:lang w:val="en-GB"/>
        </w:rPr>
        <w:t xml:space="preserve"> Environmental Pillar claims that in any case the issue of substantiation is a distraction; the real issue is that the system as implemented is vulnerable to the abuse identified by the communicant, and the review process, instead of preventing it, in fact facilitates it. All a public authority need do is refuse a request, refuse again under the internal review procedure and then the request will be </w:t>
      </w:r>
      <w:r w:rsidR="00593C2B"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neutralized</w:t>
      </w:r>
      <w:r w:rsidR="00593C2B"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once it goes to appeal, because the appeal process takes so long that the information will be irrelevant and useless by the time a decision is received.</w:t>
      </w:r>
      <w:r w:rsidRPr="00A9211F">
        <w:rPr>
          <w:rFonts w:asciiTheme="majorBidi" w:hAnsiTheme="majorBidi" w:cstheme="majorBidi"/>
          <w:sz w:val="18"/>
          <w:vertAlign w:val="superscript"/>
          <w:lang w:val="en-GB"/>
        </w:rPr>
        <w:footnoteReference w:id="50"/>
      </w:r>
    </w:p>
    <w:p w14:paraId="13CEB889" w14:textId="77777777" w:rsidR="007A41B8" w:rsidRPr="00A9211F" w:rsidRDefault="007A41B8" w:rsidP="00EA5C8B">
      <w:pPr>
        <w:pStyle w:val="ListParagraph"/>
        <w:rPr>
          <w:rFonts w:asciiTheme="majorBidi" w:hAnsiTheme="majorBidi" w:cstheme="majorBidi"/>
          <w:sz w:val="20"/>
          <w:szCs w:val="20"/>
          <w:lang w:val="en-GB"/>
        </w:rPr>
      </w:pPr>
    </w:p>
    <w:p w14:paraId="0E29D723" w14:textId="2E06DDBE" w:rsidR="0018721E" w:rsidRPr="00A9211F" w:rsidRDefault="0018721E" w:rsidP="00EA5C8B">
      <w:pPr>
        <w:pStyle w:val="ListParagraph"/>
        <w:tabs>
          <w:tab w:val="left" w:pos="1701"/>
        </w:tabs>
        <w:ind w:left="1094"/>
        <w:jc w:val="both"/>
        <w:rPr>
          <w:rFonts w:asciiTheme="majorBidi" w:hAnsiTheme="majorBidi" w:cstheme="majorBidi"/>
          <w:b/>
          <w:bCs/>
          <w:sz w:val="20"/>
          <w:szCs w:val="20"/>
          <w:lang w:val="en-GB"/>
        </w:rPr>
      </w:pPr>
      <w:r w:rsidRPr="00A9211F">
        <w:rPr>
          <w:rFonts w:asciiTheme="majorBidi" w:hAnsiTheme="majorBidi" w:cstheme="majorBidi"/>
          <w:b/>
          <w:bCs/>
          <w:sz w:val="20"/>
          <w:szCs w:val="20"/>
          <w:lang w:val="en-GB"/>
        </w:rPr>
        <w:t xml:space="preserve">Article 9(1) </w:t>
      </w:r>
      <w:r w:rsidR="00581629" w:rsidRPr="00A9211F">
        <w:rPr>
          <w:rFonts w:asciiTheme="majorBidi" w:hAnsiTheme="majorBidi" w:cstheme="majorBidi"/>
          <w:b/>
          <w:bCs/>
          <w:sz w:val="20"/>
          <w:szCs w:val="20"/>
          <w:lang w:val="en-GB"/>
        </w:rPr>
        <w:t xml:space="preserve">– expeditious </w:t>
      </w:r>
    </w:p>
    <w:p w14:paraId="762F1DE6"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089AE5A3" w14:textId="302444D2"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communicant contends that the Party concerned fails to ensure expeditious review in accordance with article 9(1) of the Convention</w:t>
      </w:r>
      <w:r w:rsidR="003A161C"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 since there is no statutory requirement for the OCEI to take an expeditious decision.</w:t>
      </w:r>
      <w:r w:rsidRPr="00A9211F">
        <w:rPr>
          <w:rFonts w:asciiTheme="majorBidi" w:hAnsiTheme="majorBidi" w:cstheme="majorBidi"/>
          <w:sz w:val="18"/>
          <w:vertAlign w:val="superscript"/>
          <w:lang w:val="en-GB"/>
        </w:rPr>
        <w:footnoteReference w:id="51"/>
      </w:r>
      <w:r w:rsidRPr="00A9211F">
        <w:rPr>
          <w:rFonts w:asciiTheme="majorBidi" w:hAnsiTheme="majorBidi" w:cstheme="majorBidi"/>
          <w:sz w:val="18"/>
          <w:vertAlign w:val="superscript"/>
          <w:lang w:val="en-GB"/>
        </w:rPr>
        <w:t xml:space="preserve"> </w:t>
      </w:r>
      <w:r w:rsidRPr="00A9211F">
        <w:rPr>
          <w:rFonts w:asciiTheme="majorBidi" w:hAnsiTheme="majorBidi" w:cstheme="majorBidi"/>
          <w:sz w:val="20"/>
          <w:szCs w:val="20"/>
          <w:lang w:val="en-GB"/>
        </w:rPr>
        <w:t xml:space="preserve"> The communicant claims that the OCEI takes more than 10 months on average to take a decision (see para. </w:t>
      </w:r>
      <w:r w:rsidRPr="00A9211F">
        <w:rPr>
          <w:rFonts w:asciiTheme="majorBidi" w:hAnsiTheme="majorBidi" w:cstheme="majorBidi"/>
          <w:sz w:val="20"/>
          <w:szCs w:val="20"/>
          <w:lang w:val="en-GB"/>
        </w:rPr>
        <w:fldChar w:fldCharType="begin"/>
      </w:r>
      <w:r w:rsidRPr="00A9211F">
        <w:rPr>
          <w:rFonts w:asciiTheme="majorBidi" w:hAnsiTheme="majorBidi" w:cstheme="majorBidi"/>
          <w:sz w:val="20"/>
          <w:szCs w:val="20"/>
          <w:lang w:val="en-GB"/>
        </w:rPr>
        <w:instrText xml:space="preserve"> REF _Ref533006517 \r \h  \* MERGEFORMAT </w:instrText>
      </w:r>
      <w:r w:rsidRPr="00A9211F">
        <w:rPr>
          <w:rFonts w:asciiTheme="majorBidi" w:hAnsiTheme="majorBidi" w:cstheme="majorBidi"/>
          <w:sz w:val="20"/>
          <w:szCs w:val="20"/>
          <w:lang w:val="en-GB"/>
        </w:rPr>
      </w:r>
      <w:r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33</w:t>
      </w:r>
      <w:r w:rsidRPr="00A9211F">
        <w:rPr>
          <w:rFonts w:asciiTheme="majorBidi" w:hAnsiTheme="majorBidi" w:cstheme="majorBidi"/>
          <w:sz w:val="20"/>
          <w:szCs w:val="20"/>
          <w:lang w:val="en-GB"/>
        </w:rPr>
        <w:fldChar w:fldCharType="end"/>
      </w:r>
      <w:r w:rsidRPr="00A9211F">
        <w:rPr>
          <w:rFonts w:asciiTheme="majorBidi" w:hAnsiTheme="majorBidi" w:cstheme="majorBidi"/>
          <w:sz w:val="20"/>
          <w:szCs w:val="20"/>
          <w:lang w:val="en-GB"/>
        </w:rPr>
        <w:t xml:space="preserve"> above).</w:t>
      </w:r>
      <w:r w:rsidRPr="00A9211F">
        <w:rPr>
          <w:rFonts w:asciiTheme="majorBidi" w:hAnsiTheme="majorBidi" w:cstheme="majorBidi"/>
          <w:sz w:val="18"/>
          <w:vertAlign w:val="superscript"/>
          <w:lang w:val="en-GB"/>
        </w:rPr>
        <w:footnoteReference w:id="52"/>
      </w:r>
      <w:r w:rsidRPr="00A9211F">
        <w:rPr>
          <w:rFonts w:asciiTheme="majorBidi" w:hAnsiTheme="majorBidi" w:cstheme="majorBidi"/>
          <w:sz w:val="20"/>
          <w:szCs w:val="20"/>
          <w:lang w:val="en-GB"/>
        </w:rPr>
        <w:t xml:space="preserve"> It points out that these </w:t>
      </w:r>
      <w:bookmarkStart w:id="27" w:name="_Hlk34679306"/>
      <w:r w:rsidRPr="00A9211F">
        <w:rPr>
          <w:rFonts w:asciiTheme="majorBidi" w:hAnsiTheme="majorBidi" w:cstheme="majorBidi"/>
          <w:sz w:val="20"/>
          <w:szCs w:val="20"/>
          <w:lang w:val="en-GB"/>
        </w:rPr>
        <w:t>timeframes do not include the additional two months granted to the parties to appeal against the decision of the OCEI during which the public authority concerned is under no obligation to release information</w:t>
      </w:r>
      <w:bookmarkEnd w:id="27"/>
      <w:r w:rsidRPr="00A9211F">
        <w:rPr>
          <w:rFonts w:asciiTheme="majorBidi" w:hAnsiTheme="majorBidi" w:cstheme="majorBidi"/>
          <w:sz w:val="20"/>
          <w:szCs w:val="20"/>
          <w:lang w:val="en-GB"/>
        </w:rPr>
        <w:t>.</w:t>
      </w:r>
      <w:r w:rsidRPr="00A9211F">
        <w:rPr>
          <w:rFonts w:asciiTheme="majorBidi" w:hAnsiTheme="majorBidi" w:cstheme="majorBidi"/>
          <w:sz w:val="18"/>
          <w:vertAlign w:val="superscript"/>
          <w:lang w:val="en-GB"/>
        </w:rPr>
        <w:footnoteReference w:id="53"/>
      </w:r>
      <w:r w:rsidRPr="00A9211F">
        <w:rPr>
          <w:rFonts w:asciiTheme="majorBidi" w:hAnsiTheme="majorBidi" w:cstheme="majorBidi"/>
          <w:sz w:val="18"/>
          <w:vertAlign w:val="superscript"/>
          <w:lang w:val="en-GB"/>
        </w:rPr>
        <w:t xml:space="preserve"> </w:t>
      </w:r>
      <w:r w:rsidRPr="00A9211F">
        <w:rPr>
          <w:rFonts w:asciiTheme="majorBidi" w:hAnsiTheme="majorBidi" w:cstheme="majorBidi"/>
          <w:sz w:val="20"/>
          <w:szCs w:val="20"/>
          <w:vertAlign w:val="superscript"/>
          <w:lang w:val="en-GB"/>
        </w:rPr>
        <w:t xml:space="preserve"> </w:t>
      </w:r>
    </w:p>
    <w:p w14:paraId="3968530A"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724682A4" w14:textId="0B33BE3A" w:rsidR="0018721E" w:rsidRPr="00A9211F" w:rsidRDefault="003A161C"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Furthermore, t</w:t>
      </w:r>
      <w:r w:rsidR="0018721E" w:rsidRPr="00A9211F">
        <w:rPr>
          <w:rFonts w:asciiTheme="majorBidi" w:hAnsiTheme="majorBidi" w:cstheme="majorBidi"/>
          <w:sz w:val="20"/>
          <w:szCs w:val="20"/>
          <w:lang w:val="en-GB"/>
        </w:rPr>
        <w:t>he communicant</w:t>
      </w:r>
      <w:r w:rsidR="00AE3636" w:rsidRPr="00A9211F">
        <w:rPr>
          <w:rFonts w:asciiTheme="majorBidi" w:hAnsiTheme="majorBidi" w:cstheme="majorBidi"/>
          <w:sz w:val="20"/>
          <w:szCs w:val="20"/>
          <w:lang w:val="en-GB"/>
        </w:rPr>
        <w:t xml:space="preserve"> </w:t>
      </w:r>
      <w:r w:rsidR="0018721E" w:rsidRPr="00A9211F">
        <w:rPr>
          <w:rFonts w:asciiTheme="majorBidi" w:hAnsiTheme="majorBidi" w:cstheme="majorBidi"/>
          <w:sz w:val="20"/>
          <w:szCs w:val="20"/>
          <w:lang w:val="en-GB"/>
        </w:rPr>
        <w:t xml:space="preserve">contends that there is no reason for the OCEI to take significantly longer than the public authority to </w:t>
      </w:r>
      <w:r w:rsidR="00082183" w:rsidRPr="00A9211F">
        <w:rPr>
          <w:rFonts w:asciiTheme="majorBidi" w:hAnsiTheme="majorBidi" w:cstheme="majorBidi"/>
          <w:sz w:val="20"/>
          <w:szCs w:val="20"/>
          <w:lang w:val="en-GB"/>
        </w:rPr>
        <w:t xml:space="preserve">adopt </w:t>
      </w:r>
      <w:r w:rsidR="0018721E" w:rsidRPr="00A9211F">
        <w:rPr>
          <w:rFonts w:asciiTheme="majorBidi" w:hAnsiTheme="majorBidi" w:cstheme="majorBidi"/>
          <w:sz w:val="20"/>
          <w:szCs w:val="20"/>
          <w:lang w:val="en-GB"/>
        </w:rPr>
        <w:t xml:space="preserve">decisions normally taken within two months </w:t>
      </w:r>
      <w:r w:rsidR="0018721E" w:rsidRPr="00A9211F">
        <w:rPr>
          <w:rFonts w:asciiTheme="majorBidi" w:hAnsiTheme="majorBidi" w:cstheme="majorBidi"/>
          <w:sz w:val="20"/>
          <w:szCs w:val="20"/>
          <w:lang w:val="en-GB"/>
        </w:rPr>
        <w:lastRenderedPageBreak/>
        <w:t>by public authorities, especially when the OCEI has almost 10 years’ experience and access to more resources than the public authority.</w:t>
      </w:r>
      <w:r w:rsidR="0018721E" w:rsidRPr="00A9211F">
        <w:rPr>
          <w:rStyle w:val="FootnoteReference"/>
          <w:rFonts w:asciiTheme="majorBidi" w:hAnsiTheme="majorBidi" w:cstheme="majorBidi"/>
          <w:szCs w:val="20"/>
          <w:lang w:val="en-GB"/>
        </w:rPr>
        <w:footnoteReference w:id="54"/>
      </w:r>
    </w:p>
    <w:p w14:paraId="160ECFE2" w14:textId="77777777" w:rsidR="0018721E" w:rsidRPr="00A9211F" w:rsidRDefault="0018721E" w:rsidP="00EA5C8B">
      <w:pPr>
        <w:tabs>
          <w:tab w:val="left" w:pos="1701"/>
        </w:tabs>
        <w:jc w:val="both"/>
        <w:rPr>
          <w:rFonts w:asciiTheme="majorBidi" w:hAnsiTheme="majorBidi" w:cstheme="majorBidi"/>
          <w:sz w:val="20"/>
          <w:szCs w:val="20"/>
        </w:rPr>
      </w:pPr>
    </w:p>
    <w:p w14:paraId="5149BFC8" w14:textId="71B227B1"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Party concerned submits that neither article 9 of the Convention nor the AIE Regulations specify a specific time frame for appeal decisions, but merely state that they must be “expeditious”, meaning that decisions must be reached within a reasonable period of time.</w:t>
      </w:r>
      <w:r w:rsidRPr="00A9211F">
        <w:rPr>
          <w:rStyle w:val="FootnoteReference"/>
          <w:rFonts w:asciiTheme="majorBidi" w:hAnsiTheme="majorBidi" w:cstheme="majorBidi"/>
          <w:szCs w:val="20"/>
          <w:lang w:val="en-GB"/>
        </w:rPr>
        <w:footnoteReference w:id="55"/>
      </w:r>
      <w:r w:rsidRPr="00A9211F">
        <w:rPr>
          <w:rFonts w:asciiTheme="majorBidi" w:hAnsiTheme="majorBidi" w:cstheme="majorBidi"/>
          <w:sz w:val="20"/>
          <w:szCs w:val="20"/>
          <w:lang w:val="en-GB"/>
        </w:rPr>
        <w:t xml:space="preserve"> It claims that, while there may have initially been some difficulties with decisions being taken in an appropriate timeframe, with the improving economic situation of the Party concerned, more resources have been allocated to the OCEI, allowing for more investigations to be undertaken and decisions issued.</w:t>
      </w:r>
      <w:r w:rsidRPr="00A9211F">
        <w:rPr>
          <w:rStyle w:val="FootnoteReference"/>
          <w:rFonts w:asciiTheme="majorBidi" w:hAnsiTheme="majorBidi" w:cstheme="majorBidi"/>
          <w:szCs w:val="20"/>
          <w:lang w:val="en-GB"/>
        </w:rPr>
        <w:footnoteReference w:id="56"/>
      </w:r>
    </w:p>
    <w:p w14:paraId="154F3BB8" w14:textId="77777777" w:rsidR="0018721E" w:rsidRPr="00A9211F" w:rsidRDefault="0018721E" w:rsidP="00EA5C8B">
      <w:pPr>
        <w:tabs>
          <w:tab w:val="left" w:pos="1701"/>
        </w:tabs>
        <w:jc w:val="both"/>
        <w:rPr>
          <w:rFonts w:asciiTheme="majorBidi" w:hAnsiTheme="majorBidi" w:cstheme="majorBidi"/>
          <w:sz w:val="20"/>
          <w:szCs w:val="20"/>
        </w:rPr>
      </w:pPr>
    </w:p>
    <w:p w14:paraId="3119A584" w14:textId="5B15666C" w:rsidR="0018721E" w:rsidRPr="00A9211F" w:rsidRDefault="00AE3636" w:rsidP="00EA5C8B">
      <w:pPr>
        <w:pStyle w:val="ListParagraph"/>
        <w:numPr>
          <w:ilvl w:val="0"/>
          <w:numId w:val="7"/>
        </w:numPr>
        <w:tabs>
          <w:tab w:val="left" w:pos="1701"/>
        </w:tabs>
        <w:ind w:left="1094" w:firstLine="0"/>
        <w:jc w:val="both"/>
        <w:rPr>
          <w:rFonts w:asciiTheme="majorBidi" w:hAnsiTheme="majorBidi" w:cstheme="majorBidi"/>
          <w:sz w:val="20"/>
          <w:szCs w:val="20"/>
        </w:rPr>
      </w:pPr>
      <w:r w:rsidRPr="00A9211F">
        <w:rPr>
          <w:rFonts w:asciiTheme="majorBidi" w:hAnsiTheme="majorBidi" w:cstheme="majorBidi"/>
          <w:sz w:val="20"/>
          <w:szCs w:val="20"/>
          <w:lang w:val="en-GB"/>
        </w:rPr>
        <w:t xml:space="preserve">The Party concerned </w:t>
      </w:r>
      <w:r w:rsidR="0018721E" w:rsidRPr="00A9211F">
        <w:rPr>
          <w:rFonts w:asciiTheme="majorBidi" w:hAnsiTheme="majorBidi" w:cstheme="majorBidi"/>
          <w:sz w:val="20"/>
          <w:szCs w:val="20"/>
          <w:lang w:val="en-GB"/>
        </w:rPr>
        <w:t>claims that the information presented in annex 2 to the communication to illustrate the length of time for OCEI appeals does not provide a complete picture of the work completed by</w:t>
      </w:r>
      <w:r w:rsidR="00AB372B" w:rsidRPr="00A9211F">
        <w:rPr>
          <w:rFonts w:asciiTheme="majorBidi" w:hAnsiTheme="majorBidi" w:cstheme="majorBidi"/>
          <w:sz w:val="20"/>
          <w:szCs w:val="20"/>
          <w:lang w:val="en-GB"/>
        </w:rPr>
        <w:t xml:space="preserve"> that body</w:t>
      </w:r>
      <w:r w:rsidR="0018721E" w:rsidRPr="00A9211F">
        <w:rPr>
          <w:rFonts w:asciiTheme="majorBidi" w:hAnsiTheme="majorBidi" w:cstheme="majorBidi"/>
          <w:sz w:val="20"/>
          <w:szCs w:val="20"/>
          <w:lang w:val="en-GB"/>
        </w:rPr>
        <w:t>.  That is because it relates only to formal decisions taken, and therefore excludes appeals withdrawn following the OCEI’s intervention.</w:t>
      </w:r>
      <w:r w:rsidR="0018721E" w:rsidRPr="00A9211F">
        <w:rPr>
          <w:rFonts w:asciiTheme="majorBidi" w:hAnsiTheme="majorBidi" w:cstheme="majorBidi"/>
          <w:sz w:val="18"/>
          <w:vertAlign w:val="superscript"/>
          <w:lang w:val="en-GB"/>
        </w:rPr>
        <w:footnoteReference w:id="57"/>
      </w:r>
      <w:r w:rsidR="0018721E" w:rsidRPr="00A9211F">
        <w:rPr>
          <w:rFonts w:asciiTheme="majorBidi" w:hAnsiTheme="majorBidi" w:cstheme="majorBidi"/>
          <w:sz w:val="14"/>
          <w:vertAlign w:val="superscript"/>
          <w:lang w:val="en-GB"/>
        </w:rPr>
        <w:t xml:space="preserve"> </w:t>
      </w:r>
    </w:p>
    <w:p w14:paraId="78658BE8" w14:textId="77777777" w:rsidR="000E5EBB" w:rsidRPr="00A9211F" w:rsidRDefault="000E5EBB" w:rsidP="00EA5C8B">
      <w:pPr>
        <w:pStyle w:val="ListParagraph"/>
        <w:rPr>
          <w:rFonts w:asciiTheme="majorBidi" w:hAnsiTheme="majorBidi" w:cstheme="majorBidi"/>
          <w:sz w:val="20"/>
          <w:szCs w:val="20"/>
        </w:rPr>
      </w:pPr>
    </w:p>
    <w:p w14:paraId="3FEF7FE9" w14:textId="5F0735A4" w:rsidR="0018721E" w:rsidRPr="00A9211F" w:rsidRDefault="00924584"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Furthermore, t</w:t>
      </w:r>
      <w:r w:rsidR="0018721E" w:rsidRPr="00A9211F">
        <w:rPr>
          <w:rFonts w:asciiTheme="majorBidi" w:hAnsiTheme="majorBidi" w:cstheme="majorBidi"/>
          <w:sz w:val="20"/>
          <w:szCs w:val="20"/>
          <w:lang w:val="en-GB"/>
        </w:rPr>
        <w:t xml:space="preserve">he Party concerned contends that the procedures </w:t>
      </w:r>
      <w:r w:rsidR="006D51AE" w:rsidRPr="00A9211F">
        <w:rPr>
          <w:rFonts w:asciiTheme="majorBidi" w:hAnsiTheme="majorBidi" w:cstheme="majorBidi"/>
          <w:sz w:val="20"/>
          <w:szCs w:val="20"/>
          <w:lang w:val="en-GB"/>
        </w:rPr>
        <w:t>follow</w:t>
      </w:r>
      <w:r w:rsidR="0018721E" w:rsidRPr="00A9211F">
        <w:rPr>
          <w:rFonts w:asciiTheme="majorBidi" w:hAnsiTheme="majorBidi" w:cstheme="majorBidi"/>
          <w:sz w:val="20"/>
          <w:szCs w:val="20"/>
          <w:lang w:val="en-GB"/>
        </w:rPr>
        <w:t>ed by the OCEI are designed to ensure that all parties are afforded appropriate and fair procedures, while also permitting decisions to be reached without undue delay. The Party concerned highlights the fact that certain appeals raise complex issues of domestic and European law which require engagement with the relevant parties and careful assessment, and that in some circumstances it may be necessary to notify third parties and permit them to make submissions on appeal.</w:t>
      </w:r>
      <w:r w:rsidR="0018721E" w:rsidRPr="00A9211F">
        <w:rPr>
          <w:rStyle w:val="FootnoteReference"/>
          <w:rFonts w:asciiTheme="majorBidi" w:hAnsiTheme="majorBidi" w:cstheme="majorBidi"/>
          <w:szCs w:val="20"/>
          <w:lang w:val="en-GB"/>
        </w:rPr>
        <w:footnoteReference w:id="58"/>
      </w:r>
    </w:p>
    <w:p w14:paraId="620AE802" w14:textId="77777777" w:rsidR="0018721E" w:rsidRPr="00A9211F" w:rsidRDefault="0018721E" w:rsidP="00EA5C8B">
      <w:pPr>
        <w:tabs>
          <w:tab w:val="left" w:pos="1701"/>
        </w:tabs>
        <w:jc w:val="both"/>
        <w:rPr>
          <w:rFonts w:asciiTheme="majorBidi" w:hAnsiTheme="majorBidi" w:cstheme="majorBidi"/>
          <w:sz w:val="20"/>
          <w:szCs w:val="20"/>
        </w:rPr>
      </w:pPr>
    </w:p>
    <w:p w14:paraId="02BBBE79" w14:textId="32A1D0CF"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rPr>
      </w:pPr>
      <w:r w:rsidRPr="00A9211F">
        <w:rPr>
          <w:rFonts w:asciiTheme="majorBidi" w:hAnsiTheme="majorBidi" w:cstheme="majorBidi"/>
          <w:sz w:val="20"/>
          <w:szCs w:val="20"/>
          <w:lang w:val="en-GB"/>
        </w:rPr>
        <w:t xml:space="preserve">Finally, the Party concerned contests the communicant’s assertion that the timeframes for OCEI appeals should not be significantly longer than the </w:t>
      </w:r>
      <w:r w:rsidR="000E5EBB" w:rsidRPr="00A9211F">
        <w:rPr>
          <w:rFonts w:asciiTheme="majorBidi" w:hAnsiTheme="majorBidi" w:cstheme="majorBidi"/>
          <w:sz w:val="20"/>
          <w:szCs w:val="20"/>
          <w:lang w:val="en-GB"/>
        </w:rPr>
        <w:t>two</w:t>
      </w:r>
      <w:r w:rsidR="00E16F31" w:rsidRPr="00A9211F">
        <w:rPr>
          <w:rFonts w:asciiTheme="majorBidi" w:hAnsiTheme="majorBidi" w:cstheme="majorBidi"/>
          <w:sz w:val="20"/>
          <w:szCs w:val="20"/>
          <w:lang w:val="en-GB"/>
        </w:rPr>
        <w:t>-</w:t>
      </w:r>
      <w:r w:rsidRPr="00A9211F">
        <w:rPr>
          <w:rFonts w:asciiTheme="majorBidi" w:hAnsiTheme="majorBidi" w:cstheme="majorBidi"/>
          <w:sz w:val="20"/>
          <w:szCs w:val="20"/>
          <w:lang w:val="en-GB"/>
        </w:rPr>
        <w:t xml:space="preserve">month timeframe for public authorities to consider requests. </w:t>
      </w:r>
      <w:r w:rsidR="00AE3636" w:rsidRPr="00A9211F">
        <w:rPr>
          <w:rFonts w:asciiTheme="majorBidi" w:hAnsiTheme="majorBidi" w:cstheme="majorBidi"/>
          <w:sz w:val="20"/>
          <w:szCs w:val="20"/>
          <w:lang w:val="en-GB"/>
        </w:rPr>
        <w:t xml:space="preserve">It submits that the </w:t>
      </w:r>
      <w:r w:rsidRPr="00A9211F">
        <w:rPr>
          <w:rFonts w:asciiTheme="majorBidi" w:hAnsiTheme="majorBidi" w:cstheme="majorBidi"/>
          <w:sz w:val="20"/>
          <w:szCs w:val="20"/>
          <w:lang w:val="en-GB"/>
        </w:rPr>
        <w:t>roles played by these two bodies are very different and therefore not comparable.</w:t>
      </w:r>
      <w:r w:rsidRPr="00A9211F">
        <w:rPr>
          <w:rStyle w:val="FootnoteReference"/>
          <w:rFonts w:asciiTheme="majorBidi" w:hAnsiTheme="majorBidi" w:cstheme="majorBidi"/>
          <w:szCs w:val="20"/>
          <w:lang w:val="en-GB"/>
        </w:rPr>
        <w:footnoteReference w:id="59"/>
      </w:r>
      <w:r w:rsidRPr="00A9211F">
        <w:rPr>
          <w:rFonts w:asciiTheme="majorBidi" w:hAnsiTheme="majorBidi" w:cstheme="majorBidi"/>
          <w:sz w:val="20"/>
          <w:szCs w:val="20"/>
          <w:lang w:val="en-GB"/>
        </w:rPr>
        <w:t xml:space="preserve"> </w:t>
      </w:r>
    </w:p>
    <w:p w14:paraId="0D52F662" w14:textId="77777777" w:rsidR="000E5EBB" w:rsidRPr="00A9211F" w:rsidRDefault="000E5EBB" w:rsidP="00EA5C8B">
      <w:pPr>
        <w:pStyle w:val="ListParagraph"/>
        <w:rPr>
          <w:rFonts w:asciiTheme="majorBidi" w:hAnsiTheme="majorBidi" w:cstheme="majorBidi"/>
          <w:sz w:val="20"/>
          <w:szCs w:val="20"/>
        </w:rPr>
      </w:pPr>
    </w:p>
    <w:p w14:paraId="7786D270" w14:textId="04D47530" w:rsidR="0018721E" w:rsidRPr="00A9211F" w:rsidRDefault="00F66C6A"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w:t>
      </w:r>
      <w:r w:rsidR="0018721E" w:rsidRPr="00A9211F">
        <w:rPr>
          <w:rFonts w:asciiTheme="majorBidi" w:hAnsiTheme="majorBidi" w:cstheme="majorBidi"/>
          <w:sz w:val="20"/>
          <w:szCs w:val="20"/>
          <w:lang w:val="en-GB"/>
        </w:rPr>
        <w:t xml:space="preserve">Environmental Pillar states that the data </w:t>
      </w:r>
      <w:r w:rsidR="0008583D" w:rsidRPr="00A9211F">
        <w:rPr>
          <w:rFonts w:asciiTheme="majorBidi" w:hAnsiTheme="majorBidi" w:cstheme="majorBidi"/>
          <w:sz w:val="20"/>
          <w:szCs w:val="20"/>
          <w:lang w:val="en-GB"/>
        </w:rPr>
        <w:t>on timeframes</w:t>
      </w:r>
      <w:r w:rsidR="00767222" w:rsidRPr="00A9211F">
        <w:rPr>
          <w:rFonts w:asciiTheme="majorBidi" w:hAnsiTheme="majorBidi" w:cstheme="majorBidi"/>
          <w:sz w:val="20"/>
          <w:szCs w:val="20"/>
          <w:lang w:val="en-GB"/>
        </w:rPr>
        <w:t xml:space="preserve"> for review</w:t>
      </w:r>
      <w:r w:rsidR="0008583D" w:rsidRPr="00A9211F">
        <w:rPr>
          <w:rFonts w:asciiTheme="majorBidi" w:hAnsiTheme="majorBidi" w:cstheme="majorBidi"/>
          <w:sz w:val="20"/>
          <w:szCs w:val="20"/>
          <w:lang w:val="en-GB"/>
        </w:rPr>
        <w:t xml:space="preserve"> </w:t>
      </w:r>
      <w:r w:rsidR="0018721E" w:rsidRPr="00A9211F">
        <w:rPr>
          <w:rFonts w:asciiTheme="majorBidi" w:hAnsiTheme="majorBidi" w:cstheme="majorBidi"/>
          <w:sz w:val="20"/>
          <w:szCs w:val="20"/>
          <w:lang w:val="en-GB"/>
        </w:rPr>
        <w:t xml:space="preserve">provided by the communicant cannot be considered “expeditious” under article 9(1). It further submits that this provision cannot be read in isolation from the </w:t>
      </w:r>
      <w:r w:rsidR="00593C2B" w:rsidRPr="00A9211F">
        <w:rPr>
          <w:rFonts w:asciiTheme="majorBidi" w:hAnsiTheme="majorBidi" w:cstheme="majorBidi"/>
          <w:sz w:val="20"/>
          <w:szCs w:val="20"/>
          <w:lang w:val="en-GB"/>
        </w:rPr>
        <w:t xml:space="preserve">requirements of </w:t>
      </w:r>
      <w:r w:rsidR="0018721E" w:rsidRPr="00A9211F">
        <w:rPr>
          <w:rFonts w:asciiTheme="majorBidi" w:hAnsiTheme="majorBidi" w:cstheme="majorBidi"/>
          <w:sz w:val="20"/>
          <w:szCs w:val="20"/>
          <w:lang w:val="en-GB"/>
        </w:rPr>
        <w:t>article 9(4).</w:t>
      </w:r>
      <w:r w:rsidR="0018721E" w:rsidRPr="00A9211F">
        <w:rPr>
          <w:rStyle w:val="FootnoteReference"/>
          <w:rFonts w:asciiTheme="majorBidi" w:hAnsiTheme="majorBidi" w:cstheme="majorBidi"/>
          <w:szCs w:val="20"/>
          <w:lang w:val="en-GB"/>
        </w:rPr>
        <w:footnoteReference w:id="60"/>
      </w:r>
      <w:r w:rsidR="0018721E" w:rsidRPr="00A9211F">
        <w:rPr>
          <w:rFonts w:asciiTheme="majorBidi" w:hAnsiTheme="majorBidi" w:cstheme="majorBidi"/>
          <w:sz w:val="20"/>
          <w:szCs w:val="20"/>
          <w:lang w:val="en-GB"/>
        </w:rPr>
        <w:t xml:space="preserve"> Finally, it claims that the delays are due to </w:t>
      </w:r>
      <w:r w:rsidR="00A71953" w:rsidRPr="00A9211F">
        <w:rPr>
          <w:rFonts w:asciiTheme="majorBidi" w:hAnsiTheme="majorBidi" w:cstheme="majorBidi"/>
          <w:sz w:val="20"/>
          <w:szCs w:val="20"/>
          <w:lang w:val="en-GB"/>
        </w:rPr>
        <w:t xml:space="preserve">the </w:t>
      </w:r>
      <w:r w:rsidR="0018721E" w:rsidRPr="00A9211F">
        <w:rPr>
          <w:rFonts w:asciiTheme="majorBidi" w:hAnsiTheme="majorBidi" w:cstheme="majorBidi"/>
          <w:sz w:val="20"/>
          <w:szCs w:val="20"/>
          <w:lang w:val="en-GB"/>
        </w:rPr>
        <w:t>deliberate decisions</w:t>
      </w:r>
      <w:r w:rsidR="00A71953" w:rsidRPr="00A9211F">
        <w:rPr>
          <w:rFonts w:asciiTheme="majorBidi" w:hAnsiTheme="majorBidi" w:cstheme="majorBidi"/>
          <w:sz w:val="20"/>
          <w:szCs w:val="20"/>
          <w:lang w:val="en-GB"/>
        </w:rPr>
        <w:t xml:space="preserve"> of the Party concerned</w:t>
      </w:r>
      <w:r w:rsidR="0018721E" w:rsidRPr="00A9211F">
        <w:rPr>
          <w:rFonts w:asciiTheme="majorBidi" w:hAnsiTheme="majorBidi" w:cstheme="majorBidi"/>
          <w:sz w:val="20"/>
          <w:szCs w:val="20"/>
          <w:lang w:val="en-GB"/>
        </w:rPr>
        <w:t>, the most notable being the decision not to transpose into law a requirement that the OCEI’s review be undertaken within a prescribed period, or even “expeditiously”, in contrast to the FOI Act.</w:t>
      </w:r>
      <w:r w:rsidR="0018721E" w:rsidRPr="00A9211F">
        <w:rPr>
          <w:rStyle w:val="FootnoteReference"/>
          <w:rFonts w:asciiTheme="majorBidi" w:hAnsiTheme="majorBidi" w:cstheme="majorBidi"/>
          <w:szCs w:val="20"/>
          <w:lang w:val="en-GB"/>
        </w:rPr>
        <w:footnoteReference w:id="61"/>
      </w:r>
    </w:p>
    <w:p w14:paraId="0A441285" w14:textId="77777777" w:rsidR="0018721E" w:rsidRPr="00A9211F" w:rsidRDefault="0018721E" w:rsidP="00EA5C8B">
      <w:pPr>
        <w:rPr>
          <w:rFonts w:asciiTheme="majorBidi" w:hAnsiTheme="majorBidi" w:cstheme="majorBidi"/>
          <w:i/>
          <w:sz w:val="20"/>
          <w:szCs w:val="20"/>
        </w:rPr>
      </w:pPr>
    </w:p>
    <w:p w14:paraId="70873E39" w14:textId="6D64F198" w:rsidR="0018721E" w:rsidRPr="00A9211F" w:rsidRDefault="00F11E92" w:rsidP="00EA5C8B">
      <w:pPr>
        <w:pStyle w:val="ListParagraph"/>
        <w:tabs>
          <w:tab w:val="left" w:pos="1701"/>
        </w:tabs>
        <w:spacing w:after="120" w:line="240" w:lineRule="atLeast"/>
        <w:ind w:left="1094"/>
        <w:contextualSpacing w:val="0"/>
        <w:jc w:val="both"/>
        <w:outlineLvl w:val="0"/>
        <w:rPr>
          <w:rFonts w:asciiTheme="majorBidi" w:hAnsiTheme="majorBidi" w:cstheme="majorBidi"/>
          <w:i/>
          <w:sz w:val="20"/>
          <w:szCs w:val="20"/>
          <w:lang w:val="en-GB"/>
        </w:rPr>
      </w:pPr>
      <w:r w:rsidRPr="00A9211F">
        <w:rPr>
          <w:rFonts w:asciiTheme="majorBidi" w:hAnsiTheme="majorBidi" w:cstheme="majorBidi"/>
          <w:i/>
          <w:sz w:val="20"/>
          <w:szCs w:val="20"/>
          <w:lang w:val="en-GB"/>
        </w:rPr>
        <w:t xml:space="preserve">FOI </w:t>
      </w:r>
      <w:r w:rsidR="00056F63" w:rsidRPr="00A9211F">
        <w:rPr>
          <w:rFonts w:asciiTheme="majorBidi" w:hAnsiTheme="majorBidi" w:cstheme="majorBidi"/>
          <w:i/>
          <w:sz w:val="20"/>
          <w:szCs w:val="20"/>
          <w:lang w:val="en-GB"/>
        </w:rPr>
        <w:t>appeals</w:t>
      </w:r>
      <w:r w:rsidRPr="00A9211F">
        <w:rPr>
          <w:rFonts w:asciiTheme="majorBidi" w:hAnsiTheme="majorBidi" w:cstheme="majorBidi"/>
          <w:i/>
          <w:sz w:val="20"/>
          <w:szCs w:val="20"/>
          <w:lang w:val="en-GB"/>
        </w:rPr>
        <w:t xml:space="preserve"> prioritized</w:t>
      </w:r>
      <w:r w:rsidR="00056F63" w:rsidRPr="00A9211F">
        <w:rPr>
          <w:rFonts w:asciiTheme="majorBidi" w:hAnsiTheme="majorBidi" w:cstheme="majorBidi"/>
          <w:i/>
          <w:sz w:val="20"/>
          <w:szCs w:val="20"/>
          <w:lang w:val="en-GB"/>
        </w:rPr>
        <w:t xml:space="preserve"> </w:t>
      </w:r>
    </w:p>
    <w:p w14:paraId="0F6AFC9B" w14:textId="65A059B3"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communicant alleges that, because the same person acts in the capacity of both CEI and Information Commissioner, the OCEI prioritizes requests for information under the FOI Act, which imposes a four-month deadline.</w:t>
      </w:r>
      <w:r w:rsidRPr="00A9211F">
        <w:rPr>
          <w:rFonts w:asciiTheme="majorBidi" w:hAnsiTheme="majorBidi" w:cstheme="majorBidi"/>
          <w:sz w:val="18"/>
          <w:vertAlign w:val="superscript"/>
          <w:lang w:val="en-GB"/>
        </w:rPr>
        <w:footnoteReference w:id="62"/>
      </w:r>
      <w:r w:rsidRPr="00A9211F">
        <w:rPr>
          <w:rFonts w:asciiTheme="majorBidi" w:hAnsiTheme="majorBidi" w:cstheme="majorBidi"/>
          <w:sz w:val="12"/>
          <w:lang w:val="en-GB"/>
        </w:rPr>
        <w:t xml:space="preserve"> </w:t>
      </w:r>
      <w:r w:rsidRPr="00A9211F">
        <w:rPr>
          <w:rFonts w:asciiTheme="majorBidi" w:hAnsiTheme="majorBidi" w:cstheme="majorBidi"/>
          <w:sz w:val="16"/>
          <w:lang w:val="en-GB"/>
        </w:rPr>
        <w:t xml:space="preserve"> </w:t>
      </w:r>
      <w:r w:rsidRPr="00A9211F">
        <w:rPr>
          <w:rFonts w:asciiTheme="majorBidi" w:hAnsiTheme="majorBidi" w:cstheme="majorBidi"/>
          <w:sz w:val="20"/>
          <w:szCs w:val="20"/>
          <w:lang w:val="en-GB"/>
        </w:rPr>
        <w:t>It points out that between 2007, when the OCEI was established, and 2014, the OCEI was not allocated any funding and had to rely upon resources from the Information Commissioner’s office. It acknowledges that the situation partially changed in December 2014.</w:t>
      </w:r>
      <w:r w:rsidRPr="00A9211F">
        <w:rPr>
          <w:rFonts w:asciiTheme="majorBidi" w:hAnsiTheme="majorBidi" w:cstheme="majorBidi"/>
          <w:sz w:val="20"/>
          <w:vertAlign w:val="superscript"/>
          <w:lang w:val="en-GB"/>
        </w:rPr>
        <w:footnoteReference w:id="63"/>
      </w:r>
      <w:r w:rsidRPr="00A9211F">
        <w:rPr>
          <w:rFonts w:asciiTheme="majorBidi" w:hAnsiTheme="majorBidi" w:cstheme="majorBidi"/>
          <w:sz w:val="18"/>
          <w:szCs w:val="20"/>
          <w:lang w:val="en-GB"/>
        </w:rPr>
        <w:t xml:space="preserve"> </w:t>
      </w:r>
    </w:p>
    <w:p w14:paraId="16698F5E" w14:textId="77777777" w:rsidR="0018721E" w:rsidRPr="00A9211F" w:rsidRDefault="0018721E" w:rsidP="00EA5C8B">
      <w:pPr>
        <w:tabs>
          <w:tab w:val="left" w:pos="1701"/>
        </w:tabs>
        <w:jc w:val="both"/>
        <w:rPr>
          <w:rFonts w:asciiTheme="majorBidi" w:hAnsiTheme="majorBidi" w:cstheme="majorBidi"/>
          <w:sz w:val="20"/>
          <w:szCs w:val="20"/>
        </w:rPr>
      </w:pPr>
    </w:p>
    <w:p w14:paraId="6AADC071" w14:textId="70C2E76B"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lastRenderedPageBreak/>
        <w:t>The Party concerned states that resources are allocated to the Office of the Information Commissioner by the Department of Public Expenditure and Reform according to the Commissioner’s different roles and volume of requests received</w:t>
      </w:r>
      <w:r w:rsidRPr="00A9211F">
        <w:rPr>
          <w:rFonts w:asciiTheme="majorBidi" w:hAnsiTheme="majorBidi" w:cstheme="majorBidi"/>
          <w:sz w:val="18"/>
          <w:szCs w:val="20"/>
          <w:lang w:val="en-GB"/>
        </w:rPr>
        <w:t>.</w:t>
      </w:r>
      <w:r w:rsidRPr="00A9211F">
        <w:rPr>
          <w:rFonts w:asciiTheme="majorBidi" w:hAnsiTheme="majorBidi" w:cstheme="majorBidi"/>
          <w:sz w:val="18"/>
          <w:vertAlign w:val="superscript"/>
          <w:lang w:val="en-GB"/>
        </w:rPr>
        <w:footnoteReference w:id="64"/>
      </w:r>
      <w:r w:rsidRPr="00A9211F">
        <w:rPr>
          <w:rFonts w:asciiTheme="majorBidi" w:hAnsiTheme="majorBidi" w:cstheme="majorBidi"/>
          <w:sz w:val="18"/>
          <w:szCs w:val="20"/>
          <w:lang w:val="en-GB"/>
        </w:rPr>
        <w:t xml:space="preserve"> </w:t>
      </w:r>
      <w:r w:rsidR="00B214C6" w:rsidRPr="00A9211F">
        <w:rPr>
          <w:rFonts w:asciiTheme="majorBidi" w:hAnsiTheme="majorBidi" w:cstheme="majorBidi"/>
          <w:sz w:val="20"/>
          <w:szCs w:val="20"/>
          <w:lang w:val="en-GB"/>
        </w:rPr>
        <w:t>A</w:t>
      </w:r>
      <w:r w:rsidRPr="00A9211F">
        <w:rPr>
          <w:rFonts w:asciiTheme="majorBidi" w:hAnsiTheme="majorBidi" w:cstheme="majorBidi"/>
          <w:sz w:val="20"/>
          <w:szCs w:val="20"/>
          <w:lang w:val="en-GB"/>
        </w:rPr>
        <w:t xml:space="preserve"> lump sum is granted to the Information Commissioner who is at the same time the CEI, which he divides between his two functions as he sees fit.  There are 4 investigators and clerical support dedicated to the OCEI. Office and administrative services are shared between the CEI and Information Commissioner only to ensure the most efficient use of limited state resources.</w:t>
      </w:r>
      <w:r w:rsidRPr="00A9211F">
        <w:rPr>
          <w:rFonts w:asciiTheme="majorBidi" w:hAnsiTheme="majorBidi" w:cstheme="majorBidi"/>
          <w:sz w:val="18"/>
          <w:vertAlign w:val="superscript"/>
          <w:lang w:val="en-GB"/>
        </w:rPr>
        <w:footnoteReference w:id="65"/>
      </w:r>
    </w:p>
    <w:p w14:paraId="26BCB134" w14:textId="77777777" w:rsidR="0018721E" w:rsidRPr="00A9211F" w:rsidRDefault="0018721E" w:rsidP="00EA5C8B">
      <w:pPr>
        <w:tabs>
          <w:tab w:val="left" w:pos="1701"/>
        </w:tabs>
        <w:jc w:val="both"/>
        <w:rPr>
          <w:rFonts w:asciiTheme="majorBidi" w:hAnsiTheme="majorBidi" w:cstheme="majorBidi"/>
          <w:sz w:val="20"/>
          <w:szCs w:val="20"/>
        </w:rPr>
      </w:pPr>
    </w:p>
    <w:p w14:paraId="2FE6DEED" w14:textId="0034F820" w:rsidR="0018721E" w:rsidRPr="00A9211F" w:rsidRDefault="00F73ED8"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w:t>
      </w:r>
      <w:r w:rsidR="00E274D1" w:rsidRPr="00A9211F">
        <w:rPr>
          <w:rFonts w:asciiTheme="majorBidi" w:hAnsiTheme="majorBidi" w:cstheme="majorBidi"/>
          <w:sz w:val="20"/>
          <w:szCs w:val="20"/>
          <w:lang w:val="en-GB"/>
        </w:rPr>
        <w:t xml:space="preserve">he </w:t>
      </w:r>
      <w:r w:rsidR="0018721E" w:rsidRPr="00A9211F">
        <w:rPr>
          <w:rFonts w:asciiTheme="majorBidi" w:hAnsiTheme="majorBidi" w:cstheme="majorBidi"/>
          <w:sz w:val="20"/>
          <w:szCs w:val="20"/>
          <w:lang w:val="en-GB"/>
        </w:rPr>
        <w:t>Environmental Pillar submits that the issue of resources is not just one of staff, but also extends to the financial resources necessary to pursue litigation to defend OCEI decisions if challenged by public authorities and to pursue clarification in courts.</w:t>
      </w:r>
      <w:r w:rsidR="0018721E" w:rsidRPr="00A9211F">
        <w:rPr>
          <w:rStyle w:val="FootnoteReference"/>
          <w:rFonts w:asciiTheme="majorBidi" w:hAnsiTheme="majorBidi" w:cstheme="majorBidi"/>
          <w:szCs w:val="20"/>
          <w:lang w:val="en-GB"/>
        </w:rPr>
        <w:footnoteReference w:id="66"/>
      </w:r>
    </w:p>
    <w:p w14:paraId="4702E511" w14:textId="77777777" w:rsidR="0018721E" w:rsidRPr="00A9211F" w:rsidRDefault="0018721E" w:rsidP="00DF7E26">
      <w:pPr>
        <w:tabs>
          <w:tab w:val="left" w:pos="1701"/>
        </w:tabs>
        <w:jc w:val="both"/>
        <w:rPr>
          <w:rFonts w:asciiTheme="majorBidi" w:hAnsiTheme="majorBidi"/>
          <w:sz w:val="20"/>
        </w:rPr>
      </w:pPr>
    </w:p>
    <w:p w14:paraId="551A9524" w14:textId="6A5582CA" w:rsidR="0018721E" w:rsidRPr="00A9211F" w:rsidRDefault="00B214C6" w:rsidP="00EA5C8B">
      <w:pPr>
        <w:tabs>
          <w:tab w:val="left" w:pos="1701"/>
        </w:tabs>
        <w:spacing w:after="120" w:line="240" w:lineRule="atLeast"/>
        <w:ind w:left="1094"/>
        <w:contextualSpacing/>
        <w:jc w:val="both"/>
        <w:outlineLvl w:val="0"/>
        <w:rPr>
          <w:rFonts w:asciiTheme="majorBidi" w:hAnsiTheme="majorBidi" w:cstheme="majorBidi"/>
          <w:i/>
          <w:sz w:val="20"/>
          <w:szCs w:val="20"/>
        </w:rPr>
      </w:pPr>
      <w:r w:rsidRPr="00A9211F">
        <w:rPr>
          <w:rFonts w:asciiTheme="majorBidi" w:hAnsiTheme="majorBidi" w:cstheme="majorBidi"/>
          <w:i/>
          <w:sz w:val="20"/>
          <w:szCs w:val="20"/>
        </w:rPr>
        <w:t>OCEI decisions on t</w:t>
      </w:r>
      <w:r w:rsidR="0018721E" w:rsidRPr="00A9211F">
        <w:rPr>
          <w:rFonts w:asciiTheme="majorBidi" w:hAnsiTheme="majorBidi" w:cstheme="majorBidi"/>
          <w:i/>
          <w:sz w:val="20"/>
          <w:szCs w:val="20"/>
        </w:rPr>
        <w:t>hreshold jurisdictional issues</w:t>
      </w:r>
    </w:p>
    <w:p w14:paraId="77D8695B" w14:textId="77777777" w:rsidR="0018721E" w:rsidRPr="00A9211F" w:rsidRDefault="0018721E" w:rsidP="00EA5C8B">
      <w:pPr>
        <w:tabs>
          <w:tab w:val="left" w:pos="1701"/>
        </w:tabs>
        <w:jc w:val="both"/>
        <w:rPr>
          <w:rFonts w:asciiTheme="majorBidi" w:hAnsiTheme="majorBidi" w:cstheme="majorBidi"/>
          <w:sz w:val="20"/>
          <w:szCs w:val="20"/>
        </w:rPr>
      </w:pPr>
    </w:p>
    <w:p w14:paraId="444EBBBF" w14:textId="58C382AC"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communicant challenges the OCEI’s practice of making preliminary decisions on “threshold jurisdictional issues” (see para. </w:t>
      </w:r>
      <w:r w:rsidR="00F11E92" w:rsidRPr="00A9211F">
        <w:rPr>
          <w:rFonts w:asciiTheme="majorBidi" w:hAnsiTheme="majorBidi" w:cstheme="majorBidi"/>
          <w:sz w:val="20"/>
          <w:szCs w:val="20"/>
          <w:lang w:val="en-GB"/>
        </w:rPr>
        <w:fldChar w:fldCharType="begin"/>
      </w:r>
      <w:r w:rsidR="00F11E92" w:rsidRPr="00A9211F">
        <w:rPr>
          <w:rFonts w:asciiTheme="majorBidi" w:hAnsiTheme="majorBidi" w:cstheme="majorBidi"/>
          <w:sz w:val="20"/>
          <w:szCs w:val="20"/>
          <w:lang w:val="en-GB"/>
        </w:rPr>
        <w:instrText xml:space="preserve"> REF _Ref40016618 \r \h </w:instrText>
      </w:r>
      <w:r w:rsidR="00E442C4" w:rsidRPr="00A9211F">
        <w:rPr>
          <w:rFonts w:asciiTheme="majorBidi" w:hAnsiTheme="majorBidi" w:cstheme="majorBidi"/>
          <w:sz w:val="20"/>
          <w:szCs w:val="20"/>
          <w:lang w:val="en-GB"/>
        </w:rPr>
        <w:instrText xml:space="preserve"> \* MERGEFORMAT </w:instrText>
      </w:r>
      <w:r w:rsidR="00F11E92" w:rsidRPr="00A9211F">
        <w:rPr>
          <w:rFonts w:asciiTheme="majorBidi" w:hAnsiTheme="majorBidi" w:cstheme="majorBidi"/>
          <w:sz w:val="20"/>
          <w:szCs w:val="20"/>
          <w:lang w:val="en-GB"/>
        </w:rPr>
      </w:r>
      <w:r w:rsidR="00F11E92"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49</w:t>
      </w:r>
      <w:r w:rsidR="00F11E92" w:rsidRPr="00A9211F">
        <w:rPr>
          <w:rFonts w:asciiTheme="majorBidi" w:hAnsiTheme="majorBidi" w:cstheme="majorBidi"/>
          <w:sz w:val="20"/>
          <w:szCs w:val="20"/>
          <w:lang w:val="en-GB"/>
        </w:rPr>
        <w:fldChar w:fldCharType="end"/>
      </w:r>
      <w:r w:rsidRPr="00A9211F">
        <w:rPr>
          <w:rFonts w:asciiTheme="majorBidi" w:hAnsiTheme="majorBidi" w:cstheme="majorBidi"/>
          <w:sz w:val="20"/>
          <w:szCs w:val="20"/>
          <w:lang w:val="en-GB"/>
        </w:rPr>
        <w:t xml:space="preserve"> above). The communicant states that because of this practice two or three rounds </w:t>
      </w:r>
      <w:r w:rsidR="001C05DF" w:rsidRPr="00A9211F">
        <w:rPr>
          <w:rFonts w:asciiTheme="majorBidi" w:hAnsiTheme="majorBidi" w:cstheme="majorBidi"/>
          <w:sz w:val="20"/>
          <w:szCs w:val="20"/>
          <w:lang w:val="en-GB"/>
        </w:rPr>
        <w:t xml:space="preserve">of decision-making </w:t>
      </w:r>
      <w:r w:rsidR="00570FEB" w:rsidRPr="00A9211F">
        <w:rPr>
          <w:rFonts w:asciiTheme="majorBidi" w:hAnsiTheme="majorBidi"/>
          <w:sz w:val="20"/>
          <w:lang w:val="en-GB"/>
        </w:rPr>
        <w:t>may be</w:t>
      </w:r>
      <w:r w:rsidR="001C05DF" w:rsidRPr="00A9211F">
        <w:rPr>
          <w:rFonts w:asciiTheme="majorBidi" w:hAnsiTheme="majorBidi" w:cstheme="majorBidi"/>
          <w:sz w:val="20"/>
          <w:szCs w:val="20"/>
          <w:lang w:val="en-GB"/>
        </w:rPr>
        <w:t xml:space="preserve"> required before </w:t>
      </w:r>
      <w:r w:rsidRPr="00A9211F">
        <w:rPr>
          <w:rFonts w:asciiTheme="majorBidi" w:hAnsiTheme="majorBidi" w:cstheme="majorBidi"/>
          <w:sz w:val="20"/>
          <w:szCs w:val="20"/>
          <w:lang w:val="en-GB"/>
        </w:rPr>
        <w:t xml:space="preserve">a final decision </w:t>
      </w:r>
      <w:r w:rsidR="00570FEB" w:rsidRPr="00A9211F">
        <w:rPr>
          <w:rFonts w:asciiTheme="majorBidi" w:hAnsiTheme="majorBidi"/>
          <w:sz w:val="20"/>
          <w:lang w:val="en-GB"/>
        </w:rPr>
        <w:t>on the information request</w:t>
      </w:r>
      <w:r w:rsidR="00570FEB" w:rsidRPr="00A9211F">
        <w:rPr>
          <w:rFonts w:asciiTheme="majorBidi" w:hAnsiTheme="majorBidi" w:cstheme="majorBidi"/>
          <w:sz w:val="20"/>
          <w:szCs w:val="20"/>
          <w:lang w:val="en-GB"/>
        </w:rPr>
        <w:t xml:space="preserve"> </w:t>
      </w:r>
      <w:r w:rsidR="001C05DF" w:rsidRPr="00A9211F">
        <w:rPr>
          <w:rFonts w:asciiTheme="majorBidi" w:hAnsiTheme="majorBidi" w:cstheme="majorBidi"/>
          <w:sz w:val="20"/>
          <w:szCs w:val="20"/>
          <w:lang w:val="en-GB"/>
        </w:rPr>
        <w:t xml:space="preserve">is </w:t>
      </w:r>
      <w:r w:rsidRPr="00A9211F">
        <w:rPr>
          <w:rFonts w:asciiTheme="majorBidi" w:hAnsiTheme="majorBidi" w:cstheme="majorBidi"/>
          <w:sz w:val="20"/>
          <w:szCs w:val="20"/>
          <w:lang w:val="en-GB"/>
        </w:rPr>
        <w:t>reached.</w:t>
      </w:r>
      <w:r w:rsidRPr="00A9211F">
        <w:rPr>
          <w:rFonts w:asciiTheme="majorBidi" w:hAnsiTheme="majorBidi" w:cstheme="majorBidi"/>
          <w:sz w:val="18"/>
          <w:vertAlign w:val="superscript"/>
          <w:lang w:val="en-GB"/>
        </w:rPr>
        <w:footnoteReference w:id="67"/>
      </w:r>
      <w:r w:rsidRPr="00A9211F">
        <w:rPr>
          <w:rFonts w:asciiTheme="majorBidi" w:hAnsiTheme="majorBidi" w:cstheme="majorBidi"/>
          <w:sz w:val="20"/>
          <w:szCs w:val="20"/>
          <w:vertAlign w:val="superscript"/>
          <w:lang w:val="en-GB"/>
        </w:rPr>
        <w:t xml:space="preserve"> </w:t>
      </w:r>
      <w:r w:rsidRPr="00A9211F">
        <w:rPr>
          <w:rFonts w:asciiTheme="majorBidi" w:hAnsiTheme="majorBidi" w:cstheme="majorBidi"/>
          <w:sz w:val="20"/>
          <w:szCs w:val="20"/>
          <w:lang w:val="en-GB"/>
        </w:rPr>
        <w:t xml:space="preserve">The communicant highlights the High Court’s statement in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 that refusals on jurisdictional grounds have the effect of neutralizing requests.</w:t>
      </w:r>
      <w:r w:rsidRPr="00A9211F">
        <w:rPr>
          <w:rStyle w:val="FootnoteReference"/>
          <w:rFonts w:asciiTheme="majorBidi" w:hAnsiTheme="majorBidi" w:cstheme="majorBidi"/>
          <w:szCs w:val="20"/>
          <w:lang w:val="en-GB"/>
        </w:rPr>
        <w:t xml:space="preserve"> </w:t>
      </w:r>
      <w:r w:rsidRPr="00A9211F">
        <w:rPr>
          <w:rFonts w:asciiTheme="majorBidi" w:hAnsiTheme="majorBidi" w:cstheme="majorBidi"/>
          <w:sz w:val="20"/>
          <w:szCs w:val="20"/>
          <w:lang w:val="en-GB"/>
        </w:rPr>
        <w:t xml:space="preserve">The communicant contends that, despite this judgment, the OCEI continues to make decisions on jurisdictional grounds and to remit requests to public authorities, thereby neutralizing requests. </w:t>
      </w:r>
    </w:p>
    <w:p w14:paraId="1B85799D" w14:textId="77777777" w:rsidR="0018721E" w:rsidRPr="00A9211F" w:rsidRDefault="0018721E" w:rsidP="00EA5C8B">
      <w:pPr>
        <w:tabs>
          <w:tab w:val="left" w:pos="1701"/>
        </w:tabs>
        <w:jc w:val="both"/>
        <w:rPr>
          <w:rFonts w:asciiTheme="majorBidi" w:hAnsiTheme="majorBidi" w:cstheme="majorBidi"/>
          <w:sz w:val="20"/>
          <w:szCs w:val="20"/>
        </w:rPr>
      </w:pPr>
    </w:p>
    <w:p w14:paraId="6A972CBC" w14:textId="410E17D1"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Party concerned asserts that the Convention </w:t>
      </w:r>
      <w:r w:rsidR="00D8118C" w:rsidRPr="00A9211F">
        <w:rPr>
          <w:rFonts w:asciiTheme="majorBidi" w:hAnsiTheme="majorBidi" w:cstheme="majorBidi"/>
          <w:sz w:val="20"/>
          <w:szCs w:val="20"/>
          <w:lang w:val="en-GB"/>
        </w:rPr>
        <w:t>impos</w:t>
      </w:r>
      <w:r w:rsidRPr="00A9211F">
        <w:rPr>
          <w:rFonts w:asciiTheme="majorBidi" w:hAnsiTheme="majorBidi" w:cstheme="majorBidi"/>
          <w:sz w:val="20"/>
          <w:szCs w:val="20"/>
          <w:lang w:val="en-GB"/>
        </w:rPr>
        <w:t xml:space="preserve">es no requirement on the OCEI to review an information request’s substantive merits where </w:t>
      </w:r>
      <w:r w:rsidR="00A71953" w:rsidRPr="00A9211F">
        <w:rPr>
          <w:rFonts w:asciiTheme="majorBidi" w:hAnsiTheme="majorBidi" w:cstheme="majorBidi"/>
          <w:sz w:val="20"/>
          <w:szCs w:val="20"/>
          <w:lang w:val="en-GB"/>
        </w:rPr>
        <w:t>the request</w:t>
      </w:r>
      <w:r w:rsidRPr="00A9211F">
        <w:rPr>
          <w:rFonts w:asciiTheme="majorBidi" w:hAnsiTheme="majorBidi" w:cstheme="majorBidi"/>
          <w:sz w:val="20"/>
          <w:szCs w:val="20"/>
          <w:lang w:val="en-GB"/>
        </w:rPr>
        <w:t xml:space="preserve"> has been determined to fall outside the scope of the Convention and the AIE Regulations.</w:t>
      </w:r>
      <w:r w:rsidRPr="00A9211F">
        <w:rPr>
          <w:rStyle w:val="FootnoteReference"/>
          <w:rFonts w:asciiTheme="majorBidi" w:hAnsiTheme="majorBidi" w:cstheme="majorBidi"/>
          <w:szCs w:val="20"/>
          <w:lang w:val="en-GB"/>
        </w:rPr>
        <w:footnoteReference w:id="68"/>
      </w:r>
      <w:r w:rsidRPr="00A9211F">
        <w:rPr>
          <w:rFonts w:asciiTheme="majorBidi" w:hAnsiTheme="majorBidi" w:cstheme="majorBidi"/>
          <w:sz w:val="20"/>
          <w:szCs w:val="20"/>
          <w:lang w:val="en-GB"/>
        </w:rPr>
        <w:t xml:space="preserve"> Moreover, the communicant has not identified an article of the Convention allegedly breached by the OCEI’s approach.</w:t>
      </w:r>
      <w:r w:rsidRPr="00A9211F">
        <w:rPr>
          <w:rStyle w:val="FootnoteReference"/>
          <w:rFonts w:asciiTheme="majorBidi" w:hAnsiTheme="majorBidi" w:cstheme="majorBidi"/>
          <w:szCs w:val="20"/>
          <w:lang w:val="en-GB"/>
        </w:rPr>
        <w:footnoteReference w:id="69"/>
      </w:r>
      <w:r w:rsidRPr="00A9211F">
        <w:rPr>
          <w:rFonts w:asciiTheme="majorBidi" w:hAnsiTheme="majorBidi" w:cstheme="majorBidi"/>
          <w:sz w:val="20"/>
          <w:szCs w:val="20"/>
          <w:lang w:val="en-GB"/>
        </w:rPr>
        <w:t xml:space="preserve"> </w:t>
      </w:r>
    </w:p>
    <w:p w14:paraId="449C2B0C" w14:textId="77777777" w:rsidR="0018721E" w:rsidRPr="00A9211F" w:rsidRDefault="0018721E" w:rsidP="00EA5C8B">
      <w:pPr>
        <w:tabs>
          <w:tab w:val="left" w:pos="1701"/>
        </w:tabs>
        <w:jc w:val="both"/>
        <w:rPr>
          <w:rFonts w:asciiTheme="majorBidi" w:hAnsiTheme="majorBidi" w:cstheme="majorBidi"/>
          <w:sz w:val="20"/>
          <w:szCs w:val="20"/>
        </w:rPr>
      </w:pPr>
    </w:p>
    <w:p w14:paraId="362C43C7" w14:textId="61AF6D6D"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Furthermore, the Party concerned disputes the communicant’s interpretation of the High Court’s comments in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 It states that the Court’s comments were made in the </w:t>
      </w:r>
      <w:r w:rsidR="008D4490" w:rsidRPr="00A9211F">
        <w:rPr>
          <w:rFonts w:asciiTheme="majorBidi" w:hAnsiTheme="majorBidi" w:cstheme="majorBidi"/>
          <w:sz w:val="20"/>
          <w:szCs w:val="20"/>
          <w:lang w:val="en-GB"/>
        </w:rPr>
        <w:t xml:space="preserve">particular </w:t>
      </w:r>
      <w:r w:rsidRPr="00A9211F">
        <w:rPr>
          <w:rFonts w:asciiTheme="majorBidi" w:hAnsiTheme="majorBidi" w:cstheme="majorBidi"/>
          <w:sz w:val="20"/>
          <w:szCs w:val="20"/>
          <w:lang w:val="en-GB"/>
        </w:rPr>
        <w:t xml:space="preserve">context of </w:t>
      </w:r>
      <w:r w:rsidR="008D4490" w:rsidRPr="00A9211F">
        <w:rPr>
          <w:rFonts w:asciiTheme="majorBidi" w:hAnsiTheme="majorBidi" w:cstheme="majorBidi"/>
          <w:sz w:val="20"/>
          <w:szCs w:val="20"/>
          <w:lang w:val="en-GB"/>
        </w:rPr>
        <w:t xml:space="preserve">its decision refusing NAMA’s </w:t>
      </w:r>
      <w:r w:rsidRPr="00A9211F">
        <w:rPr>
          <w:rFonts w:asciiTheme="majorBidi" w:hAnsiTheme="majorBidi" w:cstheme="majorBidi"/>
          <w:sz w:val="20"/>
          <w:szCs w:val="20"/>
          <w:lang w:val="en-GB"/>
        </w:rPr>
        <w:t xml:space="preserve">petition for an interim stay. </w:t>
      </w:r>
      <w:r w:rsidR="008D4490" w:rsidRPr="00A9211F">
        <w:rPr>
          <w:rFonts w:asciiTheme="majorBidi" w:hAnsiTheme="majorBidi" w:cstheme="majorBidi"/>
          <w:sz w:val="20"/>
          <w:szCs w:val="20"/>
          <w:lang w:val="en-GB"/>
        </w:rPr>
        <w:t>Upon its refusal of the stay</w:t>
      </w:r>
      <w:r w:rsidRPr="00A9211F">
        <w:rPr>
          <w:rFonts w:asciiTheme="majorBidi" w:hAnsiTheme="majorBidi" w:cstheme="majorBidi"/>
          <w:sz w:val="20"/>
          <w:szCs w:val="20"/>
          <w:lang w:val="en-GB"/>
        </w:rPr>
        <w:t xml:space="preserve">, </w:t>
      </w:r>
      <w:r w:rsidR="008D4490" w:rsidRPr="00A9211F">
        <w:rPr>
          <w:rFonts w:asciiTheme="majorBidi" w:hAnsiTheme="majorBidi" w:cstheme="majorBidi"/>
          <w:sz w:val="20"/>
          <w:szCs w:val="20"/>
          <w:lang w:val="en-GB"/>
        </w:rPr>
        <w:t>s</w:t>
      </w:r>
      <w:r w:rsidRPr="00A9211F">
        <w:rPr>
          <w:rFonts w:asciiTheme="majorBidi" w:hAnsiTheme="majorBidi" w:cstheme="majorBidi"/>
          <w:sz w:val="20"/>
          <w:szCs w:val="20"/>
          <w:lang w:val="en-GB"/>
        </w:rPr>
        <w:t xml:space="preserve">ince </w:t>
      </w:r>
      <w:r w:rsidR="008D4490" w:rsidRPr="00A9211F">
        <w:rPr>
          <w:rFonts w:asciiTheme="majorBidi" w:hAnsiTheme="majorBidi" w:cstheme="majorBidi"/>
          <w:sz w:val="20"/>
          <w:szCs w:val="20"/>
          <w:lang w:val="en-GB"/>
        </w:rPr>
        <w:t xml:space="preserve">the Court </w:t>
      </w:r>
      <w:r w:rsidRPr="00A9211F">
        <w:rPr>
          <w:rFonts w:asciiTheme="majorBidi" w:hAnsiTheme="majorBidi" w:cstheme="majorBidi"/>
          <w:sz w:val="20"/>
          <w:szCs w:val="20"/>
          <w:lang w:val="en-GB"/>
        </w:rPr>
        <w:t xml:space="preserve">had determined that NAMA was a public authority </w:t>
      </w:r>
      <w:r w:rsidR="008D4490" w:rsidRPr="00A9211F">
        <w:rPr>
          <w:rFonts w:asciiTheme="majorBidi" w:hAnsiTheme="majorBidi" w:cstheme="majorBidi"/>
          <w:sz w:val="20"/>
          <w:szCs w:val="20"/>
          <w:lang w:val="en-GB"/>
        </w:rPr>
        <w:t>under</w:t>
      </w:r>
      <w:r w:rsidRPr="00A9211F">
        <w:rPr>
          <w:rFonts w:asciiTheme="majorBidi" w:hAnsiTheme="majorBidi" w:cstheme="majorBidi"/>
          <w:sz w:val="20"/>
          <w:szCs w:val="20"/>
          <w:lang w:val="en-GB"/>
        </w:rPr>
        <w:t xml:space="preserve"> the AIE Regulations, NAMA should be required to </w:t>
      </w:r>
      <w:r w:rsidR="008D4490" w:rsidRPr="00A9211F">
        <w:rPr>
          <w:rFonts w:asciiTheme="majorBidi" w:hAnsiTheme="majorBidi" w:cstheme="majorBidi"/>
          <w:sz w:val="20"/>
          <w:szCs w:val="20"/>
          <w:lang w:val="en-GB"/>
        </w:rPr>
        <w:t xml:space="preserve">proceed to </w:t>
      </w:r>
      <w:r w:rsidRPr="00A9211F">
        <w:rPr>
          <w:rFonts w:asciiTheme="majorBidi" w:hAnsiTheme="majorBidi" w:cstheme="majorBidi"/>
          <w:sz w:val="20"/>
          <w:szCs w:val="20"/>
          <w:lang w:val="en-GB"/>
        </w:rPr>
        <w:t>consider whether the information was “environmental information”.</w:t>
      </w:r>
      <w:r w:rsidRPr="00A9211F">
        <w:rPr>
          <w:rStyle w:val="FootnoteReference"/>
          <w:rFonts w:asciiTheme="majorBidi" w:hAnsiTheme="majorBidi" w:cstheme="majorBidi"/>
          <w:szCs w:val="20"/>
          <w:lang w:val="en-GB"/>
        </w:rPr>
        <w:footnoteReference w:id="70"/>
      </w:r>
      <w:r w:rsidRPr="00A9211F">
        <w:rPr>
          <w:rFonts w:asciiTheme="majorBidi" w:hAnsiTheme="majorBidi" w:cstheme="majorBidi"/>
          <w:sz w:val="20"/>
          <w:szCs w:val="20"/>
          <w:lang w:val="en-GB"/>
        </w:rPr>
        <w:t xml:space="preserve">   </w:t>
      </w:r>
    </w:p>
    <w:p w14:paraId="5B30E9A8" w14:textId="77777777" w:rsidR="0018721E" w:rsidRPr="00A9211F" w:rsidRDefault="0018721E" w:rsidP="00EA5C8B">
      <w:pPr>
        <w:tabs>
          <w:tab w:val="left" w:pos="1701"/>
        </w:tabs>
        <w:jc w:val="both"/>
        <w:rPr>
          <w:rFonts w:asciiTheme="majorBidi" w:hAnsiTheme="majorBidi" w:cstheme="majorBidi"/>
          <w:sz w:val="20"/>
          <w:szCs w:val="20"/>
        </w:rPr>
      </w:pPr>
    </w:p>
    <w:p w14:paraId="7E80ACFE" w14:textId="77777777" w:rsidR="0018721E" w:rsidRPr="00A9211F" w:rsidRDefault="0018721E" w:rsidP="00EA5C8B">
      <w:pPr>
        <w:pStyle w:val="ListParagraph"/>
        <w:tabs>
          <w:tab w:val="left" w:pos="1701"/>
        </w:tabs>
        <w:spacing w:after="120" w:line="240" w:lineRule="atLeast"/>
        <w:ind w:left="1094"/>
        <w:contextualSpacing w:val="0"/>
        <w:jc w:val="both"/>
        <w:outlineLvl w:val="0"/>
        <w:rPr>
          <w:rFonts w:asciiTheme="majorBidi" w:hAnsiTheme="majorBidi" w:cstheme="majorBidi"/>
          <w:i/>
          <w:sz w:val="20"/>
          <w:szCs w:val="20"/>
          <w:lang w:val="en-GB"/>
        </w:rPr>
      </w:pPr>
      <w:r w:rsidRPr="00A9211F">
        <w:rPr>
          <w:rFonts w:asciiTheme="majorBidi" w:hAnsiTheme="majorBidi" w:cstheme="majorBidi"/>
          <w:i/>
          <w:sz w:val="20"/>
          <w:szCs w:val="20"/>
          <w:lang w:val="en-GB"/>
        </w:rPr>
        <w:t>Appeals to the High Court on a point of law alone</w:t>
      </w:r>
    </w:p>
    <w:p w14:paraId="297979BF" w14:textId="54B4874A"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communicant claims that an appeal to the High Court of an OCEI decision is limited to reviewing the OCEI’s interpretation of the law and not the acts or omissions of the public authority concerned. </w:t>
      </w:r>
      <w:r w:rsidRPr="00A9211F">
        <w:rPr>
          <w:rFonts w:asciiTheme="majorBidi" w:hAnsiTheme="majorBidi" w:cstheme="majorBidi"/>
          <w:lang w:val="en-GB"/>
        </w:rPr>
        <w:t xml:space="preserve"> </w:t>
      </w:r>
      <w:r w:rsidR="00591866" w:rsidRPr="00A9211F">
        <w:rPr>
          <w:rFonts w:asciiTheme="majorBidi" w:hAnsiTheme="majorBidi" w:cstheme="majorBidi"/>
          <w:sz w:val="20"/>
          <w:szCs w:val="20"/>
          <w:lang w:val="en-GB"/>
        </w:rPr>
        <w:t xml:space="preserve">Accordingly, </w:t>
      </w:r>
      <w:r w:rsidRPr="00A9211F">
        <w:rPr>
          <w:rFonts w:asciiTheme="majorBidi" w:hAnsiTheme="majorBidi" w:cstheme="majorBidi"/>
          <w:sz w:val="20"/>
          <w:lang w:val="en-GB"/>
        </w:rPr>
        <w:t xml:space="preserve">the usual outcome is either </w:t>
      </w:r>
      <w:r w:rsidRPr="00A9211F">
        <w:rPr>
          <w:rFonts w:asciiTheme="majorBidi" w:hAnsiTheme="majorBidi" w:cstheme="majorBidi"/>
          <w:sz w:val="20"/>
          <w:szCs w:val="20"/>
          <w:lang w:val="en-GB"/>
        </w:rPr>
        <w:t>the</w:t>
      </w:r>
      <w:r w:rsidRPr="00A9211F">
        <w:rPr>
          <w:rFonts w:asciiTheme="majorBidi" w:hAnsiTheme="majorBidi" w:cstheme="majorBidi"/>
          <w:sz w:val="20"/>
          <w:lang w:val="en-GB"/>
        </w:rPr>
        <w:t xml:space="preserve"> refusal </w:t>
      </w:r>
      <w:r w:rsidRPr="00A9211F">
        <w:rPr>
          <w:rFonts w:asciiTheme="majorBidi" w:hAnsiTheme="majorBidi" w:cstheme="majorBidi"/>
          <w:sz w:val="20"/>
          <w:szCs w:val="20"/>
          <w:lang w:val="en-GB"/>
        </w:rPr>
        <w:t>is</w:t>
      </w:r>
      <w:r w:rsidRPr="00A9211F">
        <w:rPr>
          <w:rFonts w:asciiTheme="majorBidi" w:hAnsiTheme="majorBidi" w:cstheme="majorBidi"/>
          <w:sz w:val="20"/>
          <w:lang w:val="en-GB"/>
        </w:rPr>
        <w:t xml:space="preserve"> upheld or an order remitting the matter to the </w:t>
      </w:r>
      <w:r w:rsidRPr="00A9211F">
        <w:rPr>
          <w:rFonts w:asciiTheme="majorBidi" w:hAnsiTheme="majorBidi" w:cstheme="majorBidi"/>
          <w:sz w:val="20"/>
          <w:szCs w:val="20"/>
          <w:lang w:val="en-GB"/>
        </w:rPr>
        <w:t>OCEI</w:t>
      </w:r>
      <w:r w:rsidRPr="00A9211F">
        <w:rPr>
          <w:rFonts w:asciiTheme="majorBidi" w:hAnsiTheme="majorBidi" w:cstheme="majorBidi"/>
          <w:sz w:val="20"/>
          <w:lang w:val="en-GB"/>
        </w:rPr>
        <w:t xml:space="preserve"> for further consideration. </w:t>
      </w:r>
      <w:r w:rsidRPr="00A9211F">
        <w:rPr>
          <w:rFonts w:asciiTheme="majorBidi" w:hAnsiTheme="majorBidi" w:cstheme="majorBidi"/>
          <w:sz w:val="20"/>
          <w:szCs w:val="20"/>
          <w:lang w:val="en-GB"/>
        </w:rPr>
        <w:t>Thereafter,</w:t>
      </w:r>
      <w:r w:rsidRPr="00A9211F">
        <w:rPr>
          <w:rFonts w:asciiTheme="majorBidi" w:hAnsiTheme="majorBidi" w:cstheme="majorBidi"/>
          <w:sz w:val="20"/>
          <w:lang w:val="en-GB"/>
        </w:rPr>
        <w:t xml:space="preserve"> the </w:t>
      </w:r>
      <w:r w:rsidRPr="00A9211F">
        <w:rPr>
          <w:rFonts w:asciiTheme="majorBidi" w:hAnsiTheme="majorBidi" w:cstheme="majorBidi"/>
          <w:sz w:val="20"/>
          <w:szCs w:val="20"/>
          <w:lang w:val="en-GB"/>
        </w:rPr>
        <w:t>OCEI may</w:t>
      </w:r>
      <w:r w:rsidRPr="00A9211F">
        <w:rPr>
          <w:rFonts w:asciiTheme="majorBidi" w:hAnsiTheme="majorBidi" w:cstheme="majorBidi"/>
          <w:sz w:val="20"/>
          <w:lang w:val="en-GB"/>
        </w:rPr>
        <w:t xml:space="preserve"> also remit the matter to the public authority for further consideration.</w:t>
      </w:r>
      <w:r w:rsidRPr="00A9211F">
        <w:rPr>
          <w:rStyle w:val="FootnoteReference"/>
          <w:rFonts w:asciiTheme="majorBidi" w:hAnsiTheme="majorBidi" w:cstheme="majorBidi"/>
          <w:lang w:val="en-GB"/>
        </w:rPr>
        <w:footnoteReference w:id="71"/>
      </w:r>
    </w:p>
    <w:p w14:paraId="34405666" w14:textId="77777777" w:rsidR="0018721E" w:rsidRPr="00A9211F" w:rsidRDefault="0018721E" w:rsidP="00EA5C8B">
      <w:pPr>
        <w:tabs>
          <w:tab w:val="left" w:pos="1701"/>
        </w:tabs>
        <w:jc w:val="both"/>
        <w:rPr>
          <w:rFonts w:asciiTheme="majorBidi" w:hAnsiTheme="majorBidi" w:cstheme="majorBidi"/>
          <w:sz w:val="20"/>
          <w:szCs w:val="20"/>
        </w:rPr>
      </w:pPr>
    </w:p>
    <w:p w14:paraId="233F61DF" w14:textId="2CB6FDF9"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Party concerned </w:t>
      </w:r>
      <w:r w:rsidR="00D145A9" w:rsidRPr="00A9211F">
        <w:rPr>
          <w:rFonts w:asciiTheme="majorBidi" w:hAnsiTheme="majorBidi" w:cstheme="majorBidi"/>
          <w:sz w:val="20"/>
          <w:szCs w:val="20"/>
          <w:lang w:val="en-GB"/>
        </w:rPr>
        <w:t>contests</w:t>
      </w:r>
      <w:r w:rsidRPr="00A9211F">
        <w:rPr>
          <w:rFonts w:asciiTheme="majorBidi" w:hAnsiTheme="majorBidi" w:cstheme="majorBidi"/>
          <w:sz w:val="20"/>
          <w:szCs w:val="20"/>
          <w:lang w:val="en-GB"/>
        </w:rPr>
        <w:t xml:space="preserve"> the argument that the nature of the review provided by a statutory appeal on a point of law is in breach of the Convention. Article 9 of the Convention only mandates that there be access to a “review procedure” but does not lay down the standard of review.</w:t>
      </w:r>
      <w:r w:rsidRPr="00A9211F">
        <w:rPr>
          <w:rStyle w:val="FootnoteReference"/>
          <w:rFonts w:asciiTheme="majorBidi" w:hAnsiTheme="majorBidi" w:cstheme="majorBidi"/>
          <w:szCs w:val="20"/>
          <w:lang w:val="en-GB"/>
        </w:rPr>
        <w:footnoteReference w:id="72"/>
      </w:r>
      <w:r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lastRenderedPageBreak/>
        <w:t>Thus, article 9 does not require courts to have jurisdiction to consider both factual and legal aspects of an appeal in circumstances where such “full” jurisdiction is vested in an administrative body created for the purpose reviewing cases concerning requests for environmental information.</w:t>
      </w:r>
      <w:r w:rsidRPr="00A9211F">
        <w:rPr>
          <w:rStyle w:val="FootnoteReference"/>
          <w:rFonts w:asciiTheme="majorBidi" w:hAnsiTheme="majorBidi" w:cstheme="majorBidi"/>
          <w:szCs w:val="20"/>
          <w:lang w:val="en-GB"/>
        </w:rPr>
        <w:footnoteReference w:id="73"/>
      </w:r>
      <w:r w:rsidRPr="00A9211F">
        <w:rPr>
          <w:rFonts w:asciiTheme="majorBidi" w:hAnsiTheme="majorBidi" w:cstheme="majorBidi"/>
          <w:sz w:val="20"/>
          <w:szCs w:val="20"/>
          <w:lang w:val="en-GB"/>
        </w:rPr>
        <w:t xml:space="preserve"> </w:t>
      </w:r>
      <w:r w:rsidRPr="00A9211F">
        <w:rPr>
          <w:rFonts w:asciiTheme="majorBidi" w:hAnsiTheme="majorBidi" w:cstheme="majorBidi"/>
          <w:sz w:val="20"/>
          <w:lang w:val="en-GB"/>
        </w:rPr>
        <w:t xml:space="preserve">Accordingly, </w:t>
      </w:r>
      <w:r w:rsidRPr="00A9211F">
        <w:rPr>
          <w:rFonts w:asciiTheme="majorBidi" w:hAnsiTheme="majorBidi" w:cstheme="majorBidi"/>
          <w:sz w:val="20"/>
          <w:szCs w:val="20"/>
          <w:lang w:val="en-GB"/>
        </w:rPr>
        <w:t xml:space="preserve">the review procedure established by the AIE Regulations complies with the requirements of the Convention. </w:t>
      </w:r>
    </w:p>
    <w:p w14:paraId="519A612E" w14:textId="77777777" w:rsidR="0018721E" w:rsidRPr="00A9211F" w:rsidRDefault="0018721E" w:rsidP="00A9211F">
      <w:pPr>
        <w:tabs>
          <w:tab w:val="left" w:pos="1701"/>
        </w:tabs>
        <w:jc w:val="both"/>
        <w:rPr>
          <w:rFonts w:asciiTheme="majorBidi" w:hAnsiTheme="majorBidi"/>
          <w:sz w:val="20"/>
        </w:rPr>
      </w:pPr>
    </w:p>
    <w:p w14:paraId="44597C74" w14:textId="58757D4A" w:rsidR="0018721E" w:rsidRPr="00A9211F" w:rsidRDefault="0018721E" w:rsidP="00EA5C8B">
      <w:pPr>
        <w:tabs>
          <w:tab w:val="left" w:pos="1701"/>
        </w:tabs>
        <w:spacing w:after="120" w:line="240" w:lineRule="atLeast"/>
        <w:ind w:left="1094"/>
        <w:jc w:val="both"/>
        <w:outlineLvl w:val="0"/>
        <w:rPr>
          <w:rFonts w:asciiTheme="majorBidi" w:hAnsiTheme="majorBidi" w:cstheme="majorBidi"/>
          <w:b/>
          <w:sz w:val="20"/>
          <w:szCs w:val="20"/>
        </w:rPr>
      </w:pPr>
      <w:r w:rsidRPr="00A9211F">
        <w:rPr>
          <w:rFonts w:asciiTheme="majorBidi" w:hAnsiTheme="majorBidi" w:cstheme="majorBidi"/>
          <w:b/>
          <w:sz w:val="20"/>
          <w:szCs w:val="20"/>
        </w:rPr>
        <w:t>Article 9(4)</w:t>
      </w:r>
      <w:r w:rsidR="00581629" w:rsidRPr="00A9211F">
        <w:rPr>
          <w:rFonts w:asciiTheme="majorBidi" w:hAnsiTheme="majorBidi" w:cstheme="majorBidi"/>
          <w:b/>
          <w:sz w:val="20"/>
          <w:szCs w:val="20"/>
        </w:rPr>
        <w:t xml:space="preserve"> – timely </w:t>
      </w:r>
    </w:p>
    <w:p w14:paraId="2EC4509E" w14:textId="337893CF"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communicant submits that, taken as a whole, </w:t>
      </w:r>
      <w:r w:rsidR="00E6550A" w:rsidRPr="00A9211F">
        <w:rPr>
          <w:rFonts w:asciiTheme="majorBidi" w:hAnsiTheme="majorBidi" w:cstheme="majorBidi"/>
          <w:sz w:val="20"/>
          <w:szCs w:val="20"/>
          <w:lang w:val="en-GB"/>
        </w:rPr>
        <w:t xml:space="preserve">the review </w:t>
      </w:r>
      <w:r w:rsidRPr="00A9211F">
        <w:rPr>
          <w:rFonts w:asciiTheme="majorBidi" w:hAnsiTheme="majorBidi" w:cstheme="majorBidi"/>
          <w:sz w:val="20"/>
          <w:szCs w:val="20"/>
          <w:lang w:val="en-GB"/>
        </w:rPr>
        <w:t xml:space="preserve">of refusals to provide access to environmental information in the Party concerned </w:t>
      </w:r>
      <w:r w:rsidR="00EA5B14" w:rsidRPr="00A9211F">
        <w:rPr>
          <w:rFonts w:asciiTheme="majorBidi" w:hAnsiTheme="majorBidi" w:cstheme="majorBidi"/>
          <w:sz w:val="20"/>
          <w:szCs w:val="20"/>
          <w:lang w:val="en-GB"/>
        </w:rPr>
        <w:t xml:space="preserve">is </w:t>
      </w:r>
      <w:r w:rsidRPr="00A9211F">
        <w:rPr>
          <w:rFonts w:asciiTheme="majorBidi" w:hAnsiTheme="majorBidi" w:cstheme="majorBidi"/>
          <w:sz w:val="20"/>
          <w:szCs w:val="20"/>
          <w:lang w:val="en-GB"/>
        </w:rPr>
        <w:t>not timely</w:t>
      </w:r>
      <w:r w:rsidR="00E6550A" w:rsidRPr="00A9211F">
        <w:rPr>
          <w:rFonts w:asciiTheme="majorBidi" w:hAnsiTheme="majorBidi" w:cstheme="majorBidi"/>
          <w:sz w:val="20"/>
          <w:szCs w:val="20"/>
          <w:lang w:val="en-GB"/>
        </w:rPr>
        <w:t xml:space="preserve"> as required by</w:t>
      </w:r>
      <w:r w:rsidRPr="00A9211F">
        <w:rPr>
          <w:rFonts w:asciiTheme="majorBidi" w:hAnsiTheme="majorBidi" w:cstheme="majorBidi"/>
          <w:sz w:val="20"/>
          <w:szCs w:val="20"/>
          <w:lang w:val="en-GB"/>
        </w:rPr>
        <w:t xml:space="preserve"> article 9(4) of the Convention.</w:t>
      </w:r>
      <w:r w:rsidRPr="00A9211F">
        <w:rPr>
          <w:rStyle w:val="FootnoteReference"/>
          <w:rFonts w:asciiTheme="majorBidi" w:hAnsiTheme="majorBidi" w:cstheme="majorBidi"/>
          <w:szCs w:val="20"/>
          <w:lang w:val="en-GB"/>
        </w:rPr>
        <w:footnoteReference w:id="74"/>
      </w:r>
      <w:r w:rsidRPr="00A9211F">
        <w:rPr>
          <w:rFonts w:asciiTheme="majorBidi" w:hAnsiTheme="majorBidi" w:cstheme="majorBidi"/>
          <w:sz w:val="20"/>
          <w:szCs w:val="20"/>
          <w:lang w:val="en-GB"/>
        </w:rPr>
        <w:t xml:space="preserve"> </w:t>
      </w:r>
      <w:r w:rsidR="00FA6DBE" w:rsidRPr="00A9211F">
        <w:rPr>
          <w:rFonts w:asciiTheme="majorBidi" w:hAnsiTheme="majorBidi" w:cstheme="majorBidi"/>
          <w:sz w:val="20"/>
          <w:szCs w:val="20"/>
          <w:lang w:val="en-GB"/>
        </w:rPr>
        <w:t xml:space="preserve"> Since t</w:t>
      </w:r>
      <w:r w:rsidRPr="00A9211F">
        <w:rPr>
          <w:rFonts w:asciiTheme="majorBidi" w:hAnsiTheme="majorBidi" w:cstheme="majorBidi"/>
          <w:sz w:val="20"/>
          <w:szCs w:val="20"/>
          <w:lang w:val="en-GB"/>
        </w:rPr>
        <w:t>he OCEI and the courts lack the power to order interim measures pending the review of a refusal of an environmental information request</w:t>
      </w:r>
      <w:r w:rsidR="00E6550A"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environmental information requests remain unresolved even after the public participation procedure for which the information was requested has closed.</w:t>
      </w:r>
      <w:r w:rsidRPr="00A9211F">
        <w:rPr>
          <w:rStyle w:val="FootnoteReference"/>
          <w:rFonts w:asciiTheme="majorBidi" w:hAnsiTheme="majorBidi" w:cstheme="majorBidi"/>
          <w:szCs w:val="20"/>
          <w:lang w:val="en-GB"/>
        </w:rPr>
        <w:footnoteReference w:id="75"/>
      </w:r>
      <w:r w:rsidRPr="00A9211F">
        <w:rPr>
          <w:rFonts w:asciiTheme="majorBidi" w:hAnsiTheme="majorBidi" w:cstheme="majorBidi"/>
          <w:sz w:val="20"/>
          <w:szCs w:val="20"/>
          <w:lang w:val="en-GB"/>
        </w:rPr>
        <w:t xml:space="preserve"> </w:t>
      </w:r>
    </w:p>
    <w:p w14:paraId="3C559331" w14:textId="77777777" w:rsidR="0018721E" w:rsidRPr="00A9211F" w:rsidRDefault="0018721E" w:rsidP="00EA5C8B">
      <w:pPr>
        <w:tabs>
          <w:tab w:val="left" w:pos="1701"/>
        </w:tabs>
        <w:jc w:val="both"/>
        <w:rPr>
          <w:rFonts w:asciiTheme="majorBidi" w:hAnsiTheme="majorBidi" w:cstheme="majorBidi"/>
          <w:sz w:val="20"/>
          <w:szCs w:val="20"/>
        </w:rPr>
      </w:pPr>
    </w:p>
    <w:p w14:paraId="39FC97D1" w14:textId="0177CF94" w:rsidR="0018721E" w:rsidRPr="00A9211F" w:rsidRDefault="008311A2"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According to t</w:t>
      </w:r>
      <w:r w:rsidR="0018721E" w:rsidRPr="00A9211F">
        <w:rPr>
          <w:rFonts w:asciiTheme="majorBidi" w:hAnsiTheme="majorBidi" w:cstheme="majorBidi"/>
          <w:sz w:val="20"/>
          <w:szCs w:val="20"/>
          <w:lang w:val="en-GB"/>
        </w:rPr>
        <w:t>he communicant</w:t>
      </w:r>
      <w:r w:rsidRPr="00A9211F">
        <w:rPr>
          <w:rFonts w:asciiTheme="majorBidi" w:hAnsiTheme="majorBidi" w:cstheme="majorBidi"/>
          <w:sz w:val="20"/>
          <w:szCs w:val="20"/>
          <w:lang w:val="en-GB"/>
        </w:rPr>
        <w:t>,</w:t>
      </w:r>
      <w:r w:rsidR="0018721E" w:rsidRPr="00A9211F">
        <w:rPr>
          <w:rFonts w:asciiTheme="majorBidi" w:hAnsiTheme="majorBidi" w:cstheme="majorBidi"/>
          <w:sz w:val="20"/>
          <w:szCs w:val="20"/>
          <w:lang w:val="en-GB"/>
        </w:rPr>
        <w:t xml:space="preserve"> statutory appeals</w:t>
      </w:r>
      <w:r w:rsidR="00E6550A" w:rsidRPr="00A9211F">
        <w:rPr>
          <w:rFonts w:asciiTheme="majorBidi" w:hAnsiTheme="majorBidi" w:cstheme="majorBidi"/>
          <w:sz w:val="20"/>
          <w:szCs w:val="20"/>
          <w:lang w:val="en-GB"/>
        </w:rPr>
        <w:t xml:space="preserve"> to the High Court</w:t>
      </w:r>
      <w:r w:rsidR="0018721E" w:rsidRPr="00A9211F">
        <w:rPr>
          <w:rFonts w:asciiTheme="majorBidi" w:hAnsiTheme="majorBidi" w:cstheme="majorBidi"/>
          <w:sz w:val="20"/>
          <w:szCs w:val="20"/>
          <w:lang w:val="en-GB"/>
        </w:rPr>
        <w:t xml:space="preserve"> take between 12 and 18 months with a further one to two months to deal with ancillary issues such as the wording of any orders and costs.</w:t>
      </w:r>
      <w:r w:rsidR="0018721E" w:rsidRPr="00A9211F">
        <w:rPr>
          <w:rFonts w:asciiTheme="majorBidi" w:hAnsiTheme="majorBidi" w:cstheme="majorBidi"/>
          <w:sz w:val="18"/>
          <w:vertAlign w:val="superscript"/>
          <w:lang w:val="en-GB"/>
        </w:rPr>
        <w:footnoteReference w:id="76"/>
      </w:r>
      <w:r w:rsidR="0018721E" w:rsidRPr="00A9211F">
        <w:rPr>
          <w:rFonts w:asciiTheme="majorBidi" w:hAnsiTheme="majorBidi" w:cstheme="majorBidi"/>
          <w:sz w:val="14"/>
          <w:szCs w:val="20"/>
          <w:lang w:val="en-GB"/>
        </w:rPr>
        <w:t xml:space="preserve"> </w:t>
      </w:r>
      <w:r w:rsidR="0018721E" w:rsidRPr="00A9211F">
        <w:rPr>
          <w:rFonts w:asciiTheme="majorBidi" w:hAnsiTheme="majorBidi" w:cstheme="majorBidi"/>
          <w:sz w:val="20"/>
          <w:szCs w:val="20"/>
          <w:lang w:val="en-GB"/>
        </w:rPr>
        <w:t>It asserts the courts do not have the jurisdiction to make a final decision ordering the release of information. Th</w:t>
      </w:r>
      <w:r w:rsidR="00150FA4" w:rsidRPr="00A9211F">
        <w:rPr>
          <w:rFonts w:asciiTheme="majorBidi" w:hAnsiTheme="majorBidi" w:cstheme="majorBidi"/>
          <w:sz w:val="20"/>
          <w:szCs w:val="20"/>
          <w:lang w:val="en-GB"/>
        </w:rPr>
        <w:t>us, th</w:t>
      </w:r>
      <w:r w:rsidR="0018721E" w:rsidRPr="00A9211F">
        <w:rPr>
          <w:rFonts w:asciiTheme="majorBidi" w:hAnsiTheme="majorBidi" w:cstheme="majorBidi"/>
          <w:sz w:val="20"/>
          <w:szCs w:val="20"/>
          <w:lang w:val="en-GB"/>
        </w:rPr>
        <w:t>e usual outcome from a court appeal is either for a refusal to be upheld or for an order remitting the matter to the OCEI for further consideration</w:t>
      </w:r>
      <w:r w:rsidR="00150FA4" w:rsidRPr="00A9211F">
        <w:rPr>
          <w:rFonts w:asciiTheme="majorBidi" w:hAnsiTheme="majorBidi" w:cstheme="majorBidi"/>
          <w:sz w:val="20"/>
          <w:szCs w:val="20"/>
          <w:lang w:val="en-GB"/>
        </w:rPr>
        <w:t xml:space="preserve">, who </w:t>
      </w:r>
      <w:r w:rsidR="0018721E" w:rsidRPr="00A9211F">
        <w:rPr>
          <w:rFonts w:asciiTheme="majorBidi" w:hAnsiTheme="majorBidi" w:cstheme="majorBidi"/>
          <w:sz w:val="20"/>
          <w:szCs w:val="20"/>
          <w:lang w:val="en-GB"/>
        </w:rPr>
        <w:t>may in turn remit the matter to the public authority for further consideration, lead</w:t>
      </w:r>
      <w:r w:rsidR="00150FA4" w:rsidRPr="00A9211F">
        <w:rPr>
          <w:rFonts w:asciiTheme="majorBidi" w:hAnsiTheme="majorBidi" w:cstheme="majorBidi"/>
          <w:sz w:val="20"/>
          <w:szCs w:val="20"/>
          <w:lang w:val="en-GB"/>
        </w:rPr>
        <w:t>ing</w:t>
      </w:r>
      <w:r w:rsidR="0018721E" w:rsidRPr="00A9211F">
        <w:rPr>
          <w:rFonts w:asciiTheme="majorBidi" w:hAnsiTheme="majorBidi" w:cstheme="majorBidi"/>
          <w:sz w:val="20"/>
          <w:szCs w:val="20"/>
          <w:lang w:val="en-GB"/>
        </w:rPr>
        <w:t xml:space="preserve"> to further delays.</w:t>
      </w:r>
      <w:r w:rsidR="0018721E" w:rsidRPr="00A9211F">
        <w:rPr>
          <w:rFonts w:asciiTheme="majorBidi" w:hAnsiTheme="majorBidi" w:cstheme="majorBidi"/>
          <w:sz w:val="18"/>
          <w:vertAlign w:val="superscript"/>
          <w:lang w:val="en-GB"/>
        </w:rPr>
        <w:footnoteReference w:id="77"/>
      </w:r>
      <w:r w:rsidR="0018721E" w:rsidRPr="00A9211F">
        <w:rPr>
          <w:rFonts w:asciiTheme="majorBidi" w:hAnsiTheme="majorBidi" w:cstheme="majorBidi"/>
          <w:sz w:val="14"/>
          <w:szCs w:val="20"/>
          <w:lang w:val="en-GB"/>
        </w:rPr>
        <w:t xml:space="preserve"> </w:t>
      </w:r>
    </w:p>
    <w:p w14:paraId="2A58FEAD" w14:textId="77777777" w:rsidR="0018721E" w:rsidRPr="00A9211F" w:rsidRDefault="0018721E" w:rsidP="00EA5C8B">
      <w:pPr>
        <w:tabs>
          <w:tab w:val="left" w:pos="1701"/>
        </w:tabs>
        <w:jc w:val="both"/>
        <w:rPr>
          <w:rFonts w:asciiTheme="majorBidi" w:hAnsiTheme="majorBidi" w:cstheme="majorBidi"/>
          <w:sz w:val="20"/>
          <w:szCs w:val="20"/>
        </w:rPr>
      </w:pPr>
    </w:p>
    <w:p w14:paraId="332EECD8" w14:textId="117C7090"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communicant acknowledges there is no serious backlog of cases at the High Court level but conten</w:t>
      </w:r>
      <w:r w:rsidR="00A71953" w:rsidRPr="00A9211F">
        <w:rPr>
          <w:rFonts w:asciiTheme="majorBidi" w:hAnsiTheme="majorBidi" w:cstheme="majorBidi"/>
          <w:sz w:val="20"/>
          <w:szCs w:val="20"/>
          <w:lang w:val="en-GB"/>
        </w:rPr>
        <w:t>d</w:t>
      </w:r>
      <w:r w:rsidRPr="00A9211F">
        <w:rPr>
          <w:rFonts w:asciiTheme="majorBidi" w:hAnsiTheme="majorBidi" w:cstheme="majorBidi"/>
          <w:sz w:val="20"/>
          <w:szCs w:val="20"/>
          <w:lang w:val="en-GB"/>
        </w:rPr>
        <w:t>s there are serious delays at the appellate stage. Due to the backlog of cases in the Court of Appeal, at the time the communication was submitted, appeals would require more than two years to be concluded. Even if the Supreme Court does not hear the case, an applicant can typically expect to wait three to four years for the court procedures to conclude and the best outcome which can be expected is for the matter to be remitted to the OCEI or the public authority for further consideration, with the possibility of at least one more round of appeals and remittal.</w:t>
      </w:r>
      <w:r w:rsidRPr="00A9211F">
        <w:rPr>
          <w:rFonts w:asciiTheme="majorBidi" w:hAnsiTheme="majorBidi" w:cstheme="majorBidi"/>
          <w:sz w:val="18"/>
          <w:vertAlign w:val="superscript"/>
          <w:lang w:val="en-GB"/>
        </w:rPr>
        <w:footnoteReference w:id="78"/>
      </w:r>
    </w:p>
    <w:p w14:paraId="2A40E493" w14:textId="77777777" w:rsidR="0018721E" w:rsidRPr="00A9211F" w:rsidRDefault="0018721E" w:rsidP="00EA5C8B">
      <w:pPr>
        <w:pStyle w:val="ListParagraph"/>
        <w:rPr>
          <w:rFonts w:asciiTheme="majorBidi" w:hAnsiTheme="majorBidi" w:cstheme="majorBidi"/>
          <w:sz w:val="20"/>
          <w:szCs w:val="20"/>
          <w:lang w:val="en-GB"/>
        </w:rPr>
      </w:pPr>
    </w:p>
    <w:p w14:paraId="5F9508CE" w14:textId="17D42038" w:rsidR="00581629" w:rsidRPr="00A9211F" w:rsidRDefault="0018721E" w:rsidP="00EA5B14">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Finally, the communicant claims that the </w:t>
      </w:r>
      <w:r w:rsidR="00AC73BE" w:rsidRPr="00A9211F">
        <w:rPr>
          <w:rFonts w:asciiTheme="majorBidi" w:hAnsiTheme="majorBidi" w:cstheme="majorBidi"/>
          <w:sz w:val="20"/>
          <w:szCs w:val="20"/>
          <w:lang w:val="en-GB"/>
        </w:rPr>
        <w:t xml:space="preserve">court </w:t>
      </w:r>
      <w:r w:rsidRPr="00A9211F">
        <w:rPr>
          <w:rFonts w:asciiTheme="majorBidi" w:hAnsiTheme="majorBidi" w:cstheme="majorBidi"/>
          <w:sz w:val="20"/>
          <w:szCs w:val="20"/>
          <w:lang w:val="en-GB"/>
        </w:rPr>
        <w:t xml:space="preserve">appeals mentioned in its communication demonstrate delays. </w:t>
      </w:r>
      <w:r w:rsidR="00EA5B14" w:rsidRPr="00A9211F">
        <w:rPr>
          <w:rFonts w:asciiTheme="majorBidi" w:hAnsiTheme="majorBidi" w:cstheme="majorBidi"/>
          <w:sz w:val="20"/>
          <w:szCs w:val="20"/>
          <w:lang w:val="en-GB"/>
        </w:rPr>
        <w:t>For example,</w:t>
      </w:r>
      <w:r w:rsidR="00581629" w:rsidRPr="00A9211F">
        <w:rPr>
          <w:rFonts w:asciiTheme="majorBidi" w:hAnsiTheme="majorBidi" w:cstheme="majorBidi"/>
          <w:sz w:val="20"/>
          <w:szCs w:val="20"/>
          <w:lang w:val="en-GB"/>
        </w:rPr>
        <w:t xml:space="preserve"> in the </w:t>
      </w:r>
      <w:r w:rsidR="00581629" w:rsidRPr="00A9211F">
        <w:rPr>
          <w:rFonts w:asciiTheme="majorBidi" w:hAnsiTheme="majorBidi" w:cstheme="majorBidi"/>
          <w:i/>
          <w:iCs/>
          <w:sz w:val="20"/>
          <w:szCs w:val="20"/>
          <w:lang w:val="en-GB"/>
        </w:rPr>
        <w:t>NAMA</w:t>
      </w:r>
      <w:r w:rsidR="00581629" w:rsidRPr="00A9211F">
        <w:rPr>
          <w:rFonts w:asciiTheme="majorBidi" w:hAnsiTheme="majorBidi" w:cstheme="majorBidi"/>
          <w:sz w:val="20"/>
          <w:szCs w:val="20"/>
          <w:lang w:val="en-GB"/>
        </w:rPr>
        <w:t xml:space="preserve"> and </w:t>
      </w:r>
      <w:r w:rsidR="00581629" w:rsidRPr="00A9211F">
        <w:rPr>
          <w:rFonts w:asciiTheme="majorBidi" w:hAnsiTheme="majorBidi" w:cstheme="majorBidi"/>
          <w:i/>
          <w:iCs/>
          <w:sz w:val="20"/>
          <w:szCs w:val="20"/>
          <w:lang w:val="en-GB"/>
        </w:rPr>
        <w:t>Anglo</w:t>
      </w:r>
      <w:r w:rsidR="00581629" w:rsidRPr="00A9211F">
        <w:rPr>
          <w:rFonts w:asciiTheme="majorBidi" w:hAnsiTheme="majorBidi" w:cstheme="majorBidi"/>
          <w:sz w:val="20"/>
          <w:szCs w:val="20"/>
          <w:lang w:val="en-GB"/>
        </w:rPr>
        <w:t xml:space="preserve"> cases, despite the final judgment being issued by the Supreme Court, no action was taken by either the public authority or the OCEI to progress the environmental information requests (see paras. </w:t>
      </w:r>
      <w:r w:rsidR="00581629" w:rsidRPr="00A9211F">
        <w:rPr>
          <w:rFonts w:asciiTheme="majorBidi" w:hAnsiTheme="majorBidi" w:cstheme="majorBidi"/>
          <w:sz w:val="20"/>
          <w:szCs w:val="20"/>
          <w:lang w:val="en-GB"/>
        </w:rPr>
        <w:fldChar w:fldCharType="begin"/>
      </w:r>
      <w:r w:rsidR="00581629" w:rsidRPr="00A9211F">
        <w:rPr>
          <w:rFonts w:asciiTheme="majorBidi" w:hAnsiTheme="majorBidi" w:cstheme="majorBidi"/>
          <w:sz w:val="20"/>
          <w:szCs w:val="20"/>
          <w:lang w:val="en-GB"/>
        </w:rPr>
        <w:instrText xml:space="preserve"> REF _Ref528429789 \r \h  \* MERGEFORMAT </w:instrText>
      </w:r>
      <w:r w:rsidR="00581629" w:rsidRPr="00A9211F">
        <w:rPr>
          <w:rFonts w:asciiTheme="majorBidi" w:hAnsiTheme="majorBidi" w:cstheme="majorBidi"/>
          <w:sz w:val="20"/>
          <w:szCs w:val="20"/>
          <w:lang w:val="en-GB"/>
        </w:rPr>
      </w:r>
      <w:r w:rsidR="00581629"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40</w:t>
      </w:r>
      <w:r w:rsidR="00581629" w:rsidRPr="00A9211F">
        <w:rPr>
          <w:rFonts w:asciiTheme="majorBidi" w:hAnsiTheme="majorBidi" w:cstheme="majorBidi"/>
          <w:sz w:val="20"/>
          <w:szCs w:val="20"/>
          <w:lang w:val="en-GB"/>
        </w:rPr>
        <w:fldChar w:fldCharType="end"/>
      </w:r>
      <w:r w:rsidR="00581629" w:rsidRPr="00A9211F">
        <w:rPr>
          <w:rFonts w:asciiTheme="majorBidi" w:hAnsiTheme="majorBidi" w:cstheme="majorBidi"/>
          <w:sz w:val="20"/>
          <w:szCs w:val="20"/>
          <w:lang w:val="en-GB"/>
        </w:rPr>
        <w:t>-</w:t>
      </w:r>
      <w:r w:rsidR="00581629" w:rsidRPr="00A9211F">
        <w:rPr>
          <w:rFonts w:asciiTheme="majorBidi" w:hAnsiTheme="majorBidi" w:cstheme="majorBidi"/>
          <w:sz w:val="20"/>
          <w:szCs w:val="20"/>
          <w:lang w:val="en-GB"/>
        </w:rPr>
        <w:fldChar w:fldCharType="begin"/>
      </w:r>
      <w:r w:rsidR="00581629" w:rsidRPr="00A9211F">
        <w:rPr>
          <w:rFonts w:asciiTheme="majorBidi" w:hAnsiTheme="majorBidi" w:cstheme="majorBidi"/>
          <w:sz w:val="20"/>
          <w:szCs w:val="20"/>
          <w:lang w:val="en-GB"/>
        </w:rPr>
        <w:instrText xml:space="preserve"> REF _Ref532664119 \r \h  \* MERGEFORMAT </w:instrText>
      </w:r>
      <w:r w:rsidR="00581629" w:rsidRPr="00A9211F">
        <w:rPr>
          <w:rFonts w:asciiTheme="majorBidi" w:hAnsiTheme="majorBidi" w:cstheme="majorBidi"/>
          <w:sz w:val="20"/>
          <w:szCs w:val="20"/>
          <w:lang w:val="en-GB"/>
        </w:rPr>
      </w:r>
      <w:r w:rsidR="00581629"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Pr>
          <w:rFonts w:asciiTheme="majorBidi" w:hAnsiTheme="majorBidi" w:cstheme="majorBidi"/>
          <w:sz w:val="20"/>
          <w:szCs w:val="20"/>
          <w:lang w:val="en-GB"/>
        </w:rPr>
        <w:t>42</w:t>
      </w:r>
      <w:r w:rsidR="00581629" w:rsidRPr="00A9211F">
        <w:rPr>
          <w:rFonts w:asciiTheme="majorBidi" w:hAnsiTheme="majorBidi" w:cstheme="majorBidi"/>
          <w:sz w:val="20"/>
          <w:szCs w:val="20"/>
          <w:lang w:val="en-GB"/>
        </w:rPr>
        <w:fldChar w:fldCharType="end"/>
      </w:r>
      <w:r w:rsidR="00581629" w:rsidRPr="00A9211F">
        <w:rPr>
          <w:rFonts w:asciiTheme="majorBidi" w:hAnsiTheme="majorBidi" w:cstheme="majorBidi"/>
          <w:sz w:val="20"/>
          <w:szCs w:val="20"/>
          <w:lang w:val="en-GB"/>
        </w:rPr>
        <w:t xml:space="preserve"> above).  It states that Mr. Sheridan, the applicant, had sought an update while preparing this communication, and thereby learned that the authorities neither acted to implement the</w:t>
      </w:r>
      <w:r w:rsidR="00581629" w:rsidRPr="00A9211F">
        <w:rPr>
          <w:rFonts w:asciiTheme="majorBidi" w:hAnsiTheme="majorBidi" w:cstheme="majorBidi"/>
          <w:i/>
          <w:iCs/>
          <w:sz w:val="20"/>
          <w:szCs w:val="20"/>
          <w:lang w:val="en-GB"/>
        </w:rPr>
        <w:t xml:space="preserve"> NAMA</w:t>
      </w:r>
      <w:r w:rsidR="00581629" w:rsidRPr="00A9211F">
        <w:rPr>
          <w:rFonts w:asciiTheme="majorBidi" w:hAnsiTheme="majorBidi" w:cstheme="majorBidi"/>
          <w:sz w:val="20"/>
          <w:szCs w:val="20"/>
          <w:lang w:val="en-GB"/>
        </w:rPr>
        <w:t xml:space="preserve"> judgment nor planned to reactivate the </w:t>
      </w:r>
      <w:r w:rsidR="00581629" w:rsidRPr="00A9211F">
        <w:rPr>
          <w:rFonts w:asciiTheme="majorBidi" w:hAnsiTheme="majorBidi" w:cstheme="majorBidi"/>
          <w:i/>
          <w:iCs/>
          <w:sz w:val="20"/>
          <w:szCs w:val="20"/>
          <w:lang w:val="en-GB"/>
        </w:rPr>
        <w:t>Anglo</w:t>
      </w:r>
      <w:r w:rsidR="00581629" w:rsidRPr="00A9211F">
        <w:rPr>
          <w:rFonts w:asciiTheme="majorBidi" w:hAnsiTheme="majorBidi" w:cstheme="majorBidi"/>
          <w:sz w:val="20"/>
          <w:szCs w:val="20"/>
          <w:lang w:val="en-GB"/>
        </w:rPr>
        <w:t xml:space="preserve"> case proceedings following the </w:t>
      </w:r>
      <w:r w:rsidR="00581629" w:rsidRPr="00A9211F">
        <w:rPr>
          <w:rFonts w:asciiTheme="majorBidi" w:hAnsiTheme="majorBidi" w:cstheme="majorBidi"/>
          <w:i/>
          <w:iCs/>
          <w:sz w:val="20"/>
          <w:szCs w:val="20"/>
          <w:lang w:val="en-GB"/>
        </w:rPr>
        <w:t>NAMA</w:t>
      </w:r>
      <w:r w:rsidR="00581629" w:rsidRPr="00A9211F">
        <w:rPr>
          <w:rFonts w:asciiTheme="majorBidi" w:hAnsiTheme="majorBidi" w:cstheme="majorBidi"/>
          <w:sz w:val="20"/>
          <w:szCs w:val="20"/>
          <w:lang w:val="en-GB"/>
        </w:rPr>
        <w:t xml:space="preserve"> case judgment.</w:t>
      </w:r>
      <w:r w:rsidR="00581629" w:rsidRPr="00A9211F">
        <w:rPr>
          <w:rStyle w:val="FootnoteReference"/>
          <w:rFonts w:asciiTheme="majorBidi" w:hAnsiTheme="majorBidi" w:cstheme="majorBidi"/>
          <w:szCs w:val="20"/>
          <w:lang w:val="en-GB"/>
        </w:rPr>
        <w:footnoteReference w:id="79"/>
      </w:r>
      <w:r w:rsidR="00581629" w:rsidRPr="00A9211F">
        <w:rPr>
          <w:rFonts w:asciiTheme="majorBidi" w:hAnsiTheme="majorBidi" w:cstheme="majorBidi"/>
          <w:sz w:val="20"/>
          <w:szCs w:val="20"/>
          <w:lang w:val="en-GB"/>
        </w:rPr>
        <w:t xml:space="preserve"> </w:t>
      </w:r>
    </w:p>
    <w:p w14:paraId="5360D4DC" w14:textId="77777777" w:rsidR="0018721E" w:rsidRPr="00A9211F" w:rsidRDefault="0018721E" w:rsidP="00EA5C8B">
      <w:pPr>
        <w:tabs>
          <w:tab w:val="left" w:pos="1701"/>
        </w:tabs>
        <w:jc w:val="both"/>
        <w:rPr>
          <w:rFonts w:asciiTheme="majorBidi" w:hAnsiTheme="majorBidi" w:cstheme="majorBidi"/>
          <w:sz w:val="20"/>
          <w:szCs w:val="20"/>
        </w:rPr>
      </w:pPr>
    </w:p>
    <w:p w14:paraId="725BD8A6" w14:textId="1FEF3750" w:rsidR="00581629"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Party concerned maintains that the Convention does not require it to empower the OCEI to suspend a decision-making procedure involving public participation, nor does it require the courts to enjoy broader jurisdiction or to be empowered to order interim measures pending review</w:t>
      </w:r>
      <w:r w:rsidRPr="00A9211F">
        <w:rPr>
          <w:rFonts w:asciiTheme="majorBidi" w:hAnsiTheme="majorBidi" w:cstheme="majorBidi"/>
          <w:sz w:val="18"/>
          <w:szCs w:val="20"/>
          <w:lang w:val="en-GB"/>
        </w:rPr>
        <w:t>.</w:t>
      </w:r>
      <w:r w:rsidRPr="00A9211F">
        <w:rPr>
          <w:rStyle w:val="FootnoteReference"/>
          <w:rFonts w:asciiTheme="majorBidi" w:hAnsiTheme="majorBidi" w:cstheme="majorBidi"/>
          <w:szCs w:val="20"/>
          <w:lang w:val="en-GB"/>
        </w:rPr>
        <w:footnoteReference w:id="80"/>
      </w:r>
      <w:r w:rsidRPr="00A9211F">
        <w:rPr>
          <w:rFonts w:asciiTheme="majorBidi" w:hAnsiTheme="majorBidi" w:cstheme="majorBidi"/>
          <w:sz w:val="18"/>
          <w:szCs w:val="20"/>
          <w:lang w:val="en-GB"/>
        </w:rPr>
        <w:t xml:space="preserve">  </w:t>
      </w:r>
      <w:r w:rsidR="00581629" w:rsidRPr="00A9211F">
        <w:rPr>
          <w:rFonts w:asciiTheme="majorBidi" w:hAnsiTheme="majorBidi" w:cstheme="majorBidi"/>
          <w:sz w:val="20"/>
          <w:szCs w:val="20"/>
        </w:rPr>
        <w:t>T</w:t>
      </w:r>
      <w:r w:rsidR="00581629" w:rsidRPr="00A9211F">
        <w:rPr>
          <w:rFonts w:asciiTheme="majorBidi" w:hAnsiTheme="majorBidi" w:cstheme="majorBidi"/>
          <w:sz w:val="20"/>
          <w:szCs w:val="20"/>
          <w:lang w:val="en-GB"/>
        </w:rPr>
        <w:t>he Party concerned contends that the communicant puts forward no basis for the contention that the Convention mandates Parties to empower national authorities in the manner described. A determination that there has been non-compliance by reason of the failure to empower the OCEI with powers of that nature would be to extend the nature and scope of the Convention beyond its terms</w:t>
      </w:r>
      <w:r w:rsidR="00581629" w:rsidRPr="00A9211F">
        <w:rPr>
          <w:rFonts w:asciiTheme="majorBidi" w:hAnsiTheme="majorBidi" w:cstheme="majorBidi"/>
          <w:sz w:val="20"/>
          <w:szCs w:val="20"/>
        </w:rPr>
        <w:t>.</w:t>
      </w:r>
      <w:r w:rsidR="00581629" w:rsidRPr="00A9211F">
        <w:rPr>
          <w:rStyle w:val="FootnoteReference"/>
          <w:rFonts w:asciiTheme="majorBidi" w:hAnsiTheme="majorBidi" w:cstheme="majorBidi"/>
        </w:rPr>
        <w:footnoteReference w:id="81"/>
      </w:r>
    </w:p>
    <w:p w14:paraId="6B16E0B4" w14:textId="77777777" w:rsidR="0018721E" w:rsidRPr="00A9211F" w:rsidRDefault="0018721E" w:rsidP="00EA5C8B">
      <w:pPr>
        <w:pStyle w:val="ListParagraph"/>
        <w:rPr>
          <w:rFonts w:asciiTheme="majorBidi" w:hAnsiTheme="majorBidi" w:cstheme="majorBidi"/>
          <w:sz w:val="20"/>
          <w:lang w:val="en-GB"/>
        </w:rPr>
      </w:pPr>
    </w:p>
    <w:p w14:paraId="67B743C9" w14:textId="47CB1E2A"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Party concerned furthermore contests the communicant’s assertion that a large fraction of </w:t>
      </w:r>
      <w:r w:rsidR="00EA5B14" w:rsidRPr="00A9211F">
        <w:rPr>
          <w:rFonts w:asciiTheme="majorBidi" w:hAnsiTheme="majorBidi" w:cstheme="majorBidi"/>
          <w:sz w:val="20"/>
          <w:szCs w:val="20"/>
          <w:lang w:val="en-GB"/>
        </w:rPr>
        <w:t>O</w:t>
      </w:r>
      <w:r w:rsidRPr="00A9211F">
        <w:rPr>
          <w:rFonts w:asciiTheme="majorBidi" w:hAnsiTheme="majorBidi" w:cstheme="majorBidi"/>
          <w:sz w:val="20"/>
          <w:szCs w:val="20"/>
          <w:lang w:val="en-GB"/>
        </w:rPr>
        <w:t xml:space="preserve">CEI decisions are appealed and a </w:t>
      </w:r>
      <w:r w:rsidR="001A48EF" w:rsidRPr="00A9211F">
        <w:rPr>
          <w:rFonts w:asciiTheme="majorBidi" w:hAnsiTheme="majorBidi" w:cstheme="majorBidi"/>
          <w:sz w:val="20"/>
          <w:szCs w:val="20"/>
          <w:lang w:val="en-GB"/>
        </w:rPr>
        <w:t xml:space="preserve">high proportion </w:t>
      </w:r>
      <w:r w:rsidRPr="00A9211F">
        <w:rPr>
          <w:rFonts w:asciiTheme="majorBidi" w:hAnsiTheme="majorBidi" w:cstheme="majorBidi"/>
          <w:sz w:val="20"/>
          <w:szCs w:val="20"/>
          <w:lang w:val="en-GB"/>
        </w:rPr>
        <w:t xml:space="preserve">of these </w:t>
      </w:r>
      <w:r w:rsidR="001A48EF" w:rsidRPr="00A9211F">
        <w:rPr>
          <w:rFonts w:asciiTheme="majorBidi" w:hAnsiTheme="majorBidi" w:cstheme="majorBidi"/>
          <w:sz w:val="20"/>
          <w:szCs w:val="20"/>
          <w:lang w:val="en-GB"/>
        </w:rPr>
        <w:t xml:space="preserve">cases </w:t>
      </w:r>
      <w:r w:rsidRPr="00A9211F">
        <w:rPr>
          <w:rFonts w:asciiTheme="majorBidi" w:hAnsiTheme="majorBidi" w:cstheme="majorBidi"/>
          <w:sz w:val="20"/>
          <w:szCs w:val="20"/>
          <w:lang w:val="en-GB"/>
        </w:rPr>
        <w:t xml:space="preserve">concern jurisdictional issues. It states that </w:t>
      </w:r>
      <w:r w:rsidR="007B5EE7" w:rsidRPr="00A9211F">
        <w:rPr>
          <w:rFonts w:asciiTheme="majorBidi" w:hAnsiTheme="majorBidi" w:cstheme="majorBidi"/>
          <w:sz w:val="20"/>
          <w:szCs w:val="20"/>
          <w:lang w:val="en-GB"/>
        </w:rPr>
        <w:t xml:space="preserve">by </w:t>
      </w:r>
      <w:r w:rsidR="00056F63" w:rsidRPr="00A9211F">
        <w:rPr>
          <w:rFonts w:asciiTheme="majorBidi" w:hAnsiTheme="majorBidi" w:cstheme="majorBidi"/>
          <w:sz w:val="20"/>
          <w:szCs w:val="20"/>
          <w:lang w:val="en-GB"/>
        </w:rPr>
        <w:t xml:space="preserve">2017 there had </w:t>
      </w:r>
      <w:r w:rsidRPr="00A9211F">
        <w:rPr>
          <w:rFonts w:asciiTheme="majorBidi" w:hAnsiTheme="majorBidi" w:cstheme="majorBidi"/>
          <w:sz w:val="20"/>
          <w:szCs w:val="20"/>
          <w:lang w:val="en-GB"/>
        </w:rPr>
        <w:t xml:space="preserve">been </w:t>
      </w:r>
      <w:r w:rsidR="00056F63" w:rsidRPr="00A9211F">
        <w:rPr>
          <w:rFonts w:asciiTheme="majorBidi" w:hAnsiTheme="majorBidi" w:cstheme="majorBidi"/>
          <w:sz w:val="20"/>
          <w:szCs w:val="20"/>
          <w:lang w:val="en-GB"/>
        </w:rPr>
        <w:t xml:space="preserve">only </w:t>
      </w:r>
      <w:r w:rsidRPr="00A9211F">
        <w:rPr>
          <w:rFonts w:asciiTheme="majorBidi" w:hAnsiTheme="majorBidi" w:cstheme="majorBidi"/>
          <w:sz w:val="20"/>
          <w:szCs w:val="20"/>
          <w:lang w:val="en-GB"/>
        </w:rPr>
        <w:t xml:space="preserve">four appeals to the High Court under </w:t>
      </w:r>
      <w:r w:rsidR="00EA5B14" w:rsidRPr="00A9211F">
        <w:rPr>
          <w:rFonts w:asciiTheme="majorBidi" w:hAnsiTheme="majorBidi" w:cstheme="majorBidi"/>
          <w:sz w:val="20"/>
          <w:szCs w:val="20"/>
          <w:lang w:val="en-GB"/>
        </w:rPr>
        <w:t xml:space="preserve">article </w:t>
      </w:r>
      <w:r w:rsidRPr="00A9211F">
        <w:rPr>
          <w:rFonts w:asciiTheme="majorBidi" w:hAnsiTheme="majorBidi" w:cstheme="majorBidi"/>
          <w:sz w:val="20"/>
          <w:szCs w:val="20"/>
          <w:lang w:val="en-GB"/>
        </w:rPr>
        <w:t xml:space="preserve">13 </w:t>
      </w:r>
      <w:r w:rsidR="00EA5B14" w:rsidRPr="00A9211F">
        <w:rPr>
          <w:rFonts w:asciiTheme="majorBidi" w:hAnsiTheme="majorBidi" w:cstheme="majorBidi"/>
          <w:sz w:val="20"/>
          <w:szCs w:val="20"/>
          <w:lang w:val="en-GB"/>
        </w:rPr>
        <w:t xml:space="preserve">of the AIE Regulations </w:t>
      </w:r>
      <w:r w:rsidRPr="00A9211F">
        <w:rPr>
          <w:rFonts w:asciiTheme="majorBidi" w:hAnsiTheme="majorBidi" w:cstheme="majorBidi"/>
          <w:sz w:val="20"/>
          <w:szCs w:val="20"/>
          <w:lang w:val="en-GB"/>
        </w:rPr>
        <w:t xml:space="preserve">and one judicial review of an OCEI decision (see para. </w:t>
      </w:r>
      <w:r w:rsidRPr="00A9211F">
        <w:rPr>
          <w:rFonts w:asciiTheme="majorBidi" w:hAnsiTheme="majorBidi" w:cstheme="majorBidi"/>
          <w:sz w:val="20"/>
          <w:szCs w:val="20"/>
          <w:lang w:val="en-GB"/>
        </w:rPr>
        <w:fldChar w:fldCharType="begin"/>
      </w:r>
      <w:r w:rsidRPr="00A9211F">
        <w:rPr>
          <w:rFonts w:asciiTheme="majorBidi" w:hAnsiTheme="majorBidi" w:cstheme="majorBidi"/>
          <w:sz w:val="20"/>
          <w:szCs w:val="20"/>
          <w:lang w:val="en-GB"/>
        </w:rPr>
        <w:instrText xml:space="preserve"> REF _Ref527624357 \r \h  \* MERGEFORMAT </w:instrText>
      </w:r>
      <w:r w:rsidRPr="00A9211F">
        <w:rPr>
          <w:rFonts w:asciiTheme="majorBidi" w:hAnsiTheme="majorBidi" w:cstheme="majorBidi"/>
          <w:sz w:val="20"/>
          <w:szCs w:val="20"/>
          <w:lang w:val="en-GB"/>
        </w:rPr>
      </w:r>
      <w:r w:rsidRPr="00A9211F">
        <w:rPr>
          <w:rFonts w:asciiTheme="majorBidi" w:hAnsiTheme="majorBidi" w:cstheme="majorBidi"/>
          <w:sz w:val="20"/>
          <w:szCs w:val="20"/>
          <w:lang w:val="en-GB"/>
        </w:rPr>
        <w:fldChar w:fldCharType="separate"/>
      </w:r>
      <w:r w:rsidR="006B2913">
        <w:rPr>
          <w:rFonts w:asciiTheme="majorBidi" w:hAnsiTheme="majorBidi" w:cstheme="majorBidi"/>
          <w:sz w:val="20"/>
          <w:szCs w:val="20"/>
          <w:cs/>
          <w:lang w:val="en-GB"/>
        </w:rPr>
        <w:t>‎</w:t>
      </w:r>
      <w:r w:rsidR="006B2913" w:rsidRPr="006B2913">
        <w:rPr>
          <w:rFonts w:asciiTheme="majorBidi" w:hAnsiTheme="majorBidi" w:cstheme="majorBidi"/>
          <w:sz w:val="20"/>
          <w:lang w:val="en-GB"/>
        </w:rPr>
        <w:t>51</w:t>
      </w:r>
      <w:r w:rsidRPr="00A9211F">
        <w:rPr>
          <w:rFonts w:asciiTheme="majorBidi" w:hAnsiTheme="majorBidi" w:cstheme="majorBidi"/>
          <w:sz w:val="20"/>
          <w:szCs w:val="20"/>
          <w:lang w:val="en-GB"/>
        </w:rPr>
        <w:fldChar w:fldCharType="end"/>
      </w:r>
      <w:r w:rsidRPr="00A9211F">
        <w:rPr>
          <w:rFonts w:asciiTheme="majorBidi" w:hAnsiTheme="majorBidi" w:cstheme="majorBidi"/>
          <w:sz w:val="20"/>
          <w:szCs w:val="20"/>
          <w:lang w:val="en-GB"/>
        </w:rPr>
        <w:t xml:space="preserve"> above). This constitute</w:t>
      </w:r>
      <w:r w:rsidR="00056F63" w:rsidRPr="00A9211F">
        <w:rPr>
          <w:rFonts w:asciiTheme="majorBidi" w:hAnsiTheme="majorBidi" w:cstheme="majorBidi"/>
          <w:sz w:val="20"/>
          <w:szCs w:val="20"/>
          <w:lang w:val="en-GB"/>
        </w:rPr>
        <w:t>s</w:t>
      </w:r>
      <w:r w:rsidRPr="00A9211F">
        <w:rPr>
          <w:rFonts w:asciiTheme="majorBidi" w:hAnsiTheme="majorBidi" w:cstheme="majorBidi"/>
          <w:sz w:val="20"/>
          <w:szCs w:val="20"/>
          <w:lang w:val="en-GB"/>
        </w:rPr>
        <w:t xml:space="preserve"> a very small number of appeals given the number of decisions by the OCEI since it was established.</w:t>
      </w:r>
      <w:r w:rsidRPr="00A9211F">
        <w:rPr>
          <w:rStyle w:val="FootnoteReference"/>
          <w:rFonts w:asciiTheme="majorBidi" w:hAnsiTheme="majorBidi" w:cstheme="majorBidi"/>
          <w:lang w:val="en-GB"/>
        </w:rPr>
        <w:footnoteReference w:id="82"/>
      </w:r>
    </w:p>
    <w:p w14:paraId="00BFE4BD" w14:textId="77777777" w:rsidR="005D33F8" w:rsidRPr="00A9211F" w:rsidRDefault="005D33F8" w:rsidP="00EA5C8B">
      <w:pPr>
        <w:pStyle w:val="ListParagraph"/>
        <w:rPr>
          <w:rFonts w:asciiTheme="majorBidi" w:hAnsiTheme="majorBidi" w:cstheme="majorBidi"/>
          <w:sz w:val="20"/>
          <w:szCs w:val="20"/>
          <w:lang w:val="en-GB"/>
        </w:rPr>
      </w:pPr>
    </w:p>
    <w:p w14:paraId="41593790" w14:textId="77777777" w:rsidR="00581629" w:rsidRPr="00A9211F" w:rsidRDefault="00581629"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Party concerned maintains that, following the judgment of the Supreme Court in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 the applicant took no action until 18 August 2016 when he contacted NAMA to inform them that he wished to continue with his access to environmental information request.</w:t>
      </w:r>
      <w:r w:rsidRPr="00A9211F">
        <w:rPr>
          <w:rStyle w:val="FootnoteReference"/>
          <w:rFonts w:asciiTheme="majorBidi" w:hAnsiTheme="majorBidi" w:cstheme="majorBidi"/>
          <w:szCs w:val="20"/>
          <w:lang w:val="en-GB"/>
        </w:rPr>
        <w:footnoteReference w:id="83"/>
      </w:r>
      <w:r w:rsidRPr="00A9211F">
        <w:rPr>
          <w:rFonts w:asciiTheme="majorBidi" w:hAnsiTheme="majorBidi" w:cstheme="majorBidi"/>
          <w:sz w:val="20"/>
          <w:szCs w:val="20"/>
          <w:lang w:val="en-GB"/>
        </w:rPr>
        <w:t xml:space="preserve"> It states that NAMA subsequently rejected this access to environmental information request on the grounds that it was not environmental information. According to the Party concerned, the applicant was informed that he could pursue the request under the FOI Act and that there has been no further correspondence from him.</w:t>
      </w:r>
      <w:r w:rsidRPr="00A9211F">
        <w:rPr>
          <w:rStyle w:val="FootnoteReference"/>
          <w:rFonts w:asciiTheme="majorBidi" w:hAnsiTheme="majorBidi" w:cstheme="majorBidi"/>
          <w:szCs w:val="20"/>
          <w:lang w:val="en-GB"/>
        </w:rPr>
        <w:footnoteReference w:id="84"/>
      </w:r>
    </w:p>
    <w:p w14:paraId="7CB07385" w14:textId="77777777" w:rsidR="0018721E" w:rsidRPr="00A9211F" w:rsidRDefault="0018721E" w:rsidP="00EA5C8B">
      <w:pPr>
        <w:tabs>
          <w:tab w:val="left" w:pos="1701"/>
        </w:tabs>
        <w:jc w:val="both"/>
        <w:rPr>
          <w:rStyle w:val="FootnoteReference"/>
          <w:rFonts w:asciiTheme="majorBidi" w:hAnsiTheme="majorBidi" w:cstheme="majorBidi"/>
          <w:sz w:val="20"/>
          <w:szCs w:val="20"/>
          <w:vertAlign w:val="baseline"/>
        </w:rPr>
      </w:pPr>
    </w:p>
    <w:p w14:paraId="184CBF0A" w14:textId="370864DC" w:rsidR="0018721E" w:rsidRPr="00A9211F" w:rsidRDefault="00E274D1"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w:t>
      </w:r>
      <w:r w:rsidR="0018721E" w:rsidRPr="00A9211F">
        <w:rPr>
          <w:rFonts w:asciiTheme="majorBidi" w:hAnsiTheme="majorBidi" w:cstheme="majorBidi"/>
          <w:sz w:val="20"/>
          <w:szCs w:val="20"/>
          <w:lang w:val="en-GB"/>
        </w:rPr>
        <w:t xml:space="preserve">Environmental Pillar submits that the timeframes provided by the communicant cannot be considered “timely” under article 9(4).  It claims that “effectively” providing for access to justice requires that all of the </w:t>
      </w:r>
      <w:r w:rsidR="00B33B57" w:rsidRPr="00A9211F">
        <w:rPr>
          <w:rFonts w:asciiTheme="majorBidi" w:hAnsiTheme="majorBidi" w:cstheme="majorBidi"/>
          <w:sz w:val="20"/>
          <w:szCs w:val="20"/>
          <w:lang w:val="en-GB"/>
        </w:rPr>
        <w:t>requirements of</w:t>
      </w:r>
      <w:r w:rsidR="0018721E" w:rsidRPr="00A9211F">
        <w:rPr>
          <w:rFonts w:asciiTheme="majorBidi" w:hAnsiTheme="majorBidi" w:cstheme="majorBidi"/>
          <w:sz w:val="20"/>
          <w:szCs w:val="20"/>
          <w:lang w:val="en-GB"/>
        </w:rPr>
        <w:t xml:space="preserve"> article 9(4) apply to all reviews under article 9(1), as these </w:t>
      </w:r>
      <w:r w:rsidR="00B33B57" w:rsidRPr="00A9211F">
        <w:rPr>
          <w:rFonts w:asciiTheme="majorBidi" w:hAnsiTheme="majorBidi" w:cstheme="majorBidi"/>
          <w:sz w:val="20"/>
          <w:szCs w:val="20"/>
          <w:lang w:val="en-GB"/>
        </w:rPr>
        <w:t>requirements</w:t>
      </w:r>
      <w:r w:rsidR="0018721E" w:rsidRPr="00A9211F">
        <w:rPr>
          <w:rFonts w:asciiTheme="majorBidi" w:hAnsiTheme="majorBidi" w:cstheme="majorBidi"/>
          <w:sz w:val="20"/>
          <w:szCs w:val="20"/>
          <w:lang w:val="en-GB"/>
        </w:rPr>
        <w:t xml:space="preserve"> are necessarily mutually supporting. A review cannot provide for “adequate and effective remedies” if it is not also “timely,” which should be understood as “within an appropriate period of time.”.</w:t>
      </w:r>
      <w:r w:rsidR="0018721E" w:rsidRPr="00A9211F">
        <w:rPr>
          <w:rStyle w:val="FootnoteReference"/>
          <w:rFonts w:asciiTheme="majorBidi" w:hAnsiTheme="majorBidi" w:cstheme="majorBidi"/>
          <w:szCs w:val="20"/>
          <w:lang w:val="en-GB"/>
        </w:rPr>
        <w:footnoteReference w:id="85"/>
      </w:r>
      <w:r w:rsidR="0018721E" w:rsidRPr="00A9211F">
        <w:rPr>
          <w:rFonts w:asciiTheme="majorBidi" w:hAnsiTheme="majorBidi" w:cstheme="majorBidi"/>
          <w:szCs w:val="20"/>
          <w:lang w:val="en-GB"/>
        </w:rPr>
        <w:t xml:space="preserve"> </w:t>
      </w:r>
      <w:r w:rsidR="0018721E" w:rsidRPr="00A9211F">
        <w:rPr>
          <w:rFonts w:asciiTheme="majorBidi" w:hAnsiTheme="majorBidi" w:cstheme="majorBidi"/>
          <w:sz w:val="20"/>
          <w:szCs w:val="20"/>
          <w:lang w:val="en-GB"/>
        </w:rPr>
        <w:t>Moreover, it claims that the system as implemented is not fit for purpose, as evidenced by the length of time required to complete an OCEI appeal and the time to reach a final decision subsequently. This is compounded by the narrow jurisdiction of the courts which cannot order the release of information.</w:t>
      </w:r>
      <w:r w:rsidR="0018721E" w:rsidRPr="00A9211F">
        <w:rPr>
          <w:rStyle w:val="FootnoteReference"/>
          <w:rFonts w:asciiTheme="majorBidi" w:hAnsiTheme="majorBidi" w:cstheme="majorBidi"/>
          <w:szCs w:val="20"/>
          <w:lang w:val="en-GB"/>
        </w:rPr>
        <w:footnoteReference w:id="86"/>
      </w:r>
      <w:r w:rsidR="0018721E" w:rsidRPr="00A9211F">
        <w:rPr>
          <w:rFonts w:asciiTheme="majorBidi" w:hAnsiTheme="majorBidi" w:cstheme="majorBidi"/>
          <w:sz w:val="20"/>
          <w:szCs w:val="20"/>
          <w:lang w:val="en-GB"/>
        </w:rPr>
        <w:t xml:space="preserve"> Finally, the observer points to the lack of a legislative requirement for timely review of environmental information requests.</w:t>
      </w:r>
      <w:r w:rsidR="0018721E" w:rsidRPr="00A9211F">
        <w:rPr>
          <w:rStyle w:val="FootnoteReference"/>
          <w:rFonts w:asciiTheme="majorBidi" w:hAnsiTheme="majorBidi" w:cstheme="majorBidi"/>
          <w:szCs w:val="20"/>
          <w:lang w:val="en-GB"/>
        </w:rPr>
        <w:footnoteReference w:id="87"/>
      </w:r>
      <w:r w:rsidR="0018721E" w:rsidRPr="00A9211F">
        <w:rPr>
          <w:rFonts w:asciiTheme="majorBidi" w:hAnsiTheme="majorBidi" w:cstheme="majorBidi"/>
          <w:sz w:val="20"/>
          <w:szCs w:val="20"/>
          <w:lang w:val="en-GB"/>
        </w:rPr>
        <w:t xml:space="preserve"> </w:t>
      </w:r>
    </w:p>
    <w:p w14:paraId="534990B6" w14:textId="77777777" w:rsidR="0018721E" w:rsidRPr="00A9211F" w:rsidRDefault="0018721E" w:rsidP="00EA5C8B">
      <w:pPr>
        <w:tabs>
          <w:tab w:val="left" w:pos="1701"/>
        </w:tabs>
        <w:jc w:val="both"/>
        <w:rPr>
          <w:rFonts w:asciiTheme="majorBidi" w:hAnsiTheme="majorBidi" w:cstheme="majorBidi"/>
          <w:sz w:val="20"/>
          <w:szCs w:val="20"/>
        </w:rPr>
      </w:pPr>
    </w:p>
    <w:p w14:paraId="48418B28" w14:textId="08FF0184"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Observer Mr. Minch, who was the party requesting information in </w:t>
      </w:r>
      <w:r w:rsidRPr="00A9211F">
        <w:rPr>
          <w:rFonts w:asciiTheme="majorBidi" w:hAnsiTheme="majorBidi" w:cstheme="majorBidi"/>
          <w:i/>
          <w:sz w:val="20"/>
          <w:szCs w:val="20"/>
          <w:lang w:val="en-GB"/>
        </w:rPr>
        <w:t>Minch v. CEI</w:t>
      </w:r>
      <w:r w:rsidRPr="00A9211F">
        <w:rPr>
          <w:rFonts w:asciiTheme="majorBidi" w:hAnsiTheme="majorBidi" w:cstheme="majorBidi"/>
          <w:sz w:val="20"/>
          <w:szCs w:val="20"/>
          <w:lang w:val="en-GB"/>
        </w:rPr>
        <w:t xml:space="preserve">, claims that he did not appeal the OCEI’s 15 February 2018 decision not to release all information originally requested </w:t>
      </w:r>
      <w:r w:rsidR="00EC10FF" w:rsidRPr="00A9211F">
        <w:rPr>
          <w:rFonts w:asciiTheme="majorBidi" w:hAnsiTheme="majorBidi" w:cstheme="majorBidi"/>
          <w:sz w:val="20"/>
          <w:szCs w:val="20"/>
          <w:lang w:val="en-GB"/>
        </w:rPr>
        <w:t xml:space="preserve">in his information request of 28 May 2013 </w:t>
      </w:r>
      <w:r w:rsidR="00670C9D" w:rsidRPr="00A9211F">
        <w:rPr>
          <w:rFonts w:asciiTheme="majorBidi" w:hAnsiTheme="majorBidi" w:cstheme="majorBidi"/>
          <w:sz w:val="20"/>
          <w:szCs w:val="20"/>
          <w:lang w:val="en-GB"/>
        </w:rPr>
        <w:t xml:space="preserve">inter alia </w:t>
      </w:r>
      <w:r w:rsidRPr="00A9211F">
        <w:rPr>
          <w:rFonts w:asciiTheme="majorBidi" w:hAnsiTheme="majorBidi" w:cstheme="majorBidi"/>
          <w:sz w:val="20"/>
          <w:szCs w:val="20"/>
          <w:lang w:val="en-GB"/>
        </w:rPr>
        <w:t>because</w:t>
      </w:r>
      <w:r w:rsidR="00670C9D"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 xml:space="preserve">the plan for which information had been sought had changed substantially since </w:t>
      </w:r>
      <w:r w:rsidR="003310B6" w:rsidRPr="00A9211F">
        <w:rPr>
          <w:rFonts w:asciiTheme="majorBidi" w:hAnsiTheme="majorBidi" w:cstheme="majorBidi"/>
          <w:sz w:val="20"/>
          <w:szCs w:val="20"/>
          <w:lang w:val="en-GB"/>
        </w:rPr>
        <w:t xml:space="preserve">his </w:t>
      </w:r>
      <w:r w:rsidRPr="00A9211F">
        <w:rPr>
          <w:rFonts w:asciiTheme="majorBidi" w:hAnsiTheme="majorBidi" w:cstheme="majorBidi"/>
          <w:sz w:val="20"/>
          <w:szCs w:val="20"/>
          <w:lang w:val="en-GB"/>
        </w:rPr>
        <w:t>original request</w:t>
      </w:r>
      <w:r w:rsidR="00EC10FF" w:rsidRPr="00A9211F">
        <w:rPr>
          <w:rFonts w:asciiTheme="majorBidi" w:hAnsiTheme="majorBidi" w:cstheme="majorBidi"/>
          <w:sz w:val="20"/>
          <w:szCs w:val="20"/>
          <w:lang w:val="en-GB"/>
        </w:rPr>
        <w:t xml:space="preserve"> and </w:t>
      </w:r>
      <w:r w:rsidRPr="00A9211F">
        <w:rPr>
          <w:rFonts w:asciiTheme="majorBidi" w:hAnsiTheme="majorBidi" w:cstheme="majorBidi"/>
          <w:sz w:val="20"/>
          <w:szCs w:val="20"/>
          <w:lang w:val="en-GB"/>
        </w:rPr>
        <w:t xml:space="preserve">the remaining information was at least 6 years old and thus </w:t>
      </w:r>
      <w:r w:rsidR="00EC10FF" w:rsidRPr="00A9211F">
        <w:rPr>
          <w:rFonts w:asciiTheme="majorBidi" w:hAnsiTheme="majorBidi" w:cstheme="majorBidi"/>
          <w:sz w:val="20"/>
          <w:szCs w:val="20"/>
          <w:lang w:val="en-GB"/>
        </w:rPr>
        <w:t xml:space="preserve">by then </w:t>
      </w:r>
      <w:r w:rsidRPr="00A9211F">
        <w:rPr>
          <w:rFonts w:asciiTheme="majorBidi" w:hAnsiTheme="majorBidi" w:cstheme="majorBidi"/>
          <w:sz w:val="20"/>
          <w:szCs w:val="20"/>
          <w:lang w:val="en-GB"/>
        </w:rPr>
        <w:t>irrelevant.</w:t>
      </w:r>
      <w:r w:rsidRPr="00A9211F">
        <w:rPr>
          <w:rStyle w:val="FootnoteReference"/>
          <w:rFonts w:asciiTheme="majorBidi" w:hAnsiTheme="majorBidi" w:cstheme="majorBidi"/>
          <w:szCs w:val="20"/>
          <w:lang w:val="en-GB"/>
        </w:rPr>
        <w:footnoteReference w:id="88"/>
      </w:r>
      <w:r w:rsidRPr="00A9211F">
        <w:rPr>
          <w:rFonts w:asciiTheme="majorBidi" w:hAnsiTheme="majorBidi" w:cstheme="majorBidi"/>
          <w:sz w:val="20"/>
          <w:szCs w:val="20"/>
          <w:lang w:val="en-GB"/>
        </w:rPr>
        <w:t xml:space="preserve">  </w:t>
      </w:r>
    </w:p>
    <w:p w14:paraId="15844CBC" w14:textId="77777777" w:rsidR="0018721E" w:rsidRPr="00A9211F" w:rsidRDefault="0018721E" w:rsidP="00A9211F">
      <w:pPr>
        <w:tabs>
          <w:tab w:val="left" w:pos="1701"/>
        </w:tabs>
        <w:jc w:val="both"/>
        <w:rPr>
          <w:rFonts w:asciiTheme="majorBidi" w:hAnsiTheme="majorBidi"/>
          <w:sz w:val="20"/>
        </w:rPr>
      </w:pPr>
    </w:p>
    <w:p w14:paraId="59C6EEEE" w14:textId="679F4301" w:rsidR="0018721E" w:rsidRPr="00A9211F" w:rsidRDefault="0018721E" w:rsidP="00EA5C8B">
      <w:pPr>
        <w:tabs>
          <w:tab w:val="left" w:pos="1701"/>
        </w:tabs>
        <w:spacing w:after="120" w:line="240" w:lineRule="atLeast"/>
        <w:ind w:left="1094"/>
        <w:jc w:val="both"/>
        <w:outlineLvl w:val="0"/>
        <w:rPr>
          <w:rFonts w:asciiTheme="majorBidi" w:hAnsiTheme="majorBidi" w:cstheme="majorBidi"/>
          <w:b/>
          <w:sz w:val="20"/>
          <w:szCs w:val="20"/>
        </w:rPr>
      </w:pPr>
      <w:r w:rsidRPr="00A9211F">
        <w:rPr>
          <w:rFonts w:asciiTheme="majorBidi" w:hAnsiTheme="majorBidi" w:cstheme="majorBidi"/>
          <w:b/>
          <w:sz w:val="20"/>
          <w:szCs w:val="20"/>
        </w:rPr>
        <w:t xml:space="preserve">Article 3(1)  </w:t>
      </w:r>
    </w:p>
    <w:p w14:paraId="7A88950F" w14:textId="79852616" w:rsidR="00DC0644" w:rsidRPr="00A9211F" w:rsidRDefault="0018721E" w:rsidP="00DC0644">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communicant </w:t>
      </w:r>
      <w:r w:rsidR="00DC0644" w:rsidRPr="00A9211F">
        <w:rPr>
          <w:rFonts w:asciiTheme="majorBidi" w:hAnsiTheme="majorBidi" w:cstheme="majorBidi"/>
          <w:sz w:val="20"/>
          <w:szCs w:val="20"/>
          <w:lang w:val="en-GB"/>
        </w:rPr>
        <w:t xml:space="preserve">claims </w:t>
      </w:r>
      <w:r w:rsidRPr="00A9211F">
        <w:rPr>
          <w:rFonts w:asciiTheme="majorBidi" w:hAnsiTheme="majorBidi" w:cstheme="majorBidi"/>
          <w:sz w:val="20"/>
          <w:szCs w:val="20"/>
          <w:lang w:val="en-GB"/>
        </w:rPr>
        <w:t xml:space="preserve">that the </w:t>
      </w:r>
      <w:r w:rsidR="00DC0644" w:rsidRPr="00A9211F">
        <w:rPr>
          <w:rFonts w:asciiTheme="majorBidi" w:hAnsiTheme="majorBidi" w:cstheme="majorBidi"/>
          <w:sz w:val="20"/>
          <w:szCs w:val="20"/>
          <w:lang w:val="en-GB"/>
        </w:rPr>
        <w:t xml:space="preserve">alleged </w:t>
      </w:r>
      <w:r w:rsidRPr="00A9211F">
        <w:rPr>
          <w:rFonts w:asciiTheme="majorBidi" w:hAnsiTheme="majorBidi" w:cstheme="majorBidi"/>
          <w:sz w:val="20"/>
          <w:szCs w:val="20"/>
          <w:lang w:val="en-GB"/>
        </w:rPr>
        <w:t>non-compliance with article</w:t>
      </w:r>
      <w:r w:rsidR="00B214C6" w:rsidRPr="00A9211F">
        <w:rPr>
          <w:rFonts w:asciiTheme="majorBidi" w:hAnsiTheme="majorBidi" w:cstheme="majorBidi"/>
          <w:sz w:val="20"/>
          <w:szCs w:val="20"/>
          <w:lang w:val="en-GB"/>
        </w:rPr>
        <w:t>s</w:t>
      </w:r>
      <w:r w:rsidRPr="00A9211F">
        <w:rPr>
          <w:rFonts w:asciiTheme="majorBidi" w:hAnsiTheme="majorBidi" w:cstheme="majorBidi"/>
          <w:sz w:val="20"/>
          <w:szCs w:val="20"/>
          <w:lang w:val="en-GB"/>
        </w:rPr>
        <w:t xml:space="preserve"> 4</w:t>
      </w:r>
      <w:r w:rsidR="00B214C6"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 xml:space="preserve">and 9 </w:t>
      </w:r>
      <w:r w:rsidR="00DC0644" w:rsidRPr="00A9211F">
        <w:rPr>
          <w:rFonts w:asciiTheme="majorBidi" w:hAnsiTheme="majorBidi" w:cstheme="majorBidi"/>
          <w:sz w:val="20"/>
          <w:szCs w:val="20"/>
          <w:lang w:val="en-GB"/>
        </w:rPr>
        <w:t xml:space="preserve">as a consequence </w:t>
      </w:r>
      <w:r w:rsidRPr="00A9211F">
        <w:rPr>
          <w:rFonts w:asciiTheme="majorBidi" w:hAnsiTheme="majorBidi" w:cstheme="majorBidi"/>
          <w:sz w:val="20"/>
          <w:szCs w:val="20"/>
          <w:lang w:val="en-GB"/>
        </w:rPr>
        <w:t>entails non-compliance with article 3(1).</w:t>
      </w:r>
      <w:r w:rsidRPr="00A9211F">
        <w:rPr>
          <w:rStyle w:val="FootnoteReference"/>
          <w:rFonts w:asciiTheme="majorBidi" w:hAnsiTheme="majorBidi" w:cstheme="majorBidi"/>
          <w:lang w:val="en-GB"/>
        </w:rPr>
        <w:footnoteReference w:id="89"/>
      </w:r>
      <w:r w:rsidRPr="00A9211F">
        <w:rPr>
          <w:rFonts w:asciiTheme="majorBidi" w:hAnsiTheme="majorBidi" w:cstheme="majorBidi"/>
          <w:sz w:val="20"/>
          <w:szCs w:val="20"/>
          <w:lang w:val="en-GB"/>
        </w:rPr>
        <w:t xml:space="preserve"> </w:t>
      </w:r>
    </w:p>
    <w:p w14:paraId="1B935505" w14:textId="77777777" w:rsidR="0018721E" w:rsidRPr="00A9211F" w:rsidRDefault="0018721E" w:rsidP="00DC0644">
      <w:pPr>
        <w:pStyle w:val="ListParagraph"/>
        <w:tabs>
          <w:tab w:val="left" w:pos="1701"/>
        </w:tabs>
        <w:ind w:left="1094"/>
        <w:jc w:val="both"/>
        <w:rPr>
          <w:rFonts w:asciiTheme="majorBidi" w:hAnsiTheme="majorBidi" w:cstheme="majorBidi"/>
          <w:sz w:val="20"/>
          <w:szCs w:val="20"/>
          <w:lang w:val="en-GB"/>
        </w:rPr>
      </w:pPr>
    </w:p>
    <w:p w14:paraId="7E31588F" w14:textId="40B6200A"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The Party concerned claims that the AIE Regulations establish a clear, transparent and consistent framework for implementing the Convention</w:t>
      </w:r>
      <w:r w:rsidR="00E6550A" w:rsidRPr="00A9211F">
        <w:rPr>
          <w:rFonts w:asciiTheme="majorBidi" w:hAnsiTheme="majorBidi" w:cstheme="majorBidi"/>
          <w:sz w:val="20"/>
          <w:szCs w:val="20"/>
          <w:lang w:val="en-GB"/>
        </w:rPr>
        <w:t>,</w:t>
      </w:r>
      <w:r w:rsidRPr="00A9211F">
        <w:rPr>
          <w:rFonts w:asciiTheme="majorBidi" w:hAnsiTheme="majorBidi" w:cstheme="majorBidi"/>
          <w:sz w:val="18"/>
          <w:vertAlign w:val="superscript"/>
          <w:lang w:val="en-GB"/>
        </w:rPr>
        <w:footnoteReference w:id="90"/>
      </w:r>
      <w:r w:rsidRPr="00A9211F">
        <w:rPr>
          <w:rFonts w:asciiTheme="majorBidi" w:hAnsiTheme="majorBidi" w:cstheme="majorBidi"/>
          <w:sz w:val="20"/>
          <w:szCs w:val="20"/>
          <w:vertAlign w:val="superscript"/>
          <w:lang w:val="en-GB"/>
        </w:rPr>
        <w:t xml:space="preserve"> </w:t>
      </w:r>
      <w:r w:rsidR="00E6550A" w:rsidRPr="00A9211F">
        <w:rPr>
          <w:rFonts w:asciiTheme="majorBidi" w:hAnsiTheme="majorBidi" w:cstheme="majorBidi"/>
          <w:sz w:val="20"/>
          <w:szCs w:val="20"/>
          <w:lang w:val="en-GB"/>
        </w:rPr>
        <w:t xml:space="preserve">through </w:t>
      </w:r>
      <w:r w:rsidRPr="00A9211F">
        <w:rPr>
          <w:rFonts w:asciiTheme="majorBidi" w:hAnsiTheme="majorBidi" w:cstheme="majorBidi"/>
          <w:sz w:val="20"/>
          <w:szCs w:val="20"/>
          <w:lang w:val="en-GB"/>
        </w:rPr>
        <w:t>which public authorities are obliged to release environmental information within strict timeframes.</w:t>
      </w:r>
      <w:r w:rsidRPr="00A9211F">
        <w:rPr>
          <w:rFonts w:asciiTheme="majorBidi" w:hAnsiTheme="majorBidi" w:cstheme="majorBidi"/>
          <w:sz w:val="18"/>
          <w:vertAlign w:val="superscript"/>
          <w:lang w:val="en-GB"/>
        </w:rPr>
        <w:footnoteReference w:id="91"/>
      </w:r>
      <w:r w:rsidRPr="00A9211F">
        <w:rPr>
          <w:rFonts w:asciiTheme="majorBidi" w:hAnsiTheme="majorBidi" w:cstheme="majorBidi"/>
          <w:sz w:val="18"/>
          <w:vertAlign w:val="superscript"/>
          <w:lang w:val="en-GB"/>
        </w:rPr>
        <w:t xml:space="preserve"> </w:t>
      </w:r>
      <w:r w:rsidRPr="00A9211F">
        <w:rPr>
          <w:rFonts w:asciiTheme="majorBidi" w:hAnsiTheme="majorBidi" w:cstheme="majorBidi"/>
          <w:sz w:val="20"/>
          <w:szCs w:val="20"/>
          <w:vertAlign w:val="superscript"/>
          <w:lang w:val="en-GB"/>
        </w:rPr>
        <w:t xml:space="preserve"> </w:t>
      </w:r>
    </w:p>
    <w:p w14:paraId="461F6B8C" w14:textId="77777777" w:rsidR="0018721E" w:rsidRPr="00A9211F" w:rsidRDefault="0018721E" w:rsidP="00EA5C8B">
      <w:pPr>
        <w:pStyle w:val="ListParagraph"/>
        <w:tabs>
          <w:tab w:val="left" w:pos="1701"/>
        </w:tabs>
        <w:ind w:left="1094"/>
        <w:jc w:val="both"/>
        <w:rPr>
          <w:rFonts w:asciiTheme="majorBidi" w:hAnsiTheme="majorBidi" w:cstheme="majorBidi"/>
          <w:sz w:val="20"/>
          <w:szCs w:val="20"/>
          <w:lang w:val="en-GB"/>
        </w:rPr>
      </w:pPr>
    </w:p>
    <w:p w14:paraId="3E6DAE9B" w14:textId="2EE4BD32" w:rsidR="0018721E" w:rsidRPr="00A9211F" w:rsidRDefault="0018721E"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Environmental Pillar submits that the delays in the review procedures for environmental information requests contravene article 3(1), as they compromise the integration of the Convention’s three pillars needed to enable the public and  environmental NGOs to protect their interest in a healthy </w:t>
      </w:r>
      <w:r w:rsidRPr="00A9211F">
        <w:rPr>
          <w:rFonts w:asciiTheme="majorBidi" w:hAnsiTheme="majorBidi" w:cstheme="majorBidi"/>
          <w:sz w:val="20"/>
          <w:szCs w:val="20"/>
          <w:lang w:val="en-GB"/>
        </w:rPr>
        <w:lastRenderedPageBreak/>
        <w:t>environment.</w:t>
      </w:r>
      <w:r w:rsidRPr="00A9211F">
        <w:rPr>
          <w:rFonts w:asciiTheme="majorBidi" w:hAnsiTheme="majorBidi" w:cstheme="majorBidi"/>
          <w:sz w:val="18"/>
          <w:vertAlign w:val="superscript"/>
          <w:lang w:val="en-GB"/>
        </w:rPr>
        <w:footnoteReference w:id="92"/>
      </w:r>
      <w:r w:rsidRPr="00A9211F">
        <w:rPr>
          <w:rFonts w:asciiTheme="majorBidi" w:hAnsiTheme="majorBidi" w:cstheme="majorBidi"/>
          <w:sz w:val="20"/>
          <w:szCs w:val="20"/>
          <w:lang w:val="en-GB"/>
        </w:rPr>
        <w:t xml:space="preserve"> The delays are of particular concern for those seeking to participate in time-limited consultation processes or when deciding whether to apply for judicial review of decisions, acts or omissions within the 8 week time limit.</w:t>
      </w:r>
      <w:r w:rsidRPr="00A9211F">
        <w:rPr>
          <w:rFonts w:asciiTheme="majorBidi" w:hAnsiTheme="majorBidi" w:cstheme="majorBidi"/>
          <w:sz w:val="18"/>
          <w:vertAlign w:val="superscript"/>
          <w:lang w:val="en-GB"/>
        </w:rPr>
        <w:footnoteReference w:id="93"/>
      </w:r>
      <w:r w:rsidRPr="00A9211F">
        <w:rPr>
          <w:rFonts w:asciiTheme="majorBidi" w:hAnsiTheme="majorBidi" w:cstheme="majorBidi"/>
          <w:sz w:val="18"/>
          <w:vertAlign w:val="superscript"/>
          <w:lang w:val="en-GB"/>
        </w:rPr>
        <w:t xml:space="preserve"> </w:t>
      </w:r>
      <w:r w:rsidRPr="00A9211F">
        <w:rPr>
          <w:rFonts w:asciiTheme="majorBidi" w:hAnsiTheme="majorBidi" w:cstheme="majorBidi"/>
          <w:sz w:val="20"/>
          <w:szCs w:val="20"/>
          <w:lang w:val="en-GB"/>
        </w:rPr>
        <w:t xml:space="preserve"> </w:t>
      </w:r>
    </w:p>
    <w:p w14:paraId="10D0347F" w14:textId="77777777" w:rsidR="0018721E" w:rsidRPr="00A9211F" w:rsidRDefault="0018721E" w:rsidP="00EA5C8B">
      <w:pPr>
        <w:pStyle w:val="ListParagraph"/>
        <w:tabs>
          <w:tab w:val="left" w:pos="6162"/>
        </w:tabs>
        <w:ind w:left="1094"/>
        <w:jc w:val="both"/>
        <w:rPr>
          <w:rFonts w:asciiTheme="majorBidi" w:hAnsiTheme="majorBidi" w:cstheme="majorBidi"/>
          <w:sz w:val="20"/>
          <w:szCs w:val="20"/>
          <w:lang w:val="en-GB"/>
        </w:rPr>
      </w:pPr>
      <w:r w:rsidRPr="00A9211F">
        <w:rPr>
          <w:rFonts w:asciiTheme="majorBidi" w:hAnsiTheme="majorBidi" w:cstheme="majorBidi"/>
          <w:sz w:val="20"/>
          <w:szCs w:val="20"/>
          <w:lang w:val="en-GB"/>
        </w:rPr>
        <w:tab/>
      </w:r>
    </w:p>
    <w:p w14:paraId="6331A07B" w14:textId="3E7D87C1" w:rsidR="004E7935" w:rsidRPr="00A9211F" w:rsidRDefault="009245B7" w:rsidP="00EA5C8B">
      <w:pPr>
        <w:pStyle w:val="ListParagraph"/>
        <w:tabs>
          <w:tab w:val="left" w:pos="6162"/>
        </w:tabs>
        <w:ind w:left="1094"/>
        <w:jc w:val="both"/>
        <w:rPr>
          <w:rFonts w:asciiTheme="majorBidi" w:hAnsiTheme="majorBidi" w:cstheme="majorBidi"/>
          <w:sz w:val="20"/>
          <w:lang w:val="en-GB"/>
        </w:rPr>
      </w:pPr>
      <w:r w:rsidRPr="00A9211F">
        <w:rPr>
          <w:rFonts w:asciiTheme="majorBidi" w:hAnsiTheme="majorBidi" w:cstheme="majorBidi"/>
          <w:sz w:val="20"/>
          <w:lang w:val="en-GB"/>
        </w:rPr>
        <w:tab/>
      </w:r>
    </w:p>
    <w:p w14:paraId="70CDC291" w14:textId="77777777" w:rsidR="009245B7" w:rsidRPr="00A9211F" w:rsidRDefault="009245B7" w:rsidP="00EA5C8B">
      <w:pPr>
        <w:pStyle w:val="ListParagraph"/>
        <w:tabs>
          <w:tab w:val="left" w:pos="6162"/>
        </w:tabs>
        <w:ind w:left="1094"/>
        <w:jc w:val="both"/>
        <w:rPr>
          <w:rFonts w:asciiTheme="majorBidi" w:hAnsiTheme="majorBidi" w:cstheme="majorBidi"/>
          <w:sz w:val="20"/>
          <w:lang w:val="en-GB"/>
        </w:rPr>
      </w:pPr>
    </w:p>
    <w:p w14:paraId="01E68466" w14:textId="5CC37AB8" w:rsidR="004E7935" w:rsidRPr="00A9211F" w:rsidRDefault="004E7935" w:rsidP="00EA5C8B">
      <w:pPr>
        <w:pStyle w:val="ListParagraph"/>
        <w:numPr>
          <w:ilvl w:val="0"/>
          <w:numId w:val="5"/>
        </w:numPr>
        <w:tabs>
          <w:tab w:val="left" w:pos="1701"/>
        </w:tabs>
        <w:jc w:val="both"/>
        <w:rPr>
          <w:rFonts w:asciiTheme="majorBidi" w:hAnsiTheme="majorBidi" w:cstheme="majorBidi"/>
          <w:b/>
          <w:sz w:val="28"/>
          <w:lang w:val="en-GB"/>
        </w:rPr>
      </w:pPr>
      <w:r w:rsidRPr="00A9211F">
        <w:rPr>
          <w:rFonts w:asciiTheme="majorBidi" w:hAnsiTheme="majorBidi" w:cstheme="majorBidi"/>
          <w:b/>
          <w:sz w:val="28"/>
          <w:lang w:val="en-GB"/>
        </w:rPr>
        <w:t>Consideration and evaluation by the Committee</w:t>
      </w:r>
    </w:p>
    <w:p w14:paraId="52CDE747" w14:textId="06D67F29" w:rsidR="00B76B7C" w:rsidRPr="00A9211F" w:rsidRDefault="00B76B7C" w:rsidP="00EA5C8B">
      <w:pPr>
        <w:pStyle w:val="ListParagraph"/>
        <w:tabs>
          <w:tab w:val="left" w:pos="1701"/>
        </w:tabs>
        <w:ind w:left="1094"/>
        <w:jc w:val="both"/>
        <w:rPr>
          <w:rFonts w:asciiTheme="majorBidi" w:hAnsiTheme="majorBidi" w:cstheme="majorBidi"/>
          <w:sz w:val="20"/>
          <w:lang w:val="en-GB"/>
        </w:rPr>
      </w:pPr>
    </w:p>
    <w:p w14:paraId="0D0573A6" w14:textId="1DE1736F" w:rsidR="00183EB4" w:rsidRPr="00A9211F" w:rsidRDefault="00B76B7C"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Ireland deposited its instrument of ratification of the Convention on 20 June 2012, </w:t>
      </w:r>
      <w:r w:rsidR="008D096F" w:rsidRPr="00A9211F">
        <w:rPr>
          <w:rFonts w:asciiTheme="majorBidi" w:hAnsiTheme="majorBidi" w:cstheme="majorBidi"/>
          <w:sz w:val="20"/>
          <w:lang w:val="en-GB"/>
        </w:rPr>
        <w:t xml:space="preserve">and </w:t>
      </w:r>
      <w:r w:rsidRPr="00A9211F">
        <w:rPr>
          <w:rFonts w:asciiTheme="majorBidi" w:hAnsiTheme="majorBidi" w:cstheme="majorBidi"/>
          <w:sz w:val="20"/>
          <w:lang w:val="en-GB"/>
        </w:rPr>
        <w:t xml:space="preserve">the Convention entered into force </w:t>
      </w:r>
      <w:r w:rsidR="0047098B" w:rsidRPr="00A9211F">
        <w:rPr>
          <w:rFonts w:asciiTheme="majorBidi" w:hAnsiTheme="majorBidi" w:cstheme="majorBidi"/>
          <w:sz w:val="20"/>
          <w:lang w:val="en-GB"/>
        </w:rPr>
        <w:t>in</w:t>
      </w:r>
      <w:r w:rsidRPr="00A9211F">
        <w:rPr>
          <w:rFonts w:asciiTheme="majorBidi" w:hAnsiTheme="majorBidi" w:cstheme="majorBidi"/>
          <w:sz w:val="20"/>
          <w:lang w:val="en-GB"/>
        </w:rPr>
        <w:t xml:space="preserve"> Ireland on 18 September 2012</w:t>
      </w:r>
      <w:r w:rsidR="00B33B57" w:rsidRPr="00A9211F">
        <w:rPr>
          <w:rFonts w:asciiTheme="majorBidi" w:hAnsiTheme="majorBidi" w:cstheme="majorBidi"/>
          <w:sz w:val="20"/>
          <w:lang w:val="en-GB"/>
        </w:rPr>
        <w:t>,</w:t>
      </w:r>
      <w:r w:rsidRPr="00A9211F">
        <w:rPr>
          <w:rFonts w:asciiTheme="majorBidi" w:hAnsiTheme="majorBidi" w:cstheme="majorBidi"/>
          <w:sz w:val="20"/>
          <w:lang w:val="en-GB"/>
        </w:rPr>
        <w:t xml:space="preserve"> i.e. ninety days after the date of deposit of </w:t>
      </w:r>
      <w:r w:rsidR="0047098B" w:rsidRPr="00A9211F">
        <w:rPr>
          <w:rFonts w:asciiTheme="majorBidi" w:hAnsiTheme="majorBidi" w:cstheme="majorBidi"/>
          <w:sz w:val="20"/>
          <w:lang w:val="en-GB"/>
        </w:rPr>
        <w:t xml:space="preserve">its </w:t>
      </w:r>
      <w:r w:rsidRPr="00A9211F">
        <w:rPr>
          <w:rFonts w:asciiTheme="majorBidi" w:hAnsiTheme="majorBidi" w:cstheme="majorBidi"/>
          <w:sz w:val="20"/>
          <w:lang w:val="en-GB"/>
        </w:rPr>
        <w:t>instrument of ratification</w:t>
      </w:r>
      <w:r w:rsidR="00183EB4" w:rsidRPr="00A9211F">
        <w:rPr>
          <w:rFonts w:asciiTheme="majorBidi" w:hAnsiTheme="majorBidi" w:cstheme="majorBidi"/>
          <w:sz w:val="20"/>
          <w:lang w:val="en-GB"/>
        </w:rPr>
        <w:t>.</w:t>
      </w:r>
    </w:p>
    <w:p w14:paraId="6DD9014A" w14:textId="29A8404A" w:rsidR="00B76B7C" w:rsidRPr="00A9211F" w:rsidRDefault="00B76B7C" w:rsidP="00EA5C8B">
      <w:pPr>
        <w:pStyle w:val="ListParagraph"/>
        <w:tabs>
          <w:tab w:val="left" w:pos="1701"/>
        </w:tabs>
        <w:ind w:left="1094"/>
        <w:jc w:val="both"/>
        <w:rPr>
          <w:rFonts w:asciiTheme="majorBidi" w:hAnsiTheme="majorBidi" w:cstheme="majorBidi"/>
          <w:sz w:val="20"/>
          <w:lang w:val="en-GB"/>
        </w:rPr>
      </w:pPr>
    </w:p>
    <w:p w14:paraId="558289A9" w14:textId="36B7172C" w:rsidR="005D33F8" w:rsidRPr="00A9211F" w:rsidRDefault="00895FD7" w:rsidP="00EA5C8B">
      <w:pPr>
        <w:pStyle w:val="ListParagraph"/>
        <w:ind w:left="1094"/>
        <w:rPr>
          <w:rFonts w:asciiTheme="majorBidi" w:hAnsiTheme="majorBidi" w:cstheme="majorBidi"/>
          <w:b/>
          <w:sz w:val="20"/>
          <w:lang w:val="en-GB"/>
        </w:rPr>
      </w:pPr>
      <w:r w:rsidRPr="00A9211F">
        <w:rPr>
          <w:rFonts w:asciiTheme="majorBidi" w:hAnsiTheme="majorBidi" w:cstheme="majorBidi"/>
          <w:b/>
          <w:sz w:val="20"/>
          <w:szCs w:val="20"/>
        </w:rPr>
        <w:t xml:space="preserve">Article </w:t>
      </w:r>
      <w:r w:rsidR="00270E35" w:rsidRPr="00A9211F">
        <w:rPr>
          <w:rFonts w:asciiTheme="majorBidi" w:hAnsiTheme="majorBidi" w:cstheme="majorBidi"/>
          <w:b/>
          <w:sz w:val="20"/>
          <w:szCs w:val="20"/>
        </w:rPr>
        <w:t>4(1)</w:t>
      </w:r>
      <w:r w:rsidR="00632417" w:rsidRPr="00A9211F">
        <w:rPr>
          <w:rFonts w:asciiTheme="majorBidi" w:hAnsiTheme="majorBidi" w:cstheme="majorBidi"/>
          <w:b/>
          <w:sz w:val="20"/>
          <w:szCs w:val="20"/>
        </w:rPr>
        <w:t xml:space="preserve">, </w:t>
      </w:r>
      <w:r w:rsidR="00A56FA7" w:rsidRPr="00A9211F">
        <w:rPr>
          <w:rFonts w:asciiTheme="majorBidi" w:hAnsiTheme="majorBidi" w:cstheme="majorBidi"/>
          <w:b/>
          <w:sz w:val="20"/>
          <w:szCs w:val="20"/>
        </w:rPr>
        <w:t>(</w:t>
      </w:r>
      <w:r w:rsidRPr="00A9211F">
        <w:rPr>
          <w:rFonts w:asciiTheme="majorBidi" w:hAnsiTheme="majorBidi" w:cstheme="majorBidi"/>
          <w:b/>
          <w:sz w:val="20"/>
          <w:szCs w:val="20"/>
        </w:rPr>
        <w:t>2</w:t>
      </w:r>
      <w:r w:rsidR="00A56FA7" w:rsidRPr="00A9211F">
        <w:rPr>
          <w:rFonts w:asciiTheme="majorBidi" w:hAnsiTheme="majorBidi" w:cstheme="majorBidi"/>
          <w:b/>
          <w:sz w:val="20"/>
          <w:szCs w:val="20"/>
        </w:rPr>
        <w:t>)</w:t>
      </w:r>
      <w:r w:rsidRPr="00A9211F">
        <w:rPr>
          <w:rFonts w:asciiTheme="majorBidi" w:hAnsiTheme="majorBidi" w:cstheme="majorBidi"/>
          <w:b/>
          <w:sz w:val="20"/>
          <w:szCs w:val="20"/>
        </w:rPr>
        <w:t xml:space="preserve"> and </w:t>
      </w:r>
      <w:r w:rsidR="00A56FA7" w:rsidRPr="00A9211F">
        <w:rPr>
          <w:rFonts w:asciiTheme="majorBidi" w:hAnsiTheme="majorBidi" w:cstheme="majorBidi"/>
          <w:b/>
          <w:sz w:val="20"/>
          <w:szCs w:val="20"/>
        </w:rPr>
        <w:t>(</w:t>
      </w:r>
      <w:r w:rsidRPr="00A9211F">
        <w:rPr>
          <w:rFonts w:asciiTheme="majorBidi" w:hAnsiTheme="majorBidi" w:cstheme="majorBidi"/>
          <w:b/>
          <w:sz w:val="20"/>
          <w:szCs w:val="20"/>
        </w:rPr>
        <w:t>7</w:t>
      </w:r>
      <w:r w:rsidR="00A56FA7" w:rsidRPr="00A9211F">
        <w:rPr>
          <w:rFonts w:asciiTheme="majorBidi" w:hAnsiTheme="majorBidi" w:cstheme="majorBidi"/>
          <w:b/>
          <w:sz w:val="20"/>
          <w:szCs w:val="20"/>
        </w:rPr>
        <w:t>)</w:t>
      </w:r>
      <w:r w:rsidRPr="00A9211F">
        <w:rPr>
          <w:rFonts w:asciiTheme="majorBidi" w:hAnsiTheme="majorBidi" w:cstheme="majorBidi"/>
          <w:b/>
          <w:sz w:val="20"/>
          <w:szCs w:val="20"/>
        </w:rPr>
        <w:t xml:space="preserve"> </w:t>
      </w:r>
      <w:r w:rsidR="00B90804" w:rsidRPr="00A9211F">
        <w:rPr>
          <w:rFonts w:asciiTheme="majorBidi" w:hAnsiTheme="majorBidi" w:cstheme="majorBidi"/>
          <w:b/>
          <w:sz w:val="20"/>
          <w:szCs w:val="20"/>
        </w:rPr>
        <w:t xml:space="preserve">- </w:t>
      </w:r>
      <w:r w:rsidR="00B90804" w:rsidRPr="00A9211F">
        <w:rPr>
          <w:rFonts w:asciiTheme="majorBidi" w:hAnsiTheme="majorBidi" w:cstheme="majorBidi"/>
          <w:b/>
          <w:sz w:val="20"/>
          <w:lang w:val="en-GB"/>
        </w:rPr>
        <w:t>“</w:t>
      </w:r>
      <w:r w:rsidR="00B313C8" w:rsidRPr="00A9211F">
        <w:rPr>
          <w:rFonts w:asciiTheme="majorBidi" w:hAnsiTheme="majorBidi" w:cstheme="majorBidi"/>
          <w:b/>
          <w:sz w:val="20"/>
          <w:lang w:val="en-GB"/>
        </w:rPr>
        <w:t>t</w:t>
      </w:r>
      <w:r w:rsidR="00B90804" w:rsidRPr="00A9211F">
        <w:rPr>
          <w:rFonts w:asciiTheme="majorBidi" w:hAnsiTheme="majorBidi" w:cstheme="majorBidi"/>
          <w:b/>
          <w:sz w:val="20"/>
          <w:lang w:val="en-GB"/>
        </w:rPr>
        <w:t>hreshold jurisdictional issues</w:t>
      </w:r>
      <w:r w:rsidR="00411888" w:rsidRPr="00A9211F">
        <w:rPr>
          <w:rFonts w:asciiTheme="majorBidi" w:hAnsiTheme="majorBidi" w:cstheme="majorBidi"/>
          <w:b/>
          <w:sz w:val="20"/>
          <w:lang w:val="en-GB"/>
        </w:rPr>
        <w:t>”</w:t>
      </w:r>
    </w:p>
    <w:p w14:paraId="76E105DB" w14:textId="73606EAB" w:rsidR="00B90804" w:rsidRPr="00A9211F" w:rsidRDefault="00B90804" w:rsidP="00EA5C8B">
      <w:pPr>
        <w:pStyle w:val="ListParagraph"/>
        <w:ind w:left="1094"/>
        <w:rPr>
          <w:rFonts w:asciiTheme="majorBidi" w:hAnsiTheme="majorBidi" w:cstheme="majorBidi"/>
          <w:b/>
          <w:sz w:val="20"/>
          <w:lang w:val="en-GB"/>
        </w:rPr>
      </w:pPr>
      <w:r w:rsidRPr="00A9211F">
        <w:rPr>
          <w:rFonts w:asciiTheme="majorBidi" w:hAnsiTheme="majorBidi" w:cstheme="majorBidi"/>
          <w:b/>
          <w:sz w:val="20"/>
          <w:lang w:val="en-GB"/>
        </w:rPr>
        <w:t xml:space="preserve"> </w:t>
      </w:r>
    </w:p>
    <w:p w14:paraId="1FB7A5C7" w14:textId="48627C7D" w:rsidR="000268E3" w:rsidRPr="00A9211F" w:rsidRDefault="00AC3689"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28" w:name="_Ref533006823"/>
      <w:r w:rsidRPr="00A9211F">
        <w:rPr>
          <w:rFonts w:asciiTheme="majorBidi" w:hAnsiTheme="majorBidi" w:cstheme="majorBidi"/>
          <w:sz w:val="20"/>
          <w:lang w:val="en-GB"/>
        </w:rPr>
        <w:t>The communicant alleges that the Party concerned fails to comply with article 4</w:t>
      </w:r>
      <w:r w:rsidR="00513545" w:rsidRPr="00A9211F">
        <w:rPr>
          <w:rFonts w:asciiTheme="majorBidi" w:hAnsiTheme="majorBidi" w:cstheme="majorBidi"/>
          <w:sz w:val="20"/>
          <w:lang w:val="en-GB"/>
        </w:rPr>
        <w:t>(2) and (7)</w:t>
      </w:r>
      <w:r w:rsidRPr="00A9211F">
        <w:rPr>
          <w:rFonts w:asciiTheme="majorBidi" w:hAnsiTheme="majorBidi" w:cstheme="majorBidi"/>
          <w:sz w:val="20"/>
          <w:lang w:val="en-GB"/>
        </w:rPr>
        <w:t xml:space="preserve"> of the Convention </w:t>
      </w:r>
      <w:r w:rsidR="00632417" w:rsidRPr="00A9211F">
        <w:rPr>
          <w:rFonts w:asciiTheme="majorBidi" w:hAnsiTheme="majorBidi" w:cstheme="majorBidi"/>
          <w:sz w:val="20"/>
          <w:szCs w:val="20"/>
          <w:lang w:val="en-GB"/>
        </w:rPr>
        <w:t xml:space="preserve">due to a systemic failure by </w:t>
      </w:r>
      <w:r w:rsidR="00F067EB" w:rsidRPr="00A9211F">
        <w:rPr>
          <w:rFonts w:asciiTheme="majorBidi" w:hAnsiTheme="majorBidi" w:cstheme="majorBidi"/>
          <w:sz w:val="20"/>
          <w:szCs w:val="20"/>
          <w:lang w:val="en-GB"/>
        </w:rPr>
        <w:t xml:space="preserve">its </w:t>
      </w:r>
      <w:r w:rsidR="00632417" w:rsidRPr="00A9211F">
        <w:rPr>
          <w:rFonts w:asciiTheme="majorBidi" w:hAnsiTheme="majorBidi" w:cstheme="majorBidi"/>
          <w:sz w:val="20"/>
          <w:szCs w:val="20"/>
          <w:lang w:val="en-GB"/>
        </w:rPr>
        <w:t xml:space="preserve">public authorities to comply with the maximum two-month period prescribed in </w:t>
      </w:r>
      <w:r w:rsidR="00F067EB" w:rsidRPr="00A9211F">
        <w:rPr>
          <w:rFonts w:asciiTheme="majorBidi" w:hAnsiTheme="majorBidi" w:cstheme="majorBidi"/>
          <w:sz w:val="20"/>
          <w:szCs w:val="20"/>
          <w:lang w:val="en-GB"/>
        </w:rPr>
        <w:t>those provisions</w:t>
      </w:r>
      <w:r w:rsidR="00632417" w:rsidRPr="00A9211F">
        <w:rPr>
          <w:rFonts w:asciiTheme="majorBidi" w:hAnsiTheme="majorBidi" w:cstheme="majorBidi"/>
          <w:sz w:val="20"/>
          <w:szCs w:val="20"/>
          <w:lang w:val="en-GB"/>
        </w:rPr>
        <w:t xml:space="preserve"> when requests for access to environmental information </w:t>
      </w:r>
      <w:r w:rsidRPr="00A9211F">
        <w:rPr>
          <w:rFonts w:asciiTheme="majorBidi" w:hAnsiTheme="majorBidi" w:cstheme="majorBidi"/>
          <w:sz w:val="20"/>
          <w:lang w:val="en-GB"/>
        </w:rPr>
        <w:t>requests are refused on the basis that the entity to which the request is made is not a public authority or the information requested is not environmental information. In the Irish context, these two issues are referred to as “threshold jurisdictional issues”.</w:t>
      </w:r>
    </w:p>
    <w:p w14:paraId="62FF1E3E" w14:textId="77777777" w:rsidR="006277D7" w:rsidRPr="00A9211F" w:rsidRDefault="006277D7" w:rsidP="00EA5C8B">
      <w:pPr>
        <w:tabs>
          <w:tab w:val="left" w:pos="1701"/>
        </w:tabs>
        <w:jc w:val="both"/>
        <w:rPr>
          <w:rFonts w:asciiTheme="majorBidi" w:hAnsiTheme="majorBidi" w:cstheme="majorBidi"/>
          <w:sz w:val="20"/>
        </w:rPr>
      </w:pPr>
    </w:p>
    <w:p w14:paraId="3278A603" w14:textId="2900C6FB" w:rsidR="00226435" w:rsidRPr="00A9211F" w:rsidRDefault="001B2508"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As regards</w:t>
      </w:r>
      <w:r w:rsidR="00551DC5" w:rsidRPr="00A9211F">
        <w:rPr>
          <w:rFonts w:asciiTheme="majorBidi" w:hAnsiTheme="majorBidi" w:cstheme="majorBidi"/>
          <w:sz w:val="20"/>
          <w:lang w:val="en-GB"/>
        </w:rPr>
        <w:t xml:space="preserve"> </w:t>
      </w:r>
      <w:r w:rsidR="00270E35" w:rsidRPr="00A9211F">
        <w:rPr>
          <w:rFonts w:asciiTheme="majorBidi" w:hAnsiTheme="majorBidi" w:cstheme="majorBidi"/>
          <w:sz w:val="20"/>
          <w:lang w:val="en-GB"/>
        </w:rPr>
        <w:t xml:space="preserve">the allegation that the Party concerns fails to comply with the Convention because </w:t>
      </w:r>
      <w:r w:rsidR="00F067EB" w:rsidRPr="00A9211F">
        <w:rPr>
          <w:rFonts w:asciiTheme="majorBidi" w:hAnsiTheme="majorBidi" w:cstheme="majorBidi"/>
          <w:sz w:val="20"/>
          <w:lang w:val="en-GB"/>
        </w:rPr>
        <w:t xml:space="preserve">requests are refused on </w:t>
      </w:r>
      <w:r w:rsidR="00F77459" w:rsidRPr="00A9211F">
        <w:rPr>
          <w:rFonts w:asciiTheme="majorBidi" w:hAnsiTheme="majorBidi" w:cstheme="majorBidi"/>
          <w:sz w:val="20"/>
          <w:lang w:val="en-GB"/>
        </w:rPr>
        <w:t>the above grounds</w:t>
      </w:r>
      <w:r w:rsidR="00551DC5" w:rsidRPr="00A9211F">
        <w:rPr>
          <w:rFonts w:asciiTheme="majorBidi" w:hAnsiTheme="majorBidi" w:cstheme="majorBidi"/>
          <w:sz w:val="20"/>
          <w:lang w:val="en-GB"/>
        </w:rPr>
        <w:t>, the Committee considers that it</w:t>
      </w:r>
      <w:r w:rsidR="00F067EB" w:rsidRPr="00A9211F">
        <w:rPr>
          <w:rFonts w:asciiTheme="majorBidi" w:hAnsiTheme="majorBidi" w:cstheme="majorBidi"/>
          <w:sz w:val="20"/>
          <w:lang w:val="en-GB"/>
        </w:rPr>
        <w:t xml:space="preserve"> </w:t>
      </w:r>
      <w:r w:rsidR="00270E35" w:rsidRPr="00A9211F">
        <w:rPr>
          <w:rFonts w:asciiTheme="majorBidi" w:hAnsiTheme="majorBidi" w:cstheme="majorBidi"/>
          <w:sz w:val="20"/>
          <w:lang w:val="en-GB"/>
        </w:rPr>
        <w:t xml:space="preserve">does not relate to article 4(2) or (7), as the communicant argues. Rather, a failure to make environmental information held by a public authority available on these </w:t>
      </w:r>
      <w:r w:rsidR="00F77459" w:rsidRPr="00A9211F">
        <w:rPr>
          <w:rFonts w:asciiTheme="majorBidi" w:hAnsiTheme="majorBidi" w:cstheme="majorBidi"/>
          <w:sz w:val="20"/>
          <w:lang w:val="en-GB"/>
        </w:rPr>
        <w:t>grounds</w:t>
      </w:r>
      <w:r w:rsidR="00270E35" w:rsidRPr="00A9211F">
        <w:rPr>
          <w:rFonts w:asciiTheme="majorBidi" w:hAnsiTheme="majorBidi" w:cstheme="majorBidi"/>
          <w:sz w:val="20"/>
          <w:lang w:val="en-GB"/>
        </w:rPr>
        <w:t xml:space="preserve"> would amount to non-compliance with article 4(1). </w:t>
      </w:r>
      <w:r w:rsidR="00F77459" w:rsidRPr="00A9211F">
        <w:rPr>
          <w:rFonts w:asciiTheme="majorBidi" w:hAnsiTheme="majorBidi" w:cstheme="majorBidi"/>
          <w:sz w:val="20"/>
          <w:lang w:val="en-GB"/>
        </w:rPr>
        <w:t xml:space="preserve">However, as explained below, </w:t>
      </w:r>
      <w:r w:rsidR="00805B0C" w:rsidRPr="00A9211F">
        <w:rPr>
          <w:rFonts w:asciiTheme="majorBidi" w:hAnsiTheme="majorBidi" w:cstheme="majorBidi"/>
          <w:sz w:val="20"/>
          <w:lang w:val="en-GB"/>
        </w:rPr>
        <w:t xml:space="preserve">this </w:t>
      </w:r>
      <w:r w:rsidR="004B74A4" w:rsidRPr="00A9211F">
        <w:rPr>
          <w:rFonts w:asciiTheme="majorBidi" w:hAnsiTheme="majorBidi" w:cstheme="majorBidi"/>
          <w:sz w:val="20"/>
          <w:lang w:val="en-GB"/>
        </w:rPr>
        <w:t xml:space="preserve">has no </w:t>
      </w:r>
      <w:r w:rsidR="00805B0C" w:rsidRPr="00A9211F">
        <w:rPr>
          <w:rFonts w:asciiTheme="majorBidi" w:hAnsiTheme="majorBidi" w:cstheme="majorBidi"/>
          <w:sz w:val="20"/>
          <w:lang w:val="en-GB"/>
        </w:rPr>
        <w:t>impact on the Committee’s findings</w:t>
      </w:r>
      <w:r w:rsidR="00F77459" w:rsidRPr="00A9211F">
        <w:rPr>
          <w:rFonts w:asciiTheme="majorBidi" w:hAnsiTheme="majorBidi" w:cstheme="majorBidi"/>
          <w:sz w:val="20"/>
          <w:lang w:val="en-GB"/>
        </w:rPr>
        <w:t xml:space="preserve"> in the present case.</w:t>
      </w:r>
    </w:p>
    <w:p w14:paraId="59859BD4" w14:textId="77777777" w:rsidR="00226435" w:rsidRPr="00A9211F" w:rsidRDefault="00226435" w:rsidP="00EA5C8B">
      <w:pPr>
        <w:pStyle w:val="ListParagraph"/>
        <w:rPr>
          <w:rFonts w:asciiTheme="majorBidi" w:hAnsiTheme="majorBidi"/>
          <w:sz w:val="20"/>
          <w:lang w:val="en-GB"/>
        </w:rPr>
      </w:pPr>
    </w:p>
    <w:p w14:paraId="4CA1FA8F" w14:textId="19E2281E" w:rsidR="003900E4" w:rsidRPr="00A9211F" w:rsidRDefault="00F77459" w:rsidP="003721C5">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T</w:t>
      </w:r>
      <w:r w:rsidR="00E94D02" w:rsidRPr="00A9211F">
        <w:rPr>
          <w:rFonts w:asciiTheme="majorBidi" w:hAnsiTheme="majorBidi" w:cstheme="majorBidi"/>
          <w:sz w:val="20"/>
          <w:lang w:val="en-GB"/>
        </w:rPr>
        <w:t xml:space="preserve">he Committee considers that the fact that a proportion, even a substantial proportion, of requests </w:t>
      </w:r>
      <w:r w:rsidR="006277D7" w:rsidRPr="00A9211F">
        <w:rPr>
          <w:rFonts w:asciiTheme="majorBidi" w:hAnsiTheme="majorBidi" w:cstheme="majorBidi"/>
          <w:sz w:val="20"/>
          <w:lang w:val="en-GB"/>
        </w:rPr>
        <w:t>are</w:t>
      </w:r>
      <w:r w:rsidR="00341C87" w:rsidRPr="00A9211F">
        <w:rPr>
          <w:rFonts w:asciiTheme="majorBidi" w:hAnsiTheme="majorBidi" w:cstheme="majorBidi"/>
          <w:sz w:val="20"/>
          <w:lang w:val="en-GB"/>
        </w:rPr>
        <w:t xml:space="preserve"> </w:t>
      </w:r>
      <w:r w:rsidR="00E94D02" w:rsidRPr="00A9211F">
        <w:rPr>
          <w:rFonts w:asciiTheme="majorBidi" w:hAnsiTheme="majorBidi" w:cstheme="majorBidi"/>
          <w:sz w:val="20"/>
          <w:lang w:val="en-GB"/>
        </w:rPr>
        <w:t xml:space="preserve">refused on the basis that the entity to which the request is made is not a public authority or that the request does not concern environmental information </w:t>
      </w:r>
      <w:bookmarkEnd w:id="28"/>
      <w:r w:rsidR="00E94D02" w:rsidRPr="00A9211F">
        <w:rPr>
          <w:rFonts w:asciiTheme="majorBidi" w:hAnsiTheme="majorBidi" w:cstheme="majorBidi"/>
          <w:sz w:val="20"/>
          <w:lang w:val="en-GB"/>
        </w:rPr>
        <w:t xml:space="preserve">does not in itself </w:t>
      </w:r>
      <w:r w:rsidR="00AE136D" w:rsidRPr="00A9211F">
        <w:rPr>
          <w:rFonts w:asciiTheme="majorBidi" w:hAnsiTheme="majorBidi" w:cstheme="majorBidi"/>
          <w:sz w:val="20"/>
          <w:lang w:val="en-GB"/>
        </w:rPr>
        <w:t xml:space="preserve">amount to </w:t>
      </w:r>
      <w:r w:rsidR="00E94D02" w:rsidRPr="00A9211F">
        <w:rPr>
          <w:rFonts w:asciiTheme="majorBidi" w:hAnsiTheme="majorBidi" w:cstheme="majorBidi"/>
          <w:sz w:val="20"/>
          <w:lang w:val="en-GB"/>
        </w:rPr>
        <w:t>non</w:t>
      </w:r>
      <w:r w:rsidR="00270E35" w:rsidRPr="00A9211F">
        <w:rPr>
          <w:rFonts w:asciiTheme="majorBidi" w:hAnsiTheme="majorBidi" w:cstheme="majorBidi"/>
          <w:sz w:val="20"/>
          <w:lang w:val="en-GB"/>
        </w:rPr>
        <w:t>-</w:t>
      </w:r>
      <w:r w:rsidR="00E94D02" w:rsidRPr="00A9211F">
        <w:rPr>
          <w:rFonts w:asciiTheme="majorBidi" w:hAnsiTheme="majorBidi" w:cstheme="majorBidi"/>
          <w:sz w:val="20"/>
          <w:lang w:val="en-GB"/>
        </w:rPr>
        <w:t xml:space="preserve">compliance with the Convention. Rather, </w:t>
      </w:r>
      <w:r w:rsidR="00341C87" w:rsidRPr="00A9211F">
        <w:rPr>
          <w:rFonts w:asciiTheme="majorBidi" w:hAnsiTheme="majorBidi" w:cstheme="majorBidi"/>
          <w:sz w:val="20"/>
          <w:lang w:val="en-GB"/>
        </w:rPr>
        <w:t xml:space="preserve">the communicant would need to have shown that those cases were </w:t>
      </w:r>
      <w:r w:rsidR="00775BCA" w:rsidRPr="00A9211F">
        <w:rPr>
          <w:rFonts w:asciiTheme="majorBidi" w:hAnsiTheme="majorBidi" w:cstheme="majorBidi"/>
          <w:sz w:val="20"/>
          <w:lang w:val="en-GB"/>
        </w:rPr>
        <w:t xml:space="preserve">incorrectly </w:t>
      </w:r>
      <w:r w:rsidR="00341C87" w:rsidRPr="00A9211F">
        <w:rPr>
          <w:rFonts w:asciiTheme="majorBidi" w:hAnsiTheme="majorBidi" w:cstheme="majorBidi"/>
          <w:sz w:val="20"/>
          <w:lang w:val="en-GB"/>
        </w:rPr>
        <w:t>refused</w:t>
      </w:r>
      <w:r w:rsidR="00775BCA" w:rsidRPr="00A9211F">
        <w:rPr>
          <w:rFonts w:asciiTheme="majorBidi" w:hAnsiTheme="majorBidi" w:cstheme="majorBidi"/>
          <w:sz w:val="20"/>
          <w:lang w:val="en-GB"/>
        </w:rPr>
        <w:t xml:space="preserve"> on those grounds</w:t>
      </w:r>
      <w:r w:rsidR="00341C87" w:rsidRPr="00A9211F">
        <w:rPr>
          <w:rFonts w:asciiTheme="majorBidi" w:hAnsiTheme="majorBidi" w:cstheme="majorBidi"/>
          <w:sz w:val="20"/>
          <w:lang w:val="en-GB"/>
        </w:rPr>
        <w:t xml:space="preserve">. </w:t>
      </w:r>
      <w:r w:rsidR="006277D7" w:rsidRPr="00A9211F">
        <w:rPr>
          <w:rFonts w:asciiTheme="majorBidi" w:hAnsiTheme="majorBidi" w:cstheme="majorBidi"/>
          <w:sz w:val="20"/>
          <w:lang w:val="en-GB"/>
        </w:rPr>
        <w:t xml:space="preserve">The communicant has </w:t>
      </w:r>
      <w:r w:rsidR="00A71003" w:rsidRPr="00A9211F">
        <w:rPr>
          <w:rFonts w:asciiTheme="majorBidi" w:hAnsiTheme="majorBidi" w:cstheme="majorBidi"/>
          <w:sz w:val="20"/>
          <w:lang w:val="en-GB"/>
        </w:rPr>
        <w:t xml:space="preserve">adduced </w:t>
      </w:r>
      <w:r w:rsidR="006277D7" w:rsidRPr="00A9211F">
        <w:rPr>
          <w:rFonts w:asciiTheme="majorBidi" w:hAnsiTheme="majorBidi" w:cstheme="majorBidi"/>
          <w:sz w:val="20"/>
          <w:lang w:val="en-GB"/>
        </w:rPr>
        <w:t xml:space="preserve">no </w:t>
      </w:r>
      <w:r w:rsidR="00B33B57" w:rsidRPr="00A9211F">
        <w:rPr>
          <w:rFonts w:asciiTheme="majorBidi" w:hAnsiTheme="majorBidi" w:cstheme="majorBidi"/>
          <w:sz w:val="20"/>
          <w:lang w:val="en-GB"/>
        </w:rPr>
        <w:t xml:space="preserve">evidence to demonstrate that </w:t>
      </w:r>
      <w:r w:rsidR="005847BD" w:rsidRPr="00A9211F">
        <w:rPr>
          <w:rFonts w:asciiTheme="majorBidi" w:hAnsiTheme="majorBidi" w:cstheme="majorBidi"/>
          <w:sz w:val="20"/>
          <w:lang w:val="en-GB"/>
        </w:rPr>
        <w:t>requests</w:t>
      </w:r>
      <w:r w:rsidR="00B33B57" w:rsidRPr="00A9211F">
        <w:rPr>
          <w:rFonts w:asciiTheme="majorBidi" w:hAnsiTheme="majorBidi" w:cstheme="majorBidi"/>
          <w:sz w:val="20"/>
          <w:lang w:val="en-GB"/>
        </w:rPr>
        <w:t xml:space="preserve"> refused on </w:t>
      </w:r>
      <w:r w:rsidR="005847BD" w:rsidRPr="00A9211F">
        <w:rPr>
          <w:rFonts w:asciiTheme="majorBidi" w:hAnsiTheme="majorBidi" w:cstheme="majorBidi"/>
          <w:sz w:val="20"/>
          <w:lang w:val="en-GB"/>
        </w:rPr>
        <w:t>the ground</w:t>
      </w:r>
      <w:r w:rsidR="00C52959" w:rsidRPr="00A9211F">
        <w:rPr>
          <w:rFonts w:asciiTheme="majorBidi" w:hAnsiTheme="majorBidi" w:cstheme="majorBidi"/>
          <w:sz w:val="20"/>
          <w:lang w:val="en-GB"/>
        </w:rPr>
        <w:t>s</w:t>
      </w:r>
      <w:r w:rsidR="005847BD" w:rsidRPr="00A9211F">
        <w:rPr>
          <w:rFonts w:asciiTheme="majorBidi" w:hAnsiTheme="majorBidi" w:cstheme="majorBidi"/>
          <w:sz w:val="20"/>
          <w:lang w:val="en-GB"/>
        </w:rPr>
        <w:t xml:space="preserve"> that they </w:t>
      </w:r>
      <w:r w:rsidR="003721C5" w:rsidRPr="00A9211F">
        <w:rPr>
          <w:rFonts w:asciiTheme="majorBidi" w:hAnsiTheme="majorBidi" w:cstheme="majorBidi"/>
          <w:sz w:val="20"/>
          <w:lang w:val="en-GB"/>
        </w:rPr>
        <w:t>did</w:t>
      </w:r>
      <w:r w:rsidR="003721C5" w:rsidRPr="00A9211F">
        <w:rPr>
          <w:rFonts w:asciiTheme="majorBidi" w:hAnsiTheme="majorBidi"/>
          <w:sz w:val="20"/>
        </w:rPr>
        <w:t xml:space="preserve"> </w:t>
      </w:r>
      <w:r w:rsidR="006277D7" w:rsidRPr="00A9211F">
        <w:rPr>
          <w:rFonts w:asciiTheme="majorBidi" w:hAnsiTheme="majorBidi"/>
          <w:sz w:val="20"/>
        </w:rPr>
        <w:t xml:space="preserve">not </w:t>
      </w:r>
      <w:r w:rsidR="003721C5" w:rsidRPr="00A9211F">
        <w:rPr>
          <w:rFonts w:asciiTheme="majorBidi" w:hAnsiTheme="majorBidi" w:cstheme="majorBidi"/>
          <w:sz w:val="20"/>
        </w:rPr>
        <w:t xml:space="preserve">relate to </w:t>
      </w:r>
      <w:r w:rsidR="006277D7" w:rsidRPr="00A9211F">
        <w:rPr>
          <w:rFonts w:asciiTheme="majorBidi" w:hAnsiTheme="majorBidi"/>
          <w:sz w:val="20"/>
        </w:rPr>
        <w:t>environmental information or</w:t>
      </w:r>
      <w:r w:rsidR="006277D7" w:rsidRPr="00A9211F">
        <w:rPr>
          <w:rFonts w:asciiTheme="majorBidi" w:hAnsiTheme="majorBidi" w:cstheme="majorBidi"/>
          <w:sz w:val="20"/>
        </w:rPr>
        <w:t xml:space="preserve"> </w:t>
      </w:r>
      <w:r w:rsidR="003721C5" w:rsidRPr="00A9211F">
        <w:rPr>
          <w:rFonts w:asciiTheme="majorBidi" w:hAnsiTheme="majorBidi" w:cstheme="majorBidi"/>
          <w:sz w:val="20"/>
        </w:rPr>
        <w:t>were</w:t>
      </w:r>
      <w:r w:rsidR="003721C5" w:rsidRPr="00A9211F">
        <w:rPr>
          <w:rFonts w:asciiTheme="majorBidi" w:hAnsiTheme="majorBidi"/>
          <w:sz w:val="20"/>
        </w:rPr>
        <w:t xml:space="preserve"> </w:t>
      </w:r>
      <w:r w:rsidR="006277D7" w:rsidRPr="00A9211F">
        <w:rPr>
          <w:rFonts w:asciiTheme="majorBidi" w:hAnsiTheme="majorBidi"/>
          <w:sz w:val="20"/>
        </w:rPr>
        <w:t xml:space="preserve">not requested from a public authority </w:t>
      </w:r>
      <w:r w:rsidR="005847BD" w:rsidRPr="00A9211F">
        <w:rPr>
          <w:rFonts w:asciiTheme="majorBidi" w:hAnsiTheme="majorBidi"/>
          <w:sz w:val="20"/>
        </w:rPr>
        <w:t xml:space="preserve">were </w:t>
      </w:r>
      <w:r w:rsidR="006277D7" w:rsidRPr="00A9211F">
        <w:rPr>
          <w:rFonts w:asciiTheme="majorBidi" w:hAnsiTheme="majorBidi"/>
          <w:sz w:val="20"/>
        </w:rPr>
        <w:t xml:space="preserve">wrongly decided. </w:t>
      </w:r>
      <w:r w:rsidR="0076347D" w:rsidRPr="00A9211F">
        <w:rPr>
          <w:rFonts w:asciiTheme="majorBidi" w:hAnsiTheme="majorBidi"/>
          <w:sz w:val="20"/>
        </w:rPr>
        <w:t xml:space="preserve">Thus, the Committee considers the communicant’s allegation that the Party concerned fails to comply with article </w:t>
      </w:r>
      <w:r w:rsidR="00270E35" w:rsidRPr="00A9211F">
        <w:rPr>
          <w:rFonts w:asciiTheme="majorBidi" w:hAnsiTheme="majorBidi"/>
          <w:sz w:val="20"/>
        </w:rPr>
        <w:t>4(</w:t>
      </w:r>
      <w:r w:rsidR="00B00100" w:rsidRPr="00A9211F">
        <w:rPr>
          <w:rFonts w:asciiTheme="majorBidi" w:hAnsiTheme="majorBidi"/>
          <w:sz w:val="20"/>
        </w:rPr>
        <w:t>2</w:t>
      </w:r>
      <w:r w:rsidR="00270E35" w:rsidRPr="00A9211F">
        <w:rPr>
          <w:rFonts w:asciiTheme="majorBidi" w:hAnsiTheme="majorBidi"/>
          <w:sz w:val="20"/>
        </w:rPr>
        <w:t>)</w:t>
      </w:r>
      <w:r w:rsidR="00B00100" w:rsidRPr="00A9211F">
        <w:rPr>
          <w:rFonts w:asciiTheme="majorBidi" w:hAnsiTheme="majorBidi"/>
          <w:sz w:val="20"/>
        </w:rPr>
        <w:t xml:space="preserve"> and (7)</w:t>
      </w:r>
      <w:r w:rsidR="0076347D" w:rsidRPr="00A9211F">
        <w:rPr>
          <w:rFonts w:asciiTheme="majorBidi" w:hAnsiTheme="majorBidi"/>
          <w:sz w:val="20"/>
        </w:rPr>
        <w:t xml:space="preserve"> of the Convention due to the proportion of cases refused on “threshold jurisdictional issues” to be unsubstantiated.</w:t>
      </w:r>
      <w:r w:rsidR="00B00100" w:rsidRPr="00A9211F">
        <w:rPr>
          <w:rFonts w:asciiTheme="majorBidi" w:hAnsiTheme="majorBidi"/>
          <w:sz w:val="20"/>
        </w:rPr>
        <w:t xml:space="preserve"> For the same reason, the communicant has not demonstrated a breach of article 4(1) either.</w:t>
      </w:r>
    </w:p>
    <w:p w14:paraId="7D161EF4" w14:textId="77777777" w:rsidR="003900E4" w:rsidRPr="00A9211F" w:rsidRDefault="003900E4" w:rsidP="00EA5C8B">
      <w:pPr>
        <w:pStyle w:val="ListParagraph"/>
        <w:rPr>
          <w:rFonts w:asciiTheme="majorBidi" w:hAnsiTheme="majorBidi" w:cstheme="majorBidi"/>
          <w:sz w:val="20"/>
          <w:lang w:val="en-GB"/>
        </w:rPr>
      </w:pPr>
    </w:p>
    <w:p w14:paraId="54AE8321" w14:textId="42C10C11" w:rsidR="003900E4" w:rsidRPr="00A9211F" w:rsidRDefault="003900E4"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In addition, the Committee does not accept the communicant’s contention that, even where a public authority rejects a request on </w:t>
      </w:r>
      <w:r w:rsidR="00AC3689" w:rsidRPr="00A9211F">
        <w:rPr>
          <w:rFonts w:asciiTheme="majorBidi" w:hAnsiTheme="majorBidi" w:cstheme="majorBidi"/>
          <w:sz w:val="20"/>
          <w:lang w:val="en-GB"/>
        </w:rPr>
        <w:t xml:space="preserve">“threshold </w:t>
      </w:r>
      <w:r w:rsidRPr="00A9211F">
        <w:rPr>
          <w:rFonts w:asciiTheme="majorBidi" w:hAnsiTheme="majorBidi" w:cstheme="majorBidi"/>
          <w:sz w:val="20"/>
          <w:lang w:val="en-GB"/>
        </w:rPr>
        <w:t>jurisdictional grounds</w:t>
      </w:r>
      <w:r w:rsidR="00AC3689" w:rsidRPr="00A9211F">
        <w:rPr>
          <w:rFonts w:asciiTheme="majorBidi" w:hAnsiTheme="majorBidi" w:cstheme="majorBidi"/>
          <w:sz w:val="20"/>
          <w:lang w:val="en-GB"/>
        </w:rPr>
        <w:t>”</w:t>
      </w:r>
      <w:r w:rsidRPr="00A9211F">
        <w:rPr>
          <w:rFonts w:asciiTheme="majorBidi" w:hAnsiTheme="majorBidi" w:cstheme="majorBidi"/>
          <w:sz w:val="20"/>
          <w:lang w:val="en-GB"/>
        </w:rPr>
        <w:t xml:space="preserve">, it should still be required to deal with all the substantive points exhaustively.  The Convention </w:t>
      </w:r>
      <w:r w:rsidR="00A46895" w:rsidRPr="00A9211F">
        <w:rPr>
          <w:rFonts w:asciiTheme="majorBidi" w:hAnsiTheme="majorBidi" w:cstheme="majorBidi"/>
          <w:sz w:val="20"/>
          <w:lang w:val="en-GB"/>
        </w:rPr>
        <w:t xml:space="preserve">does not </w:t>
      </w:r>
      <w:r w:rsidRPr="00A9211F">
        <w:rPr>
          <w:rFonts w:asciiTheme="majorBidi" w:hAnsiTheme="majorBidi" w:cstheme="majorBidi"/>
          <w:sz w:val="20"/>
          <w:lang w:val="en-GB"/>
        </w:rPr>
        <w:t>require Parties to impose such a requirement on their public authorities</w:t>
      </w:r>
      <w:r w:rsidR="005847BD" w:rsidRPr="00A9211F">
        <w:rPr>
          <w:rFonts w:asciiTheme="majorBidi" w:hAnsiTheme="majorBidi" w:cstheme="majorBidi"/>
          <w:sz w:val="20"/>
          <w:lang w:val="en-GB"/>
        </w:rPr>
        <w:t xml:space="preserve">. </w:t>
      </w:r>
      <w:r w:rsidR="002D4813" w:rsidRPr="00A9211F">
        <w:rPr>
          <w:rFonts w:asciiTheme="majorBidi" w:hAnsiTheme="majorBidi" w:cstheme="majorBidi"/>
          <w:sz w:val="20"/>
          <w:lang w:val="en-GB"/>
        </w:rPr>
        <w:t>S</w:t>
      </w:r>
      <w:r w:rsidR="005847BD" w:rsidRPr="00A9211F">
        <w:rPr>
          <w:rFonts w:asciiTheme="majorBidi" w:hAnsiTheme="majorBidi" w:cstheme="majorBidi"/>
          <w:sz w:val="20"/>
          <w:lang w:val="en-GB"/>
        </w:rPr>
        <w:t xml:space="preserve">uch a step would </w:t>
      </w:r>
      <w:r w:rsidR="00AC3689" w:rsidRPr="00A9211F">
        <w:rPr>
          <w:rFonts w:asciiTheme="majorBidi" w:hAnsiTheme="majorBidi" w:cstheme="majorBidi"/>
          <w:sz w:val="20"/>
          <w:lang w:val="en-GB"/>
        </w:rPr>
        <w:t xml:space="preserve">be </w:t>
      </w:r>
      <w:r w:rsidR="005847BD" w:rsidRPr="00A9211F">
        <w:rPr>
          <w:rFonts w:asciiTheme="majorBidi" w:hAnsiTheme="majorBidi" w:cstheme="majorBidi"/>
          <w:sz w:val="20"/>
          <w:lang w:val="en-GB"/>
        </w:rPr>
        <w:t>illogical</w:t>
      </w:r>
      <w:r w:rsidRPr="00A9211F">
        <w:rPr>
          <w:rFonts w:asciiTheme="majorBidi" w:hAnsiTheme="majorBidi" w:cstheme="majorBidi"/>
          <w:sz w:val="20"/>
          <w:lang w:val="en-GB"/>
        </w:rPr>
        <w:t>,</w:t>
      </w:r>
      <w:r w:rsidR="005847BD" w:rsidRPr="00A9211F">
        <w:rPr>
          <w:rFonts w:asciiTheme="majorBidi" w:hAnsiTheme="majorBidi" w:cstheme="majorBidi"/>
          <w:sz w:val="20"/>
          <w:lang w:val="en-GB"/>
        </w:rPr>
        <w:t xml:space="preserve"> as it would </w:t>
      </w:r>
      <w:r w:rsidR="00AC3689" w:rsidRPr="00A9211F">
        <w:rPr>
          <w:rFonts w:asciiTheme="majorBidi" w:hAnsiTheme="majorBidi" w:cstheme="majorBidi"/>
          <w:sz w:val="20"/>
          <w:lang w:val="en-GB"/>
        </w:rPr>
        <w:t xml:space="preserve">mean that the Convention imposes </w:t>
      </w:r>
      <w:r w:rsidR="005847BD" w:rsidRPr="00A9211F">
        <w:rPr>
          <w:rFonts w:asciiTheme="majorBidi" w:hAnsiTheme="majorBidi" w:cstheme="majorBidi"/>
          <w:sz w:val="20"/>
          <w:lang w:val="en-GB"/>
        </w:rPr>
        <w:t>obligations regarding requests that have been determined to be outside the scope of the Convention</w:t>
      </w:r>
      <w:r w:rsidR="000D35B8" w:rsidRPr="00A9211F">
        <w:rPr>
          <w:rFonts w:asciiTheme="majorBidi" w:hAnsiTheme="majorBidi" w:cstheme="majorBidi"/>
          <w:sz w:val="20"/>
          <w:lang w:val="en-GB"/>
        </w:rPr>
        <w:t>.  Fu</w:t>
      </w:r>
      <w:r w:rsidR="007E4C88" w:rsidRPr="00A9211F">
        <w:rPr>
          <w:rFonts w:asciiTheme="majorBidi" w:hAnsiTheme="majorBidi" w:cstheme="majorBidi"/>
          <w:sz w:val="20"/>
          <w:lang w:val="en-GB"/>
        </w:rPr>
        <w:t>r</w:t>
      </w:r>
      <w:r w:rsidR="000D35B8" w:rsidRPr="00A9211F">
        <w:rPr>
          <w:rFonts w:asciiTheme="majorBidi" w:hAnsiTheme="majorBidi" w:cstheme="majorBidi"/>
          <w:sz w:val="20"/>
          <w:lang w:val="en-GB"/>
        </w:rPr>
        <w:t>thermore</w:t>
      </w:r>
      <w:r w:rsidR="005847BD" w:rsidRPr="00A9211F">
        <w:rPr>
          <w:rFonts w:asciiTheme="majorBidi" w:hAnsiTheme="majorBidi" w:cstheme="majorBidi"/>
          <w:sz w:val="20"/>
          <w:lang w:val="en-GB"/>
        </w:rPr>
        <w:t xml:space="preserve">, </w:t>
      </w:r>
      <w:r w:rsidR="000D35B8" w:rsidRPr="00A9211F">
        <w:rPr>
          <w:rFonts w:asciiTheme="majorBidi" w:hAnsiTheme="majorBidi" w:cstheme="majorBidi"/>
          <w:sz w:val="20"/>
          <w:lang w:val="en-GB"/>
        </w:rPr>
        <w:t xml:space="preserve">this </w:t>
      </w:r>
      <w:r w:rsidRPr="00A9211F">
        <w:rPr>
          <w:rFonts w:asciiTheme="majorBidi" w:hAnsiTheme="majorBidi" w:cstheme="majorBidi"/>
          <w:sz w:val="20"/>
          <w:lang w:val="en-GB"/>
        </w:rPr>
        <w:t xml:space="preserve">would be an unreasonable use of </w:t>
      </w:r>
      <w:r w:rsidR="005847BD" w:rsidRPr="00A9211F">
        <w:rPr>
          <w:rFonts w:asciiTheme="majorBidi" w:hAnsiTheme="majorBidi" w:cstheme="majorBidi"/>
          <w:sz w:val="20"/>
          <w:lang w:val="en-GB"/>
        </w:rPr>
        <w:t>public authorities’</w:t>
      </w:r>
      <w:r w:rsidRPr="00A9211F">
        <w:rPr>
          <w:rFonts w:asciiTheme="majorBidi" w:hAnsiTheme="majorBidi" w:cstheme="majorBidi"/>
          <w:sz w:val="20"/>
          <w:lang w:val="en-GB"/>
        </w:rPr>
        <w:t xml:space="preserve"> time and resources.</w:t>
      </w:r>
    </w:p>
    <w:p w14:paraId="3374C59B" w14:textId="77777777" w:rsidR="0076347D" w:rsidRPr="00A9211F" w:rsidRDefault="0076347D" w:rsidP="00EA5C8B">
      <w:pPr>
        <w:pStyle w:val="ListParagraph"/>
        <w:rPr>
          <w:rFonts w:asciiTheme="majorBidi" w:hAnsiTheme="majorBidi" w:cstheme="majorBidi"/>
          <w:sz w:val="20"/>
          <w:lang w:val="en-GB"/>
        </w:rPr>
      </w:pPr>
    </w:p>
    <w:p w14:paraId="28828D55" w14:textId="1297FF83" w:rsidR="0076347D" w:rsidRPr="00A9211F" w:rsidRDefault="0076347D"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Based on the above, the Committee </w:t>
      </w:r>
      <w:r w:rsidR="00B706FE" w:rsidRPr="00A9211F">
        <w:rPr>
          <w:rFonts w:asciiTheme="majorBidi" w:hAnsiTheme="majorBidi" w:cstheme="majorBidi"/>
          <w:sz w:val="20"/>
          <w:lang w:val="en-GB"/>
        </w:rPr>
        <w:t>finds</w:t>
      </w:r>
      <w:r w:rsidRPr="00A9211F">
        <w:rPr>
          <w:rFonts w:asciiTheme="majorBidi" w:hAnsiTheme="majorBidi" w:cstheme="majorBidi"/>
          <w:sz w:val="20"/>
          <w:lang w:val="en-GB"/>
        </w:rPr>
        <w:t xml:space="preserve"> the communicant’s allegation that the Party concerned fails to comply with article</w:t>
      </w:r>
      <w:r w:rsidR="00655525" w:rsidRPr="00A9211F">
        <w:rPr>
          <w:rFonts w:asciiTheme="majorBidi" w:hAnsiTheme="majorBidi" w:cstheme="majorBidi"/>
          <w:sz w:val="20"/>
          <w:lang w:val="en-GB"/>
        </w:rPr>
        <w:t xml:space="preserve"> </w:t>
      </w:r>
      <w:r w:rsidR="004055A0" w:rsidRPr="00A9211F">
        <w:rPr>
          <w:rFonts w:asciiTheme="majorBidi" w:hAnsiTheme="majorBidi" w:cstheme="majorBidi"/>
          <w:sz w:val="20"/>
          <w:lang w:val="en-GB"/>
        </w:rPr>
        <w:t>4(</w:t>
      </w:r>
      <w:r w:rsidR="00B00100" w:rsidRPr="00A9211F">
        <w:rPr>
          <w:rFonts w:asciiTheme="majorBidi" w:hAnsiTheme="majorBidi" w:cstheme="majorBidi"/>
          <w:sz w:val="20"/>
          <w:lang w:val="en-GB"/>
        </w:rPr>
        <w:t>2</w:t>
      </w:r>
      <w:r w:rsidR="004055A0" w:rsidRPr="00A9211F">
        <w:rPr>
          <w:rFonts w:asciiTheme="majorBidi" w:hAnsiTheme="majorBidi" w:cstheme="majorBidi"/>
          <w:sz w:val="20"/>
          <w:lang w:val="en-GB"/>
        </w:rPr>
        <w:t>)</w:t>
      </w:r>
      <w:r w:rsidRPr="00A9211F">
        <w:rPr>
          <w:rFonts w:asciiTheme="majorBidi" w:hAnsiTheme="majorBidi" w:cstheme="majorBidi"/>
          <w:sz w:val="20"/>
          <w:lang w:val="en-GB"/>
        </w:rPr>
        <w:t xml:space="preserve"> </w:t>
      </w:r>
      <w:r w:rsidR="00B00100" w:rsidRPr="00A9211F">
        <w:rPr>
          <w:rFonts w:asciiTheme="majorBidi" w:hAnsiTheme="majorBidi" w:cstheme="majorBidi"/>
          <w:sz w:val="20"/>
          <w:lang w:val="en-GB"/>
        </w:rPr>
        <w:t xml:space="preserve">and (7) </w:t>
      </w:r>
      <w:r w:rsidRPr="00A9211F">
        <w:rPr>
          <w:rFonts w:asciiTheme="majorBidi" w:hAnsiTheme="majorBidi" w:cstheme="majorBidi"/>
          <w:sz w:val="20"/>
          <w:lang w:val="en-GB"/>
        </w:rPr>
        <w:t xml:space="preserve">of the Convention due to the proportion of </w:t>
      </w:r>
      <w:r w:rsidR="00AE136D" w:rsidRPr="00A9211F">
        <w:rPr>
          <w:rFonts w:asciiTheme="majorBidi" w:hAnsiTheme="majorBidi" w:cstheme="majorBidi"/>
          <w:sz w:val="20"/>
          <w:lang w:val="en-GB"/>
        </w:rPr>
        <w:t>requests</w:t>
      </w:r>
      <w:r w:rsidRPr="00A9211F">
        <w:rPr>
          <w:rFonts w:asciiTheme="majorBidi" w:hAnsiTheme="majorBidi" w:cstheme="majorBidi"/>
          <w:sz w:val="20"/>
          <w:lang w:val="en-GB"/>
        </w:rPr>
        <w:t xml:space="preserve"> refused on “threshold jurisdictional issues” to be unsubstantiated</w:t>
      </w:r>
      <w:r w:rsidR="00F320A2" w:rsidRPr="00A9211F">
        <w:rPr>
          <w:rFonts w:asciiTheme="majorBidi" w:hAnsiTheme="majorBidi" w:cstheme="majorBidi"/>
          <w:sz w:val="20"/>
          <w:lang w:val="en-GB"/>
        </w:rPr>
        <w:t>,</w:t>
      </w:r>
      <w:r w:rsidR="00B00100" w:rsidRPr="00A9211F">
        <w:rPr>
          <w:rFonts w:asciiTheme="majorBidi" w:hAnsiTheme="majorBidi" w:cstheme="majorBidi"/>
          <w:sz w:val="20"/>
          <w:lang w:val="en-GB"/>
        </w:rPr>
        <w:t xml:space="preserve"> and the evidence provided does not demonstrate a breach of article 4(1) on this basis either.</w:t>
      </w:r>
      <w:r w:rsidR="00C37277" w:rsidRPr="00A9211F">
        <w:rPr>
          <w:rFonts w:asciiTheme="majorBidi" w:hAnsiTheme="majorBidi" w:cstheme="majorBidi"/>
          <w:sz w:val="20"/>
          <w:lang w:val="en-GB"/>
        </w:rPr>
        <w:t xml:space="preserve"> </w:t>
      </w:r>
    </w:p>
    <w:p w14:paraId="31F4817A" w14:textId="77777777" w:rsidR="003900E4" w:rsidRPr="00A9211F" w:rsidRDefault="003900E4" w:rsidP="00A9211F">
      <w:pPr>
        <w:pStyle w:val="ListParagraph"/>
        <w:ind w:left="1094"/>
        <w:rPr>
          <w:rFonts w:asciiTheme="majorBidi" w:hAnsiTheme="majorBidi"/>
          <w:b/>
          <w:sz w:val="20"/>
          <w:lang w:val="en-GB"/>
        </w:rPr>
      </w:pPr>
    </w:p>
    <w:p w14:paraId="2241EFBC" w14:textId="1521AE90" w:rsidR="00DF1E6C" w:rsidRPr="00A9211F" w:rsidRDefault="00DF1E6C" w:rsidP="00EA5C8B">
      <w:pPr>
        <w:tabs>
          <w:tab w:val="left" w:pos="1701"/>
        </w:tabs>
        <w:spacing w:after="120" w:line="240" w:lineRule="atLeast"/>
        <w:ind w:left="1094"/>
        <w:jc w:val="both"/>
        <w:outlineLvl w:val="0"/>
        <w:rPr>
          <w:rFonts w:asciiTheme="majorBidi" w:hAnsiTheme="majorBidi" w:cstheme="majorBidi"/>
          <w:b/>
          <w:sz w:val="20"/>
          <w:szCs w:val="20"/>
        </w:rPr>
      </w:pPr>
      <w:r w:rsidRPr="00A9211F">
        <w:rPr>
          <w:rFonts w:asciiTheme="majorBidi" w:hAnsiTheme="majorBidi" w:cstheme="majorBidi"/>
          <w:b/>
          <w:sz w:val="20"/>
          <w:szCs w:val="20"/>
        </w:rPr>
        <w:lastRenderedPageBreak/>
        <w:t>Article 9</w:t>
      </w:r>
      <w:r w:rsidR="00DB06E3" w:rsidRPr="00A9211F">
        <w:rPr>
          <w:rFonts w:asciiTheme="majorBidi" w:hAnsiTheme="majorBidi" w:cstheme="majorBidi"/>
          <w:b/>
          <w:sz w:val="20"/>
          <w:szCs w:val="20"/>
        </w:rPr>
        <w:t>(</w:t>
      </w:r>
      <w:r w:rsidRPr="00A9211F">
        <w:rPr>
          <w:rFonts w:asciiTheme="majorBidi" w:hAnsiTheme="majorBidi" w:cstheme="majorBidi"/>
          <w:b/>
          <w:sz w:val="20"/>
          <w:szCs w:val="20"/>
        </w:rPr>
        <w:t>1</w:t>
      </w:r>
      <w:r w:rsidR="00DB06E3" w:rsidRPr="00A9211F">
        <w:rPr>
          <w:rFonts w:asciiTheme="majorBidi" w:hAnsiTheme="majorBidi" w:cstheme="majorBidi"/>
          <w:b/>
          <w:sz w:val="20"/>
          <w:szCs w:val="20"/>
        </w:rPr>
        <w:t>)</w:t>
      </w:r>
      <w:r w:rsidRPr="00A9211F">
        <w:rPr>
          <w:rFonts w:asciiTheme="majorBidi" w:hAnsiTheme="majorBidi" w:cstheme="majorBidi"/>
          <w:b/>
          <w:sz w:val="20"/>
          <w:szCs w:val="20"/>
        </w:rPr>
        <w:t xml:space="preserve"> –</w:t>
      </w:r>
      <w:r w:rsidR="0002198D" w:rsidRPr="00A9211F">
        <w:rPr>
          <w:rFonts w:asciiTheme="majorBidi" w:hAnsiTheme="majorBidi" w:cstheme="majorBidi"/>
          <w:b/>
          <w:sz w:val="20"/>
          <w:szCs w:val="20"/>
        </w:rPr>
        <w:t xml:space="preserve"> expeditious review</w:t>
      </w:r>
    </w:p>
    <w:p w14:paraId="52E13F40" w14:textId="02F8B61B" w:rsidR="00B35CA9" w:rsidRPr="00A9211F" w:rsidRDefault="00B35CA9"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29" w:name="_Hlk39935190"/>
      <w:r w:rsidRPr="00A9211F">
        <w:rPr>
          <w:rFonts w:asciiTheme="majorBidi" w:hAnsiTheme="majorBidi" w:cstheme="majorBidi"/>
          <w:sz w:val="20"/>
          <w:lang w:val="en-GB"/>
        </w:rPr>
        <w:t xml:space="preserve">Article 9(1), first subparagraph, requires each Party </w:t>
      </w:r>
      <w:r w:rsidR="00ED6778" w:rsidRPr="00A9211F">
        <w:rPr>
          <w:rFonts w:asciiTheme="majorBidi" w:hAnsiTheme="majorBidi" w:cstheme="majorBidi"/>
          <w:sz w:val="20"/>
          <w:lang w:val="en-GB"/>
        </w:rPr>
        <w:t xml:space="preserve">to </w:t>
      </w:r>
      <w:r w:rsidRPr="00A9211F">
        <w:rPr>
          <w:rFonts w:asciiTheme="majorBidi" w:hAnsiTheme="majorBidi" w:cstheme="majorBidi"/>
          <w:sz w:val="20"/>
          <w:lang w:val="en-GB"/>
        </w:rPr>
        <w:t>ensure that any person who considers that his or her request for information under article 4 has been ignored, wrongfully refused or inadequately answered has access to a review procedure before a court of law or another independent and impartial body established by law.</w:t>
      </w:r>
    </w:p>
    <w:bookmarkEnd w:id="29"/>
    <w:p w14:paraId="26444FD2" w14:textId="77777777" w:rsidR="00B35CA9" w:rsidRPr="00A9211F" w:rsidRDefault="00B35CA9" w:rsidP="00EA5C8B">
      <w:pPr>
        <w:pStyle w:val="ListParagraph"/>
        <w:tabs>
          <w:tab w:val="left" w:pos="1701"/>
        </w:tabs>
        <w:ind w:left="1094"/>
        <w:jc w:val="both"/>
        <w:rPr>
          <w:rFonts w:asciiTheme="majorBidi" w:hAnsiTheme="majorBidi" w:cstheme="majorBidi"/>
          <w:sz w:val="20"/>
          <w:lang w:val="en-GB"/>
        </w:rPr>
      </w:pPr>
    </w:p>
    <w:p w14:paraId="25B6EF67" w14:textId="0ED39C44" w:rsidR="00B35CA9" w:rsidRPr="00A9211F" w:rsidRDefault="00B35CA9"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Pursuant to article 9(1), second subparagraph, in the circumstances where a Party provides for the review of information requests by a court of law, it must also ensure that any person requesting information has access to an expeditious procedure established by law that is free of charge or inexpensive for reconsideration by a public authority or review by an independent and impartial body other than a court of law. A Party is not required to ensure access to more than one expeditious review procedure fulfilling the requirements of article 9(1), second subparagraph.</w:t>
      </w:r>
    </w:p>
    <w:p w14:paraId="760AFA29" w14:textId="77777777" w:rsidR="00B35CA9" w:rsidRPr="00A9211F" w:rsidRDefault="00B35CA9" w:rsidP="00EA5C8B">
      <w:pPr>
        <w:pStyle w:val="ListParagraph"/>
        <w:tabs>
          <w:tab w:val="left" w:pos="1701"/>
        </w:tabs>
        <w:ind w:left="1094"/>
        <w:jc w:val="both"/>
        <w:rPr>
          <w:rFonts w:asciiTheme="majorBidi" w:hAnsiTheme="majorBidi" w:cstheme="majorBidi"/>
          <w:sz w:val="20"/>
          <w:lang w:val="en-GB"/>
        </w:rPr>
      </w:pPr>
    </w:p>
    <w:p w14:paraId="091BC7B8" w14:textId="26B6BA74" w:rsidR="00B35CA9" w:rsidRPr="00A9211F" w:rsidRDefault="00B706FE"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rPr>
        <w:t>For</w:t>
      </w:r>
      <w:r w:rsidR="00B35CA9" w:rsidRPr="00A9211F">
        <w:rPr>
          <w:rFonts w:asciiTheme="majorBidi" w:hAnsiTheme="majorBidi" w:cstheme="majorBidi"/>
          <w:sz w:val="20"/>
        </w:rPr>
        <w:t xml:space="preserve"> the Party concerned, that procedure is the internal review carried out by the public authority concerned pursuant to article 11(1) of the AIE Regulations, the initial procedure which must be requested by </w:t>
      </w:r>
      <w:r w:rsidR="00B35CA9" w:rsidRPr="00A9211F">
        <w:rPr>
          <w:rFonts w:asciiTheme="majorBidi" w:hAnsiTheme="majorBidi"/>
          <w:sz w:val="20"/>
        </w:rPr>
        <w:t>an applicant seeking review of an unsuccessful information request.</w:t>
      </w:r>
      <w:r w:rsidR="00B35CA9" w:rsidRPr="00A9211F">
        <w:rPr>
          <w:rFonts w:asciiTheme="majorBidi" w:hAnsiTheme="majorBidi" w:cstheme="majorBidi"/>
          <w:sz w:val="20"/>
        </w:rPr>
        <w:t xml:space="preserve"> </w:t>
      </w:r>
      <w:bookmarkStart w:id="30" w:name="_Ref42092962"/>
      <w:r w:rsidR="00B35CA9" w:rsidRPr="00A9211F">
        <w:rPr>
          <w:rFonts w:asciiTheme="majorBidi" w:hAnsiTheme="majorBidi" w:cstheme="majorBidi"/>
          <w:sz w:val="20"/>
          <w:lang w:val="en-GB"/>
        </w:rPr>
        <w:t>A</w:t>
      </w:r>
      <w:r w:rsidR="00B35CA9" w:rsidRPr="00A9211F">
        <w:rPr>
          <w:rFonts w:asciiTheme="majorBidi" w:hAnsiTheme="majorBidi"/>
          <w:sz w:val="20"/>
          <w:lang w:val="en-GB"/>
        </w:rPr>
        <w:t xml:space="preserve"> request</w:t>
      </w:r>
      <w:r w:rsidR="00B35CA9" w:rsidRPr="00A9211F">
        <w:rPr>
          <w:rFonts w:asciiTheme="majorBidi" w:hAnsiTheme="majorBidi" w:cstheme="majorBidi"/>
          <w:sz w:val="20"/>
          <w:lang w:val="en-GB"/>
        </w:rPr>
        <w:t xml:space="preserve"> for internal review under article 11(1)</w:t>
      </w:r>
      <w:r w:rsidR="00B35CA9" w:rsidRPr="00A9211F">
        <w:rPr>
          <w:rFonts w:asciiTheme="majorBidi" w:hAnsiTheme="majorBidi"/>
          <w:sz w:val="20"/>
          <w:lang w:val="en-GB"/>
        </w:rPr>
        <w:t xml:space="preserve"> is free of charge and, being laid down in article 11 of the AIE Regulations, is “established by law”. Article 11(3) imposes a one-month timeframe on all requests for internal review, regardless of volume or complexity.</w:t>
      </w:r>
      <w:bookmarkEnd w:id="30"/>
      <w:r w:rsidR="00B35CA9" w:rsidRPr="00A9211F">
        <w:rPr>
          <w:rFonts w:asciiTheme="majorBidi" w:hAnsiTheme="majorBidi"/>
          <w:sz w:val="20"/>
          <w:lang w:val="en-GB"/>
        </w:rPr>
        <w:t xml:space="preserve"> </w:t>
      </w:r>
    </w:p>
    <w:p w14:paraId="09C98C14" w14:textId="77777777" w:rsidR="00B35CA9" w:rsidRPr="00A9211F" w:rsidRDefault="00B35CA9" w:rsidP="00EA5C8B">
      <w:pPr>
        <w:pStyle w:val="ListParagraph"/>
        <w:rPr>
          <w:rFonts w:asciiTheme="majorBidi" w:hAnsiTheme="majorBidi" w:cstheme="majorBidi"/>
          <w:sz w:val="20"/>
          <w:lang w:val="en-GB"/>
        </w:rPr>
      </w:pPr>
    </w:p>
    <w:p w14:paraId="140F9184" w14:textId="7C363732" w:rsidR="00B35CA9" w:rsidRPr="00A9211F" w:rsidRDefault="00B35CA9"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sz w:val="20"/>
          <w:lang w:val="en-GB"/>
        </w:rPr>
        <w:t xml:space="preserve">In </w:t>
      </w:r>
      <w:r w:rsidRPr="00A9211F">
        <w:rPr>
          <w:rFonts w:asciiTheme="majorBidi" w:hAnsiTheme="majorBidi" w:cstheme="majorBidi"/>
          <w:sz w:val="20"/>
          <w:lang w:val="en-GB"/>
        </w:rPr>
        <w:t>its</w:t>
      </w:r>
      <w:r w:rsidRPr="00A9211F">
        <w:rPr>
          <w:rFonts w:asciiTheme="majorBidi" w:hAnsiTheme="majorBidi"/>
          <w:sz w:val="20"/>
          <w:lang w:val="en-GB"/>
        </w:rPr>
        <w:t xml:space="preserve"> findings on communication ACCC/C/2013/93 (Norway</w:t>
      </w:r>
      <w:r w:rsidRPr="00A9211F">
        <w:rPr>
          <w:rFonts w:asciiTheme="majorBidi" w:hAnsiTheme="majorBidi" w:cstheme="majorBidi"/>
          <w:sz w:val="20"/>
          <w:lang w:val="en-GB"/>
        </w:rPr>
        <w:t>), the Committee held that when considering “whether the procedure is “expeditious” or “timely” under article 9, paragraphs 1 and 4, respectively, the time limits set out in article 4, paragraphs 2 and 7, are indicative”</w:t>
      </w:r>
      <w:r w:rsidRPr="00A9211F">
        <w:rPr>
          <w:rStyle w:val="FootnoteReference"/>
          <w:lang w:val="en-GB"/>
        </w:rPr>
        <w:footnoteReference w:id="94"/>
      </w:r>
      <w:r w:rsidRPr="00A9211F">
        <w:rPr>
          <w:rFonts w:asciiTheme="majorBidi" w:hAnsiTheme="majorBidi" w:cstheme="majorBidi"/>
          <w:sz w:val="20"/>
          <w:lang w:val="en-GB"/>
        </w:rPr>
        <w:t>. In line with those findings</w:t>
      </w:r>
      <w:r w:rsidRPr="00A9211F">
        <w:rPr>
          <w:rFonts w:asciiTheme="majorBidi" w:hAnsiTheme="majorBidi"/>
          <w:sz w:val="20"/>
          <w:lang w:val="en-GB"/>
        </w:rPr>
        <w:t xml:space="preserve">, </w:t>
      </w:r>
      <w:r w:rsidR="00B706FE" w:rsidRPr="00A9211F">
        <w:rPr>
          <w:rFonts w:asciiTheme="majorBidi" w:hAnsiTheme="majorBidi"/>
          <w:sz w:val="20"/>
          <w:lang w:val="en-GB"/>
        </w:rPr>
        <w:t xml:space="preserve">the Committee considers that </w:t>
      </w:r>
      <w:r w:rsidRPr="00A9211F">
        <w:rPr>
          <w:rFonts w:asciiTheme="majorBidi" w:hAnsiTheme="majorBidi"/>
          <w:sz w:val="20"/>
          <w:lang w:val="en-GB"/>
        </w:rPr>
        <w:t xml:space="preserve">the time-limit for internal review under article 11(3) of the AIE Regulations accords with </w:t>
      </w:r>
      <w:r w:rsidR="00740909" w:rsidRPr="00A9211F">
        <w:rPr>
          <w:rFonts w:asciiTheme="majorBidi" w:hAnsiTheme="majorBidi"/>
          <w:sz w:val="20"/>
          <w:lang w:val="en-GB"/>
        </w:rPr>
        <w:t xml:space="preserve">the one-month limit </w:t>
      </w:r>
      <w:r w:rsidRPr="00A9211F">
        <w:rPr>
          <w:rFonts w:asciiTheme="majorBidi" w:hAnsiTheme="majorBidi"/>
          <w:sz w:val="20"/>
          <w:lang w:val="en-GB"/>
        </w:rPr>
        <w:t xml:space="preserve">set </w:t>
      </w:r>
      <w:r w:rsidR="00CD5625" w:rsidRPr="00A9211F">
        <w:rPr>
          <w:rFonts w:asciiTheme="majorBidi" w:hAnsiTheme="majorBidi"/>
          <w:sz w:val="20"/>
          <w:lang w:val="en-GB"/>
        </w:rPr>
        <w:t xml:space="preserve">by </w:t>
      </w:r>
      <w:r w:rsidRPr="00A9211F">
        <w:rPr>
          <w:rFonts w:asciiTheme="majorBidi" w:hAnsiTheme="majorBidi"/>
          <w:sz w:val="20"/>
          <w:lang w:val="en-GB"/>
        </w:rPr>
        <w:t xml:space="preserve">article 4(2) and (7) of the Convention. </w:t>
      </w:r>
    </w:p>
    <w:p w14:paraId="344E3BE9" w14:textId="77777777" w:rsidR="00B35CA9" w:rsidRPr="00A9211F" w:rsidRDefault="00B35CA9" w:rsidP="00EA5C8B">
      <w:pPr>
        <w:pStyle w:val="ListParagraph"/>
        <w:rPr>
          <w:rFonts w:asciiTheme="majorBidi" w:hAnsiTheme="majorBidi" w:cstheme="majorBidi"/>
          <w:sz w:val="20"/>
          <w:lang w:val="en-GB"/>
        </w:rPr>
      </w:pPr>
    </w:p>
    <w:p w14:paraId="385D3402" w14:textId="041FBBB4" w:rsidR="00B35CA9" w:rsidRPr="00A9211F" w:rsidRDefault="00930844"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31" w:name="_Ref40105914"/>
      <w:bookmarkStart w:id="32" w:name="_Ref42092974"/>
      <w:r w:rsidRPr="00A9211F">
        <w:rPr>
          <w:rFonts w:asciiTheme="majorBidi" w:hAnsiTheme="majorBidi" w:cstheme="majorBidi"/>
          <w:sz w:val="20"/>
          <w:lang w:val="en-GB"/>
        </w:rPr>
        <w:t>Consequently</w:t>
      </w:r>
      <w:r w:rsidR="00B35CA9" w:rsidRPr="00A9211F">
        <w:rPr>
          <w:rFonts w:asciiTheme="majorBidi" w:hAnsiTheme="majorBidi" w:cstheme="majorBidi"/>
          <w:sz w:val="20"/>
          <w:lang w:val="en-GB"/>
        </w:rPr>
        <w:t xml:space="preserve">, the Committee </w:t>
      </w:r>
      <w:r w:rsidR="000E6A69" w:rsidRPr="00A9211F">
        <w:rPr>
          <w:rFonts w:asciiTheme="majorBidi" w:hAnsiTheme="majorBidi" w:cstheme="majorBidi"/>
          <w:sz w:val="20"/>
          <w:lang w:val="en-GB"/>
        </w:rPr>
        <w:t>finds</w:t>
      </w:r>
      <w:r w:rsidR="00B35CA9" w:rsidRPr="00A9211F">
        <w:rPr>
          <w:rFonts w:asciiTheme="majorBidi" w:hAnsiTheme="majorBidi" w:cstheme="majorBidi"/>
          <w:sz w:val="20"/>
          <w:lang w:val="en-GB"/>
        </w:rPr>
        <w:t xml:space="preserve"> that</w:t>
      </w:r>
      <w:r w:rsidR="006D5E12" w:rsidRPr="00A9211F">
        <w:rPr>
          <w:rFonts w:asciiTheme="majorBidi" w:hAnsiTheme="majorBidi" w:cstheme="majorBidi"/>
          <w:sz w:val="20"/>
          <w:lang w:val="en-GB"/>
        </w:rPr>
        <w:t xml:space="preserve"> </w:t>
      </w:r>
      <w:r w:rsidR="00B35CA9" w:rsidRPr="00A9211F">
        <w:rPr>
          <w:rFonts w:asciiTheme="majorBidi" w:hAnsiTheme="majorBidi" w:cstheme="majorBidi"/>
          <w:sz w:val="20"/>
          <w:lang w:val="en-GB"/>
        </w:rPr>
        <w:t xml:space="preserve">the legal framework of the Party concerned </w:t>
      </w:r>
      <w:r w:rsidR="00AB2425" w:rsidRPr="00A9211F">
        <w:rPr>
          <w:rFonts w:asciiTheme="majorBidi" w:hAnsiTheme="majorBidi" w:cstheme="majorBidi"/>
          <w:sz w:val="20"/>
          <w:lang w:val="en-GB"/>
        </w:rPr>
        <w:t xml:space="preserve">does not fail to comply with </w:t>
      </w:r>
      <w:r w:rsidR="00B35CA9" w:rsidRPr="00A9211F">
        <w:rPr>
          <w:rFonts w:asciiTheme="majorBidi" w:hAnsiTheme="majorBidi" w:cstheme="majorBidi"/>
          <w:sz w:val="20"/>
          <w:lang w:val="en-GB"/>
        </w:rPr>
        <w:t xml:space="preserve">the requirement in article 9(1), second </w:t>
      </w:r>
      <w:r w:rsidR="00740909" w:rsidRPr="00A9211F">
        <w:rPr>
          <w:rFonts w:asciiTheme="majorBidi" w:hAnsiTheme="majorBidi" w:cstheme="majorBidi"/>
          <w:sz w:val="20"/>
          <w:lang w:val="en-GB"/>
        </w:rPr>
        <w:t>sub</w:t>
      </w:r>
      <w:r w:rsidR="00B35CA9" w:rsidRPr="00A9211F">
        <w:rPr>
          <w:rFonts w:asciiTheme="majorBidi" w:hAnsiTheme="majorBidi" w:cstheme="majorBidi"/>
          <w:sz w:val="20"/>
          <w:lang w:val="en-GB"/>
        </w:rPr>
        <w:t>paragraph, to provide access to an expeditious procedure established by law that is free of charge for reconsideration by a public authority.</w:t>
      </w:r>
      <w:bookmarkEnd w:id="31"/>
      <w:bookmarkEnd w:id="32"/>
      <w:r w:rsidR="00AB2425" w:rsidRPr="00A9211F">
        <w:rPr>
          <w:rFonts w:asciiTheme="majorBidi" w:hAnsiTheme="majorBidi" w:cstheme="majorBidi"/>
          <w:sz w:val="20"/>
          <w:lang w:val="en-GB"/>
        </w:rPr>
        <w:t xml:space="preserve"> </w:t>
      </w:r>
    </w:p>
    <w:p w14:paraId="73931D47" w14:textId="77777777" w:rsidR="00345D13" w:rsidRPr="00A9211F" w:rsidRDefault="00345D13" w:rsidP="00EA5C8B">
      <w:pPr>
        <w:pStyle w:val="ListParagraph"/>
        <w:tabs>
          <w:tab w:val="left" w:pos="1701"/>
        </w:tabs>
        <w:ind w:left="1094"/>
        <w:jc w:val="both"/>
        <w:rPr>
          <w:rFonts w:asciiTheme="majorBidi" w:hAnsiTheme="majorBidi" w:cstheme="majorBidi"/>
          <w:b/>
          <w:bCs/>
          <w:sz w:val="20"/>
          <w:lang w:val="en-GB"/>
        </w:rPr>
      </w:pPr>
    </w:p>
    <w:p w14:paraId="66E1E8F4" w14:textId="3FBA9280" w:rsidR="00A130D5" w:rsidRPr="00A9211F" w:rsidRDefault="00A130D5" w:rsidP="00EA5C8B">
      <w:pPr>
        <w:pStyle w:val="ListParagraph"/>
        <w:tabs>
          <w:tab w:val="left" w:pos="1701"/>
        </w:tabs>
        <w:ind w:left="1094"/>
        <w:jc w:val="both"/>
        <w:rPr>
          <w:rFonts w:asciiTheme="majorBidi" w:hAnsiTheme="majorBidi" w:cstheme="majorBidi"/>
          <w:b/>
          <w:bCs/>
          <w:sz w:val="20"/>
          <w:lang w:val="en-GB"/>
        </w:rPr>
      </w:pPr>
      <w:r w:rsidRPr="00A9211F">
        <w:rPr>
          <w:rFonts w:asciiTheme="majorBidi" w:hAnsiTheme="majorBidi" w:cstheme="majorBidi"/>
          <w:b/>
          <w:bCs/>
          <w:sz w:val="20"/>
          <w:lang w:val="en-GB"/>
        </w:rPr>
        <w:t>Article 9(1) – scope of review</w:t>
      </w:r>
    </w:p>
    <w:p w14:paraId="0D4D79F6" w14:textId="704C94FA" w:rsidR="00A130D5" w:rsidRPr="00A9211F" w:rsidRDefault="00A130D5" w:rsidP="00EA5C8B">
      <w:pPr>
        <w:pStyle w:val="ListParagraph"/>
        <w:tabs>
          <w:tab w:val="left" w:pos="1701"/>
        </w:tabs>
        <w:ind w:left="1094"/>
        <w:jc w:val="both"/>
        <w:rPr>
          <w:rFonts w:asciiTheme="majorBidi" w:hAnsiTheme="majorBidi" w:cstheme="majorBidi"/>
          <w:sz w:val="20"/>
          <w:lang w:val="en-GB"/>
        </w:rPr>
      </w:pPr>
    </w:p>
    <w:p w14:paraId="44FC2704" w14:textId="645B48C7" w:rsidR="00A130D5" w:rsidRPr="00A9211F" w:rsidRDefault="00A130D5"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The communicant alleges that </w:t>
      </w:r>
      <w:r w:rsidR="0027471A" w:rsidRPr="00A9211F">
        <w:rPr>
          <w:rFonts w:asciiTheme="majorBidi" w:hAnsiTheme="majorBidi" w:cstheme="majorBidi"/>
          <w:sz w:val="20"/>
          <w:lang w:val="en-GB"/>
        </w:rPr>
        <w:t xml:space="preserve">the </w:t>
      </w:r>
      <w:r w:rsidR="008A0F27" w:rsidRPr="00A9211F">
        <w:rPr>
          <w:rFonts w:asciiTheme="majorBidi" w:hAnsiTheme="majorBidi" w:cstheme="majorBidi"/>
          <w:sz w:val="20"/>
          <w:lang w:val="en-GB"/>
        </w:rPr>
        <w:t xml:space="preserve">Party concerned fails to comply with the Convention because </w:t>
      </w:r>
      <w:r w:rsidR="0093351F" w:rsidRPr="00A9211F">
        <w:rPr>
          <w:rFonts w:asciiTheme="majorBidi" w:hAnsiTheme="majorBidi" w:cstheme="majorBidi"/>
          <w:sz w:val="20"/>
          <w:lang w:val="en-GB"/>
        </w:rPr>
        <w:t>the Irish courts do not have full jurisdiction to review the acts or omissions of public authorities in respect of AIE requests,</w:t>
      </w:r>
      <w:r w:rsidR="008A0F27" w:rsidRPr="00A9211F">
        <w:rPr>
          <w:rFonts w:asciiTheme="majorBidi" w:hAnsiTheme="majorBidi" w:cstheme="majorBidi"/>
          <w:sz w:val="20"/>
          <w:lang w:val="en-GB"/>
        </w:rPr>
        <w:t xml:space="preserve"> but </w:t>
      </w:r>
      <w:r w:rsidR="0093351F" w:rsidRPr="00A9211F">
        <w:rPr>
          <w:rFonts w:asciiTheme="majorBidi" w:hAnsiTheme="majorBidi" w:cstheme="majorBidi"/>
          <w:sz w:val="20"/>
          <w:lang w:val="en-GB"/>
        </w:rPr>
        <w:t xml:space="preserve">only review </w:t>
      </w:r>
      <w:r w:rsidR="00C52959" w:rsidRPr="00A9211F">
        <w:rPr>
          <w:rFonts w:asciiTheme="majorBidi" w:hAnsiTheme="majorBidi" w:cstheme="majorBidi"/>
          <w:sz w:val="20"/>
          <w:lang w:val="en-GB"/>
        </w:rPr>
        <w:t xml:space="preserve">the decision of the OCEI </w:t>
      </w:r>
      <w:r w:rsidR="0093351F" w:rsidRPr="00A9211F">
        <w:rPr>
          <w:rFonts w:asciiTheme="majorBidi" w:hAnsiTheme="majorBidi" w:cstheme="majorBidi"/>
          <w:sz w:val="20"/>
          <w:lang w:val="en-GB"/>
        </w:rPr>
        <w:t>on point</w:t>
      </w:r>
      <w:r w:rsidR="00A10747" w:rsidRPr="00A9211F">
        <w:rPr>
          <w:rFonts w:asciiTheme="majorBidi" w:hAnsiTheme="majorBidi" w:cstheme="majorBidi"/>
          <w:sz w:val="20"/>
          <w:lang w:val="en-GB"/>
        </w:rPr>
        <w:t>s</w:t>
      </w:r>
      <w:r w:rsidR="0093351F" w:rsidRPr="00A9211F">
        <w:rPr>
          <w:rFonts w:asciiTheme="majorBidi" w:hAnsiTheme="majorBidi" w:cstheme="majorBidi"/>
          <w:sz w:val="20"/>
          <w:lang w:val="en-GB"/>
        </w:rPr>
        <w:t xml:space="preserve"> of law</w:t>
      </w:r>
      <w:r w:rsidR="008A0F27" w:rsidRPr="00A9211F">
        <w:rPr>
          <w:rFonts w:asciiTheme="majorBidi" w:hAnsiTheme="majorBidi" w:cstheme="majorBidi"/>
          <w:sz w:val="20"/>
          <w:lang w:val="en-GB"/>
        </w:rPr>
        <w:t>.</w:t>
      </w:r>
    </w:p>
    <w:p w14:paraId="186D3362" w14:textId="36EEAE85" w:rsidR="0093351F" w:rsidRPr="00A9211F" w:rsidRDefault="0093351F" w:rsidP="00EA5C8B">
      <w:pPr>
        <w:pStyle w:val="ListParagraph"/>
        <w:tabs>
          <w:tab w:val="left" w:pos="1701"/>
        </w:tabs>
        <w:ind w:left="1094"/>
        <w:jc w:val="both"/>
        <w:rPr>
          <w:rFonts w:asciiTheme="majorBidi" w:hAnsiTheme="majorBidi" w:cstheme="majorBidi"/>
          <w:sz w:val="20"/>
          <w:lang w:val="en-GB"/>
        </w:rPr>
      </w:pPr>
    </w:p>
    <w:p w14:paraId="151FC298" w14:textId="4D802E9E" w:rsidR="006F0A11" w:rsidRPr="00A9211F" w:rsidRDefault="006F0A11"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The AIE Regulations provide for three tiers of review procedures of requests for environmental information. First, applicant</w:t>
      </w:r>
      <w:r w:rsidR="00FB0D6C" w:rsidRPr="00A9211F">
        <w:rPr>
          <w:rFonts w:asciiTheme="majorBidi" w:hAnsiTheme="majorBidi" w:cstheme="majorBidi"/>
          <w:sz w:val="20"/>
          <w:lang w:val="en-GB"/>
        </w:rPr>
        <w:t>s</w:t>
      </w:r>
      <w:r w:rsidRPr="00A9211F">
        <w:rPr>
          <w:rFonts w:asciiTheme="majorBidi" w:hAnsiTheme="majorBidi" w:cstheme="majorBidi"/>
          <w:sz w:val="20"/>
          <w:lang w:val="en-GB"/>
        </w:rPr>
        <w:t xml:space="preserve"> may submit a request for internal review to the public authority concerned. </w:t>
      </w:r>
      <w:r w:rsidR="00FB0D6C" w:rsidRPr="00A9211F">
        <w:rPr>
          <w:rFonts w:asciiTheme="majorBidi" w:hAnsiTheme="majorBidi" w:cstheme="majorBidi"/>
          <w:sz w:val="20"/>
          <w:lang w:val="en-GB"/>
        </w:rPr>
        <w:t xml:space="preserve"> </w:t>
      </w:r>
      <w:r w:rsidRPr="00A9211F">
        <w:rPr>
          <w:rFonts w:asciiTheme="majorBidi" w:hAnsiTheme="majorBidi" w:cstheme="majorBidi"/>
          <w:sz w:val="20"/>
          <w:lang w:val="en-GB"/>
        </w:rPr>
        <w:t>Second, if the</w:t>
      </w:r>
      <w:r w:rsidR="00FB0D6C" w:rsidRPr="00A9211F">
        <w:rPr>
          <w:rFonts w:asciiTheme="majorBidi" w:hAnsiTheme="majorBidi" w:cstheme="majorBidi"/>
          <w:sz w:val="20"/>
          <w:lang w:val="en-GB"/>
        </w:rPr>
        <w:t>y</w:t>
      </w:r>
      <w:r w:rsidRPr="00A9211F">
        <w:rPr>
          <w:rFonts w:asciiTheme="majorBidi" w:hAnsiTheme="majorBidi" w:cstheme="majorBidi"/>
          <w:sz w:val="20"/>
          <w:lang w:val="en-GB"/>
        </w:rPr>
        <w:t xml:space="preserve"> </w:t>
      </w:r>
      <w:r w:rsidR="00FB0D6C" w:rsidRPr="00A9211F">
        <w:rPr>
          <w:rFonts w:asciiTheme="majorBidi" w:hAnsiTheme="majorBidi" w:cstheme="majorBidi"/>
          <w:sz w:val="20"/>
          <w:lang w:val="en-GB"/>
        </w:rPr>
        <w:t>are dis</w:t>
      </w:r>
      <w:r w:rsidRPr="00A9211F">
        <w:rPr>
          <w:rFonts w:asciiTheme="majorBidi" w:hAnsiTheme="majorBidi" w:cstheme="majorBidi"/>
          <w:sz w:val="20"/>
          <w:lang w:val="en-GB"/>
        </w:rPr>
        <w:t xml:space="preserve">satisfied with the outcome of the internal review, </w:t>
      </w:r>
      <w:r w:rsidR="00FB0D6C" w:rsidRPr="00A9211F">
        <w:rPr>
          <w:rFonts w:asciiTheme="majorBidi" w:hAnsiTheme="majorBidi" w:cstheme="majorBidi"/>
          <w:sz w:val="20"/>
          <w:lang w:val="en-GB"/>
        </w:rPr>
        <w:t xml:space="preserve">they </w:t>
      </w:r>
      <w:r w:rsidRPr="00A9211F">
        <w:rPr>
          <w:rFonts w:asciiTheme="majorBidi" w:hAnsiTheme="majorBidi" w:cstheme="majorBidi"/>
          <w:sz w:val="20"/>
          <w:lang w:val="en-GB"/>
        </w:rPr>
        <w:t xml:space="preserve">can apply to the OCEI. Finally, if </w:t>
      </w:r>
      <w:r w:rsidR="00FB0D6C" w:rsidRPr="00A9211F">
        <w:rPr>
          <w:rFonts w:asciiTheme="majorBidi" w:hAnsiTheme="majorBidi" w:cstheme="majorBidi"/>
          <w:sz w:val="20"/>
          <w:lang w:val="en-GB"/>
        </w:rPr>
        <w:t>they are dis</w:t>
      </w:r>
      <w:r w:rsidRPr="00A9211F">
        <w:rPr>
          <w:rFonts w:asciiTheme="majorBidi" w:hAnsiTheme="majorBidi" w:cstheme="majorBidi"/>
          <w:sz w:val="20"/>
          <w:lang w:val="en-GB"/>
        </w:rPr>
        <w:t xml:space="preserve">satisfied with the </w:t>
      </w:r>
      <w:r w:rsidR="00ED6778" w:rsidRPr="00A9211F">
        <w:rPr>
          <w:rFonts w:asciiTheme="majorBidi" w:hAnsiTheme="majorBidi" w:cstheme="majorBidi"/>
          <w:sz w:val="20"/>
          <w:lang w:val="en-GB"/>
        </w:rPr>
        <w:t xml:space="preserve">OCEI’s </w:t>
      </w:r>
      <w:r w:rsidRPr="00A9211F">
        <w:rPr>
          <w:rFonts w:asciiTheme="majorBidi" w:hAnsiTheme="majorBidi" w:cstheme="majorBidi"/>
          <w:sz w:val="20"/>
          <w:lang w:val="en-GB"/>
        </w:rPr>
        <w:t xml:space="preserve">decision, </w:t>
      </w:r>
      <w:r w:rsidR="00FB0D6C" w:rsidRPr="00A9211F">
        <w:rPr>
          <w:rFonts w:asciiTheme="majorBidi" w:hAnsiTheme="majorBidi" w:cstheme="majorBidi"/>
          <w:sz w:val="20"/>
          <w:lang w:val="en-GB"/>
        </w:rPr>
        <w:t xml:space="preserve">they </w:t>
      </w:r>
      <w:r w:rsidRPr="00A9211F">
        <w:rPr>
          <w:rFonts w:asciiTheme="majorBidi" w:hAnsiTheme="majorBidi" w:cstheme="majorBidi"/>
          <w:sz w:val="20"/>
          <w:lang w:val="en-GB"/>
        </w:rPr>
        <w:t xml:space="preserve">can appeal to the High Court on a point of law. </w:t>
      </w:r>
    </w:p>
    <w:p w14:paraId="49A7F880" w14:textId="77777777" w:rsidR="006F0A11" w:rsidRPr="00A9211F" w:rsidRDefault="006F0A11" w:rsidP="00EA5C8B">
      <w:pPr>
        <w:pStyle w:val="ListParagraph"/>
        <w:rPr>
          <w:rFonts w:asciiTheme="majorBidi" w:hAnsiTheme="majorBidi" w:cstheme="majorBidi"/>
          <w:sz w:val="20"/>
          <w:lang w:val="en-GB"/>
        </w:rPr>
      </w:pPr>
    </w:p>
    <w:p w14:paraId="43E8ADE8" w14:textId="0DACB11B" w:rsidR="00BA2983" w:rsidRPr="00A9211F" w:rsidRDefault="00A47D62"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By virtue of </w:t>
      </w:r>
      <w:r w:rsidR="00AE642D" w:rsidRPr="00A9211F">
        <w:rPr>
          <w:rFonts w:asciiTheme="majorBidi" w:hAnsiTheme="majorBidi" w:cstheme="majorBidi"/>
          <w:sz w:val="20"/>
          <w:lang w:val="en-GB"/>
        </w:rPr>
        <w:t>Article 12(1)</w:t>
      </w:r>
      <w:r w:rsidR="005924E5" w:rsidRPr="00A9211F">
        <w:rPr>
          <w:rFonts w:asciiTheme="majorBidi" w:hAnsiTheme="majorBidi" w:cstheme="majorBidi"/>
          <w:sz w:val="20"/>
          <w:lang w:val="en-GB"/>
        </w:rPr>
        <w:t xml:space="preserve"> of the AIE Regulations</w:t>
      </w:r>
      <w:r w:rsidR="00AE642D" w:rsidRPr="00A9211F">
        <w:rPr>
          <w:rFonts w:asciiTheme="majorBidi" w:hAnsiTheme="majorBidi" w:cstheme="majorBidi"/>
          <w:sz w:val="20"/>
          <w:lang w:val="en-GB"/>
        </w:rPr>
        <w:t xml:space="preserve"> </w:t>
      </w:r>
      <w:r w:rsidRPr="00A9211F">
        <w:rPr>
          <w:rFonts w:asciiTheme="majorBidi" w:hAnsiTheme="majorBidi" w:cstheme="majorBidi"/>
          <w:sz w:val="20"/>
          <w:lang w:val="en-GB"/>
        </w:rPr>
        <w:t>t</w:t>
      </w:r>
      <w:r w:rsidR="00BA2983" w:rsidRPr="00A9211F">
        <w:rPr>
          <w:rFonts w:asciiTheme="majorBidi" w:hAnsiTheme="majorBidi" w:cstheme="majorBidi"/>
          <w:sz w:val="20"/>
          <w:lang w:val="en-GB"/>
        </w:rPr>
        <w:t>he CEI is an independent and impartial body established by law</w:t>
      </w:r>
      <w:r w:rsidR="00AE642D" w:rsidRPr="00A9211F">
        <w:rPr>
          <w:rFonts w:asciiTheme="majorBidi" w:hAnsiTheme="majorBidi" w:cstheme="majorBidi"/>
          <w:sz w:val="20"/>
          <w:lang w:val="en-GB"/>
        </w:rPr>
        <w:t>, as envisaged in article 9(1), first subparagraph</w:t>
      </w:r>
      <w:r w:rsidR="00BA2983" w:rsidRPr="00A9211F">
        <w:rPr>
          <w:rFonts w:asciiTheme="majorBidi" w:hAnsiTheme="majorBidi" w:cstheme="majorBidi"/>
          <w:sz w:val="20"/>
          <w:lang w:val="en-GB"/>
        </w:rPr>
        <w:t xml:space="preserve">. </w:t>
      </w:r>
      <w:r w:rsidR="005228F1" w:rsidRPr="00A9211F">
        <w:rPr>
          <w:rFonts w:asciiTheme="majorBidi" w:hAnsiTheme="majorBidi" w:cstheme="majorBidi"/>
          <w:sz w:val="20"/>
          <w:lang w:val="en-GB"/>
        </w:rPr>
        <w:t xml:space="preserve">Pursuant to article 12(5) and (7) of the AIE Regulations, decisions of </w:t>
      </w:r>
      <w:r w:rsidR="00BA2983" w:rsidRPr="00A9211F">
        <w:rPr>
          <w:rFonts w:asciiTheme="majorBidi" w:hAnsiTheme="majorBidi" w:cstheme="majorBidi"/>
          <w:sz w:val="20"/>
          <w:lang w:val="en-GB"/>
        </w:rPr>
        <w:t xml:space="preserve">the CEI are binding on the public authority </w:t>
      </w:r>
      <w:r w:rsidR="005228F1" w:rsidRPr="00A9211F">
        <w:rPr>
          <w:rFonts w:asciiTheme="majorBidi" w:hAnsiTheme="majorBidi" w:cstheme="majorBidi"/>
          <w:sz w:val="20"/>
          <w:lang w:val="en-GB"/>
        </w:rPr>
        <w:t>holding the information</w:t>
      </w:r>
      <w:r w:rsidR="00FB0D6C" w:rsidRPr="00A9211F">
        <w:rPr>
          <w:rFonts w:asciiTheme="majorBidi" w:hAnsiTheme="majorBidi" w:cstheme="majorBidi"/>
          <w:sz w:val="20"/>
          <w:lang w:val="en-GB"/>
        </w:rPr>
        <w:t xml:space="preserve"> in accordance with</w:t>
      </w:r>
      <w:r w:rsidR="00526F96" w:rsidRPr="00A9211F">
        <w:rPr>
          <w:rFonts w:asciiTheme="majorBidi" w:hAnsiTheme="majorBidi" w:cstheme="majorBidi"/>
          <w:sz w:val="20"/>
          <w:lang w:val="en-GB"/>
        </w:rPr>
        <w:t xml:space="preserve"> the third subparagraph of article 9(1).</w:t>
      </w:r>
    </w:p>
    <w:p w14:paraId="506477DE" w14:textId="77777777" w:rsidR="00BA2983" w:rsidRPr="00A9211F" w:rsidRDefault="00BA2983" w:rsidP="00EA5C8B">
      <w:pPr>
        <w:pStyle w:val="ListParagraph"/>
        <w:rPr>
          <w:rFonts w:asciiTheme="majorBidi" w:hAnsiTheme="majorBidi" w:cstheme="majorBidi"/>
          <w:sz w:val="20"/>
          <w:lang w:val="en-GB"/>
        </w:rPr>
      </w:pPr>
    </w:p>
    <w:p w14:paraId="320857D3" w14:textId="771D8BD1" w:rsidR="00AB2425" w:rsidRPr="00A9211F" w:rsidRDefault="00FB0D6C"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The</w:t>
      </w:r>
      <w:r w:rsidR="0093351F" w:rsidRPr="00A9211F">
        <w:rPr>
          <w:rFonts w:asciiTheme="majorBidi" w:hAnsiTheme="majorBidi" w:cstheme="majorBidi"/>
          <w:sz w:val="20"/>
          <w:lang w:val="en-GB"/>
        </w:rPr>
        <w:t xml:space="preserve"> Party concerned </w:t>
      </w:r>
      <w:r w:rsidRPr="00A9211F">
        <w:rPr>
          <w:rFonts w:asciiTheme="majorBidi" w:hAnsiTheme="majorBidi" w:cstheme="majorBidi"/>
          <w:sz w:val="20"/>
          <w:lang w:val="en-GB"/>
        </w:rPr>
        <w:t xml:space="preserve">has therefore </w:t>
      </w:r>
      <w:r w:rsidR="005924E5" w:rsidRPr="00A9211F">
        <w:rPr>
          <w:rFonts w:asciiTheme="majorBidi" w:hAnsiTheme="majorBidi" w:cstheme="majorBidi"/>
          <w:sz w:val="20"/>
          <w:lang w:val="en-GB"/>
        </w:rPr>
        <w:t>provide</w:t>
      </w:r>
      <w:r w:rsidRPr="00A9211F">
        <w:rPr>
          <w:rFonts w:asciiTheme="majorBidi" w:hAnsiTheme="majorBidi" w:cstheme="majorBidi"/>
          <w:sz w:val="20"/>
          <w:lang w:val="en-GB"/>
        </w:rPr>
        <w:t>d</w:t>
      </w:r>
      <w:r w:rsidR="005924E5" w:rsidRPr="00A9211F">
        <w:rPr>
          <w:rFonts w:asciiTheme="majorBidi" w:hAnsiTheme="majorBidi" w:cstheme="majorBidi"/>
          <w:sz w:val="20"/>
          <w:lang w:val="en-GB"/>
        </w:rPr>
        <w:t xml:space="preserve"> for </w:t>
      </w:r>
      <w:r w:rsidR="0093351F" w:rsidRPr="00A9211F">
        <w:rPr>
          <w:rFonts w:asciiTheme="majorBidi" w:hAnsiTheme="majorBidi" w:cstheme="majorBidi"/>
          <w:sz w:val="20"/>
          <w:lang w:val="en-GB"/>
        </w:rPr>
        <w:t>two review procedure</w:t>
      </w:r>
      <w:r w:rsidRPr="00A9211F">
        <w:rPr>
          <w:rFonts w:asciiTheme="majorBidi" w:hAnsiTheme="majorBidi" w:cstheme="majorBidi"/>
          <w:sz w:val="20"/>
          <w:lang w:val="en-GB"/>
        </w:rPr>
        <w:t>s</w:t>
      </w:r>
      <w:r w:rsidR="0093351F" w:rsidRPr="00A9211F">
        <w:rPr>
          <w:rFonts w:asciiTheme="majorBidi" w:hAnsiTheme="majorBidi" w:cstheme="majorBidi"/>
          <w:sz w:val="20"/>
          <w:lang w:val="en-GB"/>
        </w:rPr>
        <w:t xml:space="preserve"> under article 9(1), </w:t>
      </w:r>
      <w:r w:rsidR="00C52959" w:rsidRPr="00A9211F">
        <w:rPr>
          <w:rFonts w:asciiTheme="majorBidi" w:hAnsiTheme="majorBidi" w:cstheme="majorBidi"/>
          <w:sz w:val="20"/>
          <w:lang w:val="en-GB"/>
        </w:rPr>
        <w:t xml:space="preserve">first </w:t>
      </w:r>
      <w:r w:rsidR="00AB2656" w:rsidRPr="00A9211F">
        <w:rPr>
          <w:rFonts w:asciiTheme="majorBidi" w:hAnsiTheme="majorBidi" w:cstheme="majorBidi"/>
          <w:sz w:val="20"/>
          <w:lang w:val="en-GB"/>
        </w:rPr>
        <w:t>sub</w:t>
      </w:r>
      <w:r w:rsidR="00C52959" w:rsidRPr="00A9211F">
        <w:rPr>
          <w:rFonts w:asciiTheme="majorBidi" w:hAnsiTheme="majorBidi" w:cstheme="majorBidi"/>
          <w:sz w:val="20"/>
          <w:lang w:val="en-GB"/>
        </w:rPr>
        <w:t>paragraph</w:t>
      </w:r>
      <w:r w:rsidR="00FF2FDF" w:rsidRPr="00A9211F">
        <w:rPr>
          <w:rFonts w:asciiTheme="majorBidi" w:hAnsiTheme="majorBidi" w:cstheme="majorBidi"/>
          <w:sz w:val="20"/>
          <w:lang w:val="en-GB"/>
        </w:rPr>
        <w:t>:</w:t>
      </w:r>
      <w:r w:rsidR="00C52959" w:rsidRPr="00A9211F">
        <w:rPr>
          <w:rFonts w:asciiTheme="majorBidi" w:hAnsiTheme="majorBidi" w:cstheme="majorBidi"/>
          <w:sz w:val="20"/>
          <w:lang w:val="en-GB"/>
        </w:rPr>
        <w:t xml:space="preserve"> </w:t>
      </w:r>
      <w:r w:rsidR="0093351F" w:rsidRPr="00A9211F">
        <w:rPr>
          <w:rFonts w:asciiTheme="majorBidi" w:hAnsiTheme="majorBidi" w:cstheme="majorBidi"/>
          <w:sz w:val="20"/>
          <w:lang w:val="en-GB"/>
        </w:rPr>
        <w:t>an appeal to the CEI and then to the High Court. The CEI</w:t>
      </w:r>
      <w:r w:rsidR="00BA2983" w:rsidRPr="00A9211F">
        <w:rPr>
          <w:rFonts w:asciiTheme="majorBidi" w:hAnsiTheme="majorBidi" w:cstheme="majorBidi"/>
          <w:sz w:val="20"/>
          <w:lang w:val="en-GB"/>
        </w:rPr>
        <w:t xml:space="preserve"> </w:t>
      </w:r>
      <w:r w:rsidR="0093351F" w:rsidRPr="00A9211F">
        <w:rPr>
          <w:rFonts w:asciiTheme="majorBidi" w:hAnsiTheme="majorBidi" w:cstheme="majorBidi"/>
          <w:sz w:val="20"/>
          <w:lang w:val="en-GB"/>
        </w:rPr>
        <w:t xml:space="preserve">has jurisdiction to carry out a full factual and legal review of the public authority’s decision. </w:t>
      </w:r>
      <w:r w:rsidR="00CD5625" w:rsidRPr="00A9211F">
        <w:rPr>
          <w:rFonts w:asciiTheme="majorBidi" w:hAnsiTheme="majorBidi" w:cstheme="majorBidi"/>
          <w:sz w:val="20"/>
          <w:lang w:val="en-GB"/>
        </w:rPr>
        <w:t xml:space="preserve"> N</w:t>
      </w:r>
      <w:r w:rsidR="0093351F" w:rsidRPr="00A9211F">
        <w:rPr>
          <w:rFonts w:asciiTheme="majorBidi" w:hAnsiTheme="majorBidi" w:cstheme="majorBidi"/>
          <w:sz w:val="20"/>
          <w:lang w:val="en-GB"/>
        </w:rPr>
        <w:t>othing</w:t>
      </w:r>
      <w:r w:rsidR="0093351F" w:rsidRPr="00A9211F">
        <w:rPr>
          <w:rFonts w:asciiTheme="majorBidi" w:hAnsiTheme="majorBidi"/>
          <w:sz w:val="20"/>
          <w:lang w:val="en-GB"/>
        </w:rPr>
        <w:t xml:space="preserve"> in article 9(1)</w:t>
      </w:r>
      <w:r w:rsidR="0027471A" w:rsidRPr="00A9211F">
        <w:rPr>
          <w:rFonts w:asciiTheme="majorBidi" w:hAnsiTheme="majorBidi"/>
          <w:sz w:val="20"/>
          <w:lang w:val="en-GB"/>
        </w:rPr>
        <w:t xml:space="preserve">, first </w:t>
      </w:r>
      <w:r w:rsidR="00AB2656" w:rsidRPr="00A9211F">
        <w:rPr>
          <w:rFonts w:asciiTheme="majorBidi" w:hAnsiTheme="majorBidi"/>
          <w:sz w:val="20"/>
          <w:lang w:val="en-GB"/>
        </w:rPr>
        <w:t>sub</w:t>
      </w:r>
      <w:r w:rsidR="0027471A" w:rsidRPr="00A9211F">
        <w:rPr>
          <w:rFonts w:asciiTheme="majorBidi" w:hAnsiTheme="majorBidi"/>
          <w:sz w:val="20"/>
          <w:lang w:val="en-GB"/>
        </w:rPr>
        <w:t>paragraph</w:t>
      </w:r>
      <w:r w:rsidR="00D561D0" w:rsidRPr="00A9211F">
        <w:rPr>
          <w:rFonts w:asciiTheme="majorBidi" w:hAnsiTheme="majorBidi"/>
          <w:sz w:val="20"/>
          <w:lang w:val="en-GB"/>
        </w:rPr>
        <w:t xml:space="preserve">, </w:t>
      </w:r>
      <w:r w:rsidR="0093351F" w:rsidRPr="00A9211F">
        <w:rPr>
          <w:rFonts w:asciiTheme="majorBidi" w:hAnsiTheme="majorBidi"/>
          <w:sz w:val="20"/>
          <w:lang w:val="en-GB"/>
        </w:rPr>
        <w:t>requires more than one review procedure to be established</w:t>
      </w:r>
      <w:r w:rsidR="009B0DE4" w:rsidRPr="00A9211F">
        <w:rPr>
          <w:rFonts w:asciiTheme="majorBidi" w:hAnsiTheme="majorBidi"/>
          <w:sz w:val="20"/>
          <w:lang w:val="en-GB"/>
        </w:rPr>
        <w:t xml:space="preserve"> for the purposes of that subparagraph</w:t>
      </w:r>
      <w:r w:rsidR="009C3C85" w:rsidRPr="00A9211F">
        <w:rPr>
          <w:rFonts w:asciiTheme="majorBidi" w:hAnsiTheme="majorBidi"/>
          <w:sz w:val="20"/>
          <w:lang w:val="en-GB"/>
        </w:rPr>
        <w:t xml:space="preserve">. </w:t>
      </w:r>
    </w:p>
    <w:p w14:paraId="2C7746C6" w14:textId="77777777" w:rsidR="000E6A69" w:rsidRPr="00A9211F" w:rsidRDefault="000E6A69" w:rsidP="00EA5C8B">
      <w:pPr>
        <w:pStyle w:val="ListParagraph"/>
        <w:rPr>
          <w:rFonts w:asciiTheme="majorBidi" w:hAnsiTheme="majorBidi" w:cstheme="majorBidi"/>
          <w:sz w:val="20"/>
          <w:lang w:val="en-GB"/>
        </w:rPr>
      </w:pPr>
    </w:p>
    <w:p w14:paraId="27D47C34" w14:textId="46F17A1C" w:rsidR="0093351F" w:rsidRPr="00A9211F" w:rsidRDefault="009634F8" w:rsidP="00EA5C8B">
      <w:pPr>
        <w:pStyle w:val="ListParagraph"/>
        <w:numPr>
          <w:ilvl w:val="0"/>
          <w:numId w:val="7"/>
        </w:numPr>
        <w:tabs>
          <w:tab w:val="left" w:pos="1701"/>
        </w:tabs>
        <w:ind w:left="1094" w:firstLine="0"/>
        <w:jc w:val="both"/>
        <w:rPr>
          <w:rFonts w:asciiTheme="majorBidi" w:hAnsiTheme="majorBidi"/>
          <w:sz w:val="20"/>
          <w:lang w:val="en-GB"/>
        </w:rPr>
      </w:pPr>
      <w:r w:rsidRPr="00A9211F">
        <w:rPr>
          <w:rFonts w:asciiTheme="majorBidi" w:hAnsiTheme="majorBidi"/>
          <w:sz w:val="20"/>
          <w:lang w:val="en-GB"/>
        </w:rPr>
        <w:t>Accordingly, t</w:t>
      </w:r>
      <w:r w:rsidR="0027471A" w:rsidRPr="00A9211F">
        <w:rPr>
          <w:rFonts w:asciiTheme="majorBidi" w:hAnsiTheme="majorBidi"/>
          <w:sz w:val="20"/>
          <w:lang w:val="en-GB"/>
        </w:rPr>
        <w:t>he Committee finds that</w:t>
      </w:r>
      <w:r w:rsidR="00632417" w:rsidRPr="00A9211F">
        <w:rPr>
          <w:rFonts w:asciiTheme="majorBidi" w:hAnsiTheme="majorBidi"/>
          <w:sz w:val="20"/>
          <w:lang w:val="en-GB"/>
        </w:rPr>
        <w:t xml:space="preserve"> the system of the Party concerned, </w:t>
      </w:r>
      <w:r w:rsidR="00632417" w:rsidRPr="00A9211F">
        <w:rPr>
          <w:rFonts w:asciiTheme="majorBidi" w:hAnsiTheme="majorBidi" w:cstheme="majorBidi"/>
          <w:sz w:val="20"/>
          <w:lang w:val="en-GB"/>
        </w:rPr>
        <w:t>in which</w:t>
      </w:r>
      <w:r w:rsidR="00632417" w:rsidRPr="00A9211F">
        <w:rPr>
          <w:rFonts w:asciiTheme="majorBidi" w:hAnsiTheme="majorBidi"/>
          <w:sz w:val="20"/>
          <w:lang w:val="en-GB"/>
        </w:rPr>
        <w:t xml:space="preserve"> the </w:t>
      </w:r>
      <w:r w:rsidR="00632417" w:rsidRPr="00A9211F">
        <w:rPr>
          <w:rFonts w:asciiTheme="majorBidi" w:hAnsiTheme="majorBidi" w:cstheme="majorBidi"/>
          <w:sz w:val="20"/>
          <w:lang w:val="en-GB"/>
        </w:rPr>
        <w:t>review</w:t>
      </w:r>
      <w:r w:rsidR="00632417" w:rsidRPr="00A9211F">
        <w:rPr>
          <w:rFonts w:asciiTheme="majorBidi" w:hAnsiTheme="majorBidi"/>
          <w:sz w:val="20"/>
          <w:lang w:val="en-GB"/>
        </w:rPr>
        <w:t xml:space="preserve"> of OCEI decisions by the High Court </w:t>
      </w:r>
      <w:r w:rsidR="00282F22" w:rsidRPr="00A9211F">
        <w:rPr>
          <w:rFonts w:asciiTheme="majorBidi" w:hAnsiTheme="majorBidi"/>
          <w:sz w:val="20"/>
          <w:lang w:val="en-GB"/>
        </w:rPr>
        <w:t xml:space="preserve">is </w:t>
      </w:r>
      <w:r w:rsidR="00632417" w:rsidRPr="00A9211F">
        <w:rPr>
          <w:rFonts w:asciiTheme="majorBidi" w:hAnsiTheme="majorBidi"/>
          <w:sz w:val="20"/>
          <w:lang w:val="en-GB"/>
        </w:rPr>
        <w:t xml:space="preserve">limited to </w:t>
      </w:r>
      <w:r w:rsidR="00632417" w:rsidRPr="00A9211F">
        <w:rPr>
          <w:rFonts w:asciiTheme="majorBidi" w:hAnsiTheme="majorBidi" w:cstheme="majorBidi"/>
          <w:sz w:val="20"/>
          <w:lang w:val="en-GB"/>
        </w:rPr>
        <w:t>“</w:t>
      </w:r>
      <w:r w:rsidR="00632417" w:rsidRPr="00A9211F">
        <w:rPr>
          <w:rFonts w:asciiTheme="majorBidi" w:hAnsiTheme="majorBidi"/>
          <w:sz w:val="20"/>
          <w:lang w:val="en-GB"/>
        </w:rPr>
        <w:t>points of law</w:t>
      </w:r>
      <w:r w:rsidR="00632417" w:rsidRPr="00A9211F">
        <w:rPr>
          <w:rFonts w:asciiTheme="majorBidi" w:hAnsiTheme="majorBidi" w:cstheme="majorBidi"/>
          <w:sz w:val="20"/>
          <w:lang w:val="en-GB"/>
        </w:rPr>
        <w:t>”, does not fail to comply</w:t>
      </w:r>
      <w:r w:rsidR="00632417" w:rsidRPr="00A9211F">
        <w:rPr>
          <w:rFonts w:asciiTheme="majorBidi" w:hAnsiTheme="majorBidi"/>
          <w:sz w:val="20"/>
          <w:lang w:val="en-GB"/>
        </w:rPr>
        <w:t xml:space="preserve"> with </w:t>
      </w:r>
      <w:r w:rsidR="000E6A69" w:rsidRPr="00A9211F">
        <w:rPr>
          <w:rFonts w:asciiTheme="majorBidi" w:hAnsiTheme="majorBidi"/>
          <w:sz w:val="20"/>
          <w:lang w:val="en-GB"/>
        </w:rPr>
        <w:t>article 9(1)</w:t>
      </w:r>
      <w:r w:rsidR="0027471A" w:rsidRPr="00A9211F">
        <w:rPr>
          <w:rFonts w:asciiTheme="majorBidi" w:hAnsiTheme="majorBidi"/>
          <w:sz w:val="20"/>
          <w:lang w:val="en-GB"/>
        </w:rPr>
        <w:t xml:space="preserve"> of the Convention. </w:t>
      </w:r>
    </w:p>
    <w:p w14:paraId="5A9237E4" w14:textId="3676FF25" w:rsidR="00A130D5" w:rsidRPr="00A9211F" w:rsidRDefault="00A130D5" w:rsidP="00EA5C8B">
      <w:pPr>
        <w:pStyle w:val="ListParagraph"/>
        <w:tabs>
          <w:tab w:val="left" w:pos="1701"/>
        </w:tabs>
        <w:ind w:left="1094"/>
        <w:jc w:val="both"/>
        <w:rPr>
          <w:rFonts w:asciiTheme="majorBidi" w:hAnsiTheme="majorBidi" w:cstheme="majorBidi"/>
          <w:sz w:val="20"/>
          <w:lang w:val="en-GB"/>
        </w:rPr>
      </w:pPr>
    </w:p>
    <w:p w14:paraId="0E26F5B4" w14:textId="0E15D874" w:rsidR="00A130D5" w:rsidRPr="00A9211F" w:rsidRDefault="00A130D5" w:rsidP="00EA5C8B">
      <w:pPr>
        <w:pStyle w:val="ListParagraph"/>
        <w:tabs>
          <w:tab w:val="left" w:pos="1701"/>
        </w:tabs>
        <w:ind w:left="1094"/>
        <w:jc w:val="both"/>
        <w:rPr>
          <w:rFonts w:asciiTheme="majorBidi" w:hAnsiTheme="majorBidi" w:cstheme="majorBidi"/>
          <w:b/>
          <w:bCs/>
          <w:sz w:val="20"/>
          <w:lang w:val="en-GB"/>
        </w:rPr>
      </w:pPr>
      <w:r w:rsidRPr="00A9211F">
        <w:rPr>
          <w:rFonts w:asciiTheme="majorBidi" w:hAnsiTheme="majorBidi" w:cstheme="majorBidi"/>
          <w:b/>
          <w:bCs/>
          <w:sz w:val="20"/>
          <w:lang w:val="en-GB"/>
        </w:rPr>
        <w:t xml:space="preserve">Article 9(4) – timely review procedures </w:t>
      </w:r>
    </w:p>
    <w:p w14:paraId="648777C5" w14:textId="77777777" w:rsidR="00A130D5" w:rsidRPr="00A9211F" w:rsidRDefault="00A130D5" w:rsidP="00EA5C8B">
      <w:pPr>
        <w:pStyle w:val="ListParagraph"/>
        <w:tabs>
          <w:tab w:val="left" w:pos="1701"/>
        </w:tabs>
        <w:ind w:left="1094"/>
        <w:jc w:val="both"/>
        <w:rPr>
          <w:rFonts w:asciiTheme="majorBidi" w:hAnsiTheme="majorBidi" w:cstheme="majorBidi"/>
          <w:sz w:val="20"/>
          <w:lang w:val="en-GB"/>
        </w:rPr>
      </w:pPr>
    </w:p>
    <w:p w14:paraId="1479CC13" w14:textId="7A2CD9B0" w:rsidR="00173DF1" w:rsidRPr="00A9211F" w:rsidRDefault="00173DF1"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Article 9(4) requires that the procedures referred to in article 9(1)</w:t>
      </w:r>
      <w:r w:rsidR="00BC41E1" w:rsidRPr="00A9211F">
        <w:rPr>
          <w:rFonts w:asciiTheme="majorBidi" w:hAnsiTheme="majorBidi" w:cstheme="majorBidi"/>
          <w:sz w:val="20"/>
          <w:lang w:val="en-GB"/>
        </w:rPr>
        <w:t>,</w:t>
      </w:r>
      <w:r w:rsidRPr="00A9211F">
        <w:rPr>
          <w:rFonts w:asciiTheme="majorBidi" w:hAnsiTheme="majorBidi" w:cstheme="majorBidi"/>
          <w:sz w:val="20"/>
          <w:lang w:val="en-GB"/>
        </w:rPr>
        <w:t xml:space="preserve"> among other things, </w:t>
      </w:r>
      <w:r w:rsidR="00BC41E1" w:rsidRPr="00A9211F">
        <w:rPr>
          <w:rFonts w:asciiTheme="majorBidi" w:hAnsiTheme="majorBidi" w:cstheme="majorBidi"/>
          <w:sz w:val="20"/>
          <w:lang w:val="en-GB"/>
        </w:rPr>
        <w:t xml:space="preserve">be </w:t>
      </w:r>
      <w:r w:rsidRPr="00A9211F">
        <w:rPr>
          <w:rFonts w:asciiTheme="majorBidi" w:hAnsiTheme="majorBidi" w:cstheme="majorBidi"/>
          <w:sz w:val="20"/>
          <w:lang w:val="en-GB"/>
        </w:rPr>
        <w:t>timely and provide adequate and effective remedies.</w:t>
      </w:r>
      <w:r w:rsidR="00A130D5" w:rsidRPr="00A9211F">
        <w:rPr>
          <w:rFonts w:asciiTheme="majorBidi" w:hAnsiTheme="majorBidi" w:cstheme="majorBidi"/>
          <w:sz w:val="20"/>
          <w:lang w:val="en-GB"/>
        </w:rPr>
        <w:t xml:space="preserve"> </w:t>
      </w:r>
      <w:r w:rsidRPr="00A9211F">
        <w:rPr>
          <w:rFonts w:asciiTheme="majorBidi" w:hAnsiTheme="majorBidi" w:cstheme="majorBidi"/>
          <w:sz w:val="20"/>
          <w:lang w:val="en-GB"/>
        </w:rPr>
        <w:t xml:space="preserve">As </w:t>
      </w:r>
      <w:r w:rsidR="0070661F" w:rsidRPr="00A9211F">
        <w:rPr>
          <w:rFonts w:asciiTheme="majorBidi" w:hAnsiTheme="majorBidi"/>
          <w:sz w:val="20"/>
          <w:lang w:val="en-GB"/>
        </w:rPr>
        <w:t>noted in its</w:t>
      </w:r>
      <w:r w:rsidRPr="00A9211F">
        <w:rPr>
          <w:rFonts w:asciiTheme="majorBidi" w:hAnsiTheme="majorBidi"/>
          <w:sz w:val="20"/>
          <w:lang w:val="en-GB"/>
        </w:rPr>
        <w:t xml:space="preserve"> previous findings</w:t>
      </w:r>
      <w:r w:rsidRPr="00A9211F">
        <w:rPr>
          <w:rFonts w:asciiTheme="majorBidi" w:hAnsiTheme="majorBidi" w:cstheme="majorBidi"/>
          <w:sz w:val="20"/>
          <w:lang w:val="en-GB"/>
        </w:rPr>
        <w:t>, when considering compliance with article 9(4), the Committee considers the system as a whole and in a systemic manner.</w:t>
      </w:r>
      <w:r w:rsidRPr="00A9211F">
        <w:rPr>
          <w:rFonts w:asciiTheme="majorBidi" w:hAnsiTheme="majorBidi" w:cstheme="majorBidi"/>
          <w:sz w:val="18"/>
          <w:szCs w:val="18"/>
          <w:vertAlign w:val="superscript"/>
          <w:lang w:val="en-GB"/>
        </w:rPr>
        <w:footnoteReference w:id="95"/>
      </w:r>
      <w:r w:rsidRPr="00A9211F">
        <w:rPr>
          <w:rFonts w:asciiTheme="majorBidi" w:hAnsiTheme="majorBidi" w:cstheme="majorBidi"/>
          <w:sz w:val="20"/>
          <w:lang w:val="en-GB"/>
        </w:rPr>
        <w:t xml:space="preserve"> </w:t>
      </w:r>
    </w:p>
    <w:p w14:paraId="59138AEB" w14:textId="77777777" w:rsidR="00225475" w:rsidRPr="00A9211F" w:rsidRDefault="00225475" w:rsidP="00EA5C8B">
      <w:pPr>
        <w:pStyle w:val="ListParagraph"/>
        <w:tabs>
          <w:tab w:val="left" w:pos="1701"/>
        </w:tabs>
        <w:ind w:left="1094"/>
        <w:jc w:val="both"/>
        <w:rPr>
          <w:rFonts w:asciiTheme="majorBidi" w:hAnsiTheme="majorBidi" w:cstheme="majorBidi"/>
          <w:sz w:val="20"/>
          <w:lang w:val="en-GB"/>
        </w:rPr>
      </w:pPr>
    </w:p>
    <w:p w14:paraId="26066629" w14:textId="2A5C822F" w:rsidR="00225475" w:rsidRPr="00A9211F" w:rsidRDefault="00DB576D"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Under a scheme such as that </w:t>
      </w:r>
      <w:r w:rsidR="00B2315C" w:rsidRPr="00A9211F">
        <w:rPr>
          <w:rFonts w:asciiTheme="majorBidi" w:hAnsiTheme="majorBidi"/>
          <w:sz w:val="20"/>
          <w:lang w:val="en-GB"/>
        </w:rPr>
        <w:t>of</w:t>
      </w:r>
      <w:r w:rsidR="00225475" w:rsidRPr="00A9211F">
        <w:rPr>
          <w:rFonts w:asciiTheme="majorBidi" w:hAnsiTheme="majorBidi"/>
          <w:sz w:val="20"/>
          <w:lang w:val="en-GB"/>
        </w:rPr>
        <w:t xml:space="preserve"> the Party concerned</w:t>
      </w:r>
      <w:r w:rsidR="00225475" w:rsidRPr="00A9211F">
        <w:rPr>
          <w:rFonts w:asciiTheme="majorBidi" w:hAnsiTheme="majorBidi" w:cstheme="majorBidi"/>
          <w:sz w:val="20"/>
          <w:lang w:val="en-GB"/>
        </w:rPr>
        <w:t xml:space="preserve">, where the available review procedures </w:t>
      </w:r>
      <w:r w:rsidR="00B2315C" w:rsidRPr="00A9211F">
        <w:rPr>
          <w:rFonts w:asciiTheme="majorBidi" w:hAnsiTheme="majorBidi" w:cstheme="majorBidi"/>
          <w:sz w:val="20"/>
          <w:lang w:val="en-GB"/>
        </w:rPr>
        <w:t>are to</w:t>
      </w:r>
      <w:r w:rsidR="00225475" w:rsidRPr="00A9211F">
        <w:rPr>
          <w:rFonts w:asciiTheme="majorBidi" w:hAnsiTheme="majorBidi" w:cstheme="majorBidi"/>
          <w:sz w:val="20"/>
          <w:lang w:val="en-GB"/>
        </w:rPr>
        <w:t xml:space="preserve"> be used sequentially,</w:t>
      </w:r>
      <w:r w:rsidR="00B2315C" w:rsidRPr="00A9211F">
        <w:rPr>
          <w:rFonts w:asciiTheme="majorBidi" w:hAnsiTheme="majorBidi" w:cstheme="majorBidi"/>
          <w:sz w:val="20"/>
          <w:lang w:val="en-GB"/>
        </w:rPr>
        <w:t xml:space="preserve"> and not </w:t>
      </w:r>
      <w:r w:rsidR="00225475" w:rsidRPr="00A9211F">
        <w:rPr>
          <w:rFonts w:asciiTheme="majorBidi" w:hAnsiTheme="majorBidi" w:cstheme="majorBidi"/>
          <w:sz w:val="20"/>
          <w:lang w:val="en-GB"/>
        </w:rPr>
        <w:t>as alternatives,</w:t>
      </w:r>
      <w:r w:rsidR="00225475" w:rsidRPr="00A9211F">
        <w:rPr>
          <w:rStyle w:val="FootnoteReference"/>
          <w:rFonts w:cstheme="majorBidi"/>
          <w:lang w:val="en-GB"/>
        </w:rPr>
        <w:footnoteReference w:id="96"/>
      </w:r>
      <w:r w:rsidR="00225475" w:rsidRPr="00A9211F">
        <w:rPr>
          <w:rFonts w:asciiTheme="majorBidi" w:hAnsiTheme="majorBidi" w:cstheme="majorBidi"/>
          <w:sz w:val="20"/>
          <w:lang w:val="en-GB"/>
        </w:rPr>
        <w:t xml:space="preserve"> </w:t>
      </w:r>
      <w:r w:rsidR="00D216DA" w:rsidRPr="00A9211F">
        <w:rPr>
          <w:rFonts w:asciiTheme="majorBidi" w:hAnsiTheme="majorBidi"/>
          <w:sz w:val="20"/>
          <w:lang w:val="en-GB"/>
        </w:rPr>
        <w:t xml:space="preserve">the Committee </w:t>
      </w:r>
      <w:r w:rsidR="0070661F" w:rsidRPr="00A9211F">
        <w:rPr>
          <w:rFonts w:asciiTheme="majorBidi" w:hAnsiTheme="majorBidi"/>
          <w:sz w:val="20"/>
          <w:lang w:val="en-GB"/>
        </w:rPr>
        <w:t xml:space="preserve">makes clear </w:t>
      </w:r>
      <w:r w:rsidR="00D216DA" w:rsidRPr="00A9211F">
        <w:rPr>
          <w:rFonts w:asciiTheme="majorBidi" w:hAnsiTheme="majorBidi"/>
          <w:sz w:val="20"/>
          <w:lang w:val="en-GB"/>
        </w:rPr>
        <w:t>that</w:t>
      </w:r>
      <w:r w:rsidR="00D216DA" w:rsidRPr="00A9211F">
        <w:rPr>
          <w:rFonts w:asciiTheme="majorBidi" w:hAnsiTheme="majorBidi" w:cstheme="majorBidi"/>
          <w:sz w:val="20"/>
          <w:lang w:val="en-GB"/>
        </w:rPr>
        <w:t xml:space="preserve"> </w:t>
      </w:r>
      <w:r w:rsidR="00225475" w:rsidRPr="00A9211F">
        <w:rPr>
          <w:rFonts w:asciiTheme="majorBidi" w:hAnsiTheme="majorBidi" w:cstheme="majorBidi"/>
          <w:sz w:val="20"/>
          <w:lang w:val="en-GB"/>
        </w:rPr>
        <w:t xml:space="preserve">the requirements of article 9(4) apply to </w:t>
      </w:r>
      <w:r w:rsidR="00B2315C" w:rsidRPr="00A9211F">
        <w:rPr>
          <w:rFonts w:asciiTheme="majorBidi" w:hAnsiTheme="majorBidi" w:cstheme="majorBidi"/>
          <w:sz w:val="20"/>
          <w:lang w:val="en-GB"/>
        </w:rPr>
        <w:t xml:space="preserve">each such </w:t>
      </w:r>
      <w:r w:rsidR="00225475" w:rsidRPr="00A9211F">
        <w:rPr>
          <w:rFonts w:asciiTheme="majorBidi" w:hAnsiTheme="majorBidi" w:cstheme="majorBidi"/>
          <w:sz w:val="20"/>
          <w:lang w:val="en-GB"/>
        </w:rPr>
        <w:t xml:space="preserve">review procedure. </w:t>
      </w:r>
    </w:p>
    <w:p w14:paraId="494A8A36" w14:textId="77777777" w:rsidR="00A130D5" w:rsidRPr="00A9211F" w:rsidRDefault="00A130D5" w:rsidP="00EA5C8B">
      <w:pPr>
        <w:pStyle w:val="ListParagraph"/>
        <w:tabs>
          <w:tab w:val="left" w:pos="1701"/>
        </w:tabs>
        <w:ind w:left="1094"/>
        <w:jc w:val="both"/>
        <w:rPr>
          <w:rFonts w:asciiTheme="majorBidi" w:hAnsiTheme="majorBidi" w:cstheme="majorBidi"/>
          <w:sz w:val="20"/>
          <w:lang w:val="en-GB"/>
        </w:rPr>
      </w:pPr>
    </w:p>
    <w:p w14:paraId="72561C71" w14:textId="1B7212B6" w:rsidR="00173DF1" w:rsidRPr="00A9211F" w:rsidRDefault="00A46895"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33" w:name="_Ref40104069"/>
      <w:r w:rsidRPr="00A9211F">
        <w:rPr>
          <w:rFonts w:asciiTheme="majorBidi" w:hAnsiTheme="majorBidi" w:cstheme="majorBidi"/>
          <w:sz w:val="20"/>
          <w:lang w:val="en-GB"/>
        </w:rPr>
        <w:t>In addition</w:t>
      </w:r>
      <w:r w:rsidR="00173DF1" w:rsidRPr="00A9211F">
        <w:rPr>
          <w:rFonts w:asciiTheme="majorBidi" w:hAnsiTheme="majorBidi" w:cstheme="majorBidi"/>
          <w:sz w:val="20"/>
          <w:lang w:val="en-GB"/>
        </w:rPr>
        <w:t>, under article 12(3) of the AIE Regulations not only the</w:t>
      </w:r>
      <w:r w:rsidR="003E0782" w:rsidRPr="00A9211F">
        <w:rPr>
          <w:rFonts w:asciiTheme="majorBidi" w:hAnsiTheme="majorBidi" w:cstheme="majorBidi"/>
          <w:sz w:val="20"/>
          <w:lang w:val="en-GB"/>
        </w:rPr>
        <w:t xml:space="preserve"> </w:t>
      </w:r>
      <w:r w:rsidR="008C7931" w:rsidRPr="00A9211F">
        <w:rPr>
          <w:rFonts w:asciiTheme="majorBidi" w:hAnsiTheme="majorBidi" w:cstheme="majorBidi"/>
          <w:sz w:val="20"/>
          <w:lang w:val="en-GB"/>
        </w:rPr>
        <w:t xml:space="preserve">information requester </w:t>
      </w:r>
      <w:r w:rsidR="00173DF1" w:rsidRPr="00A9211F">
        <w:rPr>
          <w:rFonts w:asciiTheme="majorBidi" w:hAnsiTheme="majorBidi" w:cstheme="majorBidi"/>
          <w:sz w:val="20"/>
          <w:lang w:val="en-GB"/>
        </w:rPr>
        <w:t xml:space="preserve">but </w:t>
      </w:r>
      <w:r w:rsidR="00A75CC4" w:rsidRPr="00A9211F">
        <w:rPr>
          <w:rFonts w:asciiTheme="majorBidi" w:hAnsiTheme="majorBidi" w:cstheme="majorBidi"/>
          <w:sz w:val="20"/>
          <w:lang w:val="en-GB"/>
        </w:rPr>
        <w:t xml:space="preserve">also </w:t>
      </w:r>
      <w:r w:rsidR="00173DF1" w:rsidRPr="00A9211F">
        <w:rPr>
          <w:rFonts w:asciiTheme="majorBidi" w:hAnsiTheme="majorBidi" w:cstheme="majorBidi"/>
          <w:sz w:val="20"/>
          <w:lang w:val="en-GB"/>
        </w:rPr>
        <w:t xml:space="preserve">persons who would be incriminated by the disclosure of the environmental information concerned may appeal to the </w:t>
      </w:r>
      <w:r w:rsidR="008C7931" w:rsidRPr="00A9211F">
        <w:rPr>
          <w:rFonts w:asciiTheme="majorBidi" w:hAnsiTheme="majorBidi" w:cstheme="majorBidi"/>
          <w:sz w:val="20"/>
          <w:lang w:val="en-GB"/>
        </w:rPr>
        <w:t>O</w:t>
      </w:r>
      <w:r w:rsidR="00173DF1" w:rsidRPr="00A9211F">
        <w:rPr>
          <w:rFonts w:asciiTheme="majorBidi" w:hAnsiTheme="majorBidi" w:cstheme="majorBidi"/>
          <w:sz w:val="20"/>
          <w:lang w:val="en-GB"/>
        </w:rPr>
        <w:t xml:space="preserve">CEI against the public authority’s internal review decision. Likewise, under article 13(1) of the AIE Regulations, any party to the OCEI’s appeal, </w:t>
      </w:r>
      <w:r w:rsidR="00BC41E1" w:rsidRPr="00A9211F">
        <w:rPr>
          <w:rFonts w:asciiTheme="majorBidi" w:hAnsiTheme="majorBidi" w:cstheme="majorBidi"/>
          <w:sz w:val="20"/>
          <w:lang w:val="en-GB"/>
        </w:rPr>
        <w:t>including</w:t>
      </w:r>
      <w:r w:rsidR="00173DF1" w:rsidRPr="00A9211F">
        <w:rPr>
          <w:rFonts w:asciiTheme="majorBidi" w:hAnsiTheme="majorBidi" w:cstheme="majorBidi"/>
          <w:sz w:val="20"/>
          <w:lang w:val="en-GB"/>
        </w:rPr>
        <w:t xml:space="preserve"> the public authority concerned, or any other person affected by the OCEI’s decision, may appeal to the High Court on a point of law. </w:t>
      </w:r>
      <w:r w:rsidR="00BC41E1" w:rsidRPr="00A9211F">
        <w:rPr>
          <w:rFonts w:asciiTheme="majorBidi" w:hAnsiTheme="majorBidi" w:cstheme="majorBidi"/>
          <w:sz w:val="20"/>
          <w:lang w:val="en-GB"/>
        </w:rPr>
        <w:t>The</w:t>
      </w:r>
      <w:r w:rsidR="00173DF1" w:rsidRPr="00A9211F">
        <w:rPr>
          <w:rFonts w:asciiTheme="majorBidi" w:hAnsiTheme="majorBidi" w:cstheme="majorBidi"/>
          <w:sz w:val="20"/>
          <w:lang w:val="en-GB"/>
        </w:rPr>
        <w:t xml:space="preserve"> </w:t>
      </w:r>
      <w:r w:rsidR="008C7931" w:rsidRPr="00A9211F">
        <w:rPr>
          <w:rFonts w:asciiTheme="majorBidi" w:hAnsiTheme="majorBidi" w:cstheme="majorBidi"/>
          <w:sz w:val="20"/>
          <w:lang w:val="en-GB"/>
        </w:rPr>
        <w:t xml:space="preserve">information requester </w:t>
      </w:r>
      <w:r w:rsidR="00173DF1" w:rsidRPr="00A9211F">
        <w:rPr>
          <w:rFonts w:asciiTheme="majorBidi" w:hAnsiTheme="majorBidi" w:cstheme="majorBidi"/>
          <w:sz w:val="20"/>
          <w:lang w:val="en-GB"/>
        </w:rPr>
        <w:t xml:space="preserve">will </w:t>
      </w:r>
      <w:r w:rsidR="00435DEC" w:rsidRPr="00A9211F">
        <w:rPr>
          <w:rFonts w:asciiTheme="majorBidi" w:hAnsiTheme="majorBidi" w:cstheme="majorBidi"/>
          <w:sz w:val="20"/>
          <w:lang w:val="en-GB"/>
        </w:rPr>
        <w:t>not</w:t>
      </w:r>
      <w:r w:rsidR="00173DF1" w:rsidRPr="00A9211F">
        <w:rPr>
          <w:rFonts w:asciiTheme="majorBidi" w:hAnsiTheme="majorBidi" w:cstheme="majorBidi"/>
          <w:sz w:val="20"/>
          <w:lang w:val="en-GB"/>
        </w:rPr>
        <w:t xml:space="preserve"> be a </w:t>
      </w:r>
      <w:r w:rsidR="00BC41E1" w:rsidRPr="00A9211F">
        <w:rPr>
          <w:rFonts w:asciiTheme="majorBidi" w:hAnsiTheme="majorBidi" w:cstheme="majorBidi"/>
          <w:sz w:val="20"/>
          <w:lang w:val="en-GB"/>
        </w:rPr>
        <w:t xml:space="preserve">named </w:t>
      </w:r>
      <w:r w:rsidR="00173DF1" w:rsidRPr="00A9211F">
        <w:rPr>
          <w:rFonts w:asciiTheme="majorBidi" w:hAnsiTheme="majorBidi" w:cstheme="majorBidi"/>
          <w:sz w:val="20"/>
          <w:lang w:val="en-GB"/>
        </w:rPr>
        <w:t>party to the court proceeding</w:t>
      </w:r>
      <w:r w:rsidR="0038271E" w:rsidRPr="00A9211F">
        <w:rPr>
          <w:rFonts w:asciiTheme="majorBidi" w:hAnsiTheme="majorBidi" w:cstheme="majorBidi"/>
          <w:sz w:val="20"/>
          <w:lang w:val="en-GB"/>
        </w:rPr>
        <w:t>s</w:t>
      </w:r>
      <w:r w:rsidR="00173DF1" w:rsidRPr="00A9211F">
        <w:rPr>
          <w:rFonts w:asciiTheme="majorBidi" w:hAnsiTheme="majorBidi" w:cstheme="majorBidi"/>
          <w:sz w:val="20"/>
          <w:lang w:val="en-GB"/>
        </w:rPr>
        <w:t xml:space="preserve"> </w:t>
      </w:r>
      <w:r w:rsidR="00BC41E1" w:rsidRPr="00A9211F">
        <w:rPr>
          <w:rFonts w:asciiTheme="majorBidi" w:hAnsiTheme="majorBidi" w:cstheme="majorBidi"/>
          <w:sz w:val="20"/>
          <w:lang w:val="en-GB"/>
        </w:rPr>
        <w:t xml:space="preserve">or </w:t>
      </w:r>
      <w:r w:rsidR="00173DF1" w:rsidRPr="00A9211F">
        <w:rPr>
          <w:rFonts w:asciiTheme="majorBidi" w:hAnsiTheme="majorBidi" w:cstheme="majorBidi"/>
          <w:sz w:val="20"/>
          <w:lang w:val="en-GB"/>
        </w:rPr>
        <w:t xml:space="preserve">any subsequent </w:t>
      </w:r>
      <w:r w:rsidR="00BC41E1" w:rsidRPr="00A9211F">
        <w:rPr>
          <w:rFonts w:asciiTheme="majorBidi" w:hAnsiTheme="majorBidi" w:cstheme="majorBidi"/>
          <w:sz w:val="20"/>
          <w:lang w:val="en-GB"/>
        </w:rPr>
        <w:t xml:space="preserve">court </w:t>
      </w:r>
      <w:r w:rsidR="00173DF1" w:rsidRPr="00A9211F">
        <w:rPr>
          <w:rFonts w:asciiTheme="majorBidi" w:hAnsiTheme="majorBidi" w:cstheme="majorBidi"/>
          <w:sz w:val="20"/>
          <w:lang w:val="en-GB"/>
        </w:rPr>
        <w:t xml:space="preserve">appeal. </w:t>
      </w:r>
      <w:r w:rsidR="00BC41E1" w:rsidRPr="00A9211F">
        <w:rPr>
          <w:rFonts w:asciiTheme="majorBidi" w:hAnsiTheme="majorBidi" w:cstheme="majorBidi"/>
          <w:sz w:val="20"/>
          <w:lang w:val="en-GB"/>
        </w:rPr>
        <w:t xml:space="preserve">In such circumstances, the </w:t>
      </w:r>
      <w:r w:rsidR="00173DF1" w:rsidRPr="00A9211F">
        <w:rPr>
          <w:rFonts w:asciiTheme="majorBidi" w:hAnsiTheme="majorBidi" w:cstheme="majorBidi"/>
          <w:sz w:val="20"/>
          <w:lang w:val="en-GB"/>
        </w:rPr>
        <w:t xml:space="preserve">Committee makes clear that the rights set out in article 9(4) apply not only to the review procedures under article 9(1) initiated by the </w:t>
      </w:r>
      <w:r w:rsidR="008C7931" w:rsidRPr="00A9211F">
        <w:rPr>
          <w:rFonts w:asciiTheme="majorBidi" w:hAnsiTheme="majorBidi" w:cstheme="majorBidi"/>
          <w:sz w:val="20"/>
          <w:lang w:val="en-GB"/>
        </w:rPr>
        <w:t>information requester</w:t>
      </w:r>
      <w:r w:rsidR="00173DF1" w:rsidRPr="00A9211F">
        <w:rPr>
          <w:rFonts w:asciiTheme="majorBidi" w:hAnsiTheme="majorBidi" w:cstheme="majorBidi"/>
          <w:sz w:val="20"/>
          <w:lang w:val="en-GB"/>
        </w:rPr>
        <w:t>, but also in the context of any challenge by other persons to set aside the outcome of those review procedures.</w:t>
      </w:r>
      <w:bookmarkEnd w:id="33"/>
    </w:p>
    <w:p w14:paraId="123438B0" w14:textId="77777777" w:rsidR="00A130D5" w:rsidRPr="00A9211F" w:rsidRDefault="00A130D5" w:rsidP="00EA5C8B">
      <w:pPr>
        <w:pStyle w:val="ListParagraph"/>
        <w:tabs>
          <w:tab w:val="left" w:pos="1701"/>
        </w:tabs>
        <w:ind w:left="1094"/>
        <w:jc w:val="both"/>
        <w:rPr>
          <w:rFonts w:asciiTheme="majorBidi" w:hAnsiTheme="majorBidi" w:cstheme="majorBidi"/>
          <w:sz w:val="20"/>
          <w:lang w:val="en-GB"/>
        </w:rPr>
      </w:pPr>
    </w:p>
    <w:p w14:paraId="6C8E0C91" w14:textId="7F1CB21C" w:rsidR="00173DF1" w:rsidRPr="00A9211F" w:rsidRDefault="00173DF1"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Having determined that the </w:t>
      </w:r>
      <w:r w:rsidR="00D96557" w:rsidRPr="00A9211F">
        <w:rPr>
          <w:rFonts w:asciiTheme="majorBidi" w:hAnsiTheme="majorBidi" w:cstheme="majorBidi"/>
          <w:sz w:val="20"/>
          <w:lang w:val="en-GB"/>
        </w:rPr>
        <w:t xml:space="preserve">requirements of </w:t>
      </w:r>
      <w:r w:rsidRPr="00A9211F">
        <w:rPr>
          <w:rFonts w:asciiTheme="majorBidi" w:hAnsiTheme="majorBidi" w:cstheme="majorBidi"/>
          <w:sz w:val="20"/>
          <w:lang w:val="en-GB"/>
        </w:rPr>
        <w:t>article 9(4) apply both to appeals to the OCEI and any subsequent appeals to the court regarding the OCEI’s decision, whether initiated by the applicant, the public authority or an</w:t>
      </w:r>
      <w:r w:rsidR="00BC41E1" w:rsidRPr="00A9211F">
        <w:rPr>
          <w:rFonts w:asciiTheme="majorBidi" w:hAnsiTheme="majorBidi" w:cstheme="majorBidi"/>
          <w:sz w:val="20"/>
          <w:lang w:val="en-GB"/>
        </w:rPr>
        <w:t xml:space="preserve">y </w:t>
      </w:r>
      <w:r w:rsidRPr="00A9211F">
        <w:rPr>
          <w:rFonts w:asciiTheme="majorBidi" w:hAnsiTheme="majorBidi" w:cstheme="majorBidi"/>
          <w:sz w:val="20"/>
          <w:lang w:val="en-GB"/>
        </w:rPr>
        <w:t xml:space="preserve">other person, the Committee </w:t>
      </w:r>
      <w:r w:rsidR="00DC3C0D" w:rsidRPr="00A9211F">
        <w:rPr>
          <w:rFonts w:asciiTheme="majorBidi" w:hAnsiTheme="majorBidi" w:cstheme="majorBidi"/>
          <w:sz w:val="20"/>
          <w:lang w:val="en-GB"/>
        </w:rPr>
        <w:t xml:space="preserve">will </w:t>
      </w:r>
      <w:r w:rsidRPr="00A9211F">
        <w:rPr>
          <w:rFonts w:asciiTheme="majorBidi" w:hAnsiTheme="majorBidi" w:cstheme="majorBidi"/>
          <w:sz w:val="20"/>
          <w:lang w:val="en-GB"/>
        </w:rPr>
        <w:t xml:space="preserve">consider </w:t>
      </w:r>
      <w:r w:rsidR="00BC41E1" w:rsidRPr="00A9211F">
        <w:rPr>
          <w:rFonts w:asciiTheme="majorBidi" w:hAnsiTheme="majorBidi" w:cstheme="majorBidi"/>
          <w:sz w:val="20"/>
          <w:lang w:val="en-GB"/>
        </w:rPr>
        <w:t xml:space="preserve">below </w:t>
      </w:r>
      <w:r w:rsidRPr="00A9211F">
        <w:rPr>
          <w:rFonts w:asciiTheme="majorBidi" w:hAnsiTheme="majorBidi" w:cstheme="majorBidi"/>
          <w:sz w:val="20"/>
          <w:lang w:val="en-GB"/>
        </w:rPr>
        <w:t>whether these review procedures are “timely” and “provide adequate and effective remedies” including “injunctive relief as appropriate” under article 9(4) of the Convention.</w:t>
      </w:r>
    </w:p>
    <w:p w14:paraId="1D9075F6" w14:textId="77777777" w:rsidR="002A3127" w:rsidRPr="00A9211F" w:rsidRDefault="002A3127" w:rsidP="00EA5C8B">
      <w:pPr>
        <w:pStyle w:val="ListParagraph"/>
        <w:rPr>
          <w:rFonts w:asciiTheme="majorBidi" w:hAnsiTheme="majorBidi" w:cstheme="majorBidi"/>
          <w:b/>
          <w:sz w:val="20"/>
          <w:lang w:val="en-GB"/>
        </w:rPr>
      </w:pPr>
    </w:p>
    <w:p w14:paraId="04A89D63" w14:textId="6192AD64" w:rsidR="00094CA6" w:rsidRPr="00A9211F" w:rsidRDefault="00094CA6" w:rsidP="00EA5C8B">
      <w:pPr>
        <w:pStyle w:val="ListParagraph"/>
        <w:tabs>
          <w:tab w:val="left" w:pos="1701"/>
        </w:tabs>
        <w:ind w:left="1094"/>
        <w:jc w:val="both"/>
        <w:rPr>
          <w:rFonts w:asciiTheme="majorBidi" w:hAnsiTheme="majorBidi" w:cstheme="majorBidi"/>
          <w:i/>
          <w:iCs/>
          <w:sz w:val="20"/>
          <w:szCs w:val="20"/>
        </w:rPr>
      </w:pPr>
      <w:r w:rsidRPr="00A9211F">
        <w:rPr>
          <w:rFonts w:asciiTheme="majorBidi" w:hAnsiTheme="majorBidi" w:cstheme="majorBidi"/>
          <w:i/>
          <w:iCs/>
          <w:sz w:val="20"/>
          <w:szCs w:val="20"/>
        </w:rPr>
        <w:t>Timely review procedures</w:t>
      </w:r>
    </w:p>
    <w:p w14:paraId="5312B8AF" w14:textId="77777777" w:rsidR="00094CA6" w:rsidRPr="00A9211F" w:rsidRDefault="00094CA6" w:rsidP="00EA5C8B">
      <w:pPr>
        <w:pStyle w:val="ListParagraph"/>
        <w:tabs>
          <w:tab w:val="left" w:pos="1701"/>
        </w:tabs>
        <w:ind w:left="1094"/>
        <w:jc w:val="both"/>
        <w:rPr>
          <w:rFonts w:asciiTheme="majorBidi" w:hAnsiTheme="majorBidi" w:cstheme="majorBidi"/>
          <w:i/>
          <w:iCs/>
          <w:sz w:val="20"/>
          <w:szCs w:val="20"/>
        </w:rPr>
      </w:pPr>
    </w:p>
    <w:p w14:paraId="4A0A0FBF" w14:textId="220C062F" w:rsidR="002A3127" w:rsidRPr="00A9211F" w:rsidRDefault="009D39C4" w:rsidP="00EA5C8B">
      <w:pPr>
        <w:pStyle w:val="ListParagraph"/>
        <w:tabs>
          <w:tab w:val="left" w:pos="1701"/>
        </w:tabs>
        <w:ind w:left="1094"/>
        <w:jc w:val="both"/>
        <w:rPr>
          <w:rFonts w:asciiTheme="majorBidi" w:hAnsiTheme="majorBidi" w:cstheme="majorBidi"/>
          <w:sz w:val="20"/>
          <w:szCs w:val="20"/>
          <w:u w:val="single"/>
        </w:rPr>
      </w:pPr>
      <w:r w:rsidRPr="00A9211F">
        <w:rPr>
          <w:rFonts w:asciiTheme="majorBidi" w:hAnsiTheme="majorBidi" w:cstheme="majorBidi"/>
          <w:sz w:val="20"/>
          <w:szCs w:val="20"/>
          <w:u w:val="single"/>
        </w:rPr>
        <w:t>Appeals to the</w:t>
      </w:r>
      <w:r w:rsidR="002A3127" w:rsidRPr="00A9211F">
        <w:rPr>
          <w:rFonts w:asciiTheme="majorBidi" w:hAnsiTheme="majorBidi" w:cstheme="majorBidi"/>
          <w:sz w:val="20"/>
          <w:szCs w:val="20"/>
          <w:u w:val="single"/>
        </w:rPr>
        <w:t xml:space="preserve"> OCEI</w:t>
      </w:r>
    </w:p>
    <w:p w14:paraId="7F0AE0C2" w14:textId="77777777" w:rsidR="002A3127" w:rsidRPr="00A9211F" w:rsidRDefault="002A3127" w:rsidP="00EA5C8B">
      <w:pPr>
        <w:pStyle w:val="ListParagraph"/>
        <w:tabs>
          <w:tab w:val="left" w:pos="1701"/>
        </w:tabs>
        <w:ind w:left="1094"/>
        <w:jc w:val="both"/>
        <w:rPr>
          <w:rFonts w:asciiTheme="majorBidi" w:hAnsiTheme="majorBidi" w:cstheme="majorBidi"/>
          <w:sz w:val="20"/>
          <w:lang w:val="en-GB"/>
        </w:rPr>
      </w:pPr>
    </w:p>
    <w:p w14:paraId="5F5D7287" w14:textId="7CC4DF87"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As regards the </w:t>
      </w:r>
      <w:r w:rsidRPr="00A9211F">
        <w:rPr>
          <w:rFonts w:asciiTheme="majorBidi" w:hAnsiTheme="majorBidi" w:cstheme="majorBidi"/>
          <w:bCs/>
          <w:iCs/>
          <w:sz w:val="20"/>
          <w:lang w:val="en-GB"/>
        </w:rPr>
        <w:t>OCEI,</w:t>
      </w:r>
      <w:r w:rsidRPr="00A9211F">
        <w:rPr>
          <w:rFonts w:asciiTheme="majorBidi" w:hAnsiTheme="majorBidi" w:cstheme="majorBidi"/>
          <w:sz w:val="20"/>
          <w:lang w:val="en-GB"/>
        </w:rPr>
        <w:t xml:space="preserve"> one positive point emerges from the data set out in paragraphs </w:t>
      </w:r>
      <w:r w:rsidRPr="00A9211F">
        <w:rPr>
          <w:rFonts w:asciiTheme="majorBidi" w:hAnsiTheme="majorBidi" w:cstheme="majorBidi"/>
          <w:sz w:val="20"/>
          <w:lang w:val="en-GB"/>
        </w:rPr>
        <w:fldChar w:fldCharType="begin"/>
      </w:r>
      <w:r w:rsidRPr="00A9211F">
        <w:rPr>
          <w:rFonts w:asciiTheme="majorBidi" w:hAnsiTheme="majorBidi" w:cstheme="majorBidi"/>
          <w:sz w:val="20"/>
          <w:lang w:val="en-GB"/>
        </w:rPr>
        <w:instrText xml:space="preserve"> REF _Ref533008606 \r \h </w:instrText>
      </w:r>
      <w:r w:rsidR="00E442C4" w:rsidRPr="00A9211F">
        <w:rPr>
          <w:rFonts w:asciiTheme="majorBidi" w:hAnsiTheme="majorBidi" w:cstheme="majorBidi"/>
          <w:sz w:val="20"/>
          <w:lang w:val="en-GB"/>
        </w:rPr>
        <w:instrText xml:space="preserve"> \* MERGEFORMAT </w:instrText>
      </w:r>
      <w:r w:rsidRPr="00A9211F">
        <w:rPr>
          <w:rFonts w:asciiTheme="majorBidi" w:hAnsiTheme="majorBidi" w:cstheme="majorBidi"/>
          <w:sz w:val="20"/>
          <w:lang w:val="en-GB"/>
        </w:rPr>
      </w:r>
      <w:r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34</w:t>
      </w:r>
      <w:r w:rsidRPr="00A9211F">
        <w:rPr>
          <w:rFonts w:asciiTheme="majorBidi" w:hAnsiTheme="majorBidi" w:cstheme="majorBidi"/>
          <w:sz w:val="20"/>
          <w:lang w:val="en-GB"/>
        </w:rPr>
        <w:fldChar w:fldCharType="end"/>
      </w:r>
      <w:r w:rsidRPr="00A9211F">
        <w:rPr>
          <w:rFonts w:asciiTheme="majorBidi" w:hAnsiTheme="majorBidi" w:cstheme="majorBidi"/>
          <w:sz w:val="20"/>
          <w:lang w:val="en-GB"/>
        </w:rPr>
        <w:t xml:space="preserve">ff. above: as a result of its increased resources since 2015, the average time taken by that body to publish decisions on appeals has fallen from 713 days in 2015 to </w:t>
      </w:r>
      <w:r w:rsidR="009D0101" w:rsidRPr="00A9211F">
        <w:rPr>
          <w:rFonts w:asciiTheme="majorBidi" w:hAnsiTheme="majorBidi" w:cstheme="majorBidi"/>
          <w:sz w:val="20"/>
          <w:lang w:val="en-GB"/>
        </w:rPr>
        <w:t>249</w:t>
      </w:r>
      <w:r w:rsidRPr="00A9211F">
        <w:rPr>
          <w:rFonts w:asciiTheme="majorBidi" w:hAnsiTheme="majorBidi" w:cstheme="majorBidi"/>
          <w:sz w:val="20"/>
          <w:lang w:val="en-GB"/>
        </w:rPr>
        <w:t xml:space="preserve"> days in </w:t>
      </w:r>
      <w:r w:rsidR="009D0101" w:rsidRPr="00A9211F">
        <w:rPr>
          <w:rFonts w:asciiTheme="majorBidi" w:hAnsiTheme="majorBidi" w:cstheme="majorBidi"/>
          <w:sz w:val="20"/>
          <w:lang w:val="en-GB"/>
        </w:rPr>
        <w:t>2019</w:t>
      </w:r>
      <w:r w:rsidRPr="00A9211F">
        <w:rPr>
          <w:rFonts w:asciiTheme="majorBidi" w:hAnsiTheme="majorBidi" w:cstheme="majorBidi"/>
          <w:sz w:val="20"/>
          <w:lang w:val="en-GB"/>
        </w:rPr>
        <w:t xml:space="preserve">. This development is most welcome.  However, that is not the end of the matter. </w:t>
      </w:r>
    </w:p>
    <w:p w14:paraId="1EFF8F38" w14:textId="77777777" w:rsidR="002A3127" w:rsidRPr="00A9211F" w:rsidRDefault="002A3127" w:rsidP="00EA5C8B">
      <w:pPr>
        <w:pStyle w:val="ListParagraph"/>
        <w:rPr>
          <w:rFonts w:asciiTheme="majorBidi" w:hAnsiTheme="majorBidi" w:cstheme="majorBidi"/>
          <w:sz w:val="20"/>
          <w:lang w:val="en-GB"/>
        </w:rPr>
      </w:pPr>
    </w:p>
    <w:p w14:paraId="4D261994" w14:textId="7A9DC0F8"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34" w:name="_Ref46570886"/>
      <w:r w:rsidRPr="00A9211F">
        <w:rPr>
          <w:rFonts w:asciiTheme="majorBidi" w:hAnsiTheme="majorBidi" w:cstheme="majorBidi"/>
          <w:sz w:val="20"/>
          <w:lang w:val="en-GB"/>
        </w:rPr>
        <w:t xml:space="preserve">In its findings on communication ACCC/C/2013/93 (Norway), the Committee pointed out that </w:t>
      </w:r>
      <w:r w:rsidRPr="00A9211F">
        <w:rPr>
          <w:rFonts w:asciiTheme="majorBidi" w:hAnsiTheme="majorBidi" w:cstheme="majorBidi"/>
          <w:sz w:val="20"/>
          <w:szCs w:val="20"/>
        </w:rPr>
        <w:t>“time is an essential factor in many access to information requests, for instance because the information may have been requested to facilitate public participation in an ongoing decision-making procedure”.</w:t>
      </w:r>
      <w:r w:rsidRPr="00A9211F">
        <w:rPr>
          <w:rStyle w:val="FootnoteReference"/>
          <w:rFonts w:asciiTheme="majorBidi" w:hAnsiTheme="majorBidi" w:cstheme="majorBidi"/>
          <w:sz w:val="20"/>
          <w:szCs w:val="20"/>
        </w:rPr>
        <w:footnoteReference w:id="97"/>
      </w:r>
      <w:bookmarkEnd w:id="34"/>
    </w:p>
    <w:p w14:paraId="49B0327C" w14:textId="77777777" w:rsidR="002A3127" w:rsidRPr="00A9211F" w:rsidRDefault="002A3127" w:rsidP="00EA5C8B">
      <w:pPr>
        <w:pStyle w:val="ListParagraph"/>
        <w:rPr>
          <w:rFonts w:asciiTheme="majorBidi" w:hAnsiTheme="majorBidi" w:cstheme="majorBidi"/>
          <w:sz w:val="20"/>
          <w:lang w:val="en-GB"/>
        </w:rPr>
      </w:pPr>
    </w:p>
    <w:p w14:paraId="078D9239" w14:textId="15AAC26E"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The working practices of the OCEI fail to take account of this essential factor.  The passage of </w:t>
      </w:r>
      <w:r w:rsidR="00BC41E1" w:rsidRPr="00A9211F">
        <w:rPr>
          <w:rFonts w:asciiTheme="majorBidi" w:hAnsiTheme="majorBidi" w:cstheme="majorBidi"/>
          <w:sz w:val="20"/>
          <w:lang w:val="en-GB"/>
        </w:rPr>
        <w:t>the OCEI</w:t>
      </w:r>
      <w:r w:rsidRPr="00A9211F">
        <w:rPr>
          <w:rFonts w:asciiTheme="majorBidi" w:hAnsiTheme="majorBidi" w:cstheme="majorBidi"/>
          <w:sz w:val="20"/>
          <w:lang w:val="en-GB"/>
        </w:rPr>
        <w:t xml:space="preserve"> Procedures Manual cited in paragraph </w:t>
      </w:r>
      <w:r w:rsidRPr="00A9211F">
        <w:rPr>
          <w:rFonts w:asciiTheme="majorBidi" w:hAnsiTheme="majorBidi" w:cstheme="majorBidi"/>
          <w:sz w:val="20"/>
          <w:lang w:val="en-GB"/>
        </w:rPr>
        <w:fldChar w:fldCharType="begin"/>
      </w:r>
      <w:r w:rsidRPr="00A9211F">
        <w:rPr>
          <w:rFonts w:asciiTheme="majorBidi" w:hAnsiTheme="majorBidi" w:cstheme="majorBidi"/>
          <w:sz w:val="20"/>
          <w:lang w:val="en-GB"/>
        </w:rPr>
        <w:instrText xml:space="preserve"> REF _Ref533067343 \r \h </w:instrText>
      </w:r>
      <w:r w:rsidR="00E442C4" w:rsidRPr="00A9211F">
        <w:rPr>
          <w:rFonts w:asciiTheme="majorBidi" w:hAnsiTheme="majorBidi" w:cstheme="majorBidi"/>
          <w:sz w:val="20"/>
          <w:lang w:val="en-GB"/>
        </w:rPr>
        <w:instrText xml:space="preserve"> \* MERGEFORMAT </w:instrText>
      </w:r>
      <w:r w:rsidRPr="00A9211F">
        <w:rPr>
          <w:rFonts w:asciiTheme="majorBidi" w:hAnsiTheme="majorBidi" w:cstheme="majorBidi"/>
          <w:sz w:val="20"/>
          <w:lang w:val="en-GB"/>
        </w:rPr>
      </w:r>
      <w:r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26</w:t>
      </w:r>
      <w:r w:rsidRPr="00A9211F">
        <w:rPr>
          <w:rFonts w:asciiTheme="majorBidi" w:hAnsiTheme="majorBidi" w:cstheme="majorBidi"/>
          <w:sz w:val="20"/>
          <w:lang w:val="en-GB"/>
        </w:rPr>
        <w:fldChar w:fldCharType="end"/>
      </w:r>
      <w:r w:rsidRPr="00A9211F">
        <w:rPr>
          <w:rFonts w:asciiTheme="majorBidi" w:hAnsiTheme="majorBidi" w:cstheme="majorBidi"/>
          <w:sz w:val="20"/>
          <w:lang w:val="en-GB"/>
        </w:rPr>
        <w:t xml:space="preserve"> above sets out a long list of cases which might be given priority.  Nearly all of them relate to the administrative convenience of the OCEI itself.  The </w:t>
      </w:r>
      <w:r w:rsidRPr="00A9211F">
        <w:rPr>
          <w:rFonts w:asciiTheme="majorBidi" w:hAnsiTheme="majorBidi" w:cstheme="majorBidi"/>
          <w:sz w:val="20"/>
          <w:lang w:val="en-GB"/>
        </w:rPr>
        <w:lastRenderedPageBreak/>
        <w:t xml:space="preserve">only relevant item in the list is the penultimate one, in which the OCEI states that account may be taken of an appellant’s request to be given priority “for a specific pressing reason”.  But it then adds the following caveat: “however, as most appellants will be anxious, understandably, to have their cases expedited, this ground will apply in exceptional circumstances only and only where resources allow – time-consuming cases involving a large volume of records and/or complex issues are unlikely to be considered suitable for expedited processing”.  This falls well short of </w:t>
      </w:r>
      <w:r w:rsidR="00BC41E1" w:rsidRPr="00A9211F">
        <w:rPr>
          <w:rFonts w:asciiTheme="majorBidi" w:hAnsiTheme="majorBidi" w:cstheme="majorBidi"/>
          <w:sz w:val="20"/>
          <w:lang w:val="en-GB"/>
        </w:rPr>
        <w:t>recognizing</w:t>
      </w:r>
      <w:r w:rsidRPr="00A9211F">
        <w:rPr>
          <w:rFonts w:asciiTheme="majorBidi" w:hAnsiTheme="majorBidi" w:cstheme="majorBidi"/>
          <w:sz w:val="20"/>
          <w:lang w:val="en-GB"/>
        </w:rPr>
        <w:t xml:space="preserve"> that time will be an essential factor </w:t>
      </w:r>
      <w:r w:rsidR="00BC41E1" w:rsidRPr="00A9211F">
        <w:rPr>
          <w:rFonts w:asciiTheme="majorBidi" w:hAnsiTheme="majorBidi" w:cstheme="majorBidi"/>
          <w:sz w:val="20"/>
          <w:lang w:val="en-GB"/>
        </w:rPr>
        <w:t xml:space="preserve">whenever </w:t>
      </w:r>
      <w:r w:rsidRPr="00A9211F">
        <w:rPr>
          <w:rFonts w:asciiTheme="majorBidi" w:hAnsiTheme="majorBidi" w:cstheme="majorBidi"/>
          <w:sz w:val="20"/>
          <w:lang w:val="en-GB"/>
        </w:rPr>
        <w:t xml:space="preserve">information has been requested </w:t>
      </w:r>
      <w:r w:rsidR="00BC41E1" w:rsidRPr="00A9211F">
        <w:rPr>
          <w:rFonts w:asciiTheme="majorBidi" w:hAnsiTheme="majorBidi" w:cstheme="majorBidi"/>
          <w:sz w:val="20"/>
          <w:lang w:val="en-GB"/>
        </w:rPr>
        <w:t xml:space="preserve">for the purposes of an </w:t>
      </w:r>
      <w:r w:rsidRPr="00A9211F">
        <w:rPr>
          <w:rFonts w:asciiTheme="majorBidi" w:hAnsiTheme="majorBidi" w:cstheme="majorBidi"/>
          <w:sz w:val="20"/>
          <w:lang w:val="en-GB"/>
        </w:rPr>
        <w:t>ongoing public participation procedure</w:t>
      </w:r>
      <w:r w:rsidR="00BC41E1" w:rsidRPr="00A9211F">
        <w:rPr>
          <w:rFonts w:asciiTheme="majorBidi" w:hAnsiTheme="majorBidi" w:cstheme="majorBidi"/>
          <w:sz w:val="20"/>
          <w:lang w:val="en-GB"/>
        </w:rPr>
        <w:t xml:space="preserve"> or </w:t>
      </w:r>
      <w:r w:rsidR="00614B16" w:rsidRPr="00A9211F">
        <w:rPr>
          <w:rFonts w:asciiTheme="majorBidi" w:hAnsiTheme="majorBidi" w:cstheme="majorBidi"/>
          <w:sz w:val="20"/>
          <w:lang w:val="en-GB"/>
        </w:rPr>
        <w:t xml:space="preserve">when deciding whether to </w:t>
      </w:r>
      <w:r w:rsidR="00435DEC" w:rsidRPr="00A9211F">
        <w:rPr>
          <w:rFonts w:asciiTheme="majorBidi" w:hAnsiTheme="majorBidi" w:cstheme="majorBidi"/>
          <w:sz w:val="20"/>
          <w:lang w:val="en-GB"/>
        </w:rPr>
        <w:t xml:space="preserve">challenge a particular decision </w:t>
      </w:r>
      <w:r w:rsidR="007E4C88" w:rsidRPr="00A9211F">
        <w:rPr>
          <w:rFonts w:asciiTheme="majorBidi" w:hAnsiTheme="majorBidi" w:cstheme="majorBidi"/>
          <w:sz w:val="20"/>
          <w:lang w:val="en-GB"/>
        </w:rPr>
        <w:t>before</w:t>
      </w:r>
      <w:r w:rsidR="00435DEC" w:rsidRPr="00A9211F">
        <w:rPr>
          <w:rFonts w:asciiTheme="majorBidi" w:hAnsiTheme="majorBidi" w:cstheme="majorBidi"/>
          <w:sz w:val="20"/>
          <w:lang w:val="en-GB"/>
        </w:rPr>
        <w:t xml:space="preserve"> the courts</w:t>
      </w:r>
      <w:r w:rsidRPr="00A9211F">
        <w:rPr>
          <w:rFonts w:asciiTheme="majorBidi" w:hAnsiTheme="majorBidi" w:cstheme="majorBidi"/>
          <w:sz w:val="20"/>
          <w:lang w:val="en-GB"/>
        </w:rPr>
        <w:t xml:space="preserve">. </w:t>
      </w:r>
    </w:p>
    <w:p w14:paraId="5D2F39A5" w14:textId="77777777" w:rsidR="002A3127" w:rsidRPr="00A9211F" w:rsidRDefault="002A3127" w:rsidP="00EA5C8B">
      <w:pPr>
        <w:pStyle w:val="ListParagraph"/>
        <w:rPr>
          <w:rFonts w:asciiTheme="majorBidi" w:hAnsiTheme="majorBidi" w:cstheme="majorBidi"/>
          <w:sz w:val="20"/>
          <w:lang w:val="en-GB"/>
        </w:rPr>
      </w:pPr>
    </w:p>
    <w:p w14:paraId="77C35DD5" w14:textId="27ADF77A" w:rsidR="002A3127" w:rsidRPr="00A9211F" w:rsidRDefault="00A46895"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Moreover,</w:t>
      </w:r>
      <w:r w:rsidR="002A3127" w:rsidRPr="00A9211F">
        <w:rPr>
          <w:rFonts w:asciiTheme="majorBidi" w:hAnsiTheme="majorBidi" w:cstheme="majorBidi"/>
          <w:sz w:val="20"/>
          <w:lang w:val="en-GB"/>
        </w:rPr>
        <w:t xml:space="preserve"> the average time taken by the OCEI </w:t>
      </w:r>
      <w:r w:rsidR="00614B16" w:rsidRPr="00A9211F">
        <w:rPr>
          <w:rFonts w:asciiTheme="majorBidi" w:hAnsiTheme="majorBidi" w:cstheme="majorBidi"/>
          <w:sz w:val="20"/>
          <w:lang w:val="en-GB"/>
        </w:rPr>
        <w:t xml:space="preserve">in 2018 </w:t>
      </w:r>
      <w:r w:rsidR="00576A34" w:rsidRPr="00A9211F">
        <w:rPr>
          <w:rFonts w:asciiTheme="majorBidi" w:hAnsiTheme="majorBidi" w:cstheme="majorBidi"/>
          <w:sz w:val="20"/>
          <w:lang w:val="en-GB"/>
        </w:rPr>
        <w:t xml:space="preserve">and 2019 </w:t>
      </w:r>
      <w:r w:rsidR="002A3127" w:rsidRPr="00A9211F">
        <w:rPr>
          <w:rFonts w:asciiTheme="majorBidi" w:hAnsiTheme="majorBidi" w:cstheme="majorBidi"/>
          <w:sz w:val="20"/>
          <w:lang w:val="en-GB"/>
        </w:rPr>
        <w:t>to publish decisions on appeals (</w:t>
      </w:r>
      <w:r w:rsidR="009D0101" w:rsidRPr="00A9211F">
        <w:rPr>
          <w:rFonts w:asciiTheme="majorBidi" w:hAnsiTheme="majorBidi" w:cstheme="majorBidi"/>
          <w:sz w:val="20"/>
          <w:lang w:val="en-GB"/>
        </w:rPr>
        <w:t xml:space="preserve">279 and 249 </w:t>
      </w:r>
      <w:r w:rsidR="002A3127" w:rsidRPr="00A9211F">
        <w:rPr>
          <w:rFonts w:asciiTheme="majorBidi" w:hAnsiTheme="majorBidi" w:cstheme="majorBidi"/>
          <w:sz w:val="20"/>
          <w:lang w:val="en-GB"/>
        </w:rPr>
        <w:t>days</w:t>
      </w:r>
      <w:r w:rsidR="009D0101" w:rsidRPr="00A9211F">
        <w:rPr>
          <w:rFonts w:asciiTheme="majorBidi" w:hAnsiTheme="majorBidi" w:cstheme="majorBidi"/>
          <w:sz w:val="20"/>
          <w:lang w:val="en-GB"/>
        </w:rPr>
        <w:t>, respectively</w:t>
      </w:r>
      <w:r w:rsidR="002A3127" w:rsidRPr="00A9211F">
        <w:rPr>
          <w:rFonts w:asciiTheme="majorBidi" w:hAnsiTheme="majorBidi" w:cstheme="majorBidi"/>
          <w:sz w:val="20"/>
          <w:lang w:val="en-GB"/>
        </w:rPr>
        <w:t xml:space="preserve">) far exceeds the deadlines set for public participation in decision-making procedures or commencing court proceedings.  In any case, this figure is only an average, so </w:t>
      </w:r>
      <w:r w:rsidR="001136D3" w:rsidRPr="00A9211F">
        <w:rPr>
          <w:rFonts w:asciiTheme="majorBidi" w:hAnsiTheme="majorBidi" w:cstheme="majorBidi"/>
          <w:sz w:val="20"/>
          <w:lang w:val="en-GB"/>
        </w:rPr>
        <w:t xml:space="preserve">a significant proportion </w:t>
      </w:r>
      <w:r w:rsidR="002A3127" w:rsidRPr="00A9211F">
        <w:rPr>
          <w:rFonts w:asciiTheme="majorBidi" w:hAnsiTheme="majorBidi" w:cstheme="majorBidi"/>
          <w:sz w:val="20"/>
          <w:lang w:val="en-GB"/>
        </w:rPr>
        <w:t>of the appeals decided by the OCEI take longer.</w:t>
      </w:r>
      <w:r w:rsidR="001C772F" w:rsidRPr="00A9211F">
        <w:rPr>
          <w:rFonts w:asciiTheme="majorBidi" w:hAnsiTheme="majorBidi" w:cstheme="majorBidi"/>
          <w:sz w:val="20"/>
          <w:lang w:val="en-GB"/>
        </w:rPr>
        <w:t xml:space="preserve"> </w:t>
      </w:r>
    </w:p>
    <w:p w14:paraId="1CF3ADFD" w14:textId="77777777" w:rsidR="002A3127" w:rsidRPr="00A9211F" w:rsidRDefault="002A3127" w:rsidP="00EA5C8B">
      <w:pPr>
        <w:pStyle w:val="ListParagraph"/>
        <w:tabs>
          <w:tab w:val="left" w:pos="1701"/>
        </w:tabs>
        <w:ind w:left="1094"/>
        <w:jc w:val="both"/>
        <w:rPr>
          <w:rFonts w:asciiTheme="majorBidi" w:hAnsiTheme="majorBidi" w:cstheme="majorBidi"/>
          <w:sz w:val="20"/>
          <w:lang w:val="en-GB"/>
        </w:rPr>
      </w:pPr>
    </w:p>
    <w:p w14:paraId="4B669542" w14:textId="747CFE45"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bookmarkStart w:id="35" w:name="_Ref46570892"/>
      <w:r w:rsidRPr="00A9211F">
        <w:rPr>
          <w:rFonts w:asciiTheme="majorBidi" w:hAnsiTheme="majorBidi" w:cstheme="majorBidi"/>
          <w:sz w:val="20"/>
          <w:lang w:val="en-GB"/>
        </w:rPr>
        <w:t>The Committee is aware that the OCEI carries out a full review of the facts and the law, but that cannot justify systemic delays which prevent members of the public from exercising their rights</w:t>
      </w:r>
      <w:r w:rsidR="00173DF1" w:rsidRPr="00A9211F">
        <w:rPr>
          <w:rFonts w:asciiTheme="majorBidi" w:hAnsiTheme="majorBidi" w:cstheme="majorBidi"/>
          <w:sz w:val="20"/>
          <w:lang w:val="en-GB"/>
        </w:rPr>
        <w:t xml:space="preserve"> under the Convention</w:t>
      </w:r>
      <w:r w:rsidRPr="00A9211F">
        <w:rPr>
          <w:rFonts w:asciiTheme="majorBidi" w:hAnsiTheme="majorBidi" w:cstheme="majorBidi"/>
          <w:sz w:val="20"/>
          <w:lang w:val="en-GB"/>
        </w:rPr>
        <w:t xml:space="preserve"> </w:t>
      </w:r>
      <w:r w:rsidR="00173DF1" w:rsidRPr="00A9211F">
        <w:rPr>
          <w:rFonts w:asciiTheme="majorBidi" w:hAnsiTheme="majorBidi" w:cstheme="majorBidi"/>
          <w:sz w:val="20"/>
          <w:lang w:val="en-GB"/>
        </w:rPr>
        <w:t>to participate in decision-making or seek access to justice regarding the environment</w:t>
      </w:r>
      <w:r w:rsidRPr="00A9211F">
        <w:rPr>
          <w:rFonts w:asciiTheme="majorBidi" w:hAnsiTheme="majorBidi" w:cstheme="majorBidi"/>
          <w:sz w:val="20"/>
          <w:lang w:val="en-GB"/>
        </w:rPr>
        <w:t>.</w:t>
      </w:r>
      <w:bookmarkEnd w:id="35"/>
      <w:r w:rsidRPr="00A9211F">
        <w:rPr>
          <w:rFonts w:asciiTheme="majorBidi" w:hAnsiTheme="majorBidi" w:cstheme="majorBidi"/>
          <w:sz w:val="20"/>
          <w:lang w:val="en-GB"/>
        </w:rPr>
        <w:t xml:space="preserve"> </w:t>
      </w:r>
    </w:p>
    <w:p w14:paraId="2AC5B0DA" w14:textId="77777777" w:rsidR="00173DF1" w:rsidRPr="00A9211F" w:rsidRDefault="00173DF1" w:rsidP="00EA5C8B">
      <w:pPr>
        <w:pStyle w:val="ListParagraph"/>
        <w:rPr>
          <w:rFonts w:asciiTheme="majorBidi" w:hAnsiTheme="majorBidi" w:cstheme="majorBidi"/>
          <w:sz w:val="20"/>
          <w:lang w:val="en-GB"/>
        </w:rPr>
      </w:pPr>
    </w:p>
    <w:p w14:paraId="3978D05B" w14:textId="41E9A91D"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This situation is exacerbated by the fact that no provision of Irish law requires the CEI to take a decision within a certain timeframe or even to act in a timely manner</w:t>
      </w:r>
      <w:r w:rsidR="00614B16" w:rsidRPr="00A9211F">
        <w:rPr>
          <w:rFonts w:asciiTheme="majorBidi" w:hAnsiTheme="majorBidi" w:cstheme="majorBidi"/>
          <w:sz w:val="20"/>
          <w:lang w:val="en-GB"/>
        </w:rPr>
        <w:t xml:space="preserve">. In contrast, </w:t>
      </w:r>
      <w:r w:rsidRPr="00A9211F">
        <w:rPr>
          <w:rFonts w:asciiTheme="majorBidi" w:hAnsiTheme="majorBidi" w:cstheme="majorBidi"/>
          <w:sz w:val="20"/>
          <w:lang w:val="en-GB"/>
        </w:rPr>
        <w:t>when the very same official is acting as Information Commissioner, he or she is required by section 22(3) of the Freedom of Information Act 2014 (FOI Act) to rule on appeals “as soon as may be and, insofar as practicable, not later than 4 months after the receipt by the Commissioner of the application for the review concerned.”</w:t>
      </w:r>
    </w:p>
    <w:p w14:paraId="6ADE028E" w14:textId="77777777" w:rsidR="002A3127" w:rsidRPr="00A9211F" w:rsidRDefault="002A3127" w:rsidP="00EA5C8B">
      <w:pPr>
        <w:pStyle w:val="ListParagraph"/>
        <w:tabs>
          <w:tab w:val="left" w:pos="1701"/>
        </w:tabs>
        <w:ind w:left="1134"/>
        <w:jc w:val="both"/>
        <w:rPr>
          <w:rFonts w:asciiTheme="majorBidi" w:hAnsiTheme="majorBidi" w:cstheme="majorBidi"/>
          <w:sz w:val="20"/>
          <w:szCs w:val="20"/>
          <w:lang w:val="en-GB"/>
        </w:rPr>
      </w:pPr>
    </w:p>
    <w:p w14:paraId="6214F712" w14:textId="1EDAA5CF"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  Although the latter provision does not lay down an absolute rule, the disparity between the two schemes means that</w:t>
      </w:r>
      <w:r w:rsidR="00614B16" w:rsidRPr="00A9211F">
        <w:rPr>
          <w:rFonts w:asciiTheme="majorBidi" w:hAnsiTheme="majorBidi" w:cstheme="majorBidi"/>
          <w:sz w:val="20"/>
          <w:lang w:val="en-GB"/>
        </w:rPr>
        <w:t>,</w:t>
      </w:r>
      <w:r w:rsidRPr="00A9211F">
        <w:rPr>
          <w:rFonts w:asciiTheme="majorBidi" w:hAnsiTheme="majorBidi" w:cstheme="majorBidi"/>
          <w:sz w:val="20"/>
          <w:lang w:val="en-GB"/>
        </w:rPr>
        <w:t xml:space="preserve"> by definition</w:t>
      </w:r>
      <w:r w:rsidR="00614B16" w:rsidRPr="00A9211F">
        <w:rPr>
          <w:rFonts w:asciiTheme="majorBidi" w:hAnsiTheme="majorBidi" w:cstheme="majorBidi"/>
          <w:sz w:val="20"/>
          <w:lang w:val="en-GB"/>
        </w:rPr>
        <w:t>,</w:t>
      </w:r>
      <w:r w:rsidRPr="00A9211F">
        <w:rPr>
          <w:rFonts w:asciiTheme="majorBidi" w:hAnsiTheme="majorBidi" w:cstheme="majorBidi"/>
          <w:sz w:val="20"/>
          <w:lang w:val="en-GB"/>
        </w:rPr>
        <w:t xml:space="preserve"> the person who exercises the two functions is under pressure to give priority to appeals lodged under the FOI Act.  Indeed, in an affidavit sworn in 2014, a member of staff of the Information Commissioner clearly stated that the office of the Commissioner did precisely that.</w:t>
      </w:r>
      <w:r w:rsidRPr="00A9211F">
        <w:rPr>
          <w:rFonts w:asciiTheme="majorBidi" w:hAnsiTheme="majorBidi" w:cstheme="majorBidi"/>
          <w:sz w:val="20"/>
          <w:vertAlign w:val="superscript"/>
        </w:rPr>
        <w:footnoteReference w:id="98"/>
      </w:r>
      <w:r w:rsidRPr="00A9211F">
        <w:rPr>
          <w:rFonts w:asciiTheme="majorBidi" w:hAnsiTheme="majorBidi" w:cstheme="majorBidi"/>
          <w:sz w:val="20"/>
          <w:vertAlign w:val="superscript"/>
          <w:lang w:val="en-GB"/>
        </w:rPr>
        <w:t xml:space="preserve"> </w:t>
      </w:r>
      <w:r w:rsidRPr="00A9211F">
        <w:rPr>
          <w:rFonts w:asciiTheme="majorBidi" w:hAnsiTheme="majorBidi" w:cstheme="majorBidi"/>
          <w:sz w:val="20"/>
          <w:lang w:val="en-GB"/>
        </w:rPr>
        <w:t>Admittedly, the situation may have improved since then because increased resources have been allocated.</w:t>
      </w:r>
      <w:r w:rsidR="00173DF1" w:rsidRPr="00A9211F">
        <w:rPr>
          <w:rFonts w:asciiTheme="majorBidi" w:hAnsiTheme="majorBidi" w:cstheme="majorBidi"/>
          <w:sz w:val="20"/>
          <w:lang w:val="en-GB"/>
        </w:rPr>
        <w:t xml:space="preserve"> However, the fact remains that, even after the allocation of these additional resources, FOI appeals continue to be resolved significantly more quickly than CEI appeals. In 2017, 63% of FOI appeals were resolved in 4 months and 98% in 12 months. In 2018, 64% of FOI appeals were resolved in 4 months, and </w:t>
      </w:r>
      <w:r w:rsidR="00384A05" w:rsidRPr="00A9211F">
        <w:rPr>
          <w:rFonts w:asciiTheme="majorBidi" w:hAnsiTheme="majorBidi" w:cstheme="majorBidi"/>
          <w:sz w:val="20"/>
          <w:lang w:val="en-GB"/>
        </w:rPr>
        <w:t>98</w:t>
      </w:r>
      <w:r w:rsidR="00173DF1" w:rsidRPr="00A9211F">
        <w:rPr>
          <w:rFonts w:asciiTheme="majorBidi" w:hAnsiTheme="majorBidi" w:cstheme="majorBidi"/>
          <w:sz w:val="20"/>
          <w:lang w:val="en-GB"/>
        </w:rPr>
        <w:t>% in 12 months.</w:t>
      </w:r>
      <w:r w:rsidR="00173DF1" w:rsidRPr="00A9211F">
        <w:rPr>
          <w:rFonts w:asciiTheme="majorBidi" w:hAnsiTheme="majorBidi" w:cstheme="majorBidi"/>
          <w:sz w:val="20"/>
          <w:vertAlign w:val="superscript"/>
        </w:rPr>
        <w:footnoteReference w:id="99"/>
      </w:r>
      <w:r w:rsidR="00173DF1" w:rsidRPr="00A9211F">
        <w:rPr>
          <w:rFonts w:asciiTheme="majorBidi" w:hAnsiTheme="majorBidi" w:cstheme="majorBidi"/>
          <w:sz w:val="20"/>
          <w:vertAlign w:val="superscript"/>
          <w:lang w:val="en-GB"/>
        </w:rPr>
        <w:t xml:space="preserve"> </w:t>
      </w:r>
      <w:r w:rsidR="00173DF1" w:rsidRPr="00A9211F">
        <w:rPr>
          <w:rFonts w:asciiTheme="majorBidi" w:hAnsiTheme="majorBidi" w:cstheme="majorBidi"/>
          <w:sz w:val="20"/>
          <w:lang w:val="en-GB"/>
        </w:rPr>
        <w:t xml:space="preserve">It </w:t>
      </w:r>
      <w:r w:rsidRPr="00A9211F">
        <w:rPr>
          <w:rFonts w:asciiTheme="majorBidi" w:hAnsiTheme="majorBidi" w:cstheme="majorBidi"/>
          <w:sz w:val="20"/>
          <w:lang w:val="en-GB"/>
        </w:rPr>
        <w:t>is difficult to see why, if</w:t>
      </w:r>
      <w:r w:rsidR="00173DF1" w:rsidRPr="00A9211F">
        <w:rPr>
          <w:rFonts w:asciiTheme="majorBidi" w:hAnsiTheme="majorBidi" w:cstheme="majorBidi"/>
          <w:sz w:val="20"/>
          <w:lang w:val="en-GB"/>
        </w:rPr>
        <w:t xml:space="preserve"> it was feasible for the Party concerned to establish a clear</w:t>
      </w:r>
      <w:r w:rsidRPr="00A9211F">
        <w:rPr>
          <w:rFonts w:asciiTheme="majorBidi" w:hAnsiTheme="majorBidi" w:cstheme="majorBidi"/>
          <w:sz w:val="20"/>
          <w:lang w:val="en-GB"/>
        </w:rPr>
        <w:t xml:space="preserve"> deadline for FOI appeals, there should not be  one set for appeals under the AIE Regulations also.</w:t>
      </w:r>
    </w:p>
    <w:p w14:paraId="0905F01D" w14:textId="77777777" w:rsidR="002A3127" w:rsidRPr="00A9211F" w:rsidRDefault="002A3127" w:rsidP="00EA5C8B">
      <w:pPr>
        <w:tabs>
          <w:tab w:val="left" w:pos="1701"/>
        </w:tabs>
        <w:jc w:val="both"/>
        <w:rPr>
          <w:rFonts w:asciiTheme="majorBidi" w:hAnsiTheme="majorBidi" w:cstheme="majorBidi"/>
          <w:sz w:val="20"/>
          <w:szCs w:val="20"/>
        </w:rPr>
      </w:pPr>
    </w:p>
    <w:p w14:paraId="019ABCDA" w14:textId="3FAB3C35" w:rsidR="002A3127" w:rsidRPr="00A9211F" w:rsidRDefault="002A3127" w:rsidP="00EA5C8B">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 xml:space="preserve">Based on </w:t>
      </w:r>
      <w:r w:rsidR="00AE4A15" w:rsidRPr="00A9211F">
        <w:rPr>
          <w:rFonts w:asciiTheme="majorBidi" w:hAnsiTheme="majorBidi" w:cstheme="majorBidi"/>
          <w:sz w:val="20"/>
          <w:lang w:val="en-GB"/>
        </w:rPr>
        <w:t xml:space="preserve">paragraphs </w:t>
      </w:r>
      <w:r w:rsidR="00576A34" w:rsidRPr="00A9211F">
        <w:rPr>
          <w:rFonts w:asciiTheme="majorBidi" w:hAnsiTheme="majorBidi" w:cstheme="majorBidi"/>
          <w:sz w:val="20"/>
          <w:lang w:val="en-GB"/>
        </w:rPr>
        <w:fldChar w:fldCharType="begin"/>
      </w:r>
      <w:r w:rsidR="00576A34" w:rsidRPr="00A9211F">
        <w:rPr>
          <w:rFonts w:asciiTheme="majorBidi" w:hAnsiTheme="majorBidi" w:cstheme="majorBidi"/>
          <w:sz w:val="20"/>
          <w:lang w:val="en-GB"/>
        </w:rPr>
        <w:instrText xml:space="preserve"> REF _Ref46570886 \r \h </w:instrText>
      </w:r>
      <w:r w:rsidR="00A87B03" w:rsidRPr="00A9211F">
        <w:rPr>
          <w:rFonts w:asciiTheme="majorBidi" w:hAnsiTheme="majorBidi" w:cstheme="majorBidi"/>
          <w:sz w:val="20"/>
          <w:lang w:val="en-GB"/>
        </w:rPr>
        <w:instrText xml:space="preserve"> \* MERGEFORMAT </w:instrText>
      </w:r>
      <w:r w:rsidR="00576A34" w:rsidRPr="00A9211F">
        <w:rPr>
          <w:rFonts w:asciiTheme="majorBidi" w:hAnsiTheme="majorBidi" w:cstheme="majorBidi"/>
          <w:sz w:val="20"/>
          <w:lang w:val="en-GB"/>
        </w:rPr>
      </w:r>
      <w:r w:rsidR="00576A34"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103</w:t>
      </w:r>
      <w:r w:rsidR="00576A34" w:rsidRPr="00A9211F">
        <w:rPr>
          <w:rFonts w:asciiTheme="majorBidi" w:hAnsiTheme="majorBidi" w:cstheme="majorBidi"/>
          <w:sz w:val="20"/>
          <w:lang w:val="en-GB"/>
        </w:rPr>
        <w:fldChar w:fldCharType="end"/>
      </w:r>
      <w:r w:rsidR="00AE4A15" w:rsidRPr="00A9211F">
        <w:rPr>
          <w:rFonts w:asciiTheme="majorBidi" w:hAnsiTheme="majorBidi" w:cstheme="majorBidi"/>
          <w:sz w:val="20"/>
          <w:lang w:val="en-GB"/>
        </w:rPr>
        <w:t xml:space="preserve"> to </w:t>
      </w:r>
      <w:r w:rsidR="00576A34" w:rsidRPr="00A9211F">
        <w:rPr>
          <w:rFonts w:asciiTheme="majorBidi" w:hAnsiTheme="majorBidi" w:cstheme="majorBidi"/>
          <w:sz w:val="20"/>
          <w:lang w:val="en-GB"/>
        </w:rPr>
        <w:fldChar w:fldCharType="begin"/>
      </w:r>
      <w:r w:rsidR="00576A34" w:rsidRPr="00A9211F">
        <w:rPr>
          <w:rFonts w:asciiTheme="majorBidi" w:hAnsiTheme="majorBidi" w:cstheme="majorBidi"/>
          <w:sz w:val="20"/>
          <w:lang w:val="en-GB"/>
        </w:rPr>
        <w:instrText xml:space="preserve"> REF _Ref46570892 \r \h </w:instrText>
      </w:r>
      <w:r w:rsidR="00A87B03" w:rsidRPr="00A9211F">
        <w:rPr>
          <w:rFonts w:asciiTheme="majorBidi" w:hAnsiTheme="majorBidi" w:cstheme="majorBidi"/>
          <w:sz w:val="20"/>
          <w:lang w:val="en-GB"/>
        </w:rPr>
        <w:instrText xml:space="preserve"> \* MERGEFORMAT </w:instrText>
      </w:r>
      <w:r w:rsidR="00576A34" w:rsidRPr="00A9211F">
        <w:rPr>
          <w:rFonts w:asciiTheme="majorBidi" w:hAnsiTheme="majorBidi" w:cstheme="majorBidi"/>
          <w:sz w:val="20"/>
          <w:lang w:val="en-GB"/>
        </w:rPr>
      </w:r>
      <w:r w:rsidR="00576A34"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106</w:t>
      </w:r>
      <w:r w:rsidR="00576A34" w:rsidRPr="00A9211F">
        <w:rPr>
          <w:rFonts w:asciiTheme="majorBidi" w:hAnsiTheme="majorBidi" w:cstheme="majorBidi"/>
          <w:sz w:val="20"/>
          <w:lang w:val="en-GB"/>
        </w:rPr>
        <w:fldChar w:fldCharType="end"/>
      </w:r>
      <w:r w:rsidR="00576A34" w:rsidRPr="00A9211F">
        <w:rPr>
          <w:rFonts w:asciiTheme="majorBidi" w:hAnsiTheme="majorBidi" w:cstheme="majorBidi"/>
          <w:sz w:val="20"/>
          <w:lang w:val="en-GB"/>
        </w:rPr>
        <w:t xml:space="preserve"> above</w:t>
      </w:r>
      <w:r w:rsidRPr="00A9211F">
        <w:rPr>
          <w:rFonts w:asciiTheme="majorBidi" w:hAnsiTheme="majorBidi" w:cstheme="majorBidi"/>
          <w:sz w:val="20"/>
          <w:lang w:val="en-GB"/>
        </w:rPr>
        <w:t>, the Committee finds that, by failing to ensure that decisions by the OCEI on appeals under the AIE Regulations are timely, the Party concerned fails to comply with article 9(4) of the Convention.</w:t>
      </w:r>
      <w:r w:rsidRPr="00A9211F">
        <w:rPr>
          <w:rFonts w:asciiTheme="majorBidi" w:hAnsiTheme="majorBidi" w:cstheme="majorBidi"/>
          <w:sz w:val="20"/>
          <w:szCs w:val="20"/>
          <w:lang w:val="en-GB"/>
        </w:rPr>
        <w:t xml:space="preserve"> </w:t>
      </w:r>
    </w:p>
    <w:p w14:paraId="43A26AF3" w14:textId="77777777" w:rsidR="00512F82" w:rsidRPr="00A9211F" w:rsidRDefault="00512F82" w:rsidP="00EA5C8B">
      <w:pPr>
        <w:pStyle w:val="ListParagraph"/>
        <w:rPr>
          <w:rFonts w:asciiTheme="majorBidi" w:hAnsiTheme="majorBidi" w:cstheme="majorBidi"/>
          <w:sz w:val="20"/>
          <w:lang w:val="en-GB"/>
        </w:rPr>
      </w:pPr>
    </w:p>
    <w:p w14:paraId="1419FA42" w14:textId="0523DD13" w:rsidR="00512F82" w:rsidRPr="007A58F9" w:rsidRDefault="00614B16" w:rsidP="007A58F9">
      <w:pPr>
        <w:tabs>
          <w:tab w:val="left" w:pos="1701"/>
        </w:tabs>
        <w:ind w:left="1134"/>
        <w:jc w:val="both"/>
        <w:rPr>
          <w:rFonts w:asciiTheme="majorBidi" w:hAnsiTheme="majorBidi" w:cstheme="majorBidi"/>
          <w:sz w:val="20"/>
          <w:u w:val="single"/>
        </w:rPr>
      </w:pPr>
      <w:r w:rsidRPr="007A58F9">
        <w:rPr>
          <w:rFonts w:asciiTheme="majorBidi" w:hAnsiTheme="majorBidi" w:cstheme="majorBidi"/>
          <w:sz w:val="20"/>
          <w:u w:val="single"/>
        </w:rPr>
        <w:t>Court appeals</w:t>
      </w:r>
    </w:p>
    <w:p w14:paraId="02340C1D" w14:textId="5F8185AF" w:rsidR="00151200" w:rsidRPr="00A9211F" w:rsidRDefault="00151200" w:rsidP="00EA5C8B">
      <w:pPr>
        <w:tabs>
          <w:tab w:val="left" w:pos="1701"/>
        </w:tabs>
        <w:ind w:left="1134"/>
        <w:jc w:val="both"/>
        <w:rPr>
          <w:rFonts w:asciiTheme="majorBidi" w:hAnsiTheme="majorBidi" w:cstheme="majorBidi"/>
          <w:sz w:val="20"/>
          <w:szCs w:val="20"/>
        </w:rPr>
      </w:pPr>
    </w:p>
    <w:p w14:paraId="4F686742" w14:textId="3472C5E9" w:rsidR="00661635" w:rsidRPr="00A9211F" w:rsidRDefault="00C72332"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As </w:t>
      </w:r>
      <w:r w:rsidR="00A46895" w:rsidRPr="00A9211F">
        <w:rPr>
          <w:rFonts w:asciiTheme="majorBidi" w:hAnsiTheme="majorBidi" w:cstheme="majorBidi"/>
          <w:sz w:val="20"/>
          <w:lang w:val="en-GB"/>
        </w:rPr>
        <w:t xml:space="preserve">set out in </w:t>
      </w:r>
      <w:r w:rsidR="00133188" w:rsidRPr="00A9211F">
        <w:rPr>
          <w:rFonts w:asciiTheme="majorBidi" w:hAnsiTheme="majorBidi" w:cstheme="majorBidi"/>
          <w:sz w:val="20"/>
          <w:lang w:val="en-GB"/>
        </w:rPr>
        <w:t xml:space="preserve">paragraph </w:t>
      </w:r>
      <w:r w:rsidR="00614B16" w:rsidRPr="00A9211F">
        <w:rPr>
          <w:rFonts w:asciiTheme="majorBidi" w:hAnsiTheme="majorBidi" w:cstheme="majorBidi"/>
          <w:sz w:val="20"/>
          <w:lang w:val="en-GB"/>
        </w:rPr>
        <w:fldChar w:fldCharType="begin"/>
      </w:r>
      <w:r w:rsidR="00614B16" w:rsidRPr="00A9211F">
        <w:rPr>
          <w:rFonts w:asciiTheme="majorBidi" w:hAnsiTheme="majorBidi" w:cstheme="majorBidi"/>
          <w:sz w:val="20"/>
          <w:lang w:val="en-GB"/>
        </w:rPr>
        <w:instrText xml:space="preserve"> REF _Ref40104069 \r \h </w:instrText>
      </w:r>
      <w:r w:rsidR="005D33F8" w:rsidRPr="00A9211F">
        <w:rPr>
          <w:rFonts w:asciiTheme="majorBidi" w:hAnsiTheme="majorBidi" w:cstheme="majorBidi"/>
          <w:sz w:val="20"/>
          <w:lang w:val="en-GB"/>
        </w:rPr>
        <w:instrText xml:space="preserve"> \* MERGEFORMAT </w:instrText>
      </w:r>
      <w:r w:rsidR="00614B16" w:rsidRPr="00A9211F">
        <w:rPr>
          <w:rFonts w:asciiTheme="majorBidi" w:hAnsiTheme="majorBidi" w:cstheme="majorBidi"/>
          <w:sz w:val="20"/>
          <w:lang w:val="en-GB"/>
        </w:rPr>
      </w:r>
      <w:r w:rsidR="00614B16"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100</w:t>
      </w:r>
      <w:r w:rsidR="00614B16" w:rsidRPr="00A9211F">
        <w:rPr>
          <w:rFonts w:asciiTheme="majorBidi" w:hAnsiTheme="majorBidi" w:cstheme="majorBidi"/>
          <w:sz w:val="20"/>
          <w:lang w:val="en-GB"/>
        </w:rPr>
        <w:fldChar w:fldCharType="end"/>
      </w:r>
      <w:r w:rsidR="00133188" w:rsidRPr="00A9211F">
        <w:rPr>
          <w:rFonts w:asciiTheme="majorBidi" w:hAnsiTheme="majorBidi" w:cstheme="majorBidi"/>
          <w:sz w:val="20"/>
          <w:lang w:val="en-GB"/>
        </w:rPr>
        <w:t xml:space="preserve"> above, the requirement </w:t>
      </w:r>
      <w:r w:rsidR="005F79A3" w:rsidRPr="00A9211F">
        <w:rPr>
          <w:rFonts w:asciiTheme="majorBidi" w:hAnsiTheme="majorBidi" w:cstheme="majorBidi"/>
          <w:sz w:val="20"/>
          <w:lang w:val="en-GB"/>
        </w:rPr>
        <w:t xml:space="preserve">in article 9(4) </w:t>
      </w:r>
      <w:r w:rsidR="00133188" w:rsidRPr="00A9211F">
        <w:rPr>
          <w:rFonts w:asciiTheme="majorBidi" w:hAnsiTheme="majorBidi" w:cstheme="majorBidi"/>
          <w:sz w:val="20"/>
          <w:lang w:val="en-GB"/>
        </w:rPr>
        <w:t xml:space="preserve">that </w:t>
      </w:r>
      <w:r w:rsidR="005F79A3" w:rsidRPr="00A9211F">
        <w:rPr>
          <w:rFonts w:asciiTheme="majorBidi" w:hAnsiTheme="majorBidi"/>
          <w:sz w:val="20"/>
          <w:lang w:val="en-GB"/>
        </w:rPr>
        <w:t xml:space="preserve">review procedures </w:t>
      </w:r>
      <w:r w:rsidR="00133188" w:rsidRPr="00A9211F">
        <w:rPr>
          <w:rFonts w:asciiTheme="majorBidi" w:hAnsiTheme="majorBidi" w:cstheme="majorBidi"/>
          <w:sz w:val="20"/>
          <w:lang w:val="en-GB"/>
        </w:rPr>
        <w:t xml:space="preserve">for environmental information </w:t>
      </w:r>
      <w:r w:rsidR="005F79A3" w:rsidRPr="00A9211F">
        <w:rPr>
          <w:rFonts w:asciiTheme="majorBidi" w:hAnsiTheme="majorBidi" w:cstheme="majorBidi"/>
          <w:sz w:val="20"/>
          <w:lang w:val="en-GB"/>
        </w:rPr>
        <w:t xml:space="preserve">requests be </w:t>
      </w:r>
      <w:r w:rsidR="00133188" w:rsidRPr="00A9211F">
        <w:rPr>
          <w:rFonts w:asciiTheme="majorBidi" w:hAnsiTheme="majorBidi" w:cstheme="majorBidi"/>
          <w:sz w:val="20"/>
          <w:lang w:val="en-GB"/>
        </w:rPr>
        <w:t xml:space="preserve">timely applies not only to appeals brought by the applicant, but also </w:t>
      </w:r>
      <w:r w:rsidR="001D2E1E" w:rsidRPr="00A9211F">
        <w:rPr>
          <w:rFonts w:asciiTheme="majorBidi" w:hAnsiTheme="majorBidi" w:cstheme="majorBidi"/>
          <w:sz w:val="20"/>
          <w:lang w:val="en-GB"/>
        </w:rPr>
        <w:t xml:space="preserve">to those </w:t>
      </w:r>
      <w:r w:rsidR="00133188" w:rsidRPr="00A9211F">
        <w:rPr>
          <w:rFonts w:asciiTheme="majorBidi" w:hAnsiTheme="majorBidi" w:cstheme="majorBidi"/>
          <w:sz w:val="20"/>
          <w:lang w:val="en-GB"/>
        </w:rPr>
        <w:t>brought by the public authority or any other person</w:t>
      </w:r>
      <w:r w:rsidR="00133188" w:rsidRPr="00A9211F">
        <w:rPr>
          <w:rFonts w:asciiTheme="majorBidi" w:hAnsiTheme="majorBidi"/>
          <w:sz w:val="20"/>
          <w:lang w:val="en-GB"/>
        </w:rPr>
        <w:t>.</w:t>
      </w:r>
      <w:r w:rsidR="00133188" w:rsidRPr="00A9211F">
        <w:rPr>
          <w:rFonts w:asciiTheme="majorBidi" w:hAnsiTheme="majorBidi" w:cstheme="majorBidi"/>
          <w:sz w:val="20"/>
          <w:lang w:val="en-GB"/>
        </w:rPr>
        <w:t xml:space="preserve"> The requirement also </w:t>
      </w:r>
      <w:r w:rsidR="005F79A3" w:rsidRPr="00A9211F">
        <w:rPr>
          <w:rFonts w:asciiTheme="majorBidi" w:hAnsiTheme="majorBidi" w:cstheme="majorBidi"/>
          <w:sz w:val="20"/>
          <w:lang w:val="en-GB"/>
        </w:rPr>
        <w:t>covers</w:t>
      </w:r>
      <w:r w:rsidR="00133188" w:rsidRPr="00A9211F">
        <w:rPr>
          <w:rFonts w:asciiTheme="majorBidi" w:hAnsiTheme="majorBidi" w:cstheme="majorBidi"/>
          <w:sz w:val="20"/>
          <w:lang w:val="en-GB"/>
        </w:rPr>
        <w:t xml:space="preserve"> any subsequent appeals to higher courts.</w:t>
      </w:r>
      <w:r w:rsidR="005F79A3" w:rsidRPr="00A9211F">
        <w:rPr>
          <w:rFonts w:asciiTheme="majorBidi" w:hAnsiTheme="majorBidi" w:cstheme="majorBidi"/>
          <w:sz w:val="20"/>
          <w:lang w:val="en-GB"/>
        </w:rPr>
        <w:t xml:space="preserve"> The Committee </w:t>
      </w:r>
      <w:r w:rsidR="004D4AE3" w:rsidRPr="00A9211F">
        <w:rPr>
          <w:rFonts w:asciiTheme="majorBidi" w:hAnsiTheme="majorBidi" w:cstheme="majorBidi"/>
          <w:sz w:val="20"/>
          <w:lang w:val="en-GB"/>
        </w:rPr>
        <w:t xml:space="preserve">will therefore </w:t>
      </w:r>
      <w:r w:rsidR="005F79A3" w:rsidRPr="00A9211F">
        <w:rPr>
          <w:rFonts w:asciiTheme="majorBidi" w:hAnsiTheme="majorBidi" w:cstheme="majorBidi"/>
          <w:sz w:val="20"/>
          <w:lang w:val="en-GB"/>
        </w:rPr>
        <w:t>examine the evidence before it regarding the timeframes for</w:t>
      </w:r>
      <w:r w:rsidR="00614B16" w:rsidRPr="00A9211F">
        <w:rPr>
          <w:rFonts w:asciiTheme="majorBidi" w:hAnsiTheme="majorBidi" w:cstheme="majorBidi"/>
          <w:sz w:val="20"/>
          <w:lang w:val="en-GB"/>
        </w:rPr>
        <w:t xml:space="preserve"> court</w:t>
      </w:r>
      <w:r w:rsidR="005F79A3" w:rsidRPr="00A9211F">
        <w:rPr>
          <w:rFonts w:asciiTheme="majorBidi" w:hAnsiTheme="majorBidi" w:cstheme="majorBidi"/>
          <w:sz w:val="20"/>
          <w:lang w:val="en-GB"/>
        </w:rPr>
        <w:t xml:space="preserve"> appeals under the AIE Regulations below. </w:t>
      </w:r>
    </w:p>
    <w:p w14:paraId="19F09B0C" w14:textId="77777777" w:rsidR="00661635" w:rsidRPr="00A9211F" w:rsidRDefault="00661635" w:rsidP="00EA5C8B">
      <w:pPr>
        <w:pStyle w:val="ListParagraph"/>
        <w:tabs>
          <w:tab w:val="left" w:pos="1701"/>
        </w:tabs>
        <w:ind w:left="1134"/>
        <w:jc w:val="both"/>
        <w:rPr>
          <w:rFonts w:asciiTheme="majorBidi" w:hAnsiTheme="majorBidi" w:cstheme="majorBidi"/>
          <w:sz w:val="20"/>
          <w:lang w:val="en-GB"/>
        </w:rPr>
      </w:pPr>
    </w:p>
    <w:p w14:paraId="27D2ABE1" w14:textId="70BC88D8" w:rsidR="00133188" w:rsidRPr="00A9211F" w:rsidRDefault="00133188" w:rsidP="00EA5C8B">
      <w:pPr>
        <w:pStyle w:val="ListParagraph"/>
        <w:numPr>
          <w:ilvl w:val="0"/>
          <w:numId w:val="7"/>
        </w:numPr>
        <w:tabs>
          <w:tab w:val="left" w:pos="1701"/>
        </w:tabs>
        <w:ind w:left="1134" w:firstLine="0"/>
        <w:jc w:val="both"/>
        <w:rPr>
          <w:rFonts w:asciiTheme="majorBidi" w:hAnsiTheme="majorBidi" w:cstheme="majorBidi"/>
          <w:sz w:val="20"/>
          <w:lang w:val="en-GB"/>
        </w:rPr>
      </w:pPr>
      <w:bookmarkStart w:id="36" w:name="_Ref46575965"/>
      <w:r w:rsidRPr="00A9211F">
        <w:rPr>
          <w:rFonts w:asciiTheme="majorBidi" w:hAnsiTheme="majorBidi" w:cstheme="majorBidi"/>
          <w:sz w:val="20"/>
          <w:lang w:val="en-GB"/>
        </w:rPr>
        <w:lastRenderedPageBreak/>
        <w:t xml:space="preserve">The communicant submits that first instance statutory appeals are </w:t>
      </w:r>
      <w:r w:rsidR="00C27C44" w:rsidRPr="00A9211F">
        <w:rPr>
          <w:rFonts w:asciiTheme="majorBidi" w:hAnsiTheme="majorBidi" w:cstheme="majorBidi"/>
          <w:sz w:val="20"/>
          <w:lang w:val="en-GB"/>
        </w:rPr>
        <w:t xml:space="preserve">dealt with according to Order 84C of the Rules of the Superior Courts and are </w:t>
      </w:r>
      <w:r w:rsidRPr="00A9211F">
        <w:rPr>
          <w:rFonts w:asciiTheme="majorBidi" w:hAnsiTheme="majorBidi" w:cstheme="majorBidi"/>
          <w:sz w:val="20"/>
          <w:lang w:val="en-GB"/>
        </w:rPr>
        <w:t>typically disposed of between 12 and 18 months</w:t>
      </w:r>
      <w:r w:rsidR="0027720E" w:rsidRPr="00A9211F">
        <w:rPr>
          <w:rFonts w:asciiTheme="majorBidi" w:hAnsiTheme="majorBidi" w:cstheme="majorBidi"/>
          <w:sz w:val="20"/>
          <w:lang w:val="en-GB"/>
        </w:rPr>
        <w:t>,</w:t>
      </w:r>
      <w:r w:rsidRPr="00A9211F">
        <w:rPr>
          <w:rFonts w:asciiTheme="majorBidi" w:hAnsiTheme="majorBidi" w:cstheme="majorBidi"/>
          <w:sz w:val="20"/>
          <w:lang w:val="en-GB"/>
        </w:rPr>
        <w:t xml:space="preserve"> with a further one to two months to deal with ancillary issues such as the wording of any orders and costs”</w:t>
      </w:r>
      <w:r w:rsidRPr="00A9211F">
        <w:rPr>
          <w:rFonts w:asciiTheme="majorBidi" w:hAnsiTheme="majorBidi" w:cstheme="majorBidi"/>
          <w:sz w:val="20"/>
          <w:vertAlign w:val="superscript"/>
          <w:lang w:val="en-GB"/>
        </w:rPr>
        <w:footnoteReference w:id="100"/>
      </w:r>
      <w:r w:rsidRPr="00A9211F">
        <w:rPr>
          <w:rFonts w:asciiTheme="majorBidi" w:hAnsiTheme="majorBidi" w:cstheme="majorBidi"/>
          <w:sz w:val="20"/>
          <w:vertAlign w:val="superscript"/>
          <w:lang w:val="en-GB"/>
        </w:rPr>
        <w:t xml:space="preserve"> </w:t>
      </w:r>
      <w:r w:rsidRPr="00A9211F">
        <w:rPr>
          <w:rFonts w:asciiTheme="majorBidi" w:hAnsiTheme="majorBidi" w:cstheme="majorBidi"/>
          <w:sz w:val="20"/>
          <w:lang w:val="en-GB"/>
        </w:rPr>
        <w:t>This is not disputed by the Party concerned.</w:t>
      </w:r>
      <w:bookmarkEnd w:id="36"/>
      <w:r w:rsidRPr="00A9211F">
        <w:rPr>
          <w:rFonts w:asciiTheme="majorBidi" w:hAnsiTheme="majorBidi" w:cstheme="majorBidi"/>
          <w:sz w:val="20"/>
          <w:lang w:val="en-GB"/>
        </w:rPr>
        <w:t xml:space="preserve"> </w:t>
      </w:r>
    </w:p>
    <w:p w14:paraId="0673152B" w14:textId="77777777" w:rsidR="00651372" w:rsidRPr="00A9211F" w:rsidRDefault="00651372" w:rsidP="00A9211F">
      <w:pPr>
        <w:pStyle w:val="ListParagraph"/>
        <w:rPr>
          <w:rFonts w:asciiTheme="majorBidi" w:hAnsiTheme="majorBidi" w:cstheme="majorBidi"/>
          <w:sz w:val="20"/>
          <w:lang w:val="en-GB"/>
        </w:rPr>
      </w:pPr>
    </w:p>
    <w:p w14:paraId="5DF8FD29" w14:textId="69CBA9FD" w:rsidR="00D02B7A" w:rsidRPr="00A9211F" w:rsidRDefault="00D02B7A"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The Committee recognizes that many of the cases which reach the courts raise complex questions, usually as to whether a body is a “public authority” or whether the information sought is “environmental”.   While th</w:t>
      </w:r>
      <w:r w:rsidR="00CC2161" w:rsidRPr="00A9211F">
        <w:rPr>
          <w:rFonts w:asciiTheme="majorBidi" w:hAnsiTheme="majorBidi" w:cstheme="majorBidi"/>
          <w:sz w:val="20"/>
          <w:lang w:val="en-GB"/>
        </w:rPr>
        <w:t>is</w:t>
      </w:r>
      <w:r w:rsidRPr="00A9211F">
        <w:rPr>
          <w:rFonts w:asciiTheme="majorBidi" w:hAnsiTheme="majorBidi" w:cstheme="majorBidi"/>
          <w:sz w:val="20"/>
          <w:lang w:val="en-GB"/>
        </w:rPr>
        <w:t xml:space="preserve"> complexity obviously goes some way to explaining the length of  litigation, the Committee </w:t>
      </w:r>
      <w:r w:rsidR="00651372" w:rsidRPr="00A9211F">
        <w:rPr>
          <w:rFonts w:asciiTheme="majorBidi" w:hAnsiTheme="majorBidi" w:cstheme="majorBidi"/>
          <w:sz w:val="20"/>
          <w:lang w:val="en-GB"/>
        </w:rPr>
        <w:t>notes</w:t>
      </w:r>
      <w:r w:rsidR="00507A8B" w:rsidRPr="00A9211F">
        <w:rPr>
          <w:rFonts w:asciiTheme="majorBidi" w:hAnsiTheme="majorBidi" w:cstheme="majorBidi"/>
          <w:sz w:val="20"/>
          <w:lang w:val="en-GB"/>
        </w:rPr>
        <w:t xml:space="preserve"> that there</w:t>
      </w:r>
      <w:r w:rsidRPr="00A9211F">
        <w:rPr>
          <w:rFonts w:asciiTheme="majorBidi" w:hAnsiTheme="majorBidi" w:cstheme="majorBidi"/>
          <w:sz w:val="20"/>
          <w:lang w:val="en-GB"/>
        </w:rPr>
        <w:t xml:space="preserve"> is nothing in the legal framework of the Party concerned </w:t>
      </w:r>
      <w:r w:rsidR="00614B16" w:rsidRPr="00A9211F">
        <w:rPr>
          <w:rFonts w:asciiTheme="majorBidi" w:hAnsiTheme="majorBidi" w:cstheme="majorBidi"/>
          <w:sz w:val="20"/>
          <w:lang w:val="en-GB"/>
        </w:rPr>
        <w:t xml:space="preserve">to require </w:t>
      </w:r>
      <w:r w:rsidRPr="00A9211F">
        <w:rPr>
          <w:rFonts w:asciiTheme="majorBidi" w:hAnsiTheme="majorBidi" w:cstheme="majorBidi"/>
          <w:sz w:val="20"/>
          <w:lang w:val="en-GB"/>
        </w:rPr>
        <w:t xml:space="preserve">the courts </w:t>
      </w:r>
      <w:r w:rsidR="00614B16" w:rsidRPr="00A9211F">
        <w:rPr>
          <w:rFonts w:asciiTheme="majorBidi" w:hAnsiTheme="majorBidi" w:cstheme="majorBidi"/>
          <w:sz w:val="20"/>
          <w:lang w:val="en-GB"/>
        </w:rPr>
        <w:t xml:space="preserve">to </w:t>
      </w:r>
      <w:r w:rsidRPr="00A9211F">
        <w:rPr>
          <w:rFonts w:asciiTheme="majorBidi" w:hAnsiTheme="majorBidi" w:cstheme="majorBidi"/>
          <w:sz w:val="20"/>
          <w:lang w:val="en-GB"/>
        </w:rPr>
        <w:t xml:space="preserve">deliver their decisions </w:t>
      </w:r>
      <w:r w:rsidR="00614B16" w:rsidRPr="00A9211F">
        <w:rPr>
          <w:rFonts w:asciiTheme="majorBidi" w:hAnsiTheme="majorBidi" w:cstheme="majorBidi"/>
          <w:sz w:val="20"/>
          <w:lang w:val="en-GB"/>
        </w:rPr>
        <w:t xml:space="preserve">on appeals under the AIE Regulations </w:t>
      </w:r>
      <w:r w:rsidRPr="00A9211F">
        <w:rPr>
          <w:rFonts w:asciiTheme="majorBidi" w:hAnsiTheme="majorBidi" w:cstheme="majorBidi"/>
          <w:sz w:val="20"/>
          <w:lang w:val="en-GB"/>
        </w:rPr>
        <w:t>within a certain time, or even that they do so in a “timely” manner.</w:t>
      </w:r>
      <w:r w:rsidR="00C27C44" w:rsidRPr="00A9211F">
        <w:rPr>
          <w:rFonts w:asciiTheme="majorBidi" w:hAnsiTheme="majorBidi" w:cstheme="majorBidi"/>
          <w:sz w:val="20"/>
          <w:lang w:val="en-GB"/>
        </w:rPr>
        <w:t xml:space="preserve"> In this regard, the Committee notes that rule 7 of Order 84C of the Rules of the Superior Courts enables the court to make orders regarding timing as it sees fit. It does not however impose a mandatory requirement</w:t>
      </w:r>
      <w:r w:rsidR="004D1E49" w:rsidRPr="00A9211F">
        <w:rPr>
          <w:rFonts w:asciiTheme="majorBidi" w:hAnsiTheme="majorBidi" w:cstheme="majorBidi"/>
          <w:sz w:val="20"/>
          <w:lang w:val="en-GB"/>
        </w:rPr>
        <w:t xml:space="preserve"> of this kind</w:t>
      </w:r>
      <w:r w:rsidR="00C27C44" w:rsidRPr="00A9211F">
        <w:rPr>
          <w:rFonts w:asciiTheme="majorBidi" w:hAnsiTheme="majorBidi" w:cstheme="majorBidi"/>
          <w:sz w:val="20"/>
          <w:lang w:val="en-GB"/>
        </w:rPr>
        <w:t xml:space="preserve">. </w:t>
      </w:r>
    </w:p>
    <w:p w14:paraId="5BEA457F" w14:textId="77777777" w:rsidR="00D02B7A" w:rsidRPr="00A9211F" w:rsidRDefault="00D02B7A" w:rsidP="00EA5C8B">
      <w:pPr>
        <w:pStyle w:val="ListParagraph"/>
        <w:ind w:left="1134"/>
        <w:rPr>
          <w:rFonts w:asciiTheme="majorBidi" w:hAnsiTheme="majorBidi" w:cstheme="majorBidi"/>
          <w:sz w:val="20"/>
          <w:lang w:val="en-GB"/>
        </w:rPr>
      </w:pPr>
    </w:p>
    <w:p w14:paraId="55555784" w14:textId="0A4D2A03" w:rsidR="00E540B1" w:rsidRPr="00A9211F" w:rsidRDefault="00D02B7A"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 </w:t>
      </w:r>
      <w:bookmarkStart w:id="37" w:name="_Ref46575976"/>
      <w:r w:rsidR="00507A8B" w:rsidRPr="00A9211F">
        <w:rPr>
          <w:rFonts w:asciiTheme="majorBidi" w:hAnsiTheme="majorBidi" w:cstheme="majorBidi"/>
          <w:sz w:val="20"/>
          <w:lang w:val="en-GB"/>
        </w:rPr>
        <w:t>The failure to include such a requirement clearly has significant consequences</w:t>
      </w:r>
      <w:r w:rsidR="00614B16" w:rsidRPr="00A9211F">
        <w:rPr>
          <w:rFonts w:asciiTheme="majorBidi" w:hAnsiTheme="majorBidi" w:cstheme="majorBidi"/>
          <w:sz w:val="20"/>
          <w:lang w:val="en-GB"/>
        </w:rPr>
        <w:t xml:space="preserve"> in practice</w:t>
      </w:r>
      <w:r w:rsidR="00507A8B" w:rsidRPr="00A9211F">
        <w:rPr>
          <w:rFonts w:asciiTheme="majorBidi" w:hAnsiTheme="majorBidi" w:cstheme="majorBidi"/>
          <w:sz w:val="20"/>
          <w:lang w:val="en-GB"/>
        </w:rPr>
        <w:t xml:space="preserve">. In the </w:t>
      </w:r>
      <w:r w:rsidR="00507A8B" w:rsidRPr="00A9211F">
        <w:rPr>
          <w:rFonts w:asciiTheme="majorBidi" w:hAnsiTheme="majorBidi" w:cstheme="majorBidi"/>
          <w:i/>
          <w:iCs/>
          <w:sz w:val="20"/>
          <w:lang w:val="en-GB"/>
        </w:rPr>
        <w:t>NAMA</w:t>
      </w:r>
      <w:r w:rsidR="00507A8B" w:rsidRPr="00A9211F">
        <w:rPr>
          <w:rFonts w:asciiTheme="majorBidi" w:hAnsiTheme="majorBidi" w:cstheme="majorBidi"/>
          <w:sz w:val="20"/>
          <w:lang w:val="en-GB"/>
        </w:rPr>
        <w:t xml:space="preserve"> case, the OCEI issued its decision that NAMA was a public authority under the AIE Regulations</w:t>
      </w:r>
      <w:r w:rsidR="00614B16" w:rsidRPr="00A9211F">
        <w:rPr>
          <w:rFonts w:asciiTheme="majorBidi" w:hAnsiTheme="majorBidi" w:cstheme="majorBidi"/>
          <w:sz w:val="20"/>
          <w:lang w:val="en-GB"/>
        </w:rPr>
        <w:t xml:space="preserve"> on 13 September 2011</w:t>
      </w:r>
      <w:r w:rsidR="00507A8B" w:rsidRPr="00A9211F">
        <w:rPr>
          <w:rFonts w:asciiTheme="majorBidi" w:hAnsiTheme="majorBidi" w:cstheme="majorBidi"/>
          <w:sz w:val="20"/>
          <w:lang w:val="en-GB"/>
        </w:rPr>
        <w:t>. NAMA appealed th</w:t>
      </w:r>
      <w:r w:rsidR="00614B16" w:rsidRPr="00A9211F">
        <w:rPr>
          <w:rFonts w:asciiTheme="majorBidi" w:hAnsiTheme="majorBidi" w:cstheme="majorBidi"/>
          <w:sz w:val="20"/>
          <w:lang w:val="en-GB"/>
        </w:rPr>
        <w:t>e OCEI’s</w:t>
      </w:r>
      <w:r w:rsidR="00507A8B" w:rsidRPr="00A9211F">
        <w:rPr>
          <w:rFonts w:asciiTheme="majorBidi" w:hAnsiTheme="majorBidi" w:cstheme="majorBidi"/>
          <w:sz w:val="20"/>
          <w:lang w:val="en-GB"/>
        </w:rPr>
        <w:t xml:space="preserve"> decision first to the High Court and then to the Supreme Court, wh</w:t>
      </w:r>
      <w:r w:rsidR="00614B16" w:rsidRPr="00A9211F">
        <w:rPr>
          <w:rFonts w:asciiTheme="majorBidi" w:hAnsiTheme="majorBidi" w:cstheme="majorBidi"/>
          <w:sz w:val="20"/>
          <w:lang w:val="en-GB"/>
        </w:rPr>
        <w:t>ich</w:t>
      </w:r>
      <w:r w:rsidR="00507A8B" w:rsidRPr="00A9211F">
        <w:rPr>
          <w:rFonts w:asciiTheme="majorBidi" w:hAnsiTheme="majorBidi" w:cstheme="majorBidi"/>
          <w:sz w:val="20"/>
          <w:lang w:val="en-GB"/>
        </w:rPr>
        <w:t xml:space="preserve"> finally issued its decision confirming that NAMA was indeed a public authority on 23 June 2015, nearly four years later.</w:t>
      </w:r>
      <w:bookmarkEnd w:id="37"/>
      <w:r w:rsidR="00507A8B" w:rsidRPr="00A9211F">
        <w:rPr>
          <w:rFonts w:asciiTheme="majorBidi" w:hAnsiTheme="majorBidi" w:cstheme="majorBidi"/>
          <w:sz w:val="20"/>
          <w:lang w:val="en-GB"/>
        </w:rPr>
        <w:t xml:space="preserve"> </w:t>
      </w:r>
    </w:p>
    <w:p w14:paraId="5A01DE52" w14:textId="77777777" w:rsidR="00832B4D" w:rsidRPr="00A9211F" w:rsidRDefault="00832B4D" w:rsidP="00EA5C8B">
      <w:pPr>
        <w:pStyle w:val="ListParagraph"/>
        <w:tabs>
          <w:tab w:val="left" w:pos="1701"/>
        </w:tabs>
        <w:ind w:left="1134"/>
        <w:jc w:val="both"/>
        <w:rPr>
          <w:rFonts w:asciiTheme="majorBidi" w:hAnsiTheme="majorBidi" w:cstheme="majorBidi"/>
          <w:sz w:val="20"/>
          <w:szCs w:val="20"/>
          <w:lang w:val="en-GB"/>
        </w:rPr>
      </w:pPr>
    </w:p>
    <w:p w14:paraId="7886B61A" w14:textId="3BA8759E" w:rsidR="00E62143" w:rsidRPr="00A9211F" w:rsidRDefault="00E62143" w:rsidP="00EA5C8B">
      <w:pPr>
        <w:pStyle w:val="ListParagraph"/>
        <w:numPr>
          <w:ilvl w:val="0"/>
          <w:numId w:val="7"/>
        </w:numPr>
        <w:tabs>
          <w:tab w:val="left" w:pos="1701"/>
        </w:tabs>
        <w:ind w:left="1134" w:firstLine="0"/>
        <w:jc w:val="both"/>
        <w:rPr>
          <w:rFonts w:asciiTheme="majorBidi" w:hAnsiTheme="majorBidi" w:cstheme="majorBidi"/>
          <w:sz w:val="20"/>
          <w:lang w:val="en-GB"/>
        </w:rPr>
      </w:pPr>
      <w:bookmarkStart w:id="38" w:name="_Ref46575988"/>
      <w:r w:rsidRPr="00A9211F">
        <w:rPr>
          <w:rFonts w:asciiTheme="majorBidi" w:hAnsiTheme="majorBidi" w:cstheme="majorBidi"/>
          <w:sz w:val="20"/>
          <w:szCs w:val="20"/>
          <w:lang w:val="en-GB"/>
        </w:rPr>
        <w:t xml:space="preserve">In the </w:t>
      </w:r>
      <w:r w:rsidR="00BE79B6" w:rsidRPr="00A9211F">
        <w:rPr>
          <w:rFonts w:asciiTheme="majorBidi" w:hAnsiTheme="majorBidi" w:cstheme="majorBidi"/>
          <w:i/>
          <w:iCs/>
          <w:sz w:val="20"/>
          <w:szCs w:val="20"/>
          <w:lang w:val="en-GB"/>
        </w:rPr>
        <w:t>Anglo</w:t>
      </w:r>
      <w:r w:rsidR="00576A34" w:rsidRPr="00A9211F">
        <w:rPr>
          <w:rFonts w:asciiTheme="majorBidi" w:hAnsiTheme="majorBidi" w:cstheme="majorBidi"/>
          <w:i/>
          <w:iCs/>
          <w:sz w:val="20"/>
          <w:szCs w:val="20"/>
          <w:lang w:val="en-GB"/>
        </w:rPr>
        <w:t xml:space="preserve"> </w:t>
      </w:r>
      <w:r w:rsidR="00BE79B6" w:rsidRPr="00A9211F">
        <w:rPr>
          <w:rFonts w:asciiTheme="majorBidi" w:hAnsiTheme="majorBidi" w:cstheme="majorBidi"/>
          <w:i/>
          <w:iCs/>
          <w:sz w:val="20"/>
          <w:szCs w:val="20"/>
          <w:lang w:val="en-GB"/>
        </w:rPr>
        <w:t>Irish Bank</w:t>
      </w:r>
      <w:r w:rsidRPr="00A9211F">
        <w:rPr>
          <w:rFonts w:asciiTheme="majorBidi" w:hAnsiTheme="majorBidi" w:cstheme="majorBidi"/>
          <w:sz w:val="20"/>
          <w:szCs w:val="20"/>
          <w:lang w:val="en-GB"/>
        </w:rPr>
        <w:t xml:space="preserve"> case, the OCEI </w:t>
      </w:r>
      <w:r w:rsidR="00AC36BA" w:rsidRPr="00A9211F">
        <w:rPr>
          <w:rFonts w:asciiTheme="majorBidi" w:hAnsiTheme="majorBidi" w:cstheme="majorBidi"/>
          <w:sz w:val="20"/>
          <w:szCs w:val="20"/>
          <w:lang w:val="en-GB"/>
        </w:rPr>
        <w:t xml:space="preserve">decided </w:t>
      </w:r>
      <w:r w:rsidRPr="00A9211F">
        <w:rPr>
          <w:rFonts w:asciiTheme="majorBidi" w:hAnsiTheme="majorBidi" w:cstheme="majorBidi"/>
          <w:sz w:val="20"/>
          <w:szCs w:val="20"/>
          <w:lang w:val="en-GB"/>
        </w:rPr>
        <w:t xml:space="preserve">on 1 September 2011 that the bank was not justified in refusing </w:t>
      </w:r>
      <w:r w:rsidR="00095CAA" w:rsidRPr="00A9211F">
        <w:rPr>
          <w:rFonts w:asciiTheme="majorBidi" w:hAnsiTheme="majorBidi" w:cstheme="majorBidi"/>
          <w:sz w:val="20"/>
          <w:szCs w:val="20"/>
          <w:lang w:val="en-GB"/>
        </w:rPr>
        <w:t xml:space="preserve">Mr. Sheridan’s information </w:t>
      </w:r>
      <w:r w:rsidRPr="00A9211F">
        <w:rPr>
          <w:rFonts w:asciiTheme="majorBidi" w:hAnsiTheme="majorBidi" w:cstheme="majorBidi"/>
          <w:sz w:val="20"/>
          <w:szCs w:val="20"/>
          <w:lang w:val="en-GB"/>
        </w:rPr>
        <w:t xml:space="preserve">request on the ground that it </w:t>
      </w:r>
      <w:r w:rsidR="00095CAA" w:rsidRPr="00A9211F">
        <w:rPr>
          <w:rFonts w:asciiTheme="majorBidi" w:hAnsiTheme="majorBidi" w:cstheme="majorBidi"/>
          <w:sz w:val="20"/>
          <w:szCs w:val="20"/>
          <w:lang w:val="en-GB"/>
        </w:rPr>
        <w:t xml:space="preserve">was </w:t>
      </w:r>
      <w:r w:rsidRPr="00A9211F">
        <w:rPr>
          <w:rFonts w:asciiTheme="majorBidi" w:hAnsiTheme="majorBidi" w:cstheme="majorBidi"/>
          <w:sz w:val="20"/>
          <w:szCs w:val="20"/>
          <w:lang w:val="en-GB"/>
        </w:rPr>
        <w:t>not a public authority</w:t>
      </w:r>
      <w:r w:rsidR="00095CAA" w:rsidRPr="00A9211F">
        <w:rPr>
          <w:rFonts w:asciiTheme="majorBidi" w:hAnsiTheme="majorBidi" w:cstheme="majorBidi"/>
          <w:sz w:val="20"/>
          <w:szCs w:val="20"/>
          <w:lang w:val="en-GB"/>
        </w:rPr>
        <w:t xml:space="preserve"> under </w:t>
      </w:r>
      <w:r w:rsidRPr="00A9211F">
        <w:rPr>
          <w:rFonts w:asciiTheme="majorBidi" w:hAnsiTheme="majorBidi" w:cstheme="majorBidi"/>
          <w:sz w:val="20"/>
          <w:szCs w:val="20"/>
          <w:lang w:val="en-GB"/>
        </w:rPr>
        <w:t>the AIE Regulations.</w:t>
      </w:r>
      <w:r w:rsidRPr="00A9211F">
        <w:rPr>
          <w:rStyle w:val="FootnoteReference"/>
          <w:rFonts w:asciiTheme="majorBidi" w:hAnsiTheme="majorBidi" w:cstheme="majorBidi"/>
          <w:sz w:val="20"/>
          <w:szCs w:val="20"/>
          <w:lang w:val="en-GB"/>
        </w:rPr>
        <w:footnoteReference w:id="101"/>
      </w:r>
      <w:r w:rsidRPr="00A9211F">
        <w:rPr>
          <w:rFonts w:asciiTheme="majorBidi" w:hAnsiTheme="majorBidi" w:cstheme="majorBidi"/>
          <w:sz w:val="20"/>
          <w:szCs w:val="20"/>
          <w:lang w:val="en-GB"/>
        </w:rPr>
        <w:t xml:space="preserve"> </w:t>
      </w:r>
      <w:r w:rsidR="00BE79B6" w:rsidRPr="00A9211F">
        <w:rPr>
          <w:rFonts w:asciiTheme="majorBidi" w:hAnsiTheme="majorBidi" w:cstheme="majorBidi"/>
          <w:sz w:val="20"/>
          <w:szCs w:val="20"/>
          <w:lang w:val="en-GB"/>
        </w:rPr>
        <w:t>The bank appealed</w:t>
      </w:r>
      <w:r w:rsidRPr="00A9211F">
        <w:rPr>
          <w:rFonts w:asciiTheme="majorBidi" w:hAnsiTheme="majorBidi" w:cstheme="majorBidi"/>
          <w:sz w:val="20"/>
          <w:szCs w:val="20"/>
          <w:lang w:val="en-GB"/>
        </w:rPr>
        <w:t>,</w:t>
      </w:r>
      <w:r w:rsidR="00BB495E" w:rsidRPr="00A9211F">
        <w:rPr>
          <w:rFonts w:asciiTheme="majorBidi" w:hAnsiTheme="majorBidi" w:cstheme="majorBidi"/>
          <w:sz w:val="20"/>
          <w:szCs w:val="20"/>
          <w:lang w:val="en-GB"/>
        </w:rPr>
        <w:t xml:space="preserve"> whereupon</w:t>
      </w:r>
      <w:r w:rsidRPr="00A9211F">
        <w:rPr>
          <w:rFonts w:asciiTheme="majorBidi" w:hAnsiTheme="majorBidi" w:cstheme="majorBidi"/>
          <w:sz w:val="20"/>
          <w:szCs w:val="20"/>
          <w:lang w:val="en-GB"/>
        </w:rPr>
        <w:t xml:space="preserve"> the High Court stayed the proceedings pending the outcome of the </w:t>
      </w:r>
      <w:r w:rsidRPr="00A9211F">
        <w:rPr>
          <w:rFonts w:asciiTheme="majorBidi" w:hAnsiTheme="majorBidi" w:cstheme="majorBidi"/>
          <w:i/>
          <w:iCs/>
          <w:sz w:val="20"/>
          <w:szCs w:val="20"/>
          <w:lang w:val="en-GB"/>
        </w:rPr>
        <w:t>NAMA</w:t>
      </w:r>
      <w:r w:rsidRPr="00A9211F">
        <w:rPr>
          <w:rFonts w:asciiTheme="majorBidi" w:hAnsiTheme="majorBidi" w:cstheme="majorBidi"/>
          <w:sz w:val="20"/>
          <w:szCs w:val="20"/>
          <w:lang w:val="en-GB"/>
        </w:rPr>
        <w:t xml:space="preserve"> case</w:t>
      </w:r>
      <w:r w:rsidR="00BE79B6" w:rsidRPr="00A9211F">
        <w:rPr>
          <w:rFonts w:asciiTheme="majorBidi" w:hAnsiTheme="majorBidi" w:cstheme="majorBidi"/>
          <w:sz w:val="20"/>
          <w:szCs w:val="20"/>
          <w:lang w:val="en-GB"/>
        </w:rPr>
        <w:t>. As noted above, the NAMA case did not conclude in the courts until 23 June 2015, meaning that Mr. Sheridan’s</w:t>
      </w:r>
      <w:r w:rsidRPr="00A9211F">
        <w:rPr>
          <w:rFonts w:asciiTheme="majorBidi" w:hAnsiTheme="majorBidi" w:cstheme="majorBidi"/>
          <w:sz w:val="20"/>
          <w:szCs w:val="20"/>
          <w:lang w:val="en-GB"/>
        </w:rPr>
        <w:t xml:space="preserve"> </w:t>
      </w:r>
      <w:r w:rsidR="00BE79B6" w:rsidRPr="00A9211F">
        <w:rPr>
          <w:rFonts w:asciiTheme="majorBidi" w:hAnsiTheme="majorBidi" w:cstheme="majorBidi"/>
          <w:sz w:val="20"/>
          <w:szCs w:val="20"/>
          <w:lang w:val="en-GB"/>
        </w:rPr>
        <w:t xml:space="preserve">successful appeal to the OCEI was </w:t>
      </w:r>
      <w:r w:rsidR="001719C6" w:rsidRPr="00A9211F">
        <w:rPr>
          <w:rFonts w:asciiTheme="majorBidi" w:hAnsiTheme="majorBidi" w:cstheme="majorBidi"/>
          <w:sz w:val="20"/>
          <w:szCs w:val="20"/>
          <w:lang w:val="en-GB"/>
        </w:rPr>
        <w:t>suspe</w:t>
      </w:r>
      <w:r w:rsidR="00AB2656" w:rsidRPr="00A9211F">
        <w:rPr>
          <w:rFonts w:asciiTheme="majorBidi" w:hAnsiTheme="majorBidi" w:cstheme="majorBidi"/>
          <w:sz w:val="20"/>
          <w:szCs w:val="20"/>
          <w:lang w:val="en-GB"/>
        </w:rPr>
        <w:t xml:space="preserve">nded </w:t>
      </w:r>
      <w:r w:rsidR="00BE79B6" w:rsidRPr="00A9211F">
        <w:rPr>
          <w:rFonts w:asciiTheme="majorBidi" w:hAnsiTheme="majorBidi" w:cstheme="majorBidi"/>
          <w:sz w:val="20"/>
          <w:szCs w:val="20"/>
          <w:lang w:val="en-GB"/>
        </w:rPr>
        <w:t>for four years.</w:t>
      </w:r>
      <w:bookmarkEnd w:id="38"/>
    </w:p>
    <w:p w14:paraId="55516514" w14:textId="77777777" w:rsidR="00EC10FF" w:rsidRPr="00A9211F" w:rsidRDefault="00EC10FF" w:rsidP="008763DF">
      <w:pPr>
        <w:pStyle w:val="ListParagraph"/>
        <w:rPr>
          <w:rFonts w:asciiTheme="majorBidi" w:hAnsiTheme="majorBidi" w:cstheme="majorBidi"/>
          <w:sz w:val="20"/>
          <w:lang w:val="en-GB"/>
        </w:rPr>
      </w:pPr>
    </w:p>
    <w:p w14:paraId="114434FE" w14:textId="7FDB6AEA" w:rsidR="008763DF" w:rsidRPr="00A9211F" w:rsidRDefault="00EC10FF" w:rsidP="00112CB7">
      <w:pPr>
        <w:pStyle w:val="ListParagraph"/>
        <w:numPr>
          <w:ilvl w:val="0"/>
          <w:numId w:val="7"/>
        </w:numPr>
        <w:tabs>
          <w:tab w:val="left" w:pos="1701"/>
        </w:tabs>
        <w:ind w:left="1134" w:firstLine="0"/>
        <w:jc w:val="both"/>
        <w:rPr>
          <w:rFonts w:asciiTheme="majorBidi" w:hAnsiTheme="majorBidi" w:cstheme="majorBidi"/>
          <w:sz w:val="20"/>
          <w:szCs w:val="20"/>
          <w:lang w:val="en-GB"/>
        </w:rPr>
      </w:pPr>
      <w:r w:rsidRPr="00A9211F">
        <w:rPr>
          <w:rFonts w:asciiTheme="majorBidi" w:hAnsiTheme="majorBidi" w:cstheme="majorBidi"/>
          <w:sz w:val="20"/>
          <w:lang w:val="en-GB"/>
        </w:rPr>
        <w:t xml:space="preserve">Likewise, in </w:t>
      </w:r>
      <w:r w:rsidRPr="00A9211F">
        <w:rPr>
          <w:rFonts w:asciiTheme="majorBidi" w:hAnsiTheme="majorBidi" w:cstheme="majorBidi"/>
          <w:i/>
          <w:iCs/>
          <w:sz w:val="20"/>
          <w:lang w:val="en-GB"/>
        </w:rPr>
        <w:t xml:space="preserve">Minch v. CEI, </w:t>
      </w:r>
      <w:r w:rsidR="008763DF" w:rsidRPr="00A9211F">
        <w:rPr>
          <w:rFonts w:asciiTheme="majorBidi" w:hAnsiTheme="majorBidi" w:cstheme="majorBidi"/>
          <w:sz w:val="20"/>
          <w:lang w:val="en-GB"/>
        </w:rPr>
        <w:t>Mr. Minch</w:t>
      </w:r>
      <w:r w:rsidR="00112CB7" w:rsidRPr="00A9211F">
        <w:rPr>
          <w:rFonts w:asciiTheme="majorBidi" w:hAnsiTheme="majorBidi" w:cstheme="majorBidi"/>
          <w:sz w:val="20"/>
          <w:lang w:val="en-GB"/>
        </w:rPr>
        <w:t xml:space="preserve"> appealed the OCEI’s decision that his</w:t>
      </w:r>
      <w:r w:rsidR="008763DF" w:rsidRPr="00A9211F">
        <w:rPr>
          <w:rFonts w:asciiTheme="majorBidi" w:hAnsiTheme="majorBidi" w:cstheme="majorBidi"/>
          <w:sz w:val="20"/>
          <w:lang w:val="en-GB"/>
        </w:rPr>
        <w:t xml:space="preserve"> information request was not environmental information</w:t>
      </w:r>
      <w:r w:rsidR="00112CB7" w:rsidRPr="00A9211F">
        <w:rPr>
          <w:rFonts w:asciiTheme="majorBidi" w:hAnsiTheme="majorBidi" w:cstheme="majorBidi"/>
          <w:sz w:val="20"/>
          <w:lang w:val="en-GB"/>
        </w:rPr>
        <w:t xml:space="preserve"> to the High Court on 16 February 2015</w:t>
      </w:r>
      <w:r w:rsidR="008763DF" w:rsidRPr="00A9211F">
        <w:rPr>
          <w:rFonts w:asciiTheme="majorBidi" w:hAnsiTheme="majorBidi" w:cstheme="majorBidi"/>
          <w:sz w:val="20"/>
          <w:lang w:val="en-GB"/>
        </w:rPr>
        <w:t xml:space="preserve">. </w:t>
      </w:r>
      <w:r w:rsidR="00112CB7" w:rsidRPr="00A9211F">
        <w:rPr>
          <w:rFonts w:asciiTheme="majorBidi" w:hAnsiTheme="majorBidi" w:cstheme="majorBidi"/>
          <w:sz w:val="20"/>
          <w:lang w:val="en-GB"/>
        </w:rPr>
        <w:t>On</w:t>
      </w:r>
      <w:r w:rsidR="00480856" w:rsidRPr="00A9211F">
        <w:rPr>
          <w:rFonts w:asciiTheme="majorBidi" w:hAnsiTheme="majorBidi" w:cstheme="majorBidi"/>
          <w:sz w:val="20"/>
          <w:szCs w:val="20"/>
          <w:lang w:val="en-GB"/>
        </w:rPr>
        <w:t xml:space="preserve"> </w:t>
      </w:r>
      <w:r w:rsidR="008763DF" w:rsidRPr="00A9211F">
        <w:rPr>
          <w:rFonts w:asciiTheme="majorBidi" w:hAnsiTheme="majorBidi" w:cstheme="majorBidi"/>
          <w:sz w:val="20"/>
          <w:szCs w:val="20"/>
          <w:lang w:val="en-GB"/>
        </w:rPr>
        <w:t>16 February 2016</w:t>
      </w:r>
      <w:r w:rsidR="00112CB7" w:rsidRPr="00A9211F">
        <w:rPr>
          <w:rFonts w:asciiTheme="majorBidi" w:hAnsiTheme="majorBidi" w:cstheme="majorBidi"/>
          <w:sz w:val="20"/>
          <w:szCs w:val="20"/>
          <w:lang w:val="en-GB"/>
        </w:rPr>
        <w:t>, the High Court</w:t>
      </w:r>
      <w:r w:rsidR="008763DF" w:rsidRPr="00A9211F">
        <w:rPr>
          <w:rFonts w:asciiTheme="majorBidi" w:hAnsiTheme="majorBidi" w:cstheme="majorBidi"/>
          <w:sz w:val="20"/>
          <w:szCs w:val="20"/>
          <w:lang w:val="en-GB"/>
        </w:rPr>
        <w:t xml:space="preserve"> quashed the OCEI’s decision. The OCEI and the public authority appealed. On 28 July 2017 the Court of Appeal found that the request </w:t>
      </w:r>
      <w:r w:rsidR="00480856" w:rsidRPr="00A9211F">
        <w:rPr>
          <w:rFonts w:asciiTheme="majorBidi" w:hAnsiTheme="majorBidi" w:cstheme="majorBidi"/>
          <w:sz w:val="20"/>
          <w:szCs w:val="20"/>
          <w:lang w:val="en-GB"/>
        </w:rPr>
        <w:t xml:space="preserve">indeed </w:t>
      </w:r>
      <w:r w:rsidR="008763DF" w:rsidRPr="00A9211F">
        <w:rPr>
          <w:rFonts w:asciiTheme="majorBidi" w:hAnsiTheme="majorBidi" w:cstheme="majorBidi"/>
          <w:sz w:val="20"/>
          <w:szCs w:val="20"/>
          <w:lang w:val="en-GB"/>
        </w:rPr>
        <w:t>concerned environmental information and</w:t>
      </w:r>
      <w:r w:rsidR="00480856" w:rsidRPr="00A9211F">
        <w:rPr>
          <w:rFonts w:asciiTheme="majorBidi" w:hAnsiTheme="majorBidi" w:cstheme="majorBidi"/>
          <w:sz w:val="20"/>
          <w:szCs w:val="20"/>
          <w:lang w:val="en-GB"/>
        </w:rPr>
        <w:t xml:space="preserve"> on</w:t>
      </w:r>
      <w:r w:rsidR="008763DF" w:rsidRPr="00A9211F">
        <w:rPr>
          <w:rFonts w:asciiTheme="majorBidi" w:hAnsiTheme="majorBidi" w:cstheme="majorBidi"/>
          <w:sz w:val="20"/>
          <w:szCs w:val="20"/>
          <w:lang w:val="en-GB"/>
        </w:rPr>
        <w:t xml:space="preserve"> </w:t>
      </w:r>
      <w:r w:rsidR="00480856" w:rsidRPr="00A9211F">
        <w:rPr>
          <w:rFonts w:asciiTheme="majorBidi" w:hAnsiTheme="majorBidi" w:cstheme="majorBidi"/>
          <w:sz w:val="20"/>
          <w:szCs w:val="20"/>
          <w:lang w:val="en-GB"/>
        </w:rPr>
        <w:t xml:space="preserve">6 October 2017, </w:t>
      </w:r>
      <w:r w:rsidR="008763DF" w:rsidRPr="00A9211F">
        <w:rPr>
          <w:rFonts w:asciiTheme="majorBidi" w:hAnsiTheme="majorBidi" w:cstheme="majorBidi"/>
          <w:sz w:val="20"/>
          <w:szCs w:val="20"/>
          <w:lang w:val="en-GB"/>
        </w:rPr>
        <w:t>remitted the matter to the OCEI</w:t>
      </w:r>
      <w:r w:rsidR="00480856" w:rsidRPr="00A9211F">
        <w:rPr>
          <w:rFonts w:asciiTheme="majorBidi" w:hAnsiTheme="majorBidi" w:cstheme="majorBidi"/>
          <w:sz w:val="20"/>
          <w:szCs w:val="20"/>
          <w:lang w:val="en-GB"/>
        </w:rPr>
        <w:t xml:space="preserve"> to </w:t>
      </w:r>
      <w:r w:rsidR="00BA3340" w:rsidRPr="00A9211F">
        <w:rPr>
          <w:rFonts w:asciiTheme="majorBidi" w:hAnsiTheme="majorBidi" w:cstheme="majorBidi"/>
          <w:sz w:val="20"/>
          <w:szCs w:val="20"/>
          <w:lang w:val="en-GB"/>
        </w:rPr>
        <w:t xml:space="preserve">then </w:t>
      </w:r>
      <w:r w:rsidR="0058668B" w:rsidRPr="00A9211F">
        <w:rPr>
          <w:rFonts w:asciiTheme="majorBidi" w:hAnsiTheme="majorBidi" w:cstheme="majorBidi"/>
          <w:sz w:val="20"/>
          <w:szCs w:val="20"/>
          <w:lang w:val="en-GB"/>
        </w:rPr>
        <w:t>determine</w:t>
      </w:r>
      <w:r w:rsidR="00480856" w:rsidRPr="00A9211F">
        <w:rPr>
          <w:rFonts w:asciiTheme="majorBidi" w:hAnsiTheme="majorBidi" w:cstheme="majorBidi"/>
          <w:sz w:val="20"/>
          <w:szCs w:val="20"/>
          <w:lang w:val="en-GB"/>
        </w:rPr>
        <w:t xml:space="preserve"> whether any exemptions from disclosure </w:t>
      </w:r>
      <w:r w:rsidR="0058668B" w:rsidRPr="00A9211F">
        <w:rPr>
          <w:rFonts w:asciiTheme="majorBidi" w:hAnsiTheme="majorBidi" w:cstheme="majorBidi"/>
          <w:sz w:val="20"/>
          <w:szCs w:val="20"/>
          <w:lang w:val="en-GB"/>
        </w:rPr>
        <w:t>w</w:t>
      </w:r>
      <w:r w:rsidR="00480856" w:rsidRPr="00A9211F">
        <w:rPr>
          <w:rFonts w:asciiTheme="majorBidi" w:hAnsiTheme="majorBidi" w:cstheme="majorBidi"/>
          <w:sz w:val="20"/>
          <w:szCs w:val="20"/>
          <w:lang w:val="en-GB"/>
        </w:rPr>
        <w:t>ould apply</w:t>
      </w:r>
      <w:r w:rsidR="008763DF" w:rsidRPr="00A9211F">
        <w:rPr>
          <w:rFonts w:asciiTheme="majorBidi" w:hAnsiTheme="majorBidi" w:cstheme="majorBidi"/>
          <w:sz w:val="20"/>
          <w:szCs w:val="20"/>
          <w:lang w:val="en-GB"/>
        </w:rPr>
        <w:t xml:space="preserve">. </w:t>
      </w:r>
      <w:r w:rsidR="00112CB7" w:rsidRPr="00A9211F">
        <w:rPr>
          <w:rFonts w:asciiTheme="majorBidi" w:hAnsiTheme="majorBidi" w:cstheme="majorBidi"/>
          <w:sz w:val="20"/>
          <w:szCs w:val="20"/>
          <w:lang w:val="en-GB"/>
        </w:rPr>
        <w:t>The</w:t>
      </w:r>
      <w:r w:rsidR="00480856" w:rsidRPr="00A9211F">
        <w:rPr>
          <w:rFonts w:asciiTheme="majorBidi" w:hAnsiTheme="majorBidi" w:cstheme="majorBidi"/>
          <w:sz w:val="20"/>
          <w:szCs w:val="20"/>
          <w:lang w:val="en-GB"/>
        </w:rPr>
        <w:t xml:space="preserve"> </w:t>
      </w:r>
      <w:r w:rsidR="0058668B" w:rsidRPr="00A9211F">
        <w:rPr>
          <w:rFonts w:asciiTheme="majorBidi" w:hAnsiTheme="majorBidi" w:cstheme="majorBidi"/>
          <w:sz w:val="20"/>
          <w:szCs w:val="20"/>
          <w:lang w:val="en-GB"/>
        </w:rPr>
        <w:t xml:space="preserve">court procedures just </w:t>
      </w:r>
      <w:r w:rsidR="00112CB7" w:rsidRPr="00A9211F">
        <w:rPr>
          <w:rFonts w:asciiTheme="majorBidi" w:hAnsiTheme="majorBidi" w:cstheme="majorBidi"/>
          <w:sz w:val="20"/>
          <w:szCs w:val="20"/>
          <w:lang w:val="en-GB"/>
        </w:rPr>
        <w:t xml:space="preserve">to decide </w:t>
      </w:r>
      <w:r w:rsidR="00480856" w:rsidRPr="00A9211F">
        <w:rPr>
          <w:rFonts w:asciiTheme="majorBidi" w:hAnsiTheme="majorBidi" w:cstheme="majorBidi"/>
          <w:sz w:val="20"/>
          <w:szCs w:val="20"/>
          <w:lang w:val="en-GB"/>
        </w:rPr>
        <w:t xml:space="preserve">whether the </w:t>
      </w:r>
      <w:r w:rsidR="00112CB7" w:rsidRPr="00A9211F">
        <w:rPr>
          <w:rFonts w:asciiTheme="majorBidi" w:hAnsiTheme="majorBidi" w:cstheme="majorBidi"/>
          <w:sz w:val="20"/>
          <w:szCs w:val="20"/>
          <w:lang w:val="en-GB"/>
        </w:rPr>
        <w:t>request concerned environmental information</w:t>
      </w:r>
      <w:r w:rsidR="007B3945" w:rsidRPr="00A9211F">
        <w:rPr>
          <w:rFonts w:asciiTheme="majorBidi" w:hAnsiTheme="majorBidi"/>
          <w:sz w:val="20"/>
          <w:lang w:val="en-GB"/>
        </w:rPr>
        <w:t>, before the OCEI considered any possible exemptions,</w:t>
      </w:r>
      <w:r w:rsidR="00112CB7" w:rsidRPr="00A9211F">
        <w:rPr>
          <w:rFonts w:asciiTheme="majorBidi" w:hAnsiTheme="majorBidi"/>
          <w:sz w:val="20"/>
          <w:lang w:val="en-GB"/>
        </w:rPr>
        <w:t xml:space="preserve"> </w:t>
      </w:r>
      <w:r w:rsidR="0058668B" w:rsidRPr="00A9211F">
        <w:rPr>
          <w:rFonts w:asciiTheme="majorBidi" w:hAnsiTheme="majorBidi"/>
          <w:sz w:val="20"/>
          <w:lang w:val="en-GB"/>
        </w:rPr>
        <w:t xml:space="preserve">thus </w:t>
      </w:r>
      <w:r w:rsidR="00480856" w:rsidRPr="00A9211F">
        <w:rPr>
          <w:rFonts w:asciiTheme="majorBidi" w:hAnsiTheme="majorBidi"/>
          <w:sz w:val="20"/>
          <w:lang w:val="en-GB"/>
        </w:rPr>
        <w:t xml:space="preserve">took </w:t>
      </w:r>
      <w:r w:rsidR="0058668B" w:rsidRPr="00A9211F">
        <w:rPr>
          <w:rFonts w:asciiTheme="majorBidi" w:hAnsiTheme="majorBidi"/>
          <w:sz w:val="20"/>
          <w:lang w:val="en-GB"/>
        </w:rPr>
        <w:t>more than 2.5</w:t>
      </w:r>
      <w:r w:rsidR="00480856" w:rsidRPr="00A9211F">
        <w:rPr>
          <w:rFonts w:asciiTheme="majorBidi" w:hAnsiTheme="majorBidi"/>
          <w:sz w:val="20"/>
          <w:lang w:val="en-GB"/>
        </w:rPr>
        <w:t xml:space="preserve"> years</w:t>
      </w:r>
      <w:r w:rsidR="008763DF" w:rsidRPr="00A9211F">
        <w:rPr>
          <w:rFonts w:asciiTheme="majorBidi" w:hAnsiTheme="majorBidi"/>
          <w:sz w:val="20"/>
          <w:lang w:val="en-GB"/>
        </w:rPr>
        <w:t>.</w:t>
      </w:r>
      <w:r w:rsidR="008763DF" w:rsidRPr="00A9211F">
        <w:rPr>
          <w:rStyle w:val="FootnoteReference"/>
          <w:rFonts w:asciiTheme="majorBidi" w:hAnsiTheme="majorBidi"/>
          <w:lang w:val="en-GB"/>
        </w:rPr>
        <w:footnoteReference w:id="102"/>
      </w:r>
    </w:p>
    <w:p w14:paraId="63050D9C" w14:textId="77777777" w:rsidR="00E62143" w:rsidRPr="00A9211F" w:rsidRDefault="00E62143" w:rsidP="00EA5C8B">
      <w:pPr>
        <w:pStyle w:val="ListParagraph"/>
        <w:rPr>
          <w:rFonts w:asciiTheme="majorBidi" w:hAnsiTheme="majorBidi" w:cstheme="majorBidi"/>
          <w:sz w:val="20"/>
          <w:szCs w:val="20"/>
          <w:lang w:val="en-GB"/>
        </w:rPr>
      </w:pPr>
    </w:p>
    <w:p w14:paraId="5BE1CA68" w14:textId="530672FB" w:rsidR="00236883" w:rsidRPr="00A9211F" w:rsidRDefault="00BE79B6"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The </w:t>
      </w:r>
      <w:r w:rsidRPr="00A9211F">
        <w:rPr>
          <w:rFonts w:asciiTheme="majorBidi" w:hAnsiTheme="majorBidi" w:cstheme="majorBidi"/>
          <w:sz w:val="20"/>
          <w:szCs w:val="20"/>
          <w:lang w:val="en-GB"/>
        </w:rPr>
        <w:t>Committee considers that in no sense can the above review procedures</w:t>
      </w:r>
      <w:r w:rsidR="008D2E8E" w:rsidRPr="00A9211F">
        <w:rPr>
          <w:rFonts w:asciiTheme="majorBidi" w:hAnsiTheme="majorBidi" w:cstheme="majorBidi"/>
          <w:sz w:val="20"/>
          <w:szCs w:val="20"/>
          <w:lang w:val="en-GB"/>
        </w:rPr>
        <w:t xml:space="preserve"> </w:t>
      </w:r>
      <w:r w:rsidRPr="00A9211F">
        <w:rPr>
          <w:rFonts w:asciiTheme="majorBidi" w:hAnsiTheme="majorBidi" w:cstheme="majorBidi"/>
          <w:sz w:val="20"/>
          <w:szCs w:val="20"/>
          <w:lang w:val="en-GB"/>
        </w:rPr>
        <w:t xml:space="preserve">be considered timely. </w:t>
      </w:r>
      <w:r w:rsidR="00A46895" w:rsidRPr="00A9211F">
        <w:rPr>
          <w:rFonts w:asciiTheme="majorBidi" w:hAnsiTheme="majorBidi" w:cstheme="majorBidi"/>
          <w:sz w:val="20"/>
          <w:szCs w:val="20"/>
          <w:lang w:val="en-GB"/>
        </w:rPr>
        <w:t>Accordingly</w:t>
      </w:r>
      <w:r w:rsidR="00236883" w:rsidRPr="00A9211F">
        <w:rPr>
          <w:rFonts w:asciiTheme="majorBidi" w:hAnsiTheme="majorBidi" w:cstheme="majorBidi"/>
          <w:sz w:val="20"/>
          <w:szCs w:val="20"/>
          <w:lang w:val="en-GB"/>
        </w:rPr>
        <w:t>, the Committee finds that the Party</w:t>
      </w:r>
      <w:r w:rsidR="00236883" w:rsidRPr="00A9211F">
        <w:rPr>
          <w:rFonts w:asciiTheme="majorBidi" w:hAnsiTheme="majorBidi" w:cstheme="majorBidi"/>
          <w:sz w:val="20"/>
          <w:lang w:val="en-GB"/>
        </w:rPr>
        <w:t xml:space="preserve"> concerned fails to ensure that its judicial procedures to review access to information requests are timely as required by article 9(4) of the Convention.</w:t>
      </w:r>
    </w:p>
    <w:p w14:paraId="0C502392" w14:textId="77777777" w:rsidR="00D61E50" w:rsidRPr="00A9211F" w:rsidRDefault="00D61E50" w:rsidP="00A9211F">
      <w:pPr>
        <w:pStyle w:val="ListParagraph"/>
        <w:ind w:left="1134"/>
        <w:rPr>
          <w:rFonts w:asciiTheme="majorBidi" w:hAnsiTheme="majorBidi"/>
          <w:sz w:val="20"/>
          <w:u w:val="single"/>
          <w:lang w:val="en-GB"/>
        </w:rPr>
      </w:pPr>
    </w:p>
    <w:p w14:paraId="1E334849" w14:textId="797143A5" w:rsidR="00236883" w:rsidRPr="00A9211F" w:rsidRDefault="00BA74E5" w:rsidP="00EA5C8B">
      <w:pPr>
        <w:pStyle w:val="ListParagraph"/>
        <w:ind w:left="1134"/>
        <w:rPr>
          <w:rFonts w:asciiTheme="majorBidi" w:hAnsiTheme="majorBidi" w:cstheme="majorBidi"/>
          <w:sz w:val="20"/>
          <w:u w:val="single"/>
          <w:lang w:val="en-GB"/>
        </w:rPr>
      </w:pPr>
      <w:r w:rsidRPr="00A9211F">
        <w:rPr>
          <w:rFonts w:asciiTheme="majorBidi" w:hAnsiTheme="majorBidi" w:cstheme="majorBidi"/>
          <w:sz w:val="20"/>
          <w:u w:val="single"/>
          <w:lang w:val="en-GB"/>
        </w:rPr>
        <w:t>Conclu</w:t>
      </w:r>
      <w:r w:rsidR="001719C6" w:rsidRPr="00A9211F">
        <w:rPr>
          <w:rFonts w:asciiTheme="majorBidi" w:hAnsiTheme="majorBidi" w:cstheme="majorBidi"/>
          <w:sz w:val="20"/>
          <w:u w:val="single"/>
          <w:lang w:val="en-GB"/>
        </w:rPr>
        <w:t xml:space="preserve">sion on </w:t>
      </w:r>
      <w:r w:rsidRPr="00A9211F">
        <w:rPr>
          <w:rFonts w:asciiTheme="majorBidi" w:hAnsiTheme="majorBidi" w:cstheme="majorBidi"/>
          <w:sz w:val="20"/>
          <w:u w:val="single"/>
          <w:lang w:val="en-GB"/>
        </w:rPr>
        <w:t xml:space="preserve">timely procedures </w:t>
      </w:r>
    </w:p>
    <w:p w14:paraId="0B40C894" w14:textId="77777777" w:rsidR="00BA74E5" w:rsidRPr="00A9211F" w:rsidRDefault="00BA74E5" w:rsidP="00EA5C8B">
      <w:pPr>
        <w:pStyle w:val="ListParagraph"/>
        <w:ind w:left="1134"/>
        <w:rPr>
          <w:rFonts w:asciiTheme="majorBidi" w:hAnsiTheme="majorBidi" w:cstheme="majorBidi"/>
          <w:sz w:val="20"/>
          <w:lang w:val="en-GB"/>
        </w:rPr>
      </w:pPr>
    </w:p>
    <w:p w14:paraId="54BEC3DC" w14:textId="3975F4A8" w:rsidR="00595196" w:rsidRPr="00A9211F" w:rsidRDefault="008D5A6C"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Considering </w:t>
      </w:r>
      <w:r w:rsidR="00D02B7A" w:rsidRPr="00A9211F">
        <w:rPr>
          <w:rFonts w:asciiTheme="majorBidi" w:hAnsiTheme="majorBidi" w:cstheme="majorBidi"/>
          <w:sz w:val="20"/>
          <w:lang w:val="en-GB"/>
        </w:rPr>
        <w:t>review procedures for environmental information requests as a whole</w:t>
      </w:r>
      <w:r w:rsidRPr="00A9211F">
        <w:rPr>
          <w:rFonts w:asciiTheme="majorBidi" w:hAnsiTheme="majorBidi" w:cstheme="majorBidi"/>
          <w:sz w:val="20"/>
          <w:lang w:val="en-GB"/>
        </w:rPr>
        <w:t xml:space="preserve">, the Committee </w:t>
      </w:r>
      <w:r w:rsidR="005F79A3" w:rsidRPr="00A9211F">
        <w:rPr>
          <w:rFonts w:asciiTheme="majorBidi" w:hAnsiTheme="majorBidi" w:cstheme="majorBidi"/>
          <w:sz w:val="20"/>
          <w:lang w:val="en-GB"/>
        </w:rPr>
        <w:t>finds that</w:t>
      </w:r>
      <w:r w:rsidR="00E041CE" w:rsidRPr="00A9211F">
        <w:rPr>
          <w:rFonts w:asciiTheme="majorBidi" w:hAnsiTheme="majorBidi" w:cstheme="majorBidi"/>
          <w:sz w:val="20"/>
          <w:lang w:val="en-GB"/>
        </w:rPr>
        <w:t xml:space="preserve">, by failing to put in place measures to ensure that the OCEI and the courts decide appeals regarding environmental information requests in a timely manner, </w:t>
      </w:r>
      <w:r w:rsidR="00857115" w:rsidRPr="00A9211F">
        <w:rPr>
          <w:rFonts w:asciiTheme="majorBidi" w:hAnsiTheme="majorBidi" w:cstheme="majorBidi"/>
          <w:sz w:val="20"/>
          <w:lang w:val="en-GB"/>
        </w:rPr>
        <w:t xml:space="preserve">the Party concerned </w:t>
      </w:r>
      <w:r w:rsidR="00E041CE" w:rsidRPr="00A9211F">
        <w:rPr>
          <w:rFonts w:asciiTheme="majorBidi" w:hAnsiTheme="majorBidi" w:cstheme="majorBidi"/>
          <w:sz w:val="20"/>
          <w:lang w:val="en-GB"/>
        </w:rPr>
        <w:t>fails to comply with the requirement in article 9(4) of the Convention</w:t>
      </w:r>
      <w:r w:rsidR="00F04C84" w:rsidRPr="00A9211F">
        <w:rPr>
          <w:rFonts w:asciiTheme="majorBidi" w:hAnsiTheme="majorBidi" w:cstheme="majorBidi"/>
          <w:sz w:val="20"/>
          <w:lang w:val="en-GB"/>
        </w:rPr>
        <w:t xml:space="preserve"> </w:t>
      </w:r>
      <w:r w:rsidR="00E041CE" w:rsidRPr="00A9211F">
        <w:rPr>
          <w:rFonts w:asciiTheme="majorBidi" w:hAnsiTheme="majorBidi" w:cstheme="majorBidi"/>
          <w:sz w:val="20"/>
          <w:lang w:val="en-GB"/>
        </w:rPr>
        <w:t>to ensure timely procedures for the review of environmental information requests.</w:t>
      </w:r>
    </w:p>
    <w:p w14:paraId="24E0AF06" w14:textId="54425F44" w:rsidR="00595196" w:rsidRDefault="00595196" w:rsidP="00EA5C8B">
      <w:pPr>
        <w:pStyle w:val="ListParagraph"/>
        <w:rPr>
          <w:rFonts w:asciiTheme="majorBidi" w:hAnsiTheme="majorBidi" w:cstheme="majorBidi"/>
          <w:sz w:val="20"/>
          <w:lang w:val="en-GB"/>
        </w:rPr>
      </w:pPr>
    </w:p>
    <w:p w14:paraId="114D8CA5" w14:textId="77777777" w:rsidR="007A58F9" w:rsidRPr="00A9211F" w:rsidRDefault="007A58F9" w:rsidP="00EA5C8B">
      <w:pPr>
        <w:pStyle w:val="ListParagraph"/>
        <w:rPr>
          <w:rFonts w:asciiTheme="majorBidi" w:hAnsiTheme="majorBidi" w:cstheme="majorBidi"/>
          <w:sz w:val="20"/>
          <w:lang w:val="en-GB"/>
        </w:rPr>
      </w:pPr>
    </w:p>
    <w:p w14:paraId="3502EAC9" w14:textId="77777777" w:rsidR="00AB2656" w:rsidRPr="00A9211F" w:rsidRDefault="00AB2656" w:rsidP="00EA5C8B">
      <w:pPr>
        <w:pStyle w:val="ListParagraph"/>
        <w:tabs>
          <w:tab w:val="left" w:pos="1701"/>
        </w:tabs>
        <w:ind w:left="1134"/>
        <w:jc w:val="both"/>
        <w:rPr>
          <w:rFonts w:asciiTheme="majorBidi" w:hAnsiTheme="majorBidi" w:cstheme="majorBidi"/>
          <w:b/>
          <w:bCs/>
          <w:sz w:val="20"/>
          <w:lang w:val="en-GB"/>
        </w:rPr>
      </w:pPr>
    </w:p>
    <w:p w14:paraId="2DBF4342" w14:textId="44561225" w:rsidR="009D39C4" w:rsidRPr="00A9211F" w:rsidRDefault="00890E3B" w:rsidP="00EA5C8B">
      <w:pPr>
        <w:pStyle w:val="ListParagraph"/>
        <w:tabs>
          <w:tab w:val="left" w:pos="1701"/>
        </w:tabs>
        <w:ind w:left="1134"/>
        <w:jc w:val="both"/>
        <w:rPr>
          <w:rFonts w:asciiTheme="majorBidi" w:hAnsiTheme="majorBidi" w:cstheme="majorBidi"/>
          <w:b/>
          <w:bCs/>
          <w:sz w:val="20"/>
          <w:lang w:val="en-GB"/>
        </w:rPr>
      </w:pPr>
      <w:r w:rsidRPr="00A9211F">
        <w:rPr>
          <w:rFonts w:asciiTheme="majorBidi" w:hAnsiTheme="majorBidi" w:cstheme="majorBidi"/>
          <w:b/>
          <w:bCs/>
          <w:sz w:val="20"/>
          <w:lang w:val="en-GB"/>
        </w:rPr>
        <w:lastRenderedPageBreak/>
        <w:t>Article 9(4) - a</w:t>
      </w:r>
      <w:r w:rsidR="009D39C4" w:rsidRPr="00A9211F">
        <w:rPr>
          <w:rFonts w:asciiTheme="majorBidi" w:hAnsiTheme="majorBidi" w:cstheme="majorBidi"/>
          <w:b/>
          <w:bCs/>
          <w:sz w:val="20"/>
          <w:lang w:val="en-GB"/>
        </w:rPr>
        <w:t>dequate and effective remedies</w:t>
      </w:r>
    </w:p>
    <w:p w14:paraId="1D8406E2" w14:textId="5F4F5DEB" w:rsidR="009D39C4" w:rsidRPr="00A9211F" w:rsidRDefault="009D39C4" w:rsidP="00A9211F">
      <w:pPr>
        <w:pStyle w:val="ListParagraph"/>
        <w:tabs>
          <w:tab w:val="left" w:pos="1701"/>
        </w:tabs>
        <w:ind w:left="1134"/>
        <w:jc w:val="center"/>
        <w:rPr>
          <w:rFonts w:asciiTheme="majorBidi" w:hAnsiTheme="majorBidi" w:cstheme="majorBidi"/>
          <w:sz w:val="20"/>
          <w:lang w:val="en-GB"/>
        </w:rPr>
      </w:pPr>
    </w:p>
    <w:p w14:paraId="0C004212" w14:textId="2CF1EA33" w:rsidR="00890E3B" w:rsidRPr="00A9211F" w:rsidRDefault="00890E3B" w:rsidP="00EA5C8B">
      <w:pPr>
        <w:pStyle w:val="ListParagraph"/>
        <w:tabs>
          <w:tab w:val="left" w:pos="1701"/>
        </w:tabs>
        <w:ind w:left="1134"/>
        <w:jc w:val="both"/>
        <w:rPr>
          <w:rFonts w:asciiTheme="majorBidi" w:hAnsiTheme="majorBidi" w:cstheme="majorBidi"/>
          <w:i/>
          <w:iCs/>
          <w:sz w:val="20"/>
          <w:lang w:val="en-GB"/>
        </w:rPr>
      </w:pPr>
      <w:r w:rsidRPr="00A9211F">
        <w:rPr>
          <w:rFonts w:asciiTheme="majorBidi" w:hAnsiTheme="majorBidi" w:cstheme="majorBidi"/>
          <w:i/>
          <w:iCs/>
          <w:sz w:val="20"/>
          <w:lang w:val="en-GB"/>
        </w:rPr>
        <w:t xml:space="preserve">Appeals to the OCEI </w:t>
      </w:r>
    </w:p>
    <w:p w14:paraId="57B281B7" w14:textId="77777777" w:rsidR="00890E3B" w:rsidRPr="00A9211F" w:rsidRDefault="00890E3B" w:rsidP="00EA5C8B">
      <w:pPr>
        <w:pStyle w:val="ListParagraph"/>
        <w:tabs>
          <w:tab w:val="left" w:pos="1701"/>
        </w:tabs>
        <w:ind w:left="1134"/>
        <w:jc w:val="both"/>
        <w:rPr>
          <w:rFonts w:asciiTheme="majorBidi" w:hAnsiTheme="majorBidi" w:cstheme="majorBidi"/>
          <w:sz w:val="20"/>
          <w:lang w:val="en-GB"/>
        </w:rPr>
      </w:pPr>
    </w:p>
    <w:p w14:paraId="5E7C956B" w14:textId="7D3792F7" w:rsidR="0041538A" w:rsidRPr="00A9211F" w:rsidRDefault="0041538A"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Article 12(5) of the AIE Regulations empowers the OCEI “to affirm, vary or </w:t>
      </w:r>
      <w:r w:rsidR="0075527C" w:rsidRPr="00A9211F">
        <w:rPr>
          <w:rFonts w:asciiTheme="majorBidi" w:hAnsiTheme="majorBidi" w:cstheme="majorBidi"/>
          <w:sz w:val="20"/>
          <w:lang w:val="en-GB"/>
        </w:rPr>
        <w:t xml:space="preserve">annul </w:t>
      </w:r>
      <w:r w:rsidRPr="00A9211F">
        <w:rPr>
          <w:rFonts w:asciiTheme="majorBidi" w:hAnsiTheme="majorBidi" w:cstheme="majorBidi"/>
          <w:sz w:val="20"/>
          <w:lang w:val="en-GB"/>
        </w:rPr>
        <w:t xml:space="preserve">the decision concerned” and also, “where appropriate, require the public authority to make available environmental information to the applicant”. </w:t>
      </w:r>
    </w:p>
    <w:p w14:paraId="143D80B2" w14:textId="77777777" w:rsidR="0041538A" w:rsidRPr="00A9211F" w:rsidRDefault="0041538A" w:rsidP="00EA5C8B">
      <w:pPr>
        <w:pStyle w:val="ListParagraph"/>
        <w:tabs>
          <w:tab w:val="left" w:pos="1701"/>
        </w:tabs>
        <w:ind w:left="1134"/>
        <w:jc w:val="both"/>
        <w:rPr>
          <w:rFonts w:asciiTheme="majorBidi" w:hAnsiTheme="majorBidi" w:cstheme="majorBidi"/>
          <w:sz w:val="20"/>
          <w:lang w:val="en-GB"/>
        </w:rPr>
      </w:pPr>
    </w:p>
    <w:p w14:paraId="7F75B252" w14:textId="315F1985" w:rsidR="0041538A" w:rsidRPr="00A9211F" w:rsidRDefault="00930F4C"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In </w:t>
      </w:r>
      <w:r w:rsidR="0041538A" w:rsidRPr="00A9211F">
        <w:rPr>
          <w:rFonts w:asciiTheme="majorBidi" w:hAnsiTheme="majorBidi" w:cstheme="majorBidi"/>
          <w:sz w:val="20"/>
          <w:lang w:val="en-GB"/>
        </w:rPr>
        <w:t xml:space="preserve">2016, </w:t>
      </w:r>
      <w:r w:rsidRPr="00A9211F">
        <w:rPr>
          <w:rFonts w:asciiTheme="majorBidi" w:hAnsiTheme="majorBidi" w:cstheme="majorBidi"/>
          <w:sz w:val="20"/>
          <w:lang w:val="en-GB"/>
        </w:rPr>
        <w:t>t</w:t>
      </w:r>
      <w:r w:rsidR="00125370" w:rsidRPr="00A9211F">
        <w:rPr>
          <w:rFonts w:asciiTheme="majorBidi" w:hAnsiTheme="majorBidi" w:cstheme="majorBidi"/>
          <w:sz w:val="20"/>
          <w:lang w:val="en-GB"/>
        </w:rPr>
        <w:t xml:space="preserve">he </w:t>
      </w:r>
      <w:r w:rsidRPr="00A9211F">
        <w:rPr>
          <w:rFonts w:asciiTheme="majorBidi" w:hAnsiTheme="majorBidi" w:cstheme="majorBidi"/>
          <w:sz w:val="20"/>
          <w:lang w:val="en-GB"/>
        </w:rPr>
        <w:t xml:space="preserve">CEI </w:t>
      </w:r>
      <w:r w:rsidR="00D82024" w:rsidRPr="00A9211F">
        <w:rPr>
          <w:rFonts w:asciiTheme="majorBidi" w:hAnsiTheme="majorBidi" w:cstheme="majorBidi"/>
          <w:sz w:val="20"/>
          <w:lang w:val="en-GB"/>
        </w:rPr>
        <w:t>t</w:t>
      </w:r>
      <w:r w:rsidR="00A23FF2" w:rsidRPr="00A9211F">
        <w:rPr>
          <w:rFonts w:asciiTheme="majorBidi" w:hAnsiTheme="majorBidi" w:cstheme="majorBidi"/>
          <w:sz w:val="20"/>
          <w:lang w:val="en-GB"/>
        </w:rPr>
        <w:t xml:space="preserve">ook </w:t>
      </w:r>
      <w:r w:rsidR="0041538A" w:rsidRPr="00A9211F">
        <w:rPr>
          <w:rFonts w:asciiTheme="majorBidi" w:hAnsiTheme="majorBidi" w:cstheme="majorBidi"/>
          <w:sz w:val="20"/>
          <w:lang w:val="en-GB"/>
        </w:rPr>
        <w:t>27 formal decisions on appeals under the AIE Regulations. In 19 of these cases</w:t>
      </w:r>
      <w:r w:rsidR="00125370" w:rsidRPr="00A9211F">
        <w:rPr>
          <w:rFonts w:asciiTheme="majorBidi" w:hAnsiTheme="majorBidi" w:cstheme="majorBidi"/>
          <w:sz w:val="20"/>
          <w:lang w:val="en-GB"/>
        </w:rPr>
        <w:t xml:space="preserve"> he</w:t>
      </w:r>
      <w:r w:rsidR="0041538A" w:rsidRPr="00A9211F">
        <w:rPr>
          <w:rFonts w:asciiTheme="majorBidi" w:hAnsiTheme="majorBidi" w:cstheme="majorBidi"/>
          <w:sz w:val="20"/>
          <w:lang w:val="en-GB"/>
        </w:rPr>
        <w:t xml:space="preserve"> found that a refusal of a request was (</w:t>
      </w:r>
      <w:r w:rsidR="00664C77" w:rsidRPr="00A9211F">
        <w:rPr>
          <w:rFonts w:asciiTheme="majorBidi" w:hAnsiTheme="majorBidi" w:cstheme="majorBidi"/>
          <w:sz w:val="20"/>
          <w:lang w:val="en-GB"/>
        </w:rPr>
        <w:t xml:space="preserve">at least </w:t>
      </w:r>
      <w:r w:rsidR="0041538A" w:rsidRPr="00A9211F">
        <w:rPr>
          <w:rFonts w:asciiTheme="majorBidi" w:hAnsiTheme="majorBidi" w:cstheme="majorBidi"/>
          <w:sz w:val="20"/>
          <w:lang w:val="en-GB"/>
        </w:rPr>
        <w:t xml:space="preserve">to some extent) not justified. In 12 of </w:t>
      </w:r>
      <w:r w:rsidR="00125370" w:rsidRPr="00A9211F">
        <w:rPr>
          <w:rFonts w:asciiTheme="majorBidi" w:hAnsiTheme="majorBidi" w:cstheme="majorBidi"/>
          <w:sz w:val="20"/>
          <w:lang w:val="en-GB"/>
        </w:rPr>
        <w:t>these</w:t>
      </w:r>
      <w:r w:rsidR="0041538A" w:rsidRPr="00A9211F">
        <w:rPr>
          <w:rFonts w:asciiTheme="majorBidi" w:hAnsiTheme="majorBidi" w:cstheme="majorBidi"/>
          <w:sz w:val="20"/>
          <w:lang w:val="en-GB"/>
        </w:rPr>
        <w:t xml:space="preserve"> decisions </w:t>
      </w:r>
      <w:r w:rsidR="00125370" w:rsidRPr="00A9211F">
        <w:rPr>
          <w:rFonts w:asciiTheme="majorBidi" w:hAnsiTheme="majorBidi" w:cstheme="majorBidi"/>
          <w:sz w:val="20"/>
          <w:lang w:val="en-GB"/>
        </w:rPr>
        <w:t>he</w:t>
      </w:r>
      <w:r w:rsidR="0041538A" w:rsidRPr="00A9211F">
        <w:rPr>
          <w:rFonts w:asciiTheme="majorBidi" w:hAnsiTheme="majorBidi" w:cstheme="majorBidi"/>
          <w:sz w:val="20"/>
          <w:lang w:val="en-GB"/>
        </w:rPr>
        <w:t xml:space="preserve"> required the public authority to provide access to some or all of the environmental information requested. In 9 cases, </w:t>
      </w:r>
      <w:r w:rsidR="00125370" w:rsidRPr="00A9211F">
        <w:rPr>
          <w:rFonts w:asciiTheme="majorBidi" w:hAnsiTheme="majorBidi" w:cstheme="majorBidi"/>
          <w:sz w:val="20"/>
          <w:lang w:val="en-GB"/>
        </w:rPr>
        <w:t>he remitted the request to</w:t>
      </w:r>
      <w:r w:rsidR="0041538A" w:rsidRPr="00A9211F">
        <w:rPr>
          <w:rFonts w:asciiTheme="majorBidi" w:hAnsiTheme="majorBidi" w:cstheme="majorBidi"/>
          <w:sz w:val="20"/>
          <w:lang w:val="en-GB"/>
        </w:rPr>
        <w:t xml:space="preserve"> the public authority </w:t>
      </w:r>
      <w:r w:rsidR="00125370" w:rsidRPr="00A9211F">
        <w:rPr>
          <w:rFonts w:asciiTheme="majorBidi" w:hAnsiTheme="majorBidi" w:cstheme="majorBidi"/>
          <w:sz w:val="20"/>
          <w:lang w:val="en-GB"/>
        </w:rPr>
        <w:t>for a new decision.</w:t>
      </w:r>
      <w:r w:rsidR="0041538A" w:rsidRPr="00A9211F">
        <w:rPr>
          <w:rFonts w:asciiTheme="majorBidi" w:hAnsiTheme="majorBidi" w:cstheme="majorBidi"/>
          <w:sz w:val="20"/>
          <w:vertAlign w:val="superscript"/>
          <w:lang w:val="en-GB"/>
        </w:rPr>
        <w:footnoteReference w:id="103"/>
      </w:r>
    </w:p>
    <w:p w14:paraId="016E8D58" w14:textId="77777777" w:rsidR="0041538A" w:rsidRPr="00A9211F" w:rsidRDefault="0041538A" w:rsidP="00EA5C8B">
      <w:pPr>
        <w:pStyle w:val="ListParagraph"/>
        <w:tabs>
          <w:tab w:val="left" w:pos="1701"/>
        </w:tabs>
        <w:ind w:left="1134"/>
        <w:jc w:val="both"/>
        <w:rPr>
          <w:rFonts w:asciiTheme="majorBidi" w:hAnsiTheme="majorBidi" w:cstheme="majorBidi"/>
          <w:sz w:val="20"/>
          <w:lang w:val="en-GB"/>
        </w:rPr>
      </w:pPr>
    </w:p>
    <w:p w14:paraId="7B9E4681" w14:textId="6BDDFFDF" w:rsidR="00125370" w:rsidRPr="00A9211F" w:rsidRDefault="007169F3"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In </w:t>
      </w:r>
      <w:r w:rsidR="00576A34" w:rsidRPr="00A9211F">
        <w:rPr>
          <w:rFonts w:asciiTheme="majorBidi" w:hAnsiTheme="majorBidi" w:cstheme="majorBidi"/>
          <w:sz w:val="20"/>
          <w:lang w:val="en-GB"/>
        </w:rPr>
        <w:t>2017</w:t>
      </w:r>
      <w:r w:rsidRPr="00A9211F">
        <w:rPr>
          <w:rFonts w:asciiTheme="majorBidi" w:hAnsiTheme="majorBidi" w:cstheme="majorBidi"/>
          <w:sz w:val="20"/>
          <w:lang w:val="en-GB"/>
        </w:rPr>
        <w:t xml:space="preserve">, the CEI made 35 formal decisions </w:t>
      </w:r>
      <w:r w:rsidR="00125370" w:rsidRPr="00A9211F">
        <w:rPr>
          <w:rFonts w:asciiTheme="majorBidi" w:hAnsiTheme="majorBidi" w:cstheme="majorBidi"/>
          <w:sz w:val="20"/>
          <w:lang w:val="en-GB"/>
        </w:rPr>
        <w:t xml:space="preserve">on appeals under the AIE Regulations. In 18 </w:t>
      </w:r>
      <w:r w:rsidRPr="00A9211F">
        <w:rPr>
          <w:rFonts w:asciiTheme="majorBidi" w:hAnsiTheme="majorBidi" w:cstheme="majorBidi"/>
          <w:sz w:val="20"/>
          <w:lang w:val="en-GB"/>
        </w:rPr>
        <w:t xml:space="preserve">of </w:t>
      </w:r>
      <w:r w:rsidR="00125370" w:rsidRPr="00A9211F">
        <w:rPr>
          <w:rFonts w:asciiTheme="majorBidi" w:hAnsiTheme="majorBidi" w:cstheme="majorBidi"/>
          <w:sz w:val="20"/>
          <w:lang w:val="en-GB"/>
        </w:rPr>
        <w:t>the</w:t>
      </w:r>
      <w:r w:rsidR="00FD6FC4" w:rsidRPr="00A9211F">
        <w:rPr>
          <w:rFonts w:asciiTheme="majorBidi" w:hAnsiTheme="majorBidi" w:cstheme="majorBidi"/>
          <w:sz w:val="20"/>
          <w:lang w:val="en-GB"/>
        </w:rPr>
        <w:t>se</w:t>
      </w:r>
      <w:r w:rsidR="00125370" w:rsidRPr="00A9211F">
        <w:rPr>
          <w:rFonts w:asciiTheme="majorBidi" w:hAnsiTheme="majorBidi" w:cstheme="majorBidi"/>
          <w:sz w:val="20"/>
          <w:lang w:val="en-GB"/>
        </w:rPr>
        <w:t xml:space="preserve"> decisions, </w:t>
      </w:r>
      <w:r w:rsidRPr="00A9211F">
        <w:rPr>
          <w:rFonts w:asciiTheme="majorBidi" w:hAnsiTheme="majorBidi" w:cstheme="majorBidi"/>
          <w:sz w:val="20"/>
          <w:lang w:val="en-GB"/>
        </w:rPr>
        <w:t xml:space="preserve">he </w:t>
      </w:r>
      <w:r w:rsidR="00125370" w:rsidRPr="00A9211F">
        <w:rPr>
          <w:rFonts w:asciiTheme="majorBidi" w:hAnsiTheme="majorBidi" w:cstheme="majorBidi"/>
          <w:sz w:val="20"/>
          <w:lang w:val="en-GB"/>
        </w:rPr>
        <w:t xml:space="preserve">found that </w:t>
      </w:r>
      <w:r w:rsidRPr="00A9211F">
        <w:rPr>
          <w:rFonts w:asciiTheme="majorBidi" w:hAnsiTheme="majorBidi" w:cstheme="majorBidi"/>
          <w:sz w:val="20"/>
          <w:lang w:val="en-GB"/>
        </w:rPr>
        <w:t xml:space="preserve">the </w:t>
      </w:r>
      <w:r w:rsidR="00125370" w:rsidRPr="00A9211F">
        <w:rPr>
          <w:rFonts w:asciiTheme="majorBidi" w:hAnsiTheme="majorBidi" w:cstheme="majorBidi"/>
          <w:sz w:val="20"/>
          <w:lang w:val="en-GB"/>
        </w:rPr>
        <w:t xml:space="preserve">refusal of </w:t>
      </w:r>
      <w:r w:rsidRPr="00A9211F">
        <w:rPr>
          <w:rFonts w:asciiTheme="majorBidi" w:hAnsiTheme="majorBidi" w:cstheme="majorBidi"/>
          <w:sz w:val="20"/>
          <w:lang w:val="en-GB"/>
        </w:rPr>
        <w:t xml:space="preserve">the </w:t>
      </w:r>
      <w:r w:rsidR="00125370" w:rsidRPr="00A9211F">
        <w:rPr>
          <w:rFonts w:asciiTheme="majorBidi" w:hAnsiTheme="majorBidi" w:cstheme="majorBidi"/>
          <w:sz w:val="20"/>
          <w:lang w:val="en-GB"/>
        </w:rPr>
        <w:t xml:space="preserve">request </w:t>
      </w:r>
      <w:r w:rsidRPr="00A9211F">
        <w:rPr>
          <w:rFonts w:asciiTheme="majorBidi" w:hAnsiTheme="majorBidi" w:cstheme="majorBidi"/>
          <w:sz w:val="20"/>
          <w:lang w:val="en-GB"/>
        </w:rPr>
        <w:t xml:space="preserve">was </w:t>
      </w:r>
      <w:r w:rsidR="00125370" w:rsidRPr="00A9211F">
        <w:rPr>
          <w:rFonts w:asciiTheme="majorBidi" w:hAnsiTheme="majorBidi" w:cstheme="majorBidi"/>
          <w:sz w:val="20"/>
          <w:lang w:val="en-GB"/>
        </w:rPr>
        <w:t>(to some extent) not justified</w:t>
      </w:r>
      <w:r w:rsidRPr="00A9211F">
        <w:rPr>
          <w:rFonts w:asciiTheme="majorBidi" w:hAnsiTheme="majorBidi" w:cstheme="majorBidi"/>
          <w:sz w:val="20"/>
          <w:lang w:val="en-GB"/>
        </w:rPr>
        <w:t>.</w:t>
      </w:r>
      <w:r w:rsidR="00125370" w:rsidRPr="00A9211F">
        <w:rPr>
          <w:rFonts w:asciiTheme="majorBidi" w:hAnsiTheme="majorBidi" w:cstheme="majorBidi"/>
          <w:sz w:val="20"/>
          <w:lang w:val="en-GB"/>
        </w:rPr>
        <w:t xml:space="preserve"> In 2 </w:t>
      </w:r>
      <w:r w:rsidRPr="00A9211F">
        <w:rPr>
          <w:rFonts w:asciiTheme="majorBidi" w:hAnsiTheme="majorBidi" w:cstheme="majorBidi"/>
          <w:sz w:val="20"/>
          <w:lang w:val="en-GB"/>
        </w:rPr>
        <w:t xml:space="preserve">of these </w:t>
      </w:r>
      <w:r w:rsidR="00125370" w:rsidRPr="00A9211F">
        <w:rPr>
          <w:rFonts w:asciiTheme="majorBidi" w:hAnsiTheme="majorBidi" w:cstheme="majorBidi"/>
          <w:sz w:val="20"/>
          <w:lang w:val="en-GB"/>
        </w:rPr>
        <w:t xml:space="preserve">decisions, </w:t>
      </w:r>
      <w:r w:rsidRPr="00A9211F">
        <w:rPr>
          <w:rFonts w:asciiTheme="majorBidi" w:hAnsiTheme="majorBidi" w:cstheme="majorBidi"/>
          <w:sz w:val="20"/>
          <w:lang w:val="en-GB"/>
        </w:rPr>
        <w:t xml:space="preserve">he </w:t>
      </w:r>
      <w:r w:rsidR="00125370" w:rsidRPr="00A9211F">
        <w:rPr>
          <w:rFonts w:asciiTheme="majorBidi" w:hAnsiTheme="majorBidi" w:cstheme="majorBidi"/>
          <w:sz w:val="20"/>
          <w:lang w:val="en-GB"/>
        </w:rPr>
        <w:t>required the authorities to provide the appellants with access to information.</w:t>
      </w:r>
      <w:r w:rsidR="00125370" w:rsidRPr="00A9211F">
        <w:rPr>
          <w:rFonts w:asciiTheme="majorBidi" w:hAnsiTheme="majorBidi" w:cstheme="majorBidi"/>
          <w:sz w:val="20"/>
          <w:vertAlign w:val="superscript"/>
          <w:lang w:val="en-GB"/>
        </w:rPr>
        <w:footnoteReference w:id="104"/>
      </w:r>
    </w:p>
    <w:p w14:paraId="58AE422C" w14:textId="77777777" w:rsidR="00125370" w:rsidRPr="00A9211F" w:rsidRDefault="00125370" w:rsidP="00EA5C8B">
      <w:pPr>
        <w:pStyle w:val="ListParagraph"/>
        <w:tabs>
          <w:tab w:val="left" w:pos="1701"/>
        </w:tabs>
        <w:ind w:left="1134"/>
        <w:jc w:val="both"/>
        <w:rPr>
          <w:rFonts w:asciiTheme="majorBidi" w:hAnsiTheme="majorBidi" w:cstheme="majorBidi"/>
          <w:sz w:val="20"/>
          <w:lang w:val="en-GB"/>
        </w:rPr>
      </w:pPr>
    </w:p>
    <w:p w14:paraId="6D08BFA6" w14:textId="550270C1" w:rsidR="009D39C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In </w:t>
      </w:r>
      <w:r w:rsidR="00576A34" w:rsidRPr="00A9211F">
        <w:rPr>
          <w:rFonts w:asciiTheme="majorBidi" w:hAnsiTheme="majorBidi" w:cstheme="majorBidi"/>
          <w:sz w:val="20"/>
          <w:lang w:val="en-GB"/>
        </w:rPr>
        <w:t>2018</w:t>
      </w:r>
      <w:r w:rsidRPr="00A9211F">
        <w:rPr>
          <w:rFonts w:asciiTheme="majorBidi" w:hAnsiTheme="majorBidi" w:cstheme="majorBidi"/>
          <w:sz w:val="20"/>
          <w:lang w:val="en-GB"/>
        </w:rPr>
        <w:t xml:space="preserve">, the CEI </w:t>
      </w:r>
      <w:r w:rsidR="001E3676" w:rsidRPr="00A9211F">
        <w:rPr>
          <w:rFonts w:asciiTheme="majorBidi" w:hAnsiTheme="majorBidi" w:cstheme="majorBidi"/>
          <w:sz w:val="20"/>
          <w:lang w:val="en-GB"/>
        </w:rPr>
        <w:t>deliver</w:t>
      </w:r>
      <w:r w:rsidRPr="00A9211F">
        <w:rPr>
          <w:rFonts w:asciiTheme="majorBidi" w:hAnsiTheme="majorBidi" w:cstheme="majorBidi"/>
          <w:sz w:val="20"/>
          <w:lang w:val="en-GB"/>
        </w:rPr>
        <w:t xml:space="preserve">ed 40 decisions on appeals under the AIE Regulations. In 15 </w:t>
      </w:r>
      <w:r w:rsidR="007169F3" w:rsidRPr="00A9211F">
        <w:rPr>
          <w:rFonts w:asciiTheme="majorBidi" w:hAnsiTheme="majorBidi" w:cstheme="majorBidi"/>
          <w:sz w:val="20"/>
          <w:lang w:val="en-GB"/>
        </w:rPr>
        <w:t>decisions</w:t>
      </w:r>
      <w:r w:rsidRPr="00A9211F">
        <w:rPr>
          <w:rFonts w:asciiTheme="majorBidi" w:hAnsiTheme="majorBidi" w:cstheme="majorBidi"/>
          <w:sz w:val="20"/>
          <w:lang w:val="en-GB"/>
        </w:rPr>
        <w:t xml:space="preserve">, </w:t>
      </w:r>
      <w:r w:rsidR="007169F3" w:rsidRPr="00A9211F">
        <w:rPr>
          <w:rFonts w:asciiTheme="majorBidi" w:hAnsiTheme="majorBidi" w:cstheme="majorBidi"/>
          <w:sz w:val="20"/>
          <w:lang w:val="en-GB"/>
        </w:rPr>
        <w:t xml:space="preserve">he </w:t>
      </w:r>
      <w:r w:rsidRPr="00A9211F">
        <w:rPr>
          <w:rFonts w:asciiTheme="majorBidi" w:hAnsiTheme="majorBidi" w:cstheme="majorBidi"/>
          <w:sz w:val="20"/>
          <w:lang w:val="en-GB"/>
        </w:rPr>
        <w:t xml:space="preserve">found that the refusal was not justified either in full </w:t>
      </w:r>
      <w:r w:rsidR="0026038B" w:rsidRPr="00A9211F">
        <w:rPr>
          <w:rFonts w:asciiTheme="majorBidi" w:hAnsiTheme="majorBidi" w:cstheme="majorBidi"/>
          <w:sz w:val="20"/>
          <w:lang w:val="en-GB"/>
        </w:rPr>
        <w:t xml:space="preserve">or in part </w:t>
      </w:r>
      <w:r w:rsidRPr="00A9211F">
        <w:rPr>
          <w:rFonts w:asciiTheme="majorBidi" w:hAnsiTheme="majorBidi" w:cstheme="majorBidi"/>
          <w:sz w:val="20"/>
          <w:lang w:val="en-GB"/>
        </w:rPr>
        <w:t xml:space="preserve">and in </w:t>
      </w:r>
      <w:r w:rsidR="00576A34" w:rsidRPr="00A9211F">
        <w:rPr>
          <w:rFonts w:asciiTheme="majorBidi" w:hAnsiTheme="majorBidi" w:cstheme="majorBidi"/>
          <w:sz w:val="20"/>
          <w:lang w:val="en-GB"/>
        </w:rPr>
        <w:t xml:space="preserve">9 </w:t>
      </w:r>
      <w:r w:rsidRPr="00A9211F">
        <w:rPr>
          <w:rFonts w:asciiTheme="majorBidi" w:hAnsiTheme="majorBidi" w:cstheme="majorBidi"/>
          <w:sz w:val="20"/>
          <w:lang w:val="en-GB"/>
        </w:rPr>
        <w:t xml:space="preserve">of these decisions, </w:t>
      </w:r>
      <w:r w:rsidR="00095CAA" w:rsidRPr="00A9211F">
        <w:rPr>
          <w:rFonts w:asciiTheme="majorBidi" w:hAnsiTheme="majorBidi" w:cstheme="majorBidi"/>
          <w:sz w:val="20"/>
          <w:lang w:val="en-GB"/>
        </w:rPr>
        <w:t xml:space="preserve">he </w:t>
      </w:r>
      <w:r w:rsidRPr="00A9211F">
        <w:rPr>
          <w:rFonts w:asciiTheme="majorBidi" w:hAnsiTheme="majorBidi" w:cstheme="majorBidi"/>
          <w:sz w:val="20"/>
          <w:lang w:val="en-GB"/>
        </w:rPr>
        <w:t xml:space="preserve">required the public authorities to provide the appellants with access to environmental information. In 3 cases, the public authorities granted access in full to the environmental information requested during </w:t>
      </w:r>
      <w:r w:rsidR="007169F3" w:rsidRPr="00A9211F">
        <w:rPr>
          <w:rFonts w:asciiTheme="majorBidi" w:hAnsiTheme="majorBidi" w:cstheme="majorBidi"/>
          <w:sz w:val="20"/>
          <w:lang w:val="en-GB"/>
        </w:rPr>
        <w:t xml:space="preserve">the OCEI’s </w:t>
      </w:r>
      <w:r w:rsidRPr="00A9211F">
        <w:rPr>
          <w:rFonts w:asciiTheme="majorBidi" w:hAnsiTheme="majorBidi" w:cstheme="majorBidi"/>
          <w:sz w:val="20"/>
          <w:lang w:val="en-GB"/>
        </w:rPr>
        <w:t>review. In the remaining 3 cases, the OCEI</w:t>
      </w:r>
      <w:r w:rsidR="007169F3" w:rsidRPr="00A9211F">
        <w:rPr>
          <w:rFonts w:asciiTheme="majorBidi" w:hAnsiTheme="majorBidi" w:cstheme="majorBidi"/>
          <w:sz w:val="20"/>
          <w:lang w:val="en-GB"/>
        </w:rPr>
        <w:t xml:space="preserve"> remitted the request to </w:t>
      </w:r>
      <w:r w:rsidRPr="00A9211F">
        <w:rPr>
          <w:rFonts w:asciiTheme="majorBidi" w:hAnsiTheme="majorBidi" w:cstheme="majorBidi"/>
          <w:sz w:val="20"/>
          <w:lang w:val="en-GB"/>
        </w:rPr>
        <w:t xml:space="preserve">the public authority </w:t>
      </w:r>
      <w:r w:rsidR="007169F3" w:rsidRPr="00A9211F">
        <w:rPr>
          <w:rFonts w:asciiTheme="majorBidi" w:hAnsiTheme="majorBidi" w:cstheme="majorBidi"/>
          <w:sz w:val="20"/>
          <w:lang w:val="en-GB"/>
        </w:rPr>
        <w:t>for a new decision.</w:t>
      </w:r>
      <w:r w:rsidRPr="00A9211F">
        <w:rPr>
          <w:rFonts w:asciiTheme="majorBidi" w:hAnsiTheme="majorBidi" w:cstheme="majorBidi"/>
          <w:sz w:val="20"/>
          <w:vertAlign w:val="superscript"/>
          <w:lang w:val="en-GB"/>
        </w:rPr>
        <w:footnoteReference w:id="105"/>
      </w:r>
    </w:p>
    <w:p w14:paraId="56C1D7D4" w14:textId="2C98348C" w:rsidR="00930F4C" w:rsidRPr="00A9211F" w:rsidRDefault="00930F4C" w:rsidP="00EA5C8B">
      <w:pPr>
        <w:pStyle w:val="ListParagraph"/>
        <w:tabs>
          <w:tab w:val="left" w:pos="1701"/>
        </w:tabs>
        <w:ind w:left="1134"/>
        <w:jc w:val="both"/>
        <w:rPr>
          <w:rFonts w:asciiTheme="majorBidi" w:hAnsiTheme="majorBidi" w:cstheme="majorBidi"/>
          <w:sz w:val="20"/>
          <w:lang w:val="en-GB"/>
        </w:rPr>
      </w:pPr>
    </w:p>
    <w:p w14:paraId="0DC1F5D8" w14:textId="48865FB1" w:rsidR="009E656D" w:rsidRPr="00A9211F" w:rsidRDefault="00EE2D83"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A</w:t>
      </w:r>
      <w:r w:rsidR="009E656D" w:rsidRPr="00A9211F">
        <w:rPr>
          <w:rFonts w:asciiTheme="majorBidi" w:hAnsiTheme="majorBidi" w:cstheme="majorBidi"/>
          <w:sz w:val="20"/>
          <w:lang w:val="en-GB"/>
        </w:rPr>
        <w:t xml:space="preserve">rticle 12(5) of the AIE Regulations gives </w:t>
      </w:r>
      <w:r w:rsidR="00125370" w:rsidRPr="00A9211F">
        <w:rPr>
          <w:rFonts w:asciiTheme="majorBidi" w:hAnsiTheme="majorBidi" w:cstheme="majorBidi"/>
          <w:sz w:val="20"/>
          <w:lang w:val="en-GB"/>
        </w:rPr>
        <w:t>the OCEI the power, where appropriate, to require the public authority to make available the requested environmental information</w:t>
      </w:r>
      <w:r w:rsidR="009E656D" w:rsidRPr="00A9211F">
        <w:rPr>
          <w:rFonts w:asciiTheme="majorBidi" w:hAnsiTheme="majorBidi" w:cstheme="majorBidi"/>
          <w:sz w:val="20"/>
          <w:lang w:val="en-GB"/>
        </w:rPr>
        <w:t xml:space="preserve">. </w:t>
      </w:r>
      <w:r w:rsidR="00D15E8F" w:rsidRPr="00A9211F">
        <w:rPr>
          <w:rFonts w:asciiTheme="majorBidi" w:hAnsiTheme="majorBidi" w:cstheme="majorBidi"/>
          <w:sz w:val="20"/>
          <w:lang w:val="en-GB"/>
        </w:rPr>
        <w:t xml:space="preserve"> </w:t>
      </w:r>
      <w:r w:rsidR="00D248C1" w:rsidRPr="00A9211F">
        <w:rPr>
          <w:rFonts w:asciiTheme="majorBidi" w:hAnsiTheme="majorBidi" w:cstheme="majorBidi"/>
          <w:sz w:val="20"/>
          <w:lang w:val="en-GB"/>
        </w:rPr>
        <w:t>O</w:t>
      </w:r>
      <w:r w:rsidR="00D15E8F" w:rsidRPr="00A9211F">
        <w:rPr>
          <w:rFonts w:asciiTheme="majorBidi" w:hAnsiTheme="majorBidi" w:cstheme="majorBidi"/>
          <w:sz w:val="20"/>
          <w:lang w:val="en-GB"/>
        </w:rPr>
        <w:t xml:space="preserve">n the </w:t>
      </w:r>
      <w:r w:rsidR="000F58BA" w:rsidRPr="00A9211F">
        <w:rPr>
          <w:rFonts w:asciiTheme="majorBidi" w:hAnsiTheme="majorBidi" w:cstheme="majorBidi"/>
          <w:sz w:val="20"/>
          <w:lang w:val="en-GB"/>
        </w:rPr>
        <w:t xml:space="preserve">basis </w:t>
      </w:r>
      <w:r w:rsidR="00D15E8F" w:rsidRPr="00A9211F">
        <w:rPr>
          <w:rFonts w:asciiTheme="majorBidi" w:hAnsiTheme="majorBidi" w:cstheme="majorBidi"/>
          <w:sz w:val="20"/>
          <w:lang w:val="en-GB"/>
        </w:rPr>
        <w:t xml:space="preserve">of </w:t>
      </w:r>
      <w:r w:rsidR="009E656D" w:rsidRPr="00A9211F">
        <w:rPr>
          <w:rFonts w:asciiTheme="majorBidi" w:hAnsiTheme="majorBidi" w:cstheme="majorBidi"/>
          <w:sz w:val="20"/>
          <w:lang w:val="en-GB"/>
        </w:rPr>
        <w:t>the evidence before it, the Committee considers that the CEI</w:t>
      </w:r>
      <w:r w:rsidR="00125370" w:rsidRPr="00A9211F">
        <w:rPr>
          <w:rFonts w:asciiTheme="majorBidi" w:hAnsiTheme="majorBidi" w:cstheme="majorBidi"/>
          <w:sz w:val="20"/>
          <w:lang w:val="en-GB"/>
        </w:rPr>
        <w:t xml:space="preserve"> does indeed do so in a significant number of cases. </w:t>
      </w:r>
      <w:r w:rsidR="009E656D" w:rsidRPr="00A9211F">
        <w:rPr>
          <w:rFonts w:asciiTheme="majorBidi" w:hAnsiTheme="majorBidi" w:cstheme="majorBidi"/>
          <w:sz w:val="20"/>
          <w:lang w:val="en-GB"/>
        </w:rPr>
        <w:t xml:space="preserve">In this regard, the Committee notes that the </w:t>
      </w:r>
      <w:r w:rsidR="00125370" w:rsidRPr="00A9211F">
        <w:rPr>
          <w:rFonts w:asciiTheme="majorBidi" w:hAnsiTheme="majorBidi" w:cstheme="majorBidi"/>
          <w:sz w:val="20"/>
          <w:lang w:val="en-GB"/>
        </w:rPr>
        <w:t xml:space="preserve">communicant has not put before the Committee any examples of cases </w:t>
      </w:r>
      <w:r w:rsidR="009E656D" w:rsidRPr="00A9211F">
        <w:rPr>
          <w:rFonts w:asciiTheme="majorBidi" w:hAnsiTheme="majorBidi" w:cstheme="majorBidi"/>
          <w:sz w:val="20"/>
          <w:lang w:val="en-GB"/>
        </w:rPr>
        <w:t xml:space="preserve">regarding </w:t>
      </w:r>
      <w:r w:rsidR="00125370" w:rsidRPr="00A9211F">
        <w:rPr>
          <w:rFonts w:asciiTheme="majorBidi" w:hAnsiTheme="majorBidi" w:cstheme="majorBidi"/>
          <w:sz w:val="20"/>
          <w:lang w:val="en-GB"/>
        </w:rPr>
        <w:t xml:space="preserve">which it </w:t>
      </w:r>
      <w:r w:rsidR="009E656D" w:rsidRPr="00A9211F">
        <w:rPr>
          <w:rFonts w:asciiTheme="majorBidi" w:hAnsiTheme="majorBidi" w:cstheme="majorBidi"/>
          <w:sz w:val="20"/>
          <w:lang w:val="en-GB"/>
        </w:rPr>
        <w:t xml:space="preserve">alleges that it </w:t>
      </w:r>
      <w:r w:rsidR="00125370" w:rsidRPr="00A9211F">
        <w:rPr>
          <w:rFonts w:asciiTheme="majorBidi" w:hAnsiTheme="majorBidi" w:cstheme="majorBidi"/>
          <w:sz w:val="20"/>
          <w:lang w:val="en-GB"/>
        </w:rPr>
        <w:t xml:space="preserve">would have been appropriate for the CEI to have ordered the public authority to release the requested information but the CEI did not do so. </w:t>
      </w:r>
    </w:p>
    <w:p w14:paraId="65010801" w14:textId="77777777" w:rsidR="009E656D" w:rsidRPr="00A9211F" w:rsidRDefault="009E656D" w:rsidP="00EA5C8B">
      <w:pPr>
        <w:pStyle w:val="ListParagraph"/>
        <w:rPr>
          <w:rFonts w:asciiTheme="majorBidi" w:hAnsiTheme="majorBidi" w:cstheme="majorBidi"/>
          <w:sz w:val="20"/>
          <w:lang w:val="en-GB"/>
        </w:rPr>
      </w:pPr>
    </w:p>
    <w:p w14:paraId="3AF483C9" w14:textId="3B89D166" w:rsidR="009D39C4" w:rsidRPr="00A9211F" w:rsidRDefault="009E656D"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In the light of the above, t</w:t>
      </w:r>
      <w:r w:rsidR="00125370" w:rsidRPr="00A9211F">
        <w:rPr>
          <w:rFonts w:asciiTheme="majorBidi" w:hAnsiTheme="majorBidi" w:cstheme="majorBidi"/>
          <w:sz w:val="20"/>
          <w:lang w:val="en-GB"/>
        </w:rPr>
        <w:t xml:space="preserve">he Committee </w:t>
      </w:r>
      <w:r w:rsidR="005C28E3" w:rsidRPr="00A9211F">
        <w:rPr>
          <w:rFonts w:asciiTheme="majorBidi" w:hAnsiTheme="majorBidi"/>
          <w:sz w:val="20"/>
          <w:lang w:val="en-GB"/>
        </w:rPr>
        <w:t xml:space="preserve">considers that the communicant has not adduced evidence that </w:t>
      </w:r>
      <w:r w:rsidR="00125370" w:rsidRPr="00A9211F">
        <w:rPr>
          <w:rFonts w:asciiTheme="majorBidi" w:hAnsiTheme="majorBidi"/>
          <w:sz w:val="20"/>
          <w:lang w:val="en-GB"/>
        </w:rPr>
        <w:t>the OCEI</w:t>
      </w:r>
      <w:r w:rsidR="009D39C4" w:rsidRPr="00A9211F">
        <w:rPr>
          <w:rFonts w:asciiTheme="majorBidi" w:hAnsiTheme="majorBidi"/>
          <w:sz w:val="20"/>
          <w:lang w:val="en-GB"/>
        </w:rPr>
        <w:t xml:space="preserve"> </w:t>
      </w:r>
      <w:r w:rsidR="005C28E3" w:rsidRPr="00A9211F">
        <w:rPr>
          <w:rFonts w:asciiTheme="majorBidi" w:hAnsiTheme="majorBidi"/>
          <w:sz w:val="20"/>
          <w:lang w:val="en-GB"/>
        </w:rPr>
        <w:t>fails</w:t>
      </w:r>
      <w:r w:rsidR="005C28E3" w:rsidRPr="00A9211F">
        <w:rPr>
          <w:rFonts w:asciiTheme="majorBidi" w:hAnsiTheme="majorBidi" w:cstheme="majorBidi"/>
          <w:sz w:val="20"/>
          <w:lang w:val="en-GB"/>
        </w:rPr>
        <w:t xml:space="preserve"> </w:t>
      </w:r>
      <w:r w:rsidR="009D39C4" w:rsidRPr="00A9211F">
        <w:rPr>
          <w:rFonts w:asciiTheme="majorBidi" w:hAnsiTheme="majorBidi" w:cstheme="majorBidi"/>
          <w:sz w:val="20"/>
          <w:lang w:val="en-GB"/>
        </w:rPr>
        <w:t>to provide adequate and effective remedies</w:t>
      </w:r>
      <w:r w:rsidR="00DB3301" w:rsidRPr="00A9211F">
        <w:rPr>
          <w:rFonts w:asciiTheme="majorBidi" w:hAnsiTheme="majorBidi" w:cstheme="majorBidi"/>
          <w:sz w:val="20"/>
          <w:lang w:val="en-GB"/>
        </w:rPr>
        <w:t xml:space="preserve"> in appeals under article 12 of the AIE Regulations</w:t>
      </w:r>
      <w:r w:rsidR="00EE2D83" w:rsidRPr="00A9211F">
        <w:rPr>
          <w:rFonts w:asciiTheme="majorBidi" w:hAnsiTheme="majorBidi" w:cstheme="majorBidi"/>
          <w:sz w:val="20"/>
          <w:lang w:val="en-GB"/>
        </w:rPr>
        <w:t xml:space="preserve">. Accordingly, the Committee does not find that the Party concerned fails to comply with </w:t>
      </w:r>
      <w:r w:rsidR="009D39C4" w:rsidRPr="00A9211F">
        <w:rPr>
          <w:rFonts w:asciiTheme="majorBidi" w:hAnsiTheme="majorBidi" w:cstheme="majorBidi"/>
          <w:sz w:val="20"/>
          <w:lang w:val="en-GB"/>
        </w:rPr>
        <w:t>article 9(4) of the Convention</w:t>
      </w:r>
      <w:r w:rsidR="00EE2D83" w:rsidRPr="00A9211F">
        <w:rPr>
          <w:rFonts w:asciiTheme="majorBidi" w:hAnsiTheme="majorBidi" w:cstheme="majorBidi"/>
          <w:sz w:val="20"/>
          <w:lang w:val="en-GB"/>
        </w:rPr>
        <w:t xml:space="preserve"> in this respect</w:t>
      </w:r>
      <w:r w:rsidR="009D39C4" w:rsidRPr="00A9211F">
        <w:rPr>
          <w:rFonts w:asciiTheme="majorBidi" w:hAnsiTheme="majorBidi" w:cstheme="majorBidi"/>
          <w:sz w:val="20"/>
          <w:lang w:val="en-GB"/>
        </w:rPr>
        <w:t>.</w:t>
      </w:r>
    </w:p>
    <w:p w14:paraId="3AB6187A" w14:textId="77777777" w:rsidR="00E442C4" w:rsidRPr="00A9211F" w:rsidRDefault="00E442C4" w:rsidP="00EA5C8B">
      <w:pPr>
        <w:pStyle w:val="ListParagraph"/>
        <w:tabs>
          <w:tab w:val="left" w:pos="1701"/>
        </w:tabs>
        <w:ind w:left="1134"/>
        <w:jc w:val="both"/>
        <w:rPr>
          <w:rFonts w:asciiTheme="majorBidi" w:hAnsiTheme="majorBidi" w:cstheme="majorBidi"/>
          <w:sz w:val="20"/>
          <w:lang w:val="en-GB"/>
        </w:rPr>
      </w:pPr>
    </w:p>
    <w:p w14:paraId="51709421" w14:textId="1809CC0F" w:rsidR="009D39C4" w:rsidRPr="00A9211F" w:rsidRDefault="005C28E3" w:rsidP="00EA5C8B">
      <w:pPr>
        <w:pStyle w:val="ListParagraph"/>
        <w:tabs>
          <w:tab w:val="left" w:pos="1701"/>
        </w:tabs>
        <w:ind w:left="1134"/>
        <w:jc w:val="both"/>
        <w:rPr>
          <w:rFonts w:asciiTheme="majorBidi" w:hAnsiTheme="majorBidi" w:cstheme="majorBidi"/>
          <w:i/>
          <w:iCs/>
          <w:sz w:val="20"/>
          <w:lang w:val="en-GB"/>
        </w:rPr>
      </w:pPr>
      <w:r w:rsidRPr="00A9211F">
        <w:rPr>
          <w:rFonts w:asciiTheme="majorBidi" w:hAnsiTheme="majorBidi" w:cstheme="majorBidi"/>
          <w:i/>
          <w:iCs/>
          <w:sz w:val="20"/>
          <w:lang w:val="en-GB"/>
        </w:rPr>
        <w:t>Court</w:t>
      </w:r>
      <w:r w:rsidR="00811CE3" w:rsidRPr="00A9211F">
        <w:rPr>
          <w:rFonts w:asciiTheme="majorBidi" w:hAnsiTheme="majorBidi" w:cstheme="majorBidi"/>
          <w:i/>
          <w:iCs/>
          <w:sz w:val="20"/>
          <w:lang w:val="en-GB"/>
        </w:rPr>
        <w:t xml:space="preserve"> a</w:t>
      </w:r>
      <w:r w:rsidR="009D39C4" w:rsidRPr="00A9211F">
        <w:rPr>
          <w:rFonts w:asciiTheme="majorBidi" w:hAnsiTheme="majorBidi" w:cstheme="majorBidi"/>
          <w:i/>
          <w:iCs/>
          <w:sz w:val="20"/>
          <w:lang w:val="en-GB"/>
        </w:rPr>
        <w:t>ppeals</w:t>
      </w:r>
    </w:p>
    <w:p w14:paraId="0455F1A0" w14:textId="77777777" w:rsidR="00E442C4" w:rsidRPr="00A9211F" w:rsidRDefault="00E442C4" w:rsidP="00EA5C8B">
      <w:pPr>
        <w:pStyle w:val="ListParagraph"/>
        <w:tabs>
          <w:tab w:val="left" w:pos="1701"/>
        </w:tabs>
        <w:ind w:left="1134"/>
        <w:jc w:val="both"/>
        <w:rPr>
          <w:rFonts w:asciiTheme="majorBidi" w:hAnsiTheme="majorBidi" w:cstheme="majorBidi"/>
          <w:sz w:val="20"/>
          <w:lang w:val="en-GB"/>
        </w:rPr>
      </w:pPr>
    </w:p>
    <w:p w14:paraId="103C8061" w14:textId="16D40417" w:rsidR="009D39C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In its </w:t>
      </w:r>
      <w:r w:rsidR="00CC658B" w:rsidRPr="00A9211F">
        <w:rPr>
          <w:rFonts w:asciiTheme="majorBidi" w:hAnsiTheme="majorBidi" w:cstheme="majorBidi"/>
          <w:sz w:val="20"/>
          <w:lang w:val="en-GB"/>
        </w:rPr>
        <w:t>ruling</w:t>
      </w:r>
      <w:r w:rsidR="003424E5" w:rsidRPr="00A9211F">
        <w:rPr>
          <w:rFonts w:asciiTheme="majorBidi" w:hAnsiTheme="majorBidi" w:cstheme="majorBidi"/>
          <w:sz w:val="20"/>
          <w:lang w:val="en-GB"/>
        </w:rPr>
        <w:t xml:space="preserve"> of 25 June 2015</w:t>
      </w:r>
      <w:r w:rsidR="00CC658B" w:rsidRPr="00A9211F">
        <w:rPr>
          <w:rFonts w:asciiTheme="majorBidi" w:hAnsiTheme="majorBidi" w:cstheme="majorBidi"/>
          <w:sz w:val="20"/>
          <w:lang w:val="en-GB"/>
        </w:rPr>
        <w:t xml:space="preserve">, the Supreme Court upheld the OCEI’s decision </w:t>
      </w:r>
      <w:r w:rsidRPr="00A9211F">
        <w:rPr>
          <w:rFonts w:asciiTheme="majorBidi" w:hAnsiTheme="majorBidi" w:cstheme="majorBidi"/>
          <w:sz w:val="20"/>
          <w:lang w:val="en-GB"/>
        </w:rPr>
        <w:t>of 13 September 2011</w:t>
      </w:r>
      <w:r w:rsidR="00CC658B" w:rsidRPr="00A9211F">
        <w:rPr>
          <w:rFonts w:asciiTheme="majorBidi" w:hAnsiTheme="majorBidi" w:cstheme="majorBidi"/>
          <w:sz w:val="20"/>
          <w:lang w:val="en-GB"/>
        </w:rPr>
        <w:t xml:space="preserve"> </w:t>
      </w:r>
      <w:r w:rsidRPr="00A9211F">
        <w:rPr>
          <w:rFonts w:asciiTheme="majorBidi" w:hAnsiTheme="majorBidi" w:cstheme="majorBidi"/>
          <w:sz w:val="20"/>
          <w:lang w:val="en-GB"/>
        </w:rPr>
        <w:t xml:space="preserve">that NAMA was a “public authority” for the purposes of the AIE Regulations. When, </w:t>
      </w:r>
      <w:r w:rsidR="00CC658B" w:rsidRPr="00A9211F">
        <w:rPr>
          <w:rFonts w:asciiTheme="majorBidi" w:hAnsiTheme="majorBidi" w:cstheme="majorBidi"/>
          <w:sz w:val="20"/>
          <w:lang w:val="en-GB"/>
        </w:rPr>
        <w:t xml:space="preserve">in August 2016, </w:t>
      </w:r>
      <w:r w:rsidRPr="00A9211F">
        <w:rPr>
          <w:rFonts w:asciiTheme="majorBidi" w:hAnsiTheme="majorBidi" w:cstheme="majorBidi"/>
          <w:sz w:val="20"/>
          <w:lang w:val="en-GB"/>
        </w:rPr>
        <w:t>more than a year later, Mr. Sheridan sought an update from the OCEI regarding the status of his case, the OCEI informed Mr. Sheridan that “</w:t>
      </w:r>
      <w:r w:rsidR="00CC658B" w:rsidRPr="00A9211F">
        <w:rPr>
          <w:rFonts w:asciiTheme="majorBidi" w:hAnsiTheme="majorBidi" w:cstheme="majorBidi"/>
          <w:sz w:val="20"/>
          <w:lang w:val="en-GB"/>
        </w:rPr>
        <w:t>t</w:t>
      </w:r>
      <w:r w:rsidRPr="00A9211F">
        <w:rPr>
          <w:rFonts w:asciiTheme="majorBidi" w:hAnsiTheme="majorBidi" w:cstheme="majorBidi"/>
          <w:sz w:val="20"/>
          <w:lang w:val="en-GB"/>
        </w:rPr>
        <w:t>he Supreme Court did not issue any order or directions following its judgment in the NAMA case.   It simply dismissed NAMA's appeal from the High Court judgment.  You may care to contact NAMA directly in connection with your outstanding AIE request.”</w:t>
      </w:r>
      <w:r w:rsidRPr="00A9211F">
        <w:rPr>
          <w:rFonts w:asciiTheme="majorBidi" w:hAnsiTheme="majorBidi" w:cstheme="majorBidi"/>
          <w:sz w:val="20"/>
          <w:vertAlign w:val="superscript"/>
          <w:lang w:val="en-GB"/>
        </w:rPr>
        <w:footnoteReference w:id="106"/>
      </w:r>
      <w:r w:rsidRPr="00A9211F">
        <w:rPr>
          <w:rFonts w:asciiTheme="majorBidi" w:hAnsiTheme="majorBidi" w:cstheme="majorBidi"/>
          <w:sz w:val="20"/>
          <w:lang w:val="en-GB"/>
        </w:rPr>
        <w:t xml:space="preserve"> NAMA’s appeals were </w:t>
      </w:r>
      <w:r w:rsidR="00662DFD" w:rsidRPr="00A9211F">
        <w:rPr>
          <w:rFonts w:asciiTheme="majorBidi" w:hAnsiTheme="majorBidi" w:cstheme="majorBidi"/>
          <w:sz w:val="20"/>
          <w:lang w:val="en-GB"/>
        </w:rPr>
        <w:t xml:space="preserve">brought </w:t>
      </w:r>
      <w:r w:rsidRPr="00A9211F">
        <w:rPr>
          <w:rFonts w:asciiTheme="majorBidi" w:hAnsiTheme="majorBidi" w:cstheme="majorBidi"/>
          <w:sz w:val="20"/>
          <w:lang w:val="en-GB"/>
        </w:rPr>
        <w:t>against the OCEI</w:t>
      </w:r>
      <w:r w:rsidR="00662DFD" w:rsidRPr="00A9211F">
        <w:rPr>
          <w:rFonts w:asciiTheme="majorBidi" w:hAnsiTheme="majorBidi" w:cstheme="majorBidi"/>
          <w:sz w:val="20"/>
          <w:lang w:val="en-GB"/>
        </w:rPr>
        <w:t>, and</w:t>
      </w:r>
      <w:r w:rsidRPr="00A9211F">
        <w:rPr>
          <w:rFonts w:asciiTheme="majorBidi" w:hAnsiTheme="majorBidi" w:cstheme="majorBidi"/>
          <w:sz w:val="20"/>
          <w:lang w:val="en-GB"/>
        </w:rPr>
        <w:t xml:space="preserve"> Mr Sheridan </w:t>
      </w:r>
      <w:r w:rsidR="00662DFD" w:rsidRPr="00A9211F">
        <w:rPr>
          <w:rFonts w:asciiTheme="majorBidi" w:hAnsiTheme="majorBidi" w:cstheme="majorBidi"/>
          <w:sz w:val="20"/>
          <w:lang w:val="en-GB"/>
        </w:rPr>
        <w:t>wa</w:t>
      </w:r>
      <w:r w:rsidR="00CC658B" w:rsidRPr="00A9211F">
        <w:rPr>
          <w:rFonts w:asciiTheme="majorBidi" w:hAnsiTheme="majorBidi" w:cstheme="majorBidi"/>
          <w:sz w:val="20"/>
          <w:lang w:val="en-GB"/>
        </w:rPr>
        <w:t>s not named as</w:t>
      </w:r>
      <w:r w:rsidRPr="00A9211F">
        <w:rPr>
          <w:rFonts w:asciiTheme="majorBidi" w:hAnsiTheme="majorBidi" w:cstheme="majorBidi"/>
          <w:sz w:val="20"/>
          <w:lang w:val="en-GB"/>
        </w:rPr>
        <w:t xml:space="preserve"> a party to those proceedings. The Committee considers that the fact that</w:t>
      </w:r>
      <w:r w:rsidR="007E5C4F" w:rsidRPr="00A9211F">
        <w:rPr>
          <w:rFonts w:asciiTheme="majorBidi" w:hAnsiTheme="majorBidi" w:cstheme="majorBidi"/>
          <w:sz w:val="20"/>
          <w:lang w:val="en-GB"/>
        </w:rPr>
        <w:t xml:space="preserve"> the Supreme Court’s</w:t>
      </w:r>
      <w:r w:rsidRPr="00A9211F">
        <w:rPr>
          <w:rFonts w:asciiTheme="majorBidi" w:hAnsiTheme="majorBidi" w:cstheme="majorBidi"/>
          <w:sz w:val="20"/>
          <w:lang w:val="en-GB"/>
        </w:rPr>
        <w:t xml:space="preserve"> </w:t>
      </w:r>
      <w:r w:rsidR="007E5C4F" w:rsidRPr="00A9211F">
        <w:rPr>
          <w:rFonts w:asciiTheme="majorBidi" w:hAnsiTheme="majorBidi" w:cstheme="majorBidi"/>
          <w:sz w:val="20"/>
          <w:lang w:val="en-GB"/>
        </w:rPr>
        <w:t xml:space="preserve">ruling lay </w:t>
      </w:r>
      <w:r w:rsidRPr="00A9211F">
        <w:rPr>
          <w:rFonts w:asciiTheme="majorBidi" w:hAnsiTheme="majorBidi" w:cstheme="majorBidi"/>
          <w:sz w:val="20"/>
          <w:lang w:val="en-GB"/>
        </w:rPr>
        <w:t>dormant for more than a year without any action by the court</w:t>
      </w:r>
      <w:r w:rsidR="007E5C4F" w:rsidRPr="00A9211F">
        <w:rPr>
          <w:rFonts w:asciiTheme="majorBidi" w:hAnsiTheme="majorBidi" w:cstheme="majorBidi"/>
          <w:sz w:val="20"/>
          <w:lang w:val="en-GB"/>
        </w:rPr>
        <w:t>s</w:t>
      </w:r>
      <w:r w:rsidRPr="00A9211F">
        <w:rPr>
          <w:rFonts w:asciiTheme="majorBidi" w:hAnsiTheme="majorBidi" w:cstheme="majorBidi"/>
          <w:sz w:val="20"/>
          <w:lang w:val="en-GB"/>
        </w:rPr>
        <w:t xml:space="preserve">, the CEI or the public authority concerned demonstrates a failure by the Party concerned to ensure adequate and effective remedies for the review of </w:t>
      </w:r>
      <w:r w:rsidR="00FA79D5" w:rsidRPr="00A9211F">
        <w:rPr>
          <w:rFonts w:asciiTheme="majorBidi" w:hAnsiTheme="majorBidi" w:cstheme="majorBidi"/>
          <w:sz w:val="20"/>
          <w:lang w:val="en-GB"/>
        </w:rPr>
        <w:t xml:space="preserve">environmental </w:t>
      </w:r>
      <w:r w:rsidRPr="00A9211F">
        <w:rPr>
          <w:rFonts w:asciiTheme="majorBidi" w:hAnsiTheme="majorBidi" w:cstheme="majorBidi"/>
          <w:sz w:val="20"/>
          <w:lang w:val="en-GB"/>
        </w:rPr>
        <w:t xml:space="preserve">information requests. </w:t>
      </w:r>
    </w:p>
    <w:p w14:paraId="18FAACFE" w14:textId="77777777" w:rsidR="00890E3B" w:rsidRPr="00A9211F" w:rsidRDefault="00890E3B" w:rsidP="00EA5C8B">
      <w:pPr>
        <w:pStyle w:val="ListParagraph"/>
        <w:rPr>
          <w:rFonts w:asciiTheme="majorBidi" w:hAnsiTheme="majorBidi" w:cstheme="majorBidi"/>
          <w:sz w:val="20"/>
          <w:lang w:val="en-GB"/>
        </w:rPr>
      </w:pPr>
    </w:p>
    <w:p w14:paraId="4B3C7266" w14:textId="73C6AE41" w:rsidR="00B3740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lastRenderedPageBreak/>
        <w:t xml:space="preserve">In a similar vein, </w:t>
      </w:r>
      <w:r w:rsidR="00B37404" w:rsidRPr="00A9211F">
        <w:rPr>
          <w:rFonts w:asciiTheme="majorBidi" w:hAnsiTheme="majorBidi" w:cstheme="majorBidi"/>
          <w:sz w:val="20"/>
          <w:lang w:val="en-GB"/>
        </w:rPr>
        <w:t xml:space="preserve">following the OCEI’s decision of 1 September 2011 that </w:t>
      </w:r>
      <w:r w:rsidR="00CC658B" w:rsidRPr="00A9211F">
        <w:rPr>
          <w:rFonts w:asciiTheme="majorBidi" w:hAnsiTheme="majorBidi" w:cstheme="majorBidi"/>
          <w:sz w:val="20"/>
          <w:lang w:val="en-GB"/>
        </w:rPr>
        <w:t>IBRC Limited (formerly Anglo</w:t>
      </w:r>
      <w:r w:rsidR="00367D68" w:rsidRPr="00A9211F">
        <w:rPr>
          <w:rFonts w:asciiTheme="majorBidi" w:hAnsiTheme="majorBidi" w:cstheme="majorBidi"/>
          <w:sz w:val="20"/>
          <w:lang w:val="en-GB"/>
        </w:rPr>
        <w:t xml:space="preserve"> </w:t>
      </w:r>
      <w:r w:rsidR="00CC658B" w:rsidRPr="00A9211F">
        <w:rPr>
          <w:rFonts w:asciiTheme="majorBidi" w:hAnsiTheme="majorBidi" w:cstheme="majorBidi"/>
          <w:sz w:val="20"/>
          <w:lang w:val="en-GB"/>
        </w:rPr>
        <w:t xml:space="preserve">Irish Bank) </w:t>
      </w:r>
      <w:r w:rsidR="00B37404" w:rsidRPr="00A9211F">
        <w:rPr>
          <w:rFonts w:asciiTheme="majorBidi" w:hAnsiTheme="majorBidi" w:cstheme="majorBidi"/>
          <w:sz w:val="20"/>
          <w:lang w:val="en-GB"/>
        </w:rPr>
        <w:t xml:space="preserve">was a public authority under </w:t>
      </w:r>
      <w:r w:rsidRPr="00A9211F">
        <w:rPr>
          <w:rFonts w:asciiTheme="majorBidi" w:hAnsiTheme="majorBidi" w:cstheme="majorBidi"/>
          <w:sz w:val="20"/>
          <w:lang w:val="en-GB"/>
        </w:rPr>
        <w:t>the AIE Regulations</w:t>
      </w:r>
      <w:r w:rsidR="00B37404" w:rsidRPr="00A9211F">
        <w:rPr>
          <w:rFonts w:asciiTheme="majorBidi" w:hAnsiTheme="majorBidi" w:cstheme="majorBidi"/>
          <w:sz w:val="20"/>
          <w:lang w:val="en-GB"/>
        </w:rPr>
        <w:t>, th</w:t>
      </w:r>
      <w:r w:rsidR="00324680" w:rsidRPr="00A9211F">
        <w:rPr>
          <w:rFonts w:asciiTheme="majorBidi" w:hAnsiTheme="majorBidi" w:cstheme="majorBidi"/>
          <w:sz w:val="20"/>
          <w:lang w:val="en-GB"/>
        </w:rPr>
        <w:t>at company</w:t>
      </w:r>
      <w:r w:rsidR="00B37404" w:rsidRPr="00A9211F">
        <w:rPr>
          <w:rFonts w:asciiTheme="majorBidi" w:hAnsiTheme="majorBidi" w:cstheme="majorBidi"/>
          <w:sz w:val="20"/>
          <w:lang w:val="en-GB"/>
        </w:rPr>
        <w:t xml:space="preserve"> appealed the OCEI’s decision to the High Court</w:t>
      </w:r>
      <w:r w:rsidRPr="00A9211F">
        <w:rPr>
          <w:rFonts w:asciiTheme="majorBidi" w:hAnsiTheme="majorBidi" w:cstheme="majorBidi"/>
          <w:sz w:val="20"/>
          <w:lang w:val="en-GB"/>
        </w:rPr>
        <w:t>.</w:t>
      </w:r>
      <w:r w:rsidRPr="00A9211F">
        <w:rPr>
          <w:rFonts w:asciiTheme="majorBidi" w:hAnsiTheme="majorBidi" w:cstheme="majorBidi"/>
          <w:sz w:val="18"/>
          <w:szCs w:val="18"/>
          <w:vertAlign w:val="superscript"/>
          <w:lang w:val="en-GB"/>
        </w:rPr>
        <w:footnoteReference w:id="107"/>
      </w:r>
      <w:r w:rsidRPr="00A9211F">
        <w:rPr>
          <w:rFonts w:asciiTheme="majorBidi" w:hAnsiTheme="majorBidi" w:cstheme="majorBidi"/>
          <w:sz w:val="18"/>
          <w:szCs w:val="18"/>
          <w:vertAlign w:val="superscript"/>
          <w:lang w:val="en-GB"/>
        </w:rPr>
        <w:t xml:space="preserve"> </w:t>
      </w:r>
      <w:r w:rsidRPr="00A9211F">
        <w:rPr>
          <w:rFonts w:asciiTheme="majorBidi" w:hAnsiTheme="majorBidi" w:cstheme="majorBidi"/>
          <w:sz w:val="20"/>
          <w:lang w:val="en-GB"/>
        </w:rPr>
        <w:t>The High Court</w:t>
      </w:r>
      <w:r w:rsidR="00B37404" w:rsidRPr="00A9211F">
        <w:rPr>
          <w:rFonts w:asciiTheme="majorBidi" w:hAnsiTheme="majorBidi" w:cstheme="majorBidi"/>
          <w:sz w:val="20"/>
          <w:lang w:val="en-GB"/>
        </w:rPr>
        <w:t xml:space="preserve"> however </w:t>
      </w:r>
      <w:r w:rsidRPr="00A9211F">
        <w:rPr>
          <w:rFonts w:asciiTheme="majorBidi" w:hAnsiTheme="majorBidi" w:cstheme="majorBidi"/>
          <w:sz w:val="20"/>
          <w:lang w:val="en-GB"/>
        </w:rPr>
        <w:t xml:space="preserve">stayed the proceedings pending the outcome of the NAMA case. In its reply of 18 August 2016 to Mr. Sheridan’s request for an update (see para. </w:t>
      </w:r>
      <w:r w:rsidRPr="00A9211F">
        <w:rPr>
          <w:rFonts w:asciiTheme="majorBidi" w:hAnsiTheme="majorBidi" w:cstheme="majorBidi"/>
          <w:sz w:val="20"/>
          <w:lang w:val="en-GB"/>
        </w:rPr>
        <w:fldChar w:fldCharType="begin"/>
      </w:r>
      <w:r w:rsidRPr="00A9211F">
        <w:rPr>
          <w:rFonts w:asciiTheme="majorBidi" w:hAnsiTheme="majorBidi" w:cstheme="majorBidi"/>
          <w:sz w:val="20"/>
          <w:lang w:val="en-GB"/>
        </w:rPr>
        <w:instrText xml:space="preserve"> REF _Ref528313233 \r \h  \* MERGEFORMAT </w:instrText>
      </w:r>
      <w:r w:rsidRPr="00A9211F">
        <w:rPr>
          <w:rFonts w:asciiTheme="majorBidi" w:hAnsiTheme="majorBidi" w:cstheme="majorBidi"/>
          <w:sz w:val="20"/>
          <w:lang w:val="en-GB"/>
        </w:rPr>
      </w:r>
      <w:r w:rsidRPr="00A9211F">
        <w:rPr>
          <w:rFonts w:asciiTheme="majorBidi" w:hAnsiTheme="majorBidi" w:cstheme="majorBidi"/>
          <w:sz w:val="20"/>
          <w:lang w:val="en-GB"/>
        </w:rPr>
        <w:fldChar w:fldCharType="separate"/>
      </w:r>
      <w:r w:rsidR="006B2913">
        <w:rPr>
          <w:rFonts w:asciiTheme="majorBidi" w:hAnsiTheme="majorBidi" w:cstheme="majorBidi"/>
          <w:sz w:val="20"/>
          <w:cs/>
          <w:lang w:val="en-GB"/>
        </w:rPr>
        <w:t>‎</w:t>
      </w:r>
      <w:r w:rsidR="006B2913">
        <w:rPr>
          <w:rFonts w:asciiTheme="majorBidi" w:hAnsiTheme="majorBidi" w:cstheme="majorBidi"/>
          <w:sz w:val="20"/>
          <w:lang w:val="en-GB"/>
        </w:rPr>
        <w:t>41</w:t>
      </w:r>
      <w:r w:rsidRPr="00A9211F">
        <w:rPr>
          <w:rFonts w:asciiTheme="majorBidi" w:hAnsiTheme="majorBidi" w:cstheme="majorBidi"/>
          <w:sz w:val="20"/>
          <w:lang w:val="en-GB"/>
        </w:rPr>
        <w:fldChar w:fldCharType="end"/>
      </w:r>
      <w:r w:rsidRPr="00A9211F">
        <w:rPr>
          <w:rFonts w:asciiTheme="majorBidi" w:hAnsiTheme="majorBidi" w:cstheme="majorBidi"/>
          <w:sz w:val="20"/>
          <w:lang w:val="en-GB"/>
        </w:rPr>
        <w:t xml:space="preserve"> above), the OCEI indicated that neither it nor</w:t>
      </w:r>
      <w:r w:rsidR="007E5C4F" w:rsidRPr="00A9211F">
        <w:rPr>
          <w:rFonts w:asciiTheme="majorBidi" w:hAnsiTheme="majorBidi" w:cstheme="majorBidi"/>
          <w:sz w:val="20"/>
          <w:lang w:val="en-GB"/>
        </w:rPr>
        <w:t xml:space="preserve"> IBRC Limited </w:t>
      </w:r>
      <w:r w:rsidRPr="00A9211F">
        <w:rPr>
          <w:rFonts w:asciiTheme="majorBidi" w:hAnsiTheme="majorBidi" w:cstheme="majorBidi"/>
          <w:sz w:val="20"/>
          <w:lang w:val="en-GB"/>
        </w:rPr>
        <w:t xml:space="preserve">had applied to re-activate the proceeding </w:t>
      </w:r>
      <w:r w:rsidR="007E5C4F" w:rsidRPr="00A9211F">
        <w:rPr>
          <w:rFonts w:asciiTheme="majorBidi" w:hAnsiTheme="majorBidi" w:cstheme="majorBidi"/>
          <w:sz w:val="20"/>
          <w:lang w:val="en-GB"/>
        </w:rPr>
        <w:t>since</w:t>
      </w:r>
      <w:r w:rsidRPr="00A9211F">
        <w:rPr>
          <w:rFonts w:asciiTheme="majorBidi" w:hAnsiTheme="majorBidi" w:cstheme="majorBidi"/>
          <w:sz w:val="20"/>
          <w:lang w:val="en-GB"/>
        </w:rPr>
        <w:t xml:space="preserve"> the outcome of the NAMA case and the High Court’s stay remained in effect.</w:t>
      </w:r>
      <w:r w:rsidRPr="00A9211F">
        <w:rPr>
          <w:rFonts w:asciiTheme="majorBidi" w:hAnsiTheme="majorBidi" w:cstheme="majorBidi"/>
          <w:sz w:val="20"/>
          <w:szCs w:val="20"/>
          <w:vertAlign w:val="superscript"/>
          <w:lang w:val="en-GB"/>
        </w:rPr>
        <w:footnoteReference w:id="108"/>
      </w:r>
      <w:r w:rsidRPr="00A9211F">
        <w:rPr>
          <w:rFonts w:asciiTheme="majorBidi" w:hAnsiTheme="majorBidi" w:cstheme="majorBidi"/>
          <w:sz w:val="20"/>
          <w:szCs w:val="20"/>
          <w:lang w:val="en-GB"/>
        </w:rPr>
        <w:t xml:space="preserve"> </w:t>
      </w:r>
    </w:p>
    <w:p w14:paraId="68FD7DFB" w14:textId="77777777" w:rsidR="00B37404" w:rsidRPr="00A9211F" w:rsidRDefault="00B37404" w:rsidP="00EA5C8B">
      <w:pPr>
        <w:pStyle w:val="ListParagraph"/>
        <w:rPr>
          <w:rFonts w:asciiTheme="majorBidi" w:hAnsiTheme="majorBidi" w:cstheme="majorBidi"/>
          <w:sz w:val="20"/>
          <w:szCs w:val="20"/>
          <w:lang w:val="en-GB"/>
        </w:rPr>
      </w:pPr>
    </w:p>
    <w:p w14:paraId="6A6B3956" w14:textId="2FFE786F" w:rsidR="009D39C4" w:rsidRPr="00A9211F" w:rsidRDefault="00B3740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szCs w:val="20"/>
          <w:lang w:val="en-GB"/>
        </w:rPr>
        <w:t>The Committee notes that o</w:t>
      </w:r>
      <w:r w:rsidR="009D39C4" w:rsidRPr="00A9211F">
        <w:rPr>
          <w:rFonts w:asciiTheme="majorBidi" w:hAnsiTheme="majorBidi" w:cstheme="majorBidi"/>
          <w:sz w:val="20"/>
          <w:lang w:val="en-GB"/>
        </w:rPr>
        <w:t xml:space="preserve">nce again the </w:t>
      </w:r>
      <w:r w:rsidR="00C0669D" w:rsidRPr="00A9211F">
        <w:rPr>
          <w:rFonts w:asciiTheme="majorBidi" w:hAnsiTheme="majorBidi" w:cstheme="majorBidi"/>
          <w:sz w:val="20"/>
          <w:lang w:val="en-GB"/>
        </w:rPr>
        <w:t xml:space="preserve">only </w:t>
      </w:r>
      <w:r w:rsidR="00515E24" w:rsidRPr="00A9211F">
        <w:rPr>
          <w:rFonts w:asciiTheme="majorBidi" w:hAnsiTheme="majorBidi" w:cstheme="majorBidi"/>
          <w:sz w:val="20"/>
          <w:lang w:val="en-GB"/>
        </w:rPr>
        <w:t xml:space="preserve">parties to the </w:t>
      </w:r>
      <w:r w:rsidR="009D39C4" w:rsidRPr="00A9211F">
        <w:rPr>
          <w:rFonts w:asciiTheme="majorBidi" w:hAnsiTheme="majorBidi" w:cstheme="majorBidi"/>
          <w:sz w:val="20"/>
          <w:lang w:val="en-GB"/>
        </w:rPr>
        <w:t xml:space="preserve">court proceedings were the public authority </w:t>
      </w:r>
      <w:r w:rsidR="007E5C4F" w:rsidRPr="00A9211F">
        <w:rPr>
          <w:rFonts w:asciiTheme="majorBidi" w:hAnsiTheme="majorBidi" w:cstheme="majorBidi"/>
          <w:sz w:val="20"/>
          <w:lang w:val="en-GB"/>
        </w:rPr>
        <w:t xml:space="preserve">(IBRC Limited) </w:t>
      </w:r>
      <w:r w:rsidR="009D39C4" w:rsidRPr="00A9211F">
        <w:rPr>
          <w:rFonts w:asciiTheme="majorBidi" w:hAnsiTheme="majorBidi" w:cstheme="majorBidi"/>
          <w:sz w:val="20"/>
          <w:lang w:val="en-GB"/>
        </w:rPr>
        <w:t>and the OCEI</w:t>
      </w:r>
      <w:r w:rsidR="002C08C3" w:rsidRPr="00A9211F">
        <w:rPr>
          <w:rFonts w:asciiTheme="majorBidi" w:hAnsiTheme="majorBidi" w:cstheme="majorBidi"/>
          <w:sz w:val="20"/>
          <w:lang w:val="en-GB"/>
        </w:rPr>
        <w:t>.</w:t>
      </w:r>
      <w:r w:rsidR="009D39C4" w:rsidRPr="00A9211F">
        <w:rPr>
          <w:rFonts w:asciiTheme="majorBidi" w:hAnsiTheme="majorBidi" w:cstheme="majorBidi"/>
          <w:sz w:val="20"/>
          <w:lang w:val="en-GB"/>
        </w:rPr>
        <w:t xml:space="preserve"> Mr. Sheridan </w:t>
      </w:r>
      <w:r w:rsidRPr="00A9211F">
        <w:rPr>
          <w:rFonts w:asciiTheme="majorBidi" w:hAnsiTheme="majorBidi" w:cstheme="majorBidi"/>
          <w:sz w:val="20"/>
          <w:lang w:val="en-GB"/>
        </w:rPr>
        <w:t xml:space="preserve">was not named as </w:t>
      </w:r>
      <w:r w:rsidR="009D39C4" w:rsidRPr="00A9211F">
        <w:rPr>
          <w:rFonts w:asciiTheme="majorBidi" w:hAnsiTheme="majorBidi" w:cstheme="majorBidi"/>
          <w:sz w:val="20"/>
          <w:lang w:val="en-GB"/>
        </w:rPr>
        <w:t xml:space="preserve">a party. </w:t>
      </w:r>
      <w:r w:rsidR="00FA79D5" w:rsidRPr="00A9211F">
        <w:rPr>
          <w:rFonts w:asciiTheme="majorBidi" w:hAnsiTheme="majorBidi" w:cstheme="majorBidi"/>
          <w:sz w:val="20"/>
          <w:lang w:val="en-GB"/>
        </w:rPr>
        <w:t xml:space="preserve">The </w:t>
      </w:r>
      <w:r w:rsidR="009D39C4" w:rsidRPr="00A9211F">
        <w:rPr>
          <w:rFonts w:asciiTheme="majorBidi" w:hAnsiTheme="majorBidi" w:cstheme="majorBidi"/>
          <w:sz w:val="20"/>
          <w:lang w:val="en-GB"/>
        </w:rPr>
        <w:t xml:space="preserve">Committee considers </w:t>
      </w:r>
      <w:r w:rsidR="00FA79D5" w:rsidRPr="00A9211F">
        <w:rPr>
          <w:rFonts w:asciiTheme="majorBidi" w:hAnsiTheme="majorBidi" w:cstheme="majorBidi"/>
          <w:sz w:val="20"/>
          <w:lang w:val="en-GB"/>
        </w:rPr>
        <w:t xml:space="preserve">the fact </w:t>
      </w:r>
      <w:r w:rsidR="009D39C4" w:rsidRPr="00A9211F">
        <w:rPr>
          <w:rFonts w:asciiTheme="majorBidi" w:hAnsiTheme="majorBidi" w:cstheme="majorBidi"/>
          <w:sz w:val="20"/>
          <w:lang w:val="en-GB"/>
        </w:rPr>
        <w:t xml:space="preserve">that neither the OCEI or the public authority concerned </w:t>
      </w:r>
      <w:r w:rsidR="00FA79D5" w:rsidRPr="00A9211F">
        <w:rPr>
          <w:rFonts w:asciiTheme="majorBidi" w:hAnsiTheme="majorBidi" w:cstheme="majorBidi"/>
          <w:sz w:val="20"/>
          <w:lang w:val="en-GB"/>
        </w:rPr>
        <w:t xml:space="preserve">took </w:t>
      </w:r>
      <w:r w:rsidR="009D39C4" w:rsidRPr="00A9211F">
        <w:rPr>
          <w:rFonts w:asciiTheme="majorBidi" w:hAnsiTheme="majorBidi" w:cstheme="majorBidi"/>
          <w:sz w:val="20"/>
          <w:lang w:val="en-GB"/>
        </w:rPr>
        <w:t xml:space="preserve">any action to progress </w:t>
      </w:r>
      <w:r w:rsidR="00FA79D5" w:rsidRPr="00A9211F">
        <w:rPr>
          <w:rFonts w:asciiTheme="majorBidi" w:hAnsiTheme="majorBidi" w:cstheme="majorBidi"/>
          <w:sz w:val="20"/>
          <w:lang w:val="en-GB"/>
        </w:rPr>
        <w:t xml:space="preserve">Mr. Sheridan’s information request for more than 12 months after the NAMA ruling again </w:t>
      </w:r>
      <w:r w:rsidR="009D39C4" w:rsidRPr="00A9211F">
        <w:rPr>
          <w:rFonts w:asciiTheme="majorBidi" w:hAnsiTheme="majorBidi" w:cstheme="majorBidi"/>
          <w:sz w:val="20"/>
          <w:lang w:val="en-GB"/>
        </w:rPr>
        <w:t xml:space="preserve">demonstrates a failure by the Party concerned to ensure adequate and effective remedies for the review of </w:t>
      </w:r>
      <w:r w:rsidR="00FA79D5" w:rsidRPr="00A9211F">
        <w:rPr>
          <w:rFonts w:asciiTheme="majorBidi" w:hAnsiTheme="majorBidi" w:cstheme="majorBidi"/>
          <w:sz w:val="20"/>
          <w:lang w:val="en-GB"/>
        </w:rPr>
        <w:t xml:space="preserve">environmental </w:t>
      </w:r>
      <w:r w:rsidR="009D39C4" w:rsidRPr="00A9211F">
        <w:rPr>
          <w:rFonts w:asciiTheme="majorBidi" w:hAnsiTheme="majorBidi" w:cstheme="majorBidi"/>
          <w:sz w:val="20"/>
          <w:lang w:val="en-GB"/>
        </w:rPr>
        <w:t>information requests.</w:t>
      </w:r>
    </w:p>
    <w:p w14:paraId="77A19BC0" w14:textId="77777777" w:rsidR="00E442C4" w:rsidRPr="00A9211F" w:rsidRDefault="00E442C4" w:rsidP="00EA5C8B">
      <w:pPr>
        <w:pStyle w:val="ListParagraph"/>
        <w:tabs>
          <w:tab w:val="left" w:pos="1701"/>
        </w:tabs>
        <w:ind w:left="1134"/>
        <w:jc w:val="both"/>
        <w:rPr>
          <w:rFonts w:asciiTheme="majorBidi" w:hAnsiTheme="majorBidi" w:cstheme="majorBidi"/>
          <w:sz w:val="20"/>
          <w:lang w:val="en-GB"/>
        </w:rPr>
      </w:pPr>
    </w:p>
    <w:p w14:paraId="486F2297" w14:textId="69A3EBCA" w:rsidR="002B7922" w:rsidRPr="00A9211F" w:rsidRDefault="003841DA"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Consequently</w:t>
      </w:r>
      <w:r w:rsidR="009D39C4" w:rsidRPr="00A9211F">
        <w:rPr>
          <w:rFonts w:asciiTheme="majorBidi" w:hAnsiTheme="majorBidi" w:cstheme="majorBidi"/>
          <w:sz w:val="20"/>
          <w:lang w:val="en-GB"/>
        </w:rPr>
        <w:t>, the Committee finds that</w:t>
      </w:r>
      <w:r w:rsidR="00E041CE" w:rsidRPr="00A9211F">
        <w:rPr>
          <w:rFonts w:asciiTheme="majorBidi" w:hAnsiTheme="majorBidi" w:cstheme="majorBidi"/>
          <w:sz w:val="20"/>
          <w:lang w:val="en-GB"/>
        </w:rPr>
        <w:t>,</w:t>
      </w:r>
      <w:r w:rsidR="002B7922" w:rsidRPr="00A9211F">
        <w:rPr>
          <w:rFonts w:asciiTheme="majorBidi" w:hAnsiTheme="majorBidi" w:cstheme="majorBidi"/>
          <w:sz w:val="20"/>
          <w:lang w:val="en-GB"/>
        </w:rPr>
        <w:t xml:space="preserve"> </w:t>
      </w:r>
      <w:r w:rsidR="002B7922" w:rsidRPr="00A9211F">
        <w:rPr>
          <w:rFonts w:asciiTheme="majorBidi" w:hAnsiTheme="majorBidi" w:cstheme="majorBidi"/>
          <w:sz w:val="20"/>
        </w:rPr>
        <w:t xml:space="preserve">by maintaining a system whereby courts may </w:t>
      </w:r>
      <w:r w:rsidR="00AA5BA1" w:rsidRPr="00A9211F">
        <w:rPr>
          <w:rFonts w:asciiTheme="majorBidi" w:hAnsiTheme="majorBidi" w:cstheme="majorBidi"/>
          <w:sz w:val="20"/>
        </w:rPr>
        <w:t xml:space="preserve">rule </w:t>
      </w:r>
      <w:r w:rsidR="002B7922" w:rsidRPr="00A9211F">
        <w:rPr>
          <w:rFonts w:asciiTheme="majorBidi" w:hAnsiTheme="majorBidi" w:cstheme="majorBidi"/>
          <w:sz w:val="20"/>
        </w:rPr>
        <w:t xml:space="preserve">that information requests fall within the scope of the AIE Regulations without </w:t>
      </w:r>
      <w:r w:rsidR="00AA5BA1" w:rsidRPr="00A9211F">
        <w:rPr>
          <w:rFonts w:asciiTheme="majorBidi" w:hAnsiTheme="majorBidi" w:cstheme="majorBidi"/>
          <w:sz w:val="20"/>
        </w:rPr>
        <w:t xml:space="preserve">issuing </w:t>
      </w:r>
      <w:r w:rsidR="002B7922" w:rsidRPr="00A9211F">
        <w:rPr>
          <w:rFonts w:asciiTheme="majorBidi" w:hAnsiTheme="majorBidi" w:cstheme="majorBidi"/>
          <w:sz w:val="20"/>
        </w:rPr>
        <w:t xml:space="preserve">any directions for their adequate and effective resolution thereafter, </w:t>
      </w:r>
      <w:r w:rsidR="00857115" w:rsidRPr="00A9211F">
        <w:rPr>
          <w:rFonts w:asciiTheme="majorBidi" w:hAnsiTheme="majorBidi" w:cstheme="majorBidi"/>
          <w:sz w:val="20"/>
        </w:rPr>
        <w:t xml:space="preserve">the Party concerned </w:t>
      </w:r>
      <w:r w:rsidR="002B7922" w:rsidRPr="00A9211F">
        <w:rPr>
          <w:rFonts w:asciiTheme="majorBidi" w:hAnsiTheme="majorBidi" w:cstheme="majorBidi"/>
          <w:sz w:val="20"/>
        </w:rPr>
        <w:t>fails to comply with the requirement in article 9(4) of the Convention to ensure</w:t>
      </w:r>
      <w:r w:rsidR="00EE2D83" w:rsidRPr="00A9211F">
        <w:rPr>
          <w:rFonts w:asciiTheme="majorBidi" w:hAnsiTheme="majorBidi" w:cstheme="majorBidi"/>
          <w:sz w:val="20"/>
        </w:rPr>
        <w:t xml:space="preserve"> </w:t>
      </w:r>
      <w:r w:rsidR="002B7922" w:rsidRPr="00A9211F">
        <w:rPr>
          <w:rFonts w:asciiTheme="majorBidi" w:hAnsiTheme="majorBidi" w:cstheme="majorBidi"/>
          <w:sz w:val="20"/>
        </w:rPr>
        <w:t>adequate and effective remedies for the review of environmental information requests.</w:t>
      </w:r>
    </w:p>
    <w:p w14:paraId="6A8ECAA7" w14:textId="77777777" w:rsidR="002B7922" w:rsidRPr="00A9211F" w:rsidRDefault="002B7922" w:rsidP="00EA5C8B">
      <w:pPr>
        <w:pStyle w:val="ListParagraph"/>
        <w:rPr>
          <w:rFonts w:asciiTheme="majorBidi" w:hAnsiTheme="majorBidi" w:cstheme="majorBidi"/>
          <w:sz w:val="20"/>
          <w:lang w:val="en-GB"/>
        </w:rPr>
      </w:pPr>
    </w:p>
    <w:p w14:paraId="250E5F12" w14:textId="5099A509" w:rsidR="009D39C4" w:rsidRPr="00A9211F" w:rsidRDefault="0062662E" w:rsidP="00EA5C8B">
      <w:pPr>
        <w:pStyle w:val="ListParagraph"/>
        <w:tabs>
          <w:tab w:val="left" w:pos="1701"/>
        </w:tabs>
        <w:ind w:left="1134"/>
        <w:jc w:val="both"/>
        <w:rPr>
          <w:rFonts w:asciiTheme="majorBidi" w:hAnsiTheme="majorBidi" w:cstheme="majorBidi"/>
          <w:b/>
          <w:bCs/>
          <w:sz w:val="20"/>
          <w:lang w:val="en-GB"/>
        </w:rPr>
      </w:pPr>
      <w:r w:rsidRPr="00A9211F">
        <w:rPr>
          <w:rFonts w:asciiTheme="majorBidi" w:hAnsiTheme="majorBidi" w:cstheme="majorBidi"/>
          <w:b/>
          <w:bCs/>
          <w:sz w:val="20"/>
          <w:lang w:val="en-GB"/>
        </w:rPr>
        <w:t>Article 9(4) - i</w:t>
      </w:r>
      <w:r w:rsidR="009D39C4" w:rsidRPr="00A9211F">
        <w:rPr>
          <w:rFonts w:asciiTheme="majorBidi" w:hAnsiTheme="majorBidi" w:cstheme="majorBidi"/>
          <w:b/>
          <w:bCs/>
          <w:sz w:val="20"/>
          <w:lang w:val="en-GB"/>
        </w:rPr>
        <w:t>njunctive relief as appropriate</w:t>
      </w:r>
    </w:p>
    <w:p w14:paraId="11B621DB" w14:textId="77777777" w:rsidR="009D39C4" w:rsidRPr="00A9211F" w:rsidRDefault="009D39C4" w:rsidP="00EA5C8B">
      <w:pPr>
        <w:pStyle w:val="ListParagraph"/>
        <w:tabs>
          <w:tab w:val="left" w:pos="1701"/>
        </w:tabs>
        <w:ind w:left="1134"/>
        <w:jc w:val="both"/>
        <w:rPr>
          <w:rFonts w:asciiTheme="majorBidi" w:hAnsiTheme="majorBidi" w:cstheme="majorBidi"/>
          <w:b/>
          <w:bCs/>
          <w:sz w:val="20"/>
          <w:lang w:val="en-GB"/>
        </w:rPr>
      </w:pPr>
    </w:p>
    <w:p w14:paraId="5022EC9B" w14:textId="713BF6CF" w:rsidR="009D39C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 xml:space="preserve">The Committee </w:t>
      </w:r>
      <w:r w:rsidR="005C608A" w:rsidRPr="00A9211F">
        <w:rPr>
          <w:rFonts w:asciiTheme="majorBidi" w:hAnsiTheme="majorBidi" w:cstheme="majorBidi"/>
          <w:sz w:val="20"/>
          <w:lang w:val="en-GB"/>
        </w:rPr>
        <w:t xml:space="preserve">is not convinced by </w:t>
      </w:r>
      <w:r w:rsidRPr="00A9211F">
        <w:rPr>
          <w:rFonts w:asciiTheme="majorBidi" w:hAnsiTheme="majorBidi" w:cstheme="majorBidi"/>
          <w:sz w:val="20"/>
          <w:lang w:val="en-GB"/>
        </w:rPr>
        <w:t xml:space="preserve">the communicant’s submission that the </w:t>
      </w:r>
      <w:r w:rsidR="00295FCE" w:rsidRPr="00A9211F">
        <w:rPr>
          <w:rFonts w:asciiTheme="majorBidi" w:hAnsiTheme="majorBidi" w:cstheme="majorBidi"/>
          <w:sz w:val="20"/>
          <w:lang w:val="en-GB"/>
        </w:rPr>
        <w:t xml:space="preserve">OCEI and the </w:t>
      </w:r>
      <w:r w:rsidRPr="00A9211F">
        <w:rPr>
          <w:rFonts w:asciiTheme="majorBidi" w:hAnsiTheme="majorBidi"/>
          <w:sz w:val="20"/>
          <w:lang w:val="en-GB"/>
        </w:rPr>
        <w:t xml:space="preserve">court should be able to </w:t>
      </w:r>
      <w:r w:rsidR="008B1823" w:rsidRPr="00A9211F">
        <w:rPr>
          <w:rFonts w:asciiTheme="majorBidi" w:hAnsiTheme="majorBidi"/>
          <w:sz w:val="20"/>
          <w:lang w:val="en-GB"/>
        </w:rPr>
        <w:t xml:space="preserve">suspend </w:t>
      </w:r>
      <w:r w:rsidRPr="00A9211F">
        <w:rPr>
          <w:rFonts w:asciiTheme="majorBidi" w:hAnsiTheme="majorBidi"/>
          <w:sz w:val="20"/>
          <w:lang w:val="en-GB"/>
        </w:rPr>
        <w:t xml:space="preserve">a public participation procedure pending the outcome of </w:t>
      </w:r>
      <w:r w:rsidR="00295FCE" w:rsidRPr="00A9211F">
        <w:rPr>
          <w:rFonts w:asciiTheme="majorBidi" w:hAnsiTheme="majorBidi" w:cstheme="majorBidi"/>
          <w:sz w:val="20"/>
          <w:lang w:val="en-GB"/>
        </w:rPr>
        <w:t>their review</w:t>
      </w:r>
      <w:r w:rsidR="00295FCE" w:rsidRPr="00A9211F">
        <w:rPr>
          <w:rFonts w:asciiTheme="majorBidi" w:hAnsiTheme="majorBidi"/>
          <w:sz w:val="20"/>
          <w:lang w:val="en-GB"/>
        </w:rPr>
        <w:t xml:space="preserve"> of </w:t>
      </w:r>
      <w:r w:rsidR="001D271D" w:rsidRPr="00A9211F">
        <w:rPr>
          <w:rFonts w:asciiTheme="majorBidi" w:hAnsiTheme="majorBidi"/>
          <w:sz w:val="20"/>
          <w:lang w:val="en-GB"/>
        </w:rPr>
        <w:t xml:space="preserve">an environmental </w:t>
      </w:r>
      <w:r w:rsidRPr="00A9211F">
        <w:rPr>
          <w:rFonts w:asciiTheme="majorBidi" w:hAnsiTheme="majorBidi"/>
          <w:sz w:val="20"/>
          <w:lang w:val="en-GB"/>
        </w:rPr>
        <w:t xml:space="preserve">information </w:t>
      </w:r>
      <w:r w:rsidR="001D271D" w:rsidRPr="00A9211F">
        <w:rPr>
          <w:rFonts w:asciiTheme="majorBidi" w:hAnsiTheme="majorBidi"/>
          <w:sz w:val="20"/>
          <w:lang w:val="en-GB"/>
        </w:rPr>
        <w:t>request</w:t>
      </w:r>
      <w:r w:rsidR="00B06470" w:rsidRPr="00A9211F">
        <w:rPr>
          <w:rFonts w:asciiTheme="majorBidi" w:hAnsiTheme="majorBidi"/>
          <w:sz w:val="20"/>
          <w:lang w:val="en-GB"/>
        </w:rPr>
        <w:t xml:space="preserve"> by a member of the public</w:t>
      </w:r>
      <w:r w:rsidRPr="00A9211F">
        <w:rPr>
          <w:rFonts w:asciiTheme="majorBidi" w:hAnsiTheme="majorBidi"/>
          <w:sz w:val="20"/>
          <w:lang w:val="en-GB"/>
        </w:rPr>
        <w:t>.</w:t>
      </w:r>
      <w:r w:rsidRPr="00A9211F">
        <w:rPr>
          <w:rFonts w:asciiTheme="majorBidi" w:hAnsiTheme="majorBidi" w:cstheme="majorBidi"/>
          <w:sz w:val="20"/>
          <w:lang w:val="en-GB"/>
        </w:rPr>
        <w:t xml:space="preserve"> Injunctive relief necessarily involves a balancing of interests, and the communicant has not explained how injunctive relief in such case</w:t>
      </w:r>
      <w:r w:rsidR="00295FCE" w:rsidRPr="00A9211F">
        <w:rPr>
          <w:rFonts w:asciiTheme="majorBidi" w:hAnsiTheme="majorBidi" w:cstheme="majorBidi"/>
          <w:sz w:val="20"/>
          <w:lang w:val="en-GB"/>
        </w:rPr>
        <w:t>s</w:t>
      </w:r>
      <w:r w:rsidRPr="00A9211F">
        <w:rPr>
          <w:rFonts w:asciiTheme="majorBidi" w:hAnsiTheme="majorBidi" w:cstheme="majorBidi"/>
          <w:sz w:val="20"/>
          <w:lang w:val="en-GB"/>
        </w:rPr>
        <w:t xml:space="preserve"> would </w:t>
      </w:r>
      <w:r w:rsidR="00C15759" w:rsidRPr="00A9211F">
        <w:rPr>
          <w:rFonts w:asciiTheme="majorBidi" w:hAnsiTheme="majorBidi" w:cstheme="majorBidi"/>
          <w:sz w:val="20"/>
          <w:lang w:val="en-GB"/>
        </w:rPr>
        <w:t xml:space="preserve">achieve this in </w:t>
      </w:r>
      <w:r w:rsidRPr="00A9211F">
        <w:rPr>
          <w:rFonts w:asciiTheme="majorBidi" w:hAnsiTheme="majorBidi" w:cstheme="majorBidi"/>
          <w:sz w:val="20"/>
          <w:lang w:val="en-GB"/>
        </w:rPr>
        <w:t>a satisfactory</w:t>
      </w:r>
      <w:r w:rsidR="00C15759" w:rsidRPr="00A9211F">
        <w:rPr>
          <w:rFonts w:asciiTheme="majorBidi" w:hAnsiTheme="majorBidi" w:cstheme="majorBidi"/>
          <w:sz w:val="20"/>
          <w:lang w:val="en-GB"/>
        </w:rPr>
        <w:t xml:space="preserve"> manner</w:t>
      </w:r>
      <w:r w:rsidRPr="00A9211F">
        <w:rPr>
          <w:rFonts w:asciiTheme="majorBidi" w:hAnsiTheme="majorBidi" w:cstheme="majorBidi"/>
          <w:sz w:val="20"/>
          <w:lang w:val="en-GB"/>
        </w:rPr>
        <w:t xml:space="preserve">. </w:t>
      </w:r>
    </w:p>
    <w:p w14:paraId="195458E9" w14:textId="77777777" w:rsidR="009D39C4" w:rsidRPr="00A9211F" w:rsidRDefault="009D39C4" w:rsidP="00EA5C8B">
      <w:pPr>
        <w:pStyle w:val="ListParagraph"/>
        <w:tabs>
          <w:tab w:val="left" w:pos="1701"/>
        </w:tabs>
        <w:ind w:left="1134"/>
        <w:jc w:val="both"/>
        <w:rPr>
          <w:rFonts w:asciiTheme="majorBidi" w:hAnsiTheme="majorBidi" w:cstheme="majorBidi"/>
          <w:sz w:val="20"/>
          <w:lang w:val="en-GB"/>
        </w:rPr>
      </w:pPr>
    </w:p>
    <w:p w14:paraId="33620843" w14:textId="54CB2C09" w:rsidR="009D39C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Since the communicant has</w:t>
      </w:r>
      <w:r w:rsidR="001D271D" w:rsidRPr="00A9211F">
        <w:rPr>
          <w:rFonts w:asciiTheme="majorBidi" w:hAnsiTheme="majorBidi" w:cstheme="majorBidi"/>
          <w:sz w:val="20"/>
          <w:lang w:val="en-GB"/>
        </w:rPr>
        <w:t xml:space="preserve"> also</w:t>
      </w:r>
      <w:r w:rsidRPr="00A9211F">
        <w:rPr>
          <w:rFonts w:asciiTheme="majorBidi" w:hAnsiTheme="majorBidi" w:cstheme="majorBidi"/>
          <w:sz w:val="20"/>
          <w:lang w:val="en-GB"/>
        </w:rPr>
        <w:t xml:space="preserve"> </w:t>
      </w:r>
      <w:r w:rsidR="001E5545" w:rsidRPr="00A9211F">
        <w:rPr>
          <w:rFonts w:asciiTheme="majorBidi" w:hAnsiTheme="majorBidi" w:cstheme="majorBidi"/>
          <w:sz w:val="20"/>
          <w:lang w:val="en-GB"/>
        </w:rPr>
        <w:t xml:space="preserve">failed to </w:t>
      </w:r>
      <w:r w:rsidRPr="00A9211F">
        <w:rPr>
          <w:rFonts w:asciiTheme="majorBidi" w:hAnsiTheme="majorBidi" w:cstheme="majorBidi"/>
          <w:sz w:val="20"/>
          <w:lang w:val="en-GB"/>
        </w:rPr>
        <w:t xml:space="preserve">explain what other interim relief </w:t>
      </w:r>
      <w:r w:rsidR="001D271D" w:rsidRPr="00A9211F">
        <w:rPr>
          <w:rFonts w:asciiTheme="majorBidi" w:hAnsiTheme="majorBidi" w:cstheme="majorBidi"/>
          <w:sz w:val="20"/>
          <w:lang w:val="en-GB"/>
        </w:rPr>
        <w:t xml:space="preserve">would </w:t>
      </w:r>
      <w:r w:rsidRPr="00A9211F">
        <w:rPr>
          <w:rFonts w:asciiTheme="majorBidi" w:hAnsiTheme="majorBidi" w:cstheme="majorBidi"/>
          <w:sz w:val="20"/>
          <w:lang w:val="en-GB"/>
        </w:rPr>
        <w:t xml:space="preserve">be appropriate in access to information cases, the Committee finds the communicant’s claim that the Party concerned fails to comply with article 9(4) of the Convention because it does not provide for interim relief </w:t>
      </w:r>
      <w:r w:rsidR="001D271D" w:rsidRPr="00A9211F">
        <w:rPr>
          <w:rFonts w:asciiTheme="majorBidi" w:hAnsiTheme="majorBidi" w:cstheme="majorBidi"/>
          <w:sz w:val="20"/>
          <w:lang w:val="en-GB"/>
        </w:rPr>
        <w:t>in appeals of environmental information requests</w:t>
      </w:r>
      <w:r w:rsidRPr="00A9211F">
        <w:rPr>
          <w:rFonts w:asciiTheme="majorBidi" w:hAnsiTheme="majorBidi" w:cstheme="majorBidi"/>
          <w:sz w:val="20"/>
          <w:lang w:val="en-GB"/>
        </w:rPr>
        <w:t xml:space="preserve"> to be unsubstantiated.</w:t>
      </w:r>
    </w:p>
    <w:p w14:paraId="52E3BA32" w14:textId="1E6DC5AB" w:rsidR="009D39C4" w:rsidRPr="00A9211F" w:rsidRDefault="009D39C4" w:rsidP="00EA5C8B">
      <w:pPr>
        <w:pStyle w:val="ListParagraph"/>
        <w:tabs>
          <w:tab w:val="left" w:pos="1701"/>
        </w:tabs>
        <w:ind w:left="1134"/>
        <w:jc w:val="both"/>
        <w:rPr>
          <w:rFonts w:asciiTheme="majorBidi" w:hAnsiTheme="majorBidi" w:cstheme="majorBidi"/>
          <w:sz w:val="20"/>
          <w:lang w:val="en-GB"/>
        </w:rPr>
      </w:pPr>
    </w:p>
    <w:p w14:paraId="056AF16D" w14:textId="744504E3" w:rsidR="009D39C4" w:rsidRPr="00A9211F" w:rsidRDefault="009D39C4" w:rsidP="00EA5C8B">
      <w:pPr>
        <w:pStyle w:val="ListParagraph"/>
        <w:tabs>
          <w:tab w:val="left" w:pos="1701"/>
        </w:tabs>
        <w:ind w:left="1134"/>
        <w:jc w:val="both"/>
        <w:rPr>
          <w:rFonts w:asciiTheme="majorBidi" w:hAnsiTheme="majorBidi" w:cstheme="majorBidi"/>
          <w:b/>
          <w:bCs/>
          <w:sz w:val="20"/>
          <w:lang w:val="en-GB"/>
        </w:rPr>
      </w:pPr>
      <w:r w:rsidRPr="00A9211F">
        <w:rPr>
          <w:rFonts w:asciiTheme="majorBidi" w:hAnsiTheme="majorBidi" w:cstheme="majorBidi"/>
          <w:b/>
          <w:bCs/>
          <w:sz w:val="20"/>
          <w:lang w:val="en-GB"/>
        </w:rPr>
        <w:t>Article 3(1)</w:t>
      </w:r>
    </w:p>
    <w:p w14:paraId="16D97B84" w14:textId="77777777" w:rsidR="009D39C4" w:rsidRPr="00A9211F" w:rsidRDefault="009D39C4" w:rsidP="00EA5C8B">
      <w:pPr>
        <w:pStyle w:val="ListParagraph"/>
        <w:tabs>
          <w:tab w:val="left" w:pos="1701"/>
        </w:tabs>
        <w:ind w:left="1134"/>
        <w:jc w:val="both"/>
        <w:rPr>
          <w:rFonts w:asciiTheme="majorBidi" w:hAnsiTheme="majorBidi" w:cstheme="majorBidi"/>
          <w:b/>
          <w:bCs/>
          <w:sz w:val="20"/>
          <w:lang w:val="en-GB"/>
        </w:rPr>
      </w:pPr>
    </w:p>
    <w:p w14:paraId="79970A0B" w14:textId="3748723C" w:rsidR="009D39C4" w:rsidRPr="00A9211F" w:rsidRDefault="009D39C4" w:rsidP="00EA5C8B">
      <w:pPr>
        <w:pStyle w:val="ListParagraph"/>
        <w:numPr>
          <w:ilvl w:val="0"/>
          <w:numId w:val="7"/>
        </w:numPr>
        <w:tabs>
          <w:tab w:val="left" w:pos="1701"/>
        </w:tabs>
        <w:ind w:left="1134" w:firstLine="0"/>
        <w:jc w:val="both"/>
        <w:rPr>
          <w:rFonts w:asciiTheme="majorBidi" w:hAnsiTheme="majorBidi" w:cstheme="majorBidi"/>
          <w:sz w:val="20"/>
          <w:lang w:val="en-GB"/>
        </w:rPr>
      </w:pPr>
      <w:r w:rsidRPr="00A9211F">
        <w:rPr>
          <w:rFonts w:asciiTheme="majorBidi" w:hAnsiTheme="majorBidi" w:cstheme="majorBidi"/>
          <w:sz w:val="20"/>
          <w:lang w:val="en-GB"/>
        </w:rPr>
        <w:t>Article 3(1) requires each Party</w:t>
      </w:r>
      <w:r w:rsidR="001D271D" w:rsidRPr="00A9211F">
        <w:rPr>
          <w:rFonts w:asciiTheme="majorBidi" w:hAnsiTheme="majorBidi" w:cstheme="majorBidi"/>
          <w:sz w:val="20"/>
          <w:lang w:val="en-GB"/>
        </w:rPr>
        <w:t>, among other things,</w:t>
      </w:r>
      <w:r w:rsidRPr="00A9211F">
        <w:rPr>
          <w:rFonts w:asciiTheme="majorBidi" w:hAnsiTheme="majorBidi" w:cstheme="majorBidi"/>
          <w:sz w:val="20"/>
          <w:lang w:val="en-GB"/>
        </w:rPr>
        <w:t xml:space="preserve"> to “take the necessary legislative, regulatory and other measures, including measures to achieve compatibility between the provisions implementing the information, public participation and access-to-justice provisions in this Convention”. The communicant </w:t>
      </w:r>
      <w:r w:rsidR="00930F4C" w:rsidRPr="00A9211F">
        <w:rPr>
          <w:rFonts w:asciiTheme="majorBidi" w:hAnsiTheme="majorBidi" w:cstheme="majorBidi"/>
          <w:sz w:val="20"/>
        </w:rPr>
        <w:t>simply</w:t>
      </w:r>
      <w:r w:rsidR="00930F4C" w:rsidRPr="00A9211F">
        <w:rPr>
          <w:rFonts w:asciiTheme="majorBidi" w:hAnsiTheme="majorBidi" w:cstheme="majorBidi"/>
          <w:sz w:val="20"/>
          <w:lang w:val="en-GB"/>
        </w:rPr>
        <w:t xml:space="preserve"> </w:t>
      </w:r>
      <w:r w:rsidRPr="00A9211F">
        <w:rPr>
          <w:rFonts w:asciiTheme="majorBidi" w:hAnsiTheme="majorBidi" w:cstheme="majorBidi"/>
          <w:sz w:val="20"/>
          <w:lang w:val="en-GB"/>
        </w:rPr>
        <w:t>asserts that “</w:t>
      </w:r>
      <w:r w:rsidR="00890E3B" w:rsidRPr="00A9211F">
        <w:rPr>
          <w:rFonts w:asciiTheme="majorBidi" w:hAnsiTheme="majorBidi" w:cstheme="majorBidi"/>
          <w:sz w:val="20"/>
          <w:lang w:val="en-GB"/>
        </w:rPr>
        <w:t>a</w:t>
      </w:r>
      <w:r w:rsidRPr="00A9211F">
        <w:rPr>
          <w:rFonts w:asciiTheme="majorBidi" w:hAnsiTheme="majorBidi" w:cstheme="majorBidi"/>
          <w:sz w:val="20"/>
          <w:lang w:val="en-GB"/>
        </w:rPr>
        <w:t>s a consequence of</w:t>
      </w:r>
      <w:r w:rsidR="001D271D" w:rsidRPr="00A9211F">
        <w:rPr>
          <w:rFonts w:asciiTheme="majorBidi" w:hAnsiTheme="majorBidi" w:cstheme="majorBidi"/>
          <w:sz w:val="20"/>
          <w:lang w:val="en-GB"/>
        </w:rPr>
        <w:t>”</w:t>
      </w:r>
      <w:r w:rsidRPr="00A9211F">
        <w:rPr>
          <w:rFonts w:asciiTheme="majorBidi" w:hAnsiTheme="majorBidi" w:cstheme="majorBidi"/>
          <w:sz w:val="20"/>
          <w:lang w:val="en-GB"/>
        </w:rPr>
        <w:t xml:space="preserve"> the </w:t>
      </w:r>
      <w:r w:rsidR="001D271D" w:rsidRPr="00A9211F">
        <w:rPr>
          <w:rFonts w:asciiTheme="majorBidi" w:hAnsiTheme="majorBidi" w:cstheme="majorBidi"/>
          <w:sz w:val="20"/>
          <w:lang w:val="en-GB"/>
        </w:rPr>
        <w:t xml:space="preserve">alleged </w:t>
      </w:r>
      <w:r w:rsidRPr="00A9211F">
        <w:rPr>
          <w:rFonts w:asciiTheme="majorBidi" w:hAnsiTheme="majorBidi" w:cstheme="majorBidi"/>
          <w:sz w:val="20"/>
          <w:lang w:val="en-GB"/>
        </w:rPr>
        <w:t xml:space="preserve">non-compliance </w:t>
      </w:r>
      <w:r w:rsidR="001D271D" w:rsidRPr="00A9211F">
        <w:rPr>
          <w:rFonts w:asciiTheme="majorBidi" w:hAnsiTheme="majorBidi" w:cstheme="majorBidi"/>
          <w:sz w:val="20"/>
          <w:lang w:val="en-GB"/>
        </w:rPr>
        <w:t xml:space="preserve">with articles 4 and 9 </w:t>
      </w:r>
      <w:r w:rsidR="00B72D7A" w:rsidRPr="00A9211F">
        <w:rPr>
          <w:rFonts w:asciiTheme="majorBidi" w:hAnsiTheme="majorBidi" w:cstheme="majorBidi"/>
          <w:sz w:val="20"/>
          <w:lang w:val="en-GB"/>
        </w:rPr>
        <w:t>“</w:t>
      </w:r>
      <w:r w:rsidRPr="00A9211F">
        <w:rPr>
          <w:rFonts w:asciiTheme="majorBidi" w:hAnsiTheme="majorBidi" w:cstheme="majorBidi"/>
          <w:sz w:val="20"/>
          <w:lang w:val="en-GB"/>
        </w:rPr>
        <w:t>there is also non-compliance with article 3(1)”</w:t>
      </w:r>
      <w:r w:rsidR="00B72D7A" w:rsidRPr="00A9211F">
        <w:rPr>
          <w:rFonts w:asciiTheme="majorBidi" w:hAnsiTheme="majorBidi" w:cstheme="majorBidi"/>
          <w:sz w:val="20"/>
          <w:lang w:val="en-GB"/>
        </w:rPr>
        <w:t>,</w:t>
      </w:r>
      <w:r w:rsidRPr="00A9211F">
        <w:rPr>
          <w:rFonts w:asciiTheme="majorBidi" w:hAnsiTheme="majorBidi" w:cstheme="majorBidi"/>
          <w:sz w:val="20"/>
          <w:lang w:val="en-GB"/>
        </w:rPr>
        <w:t xml:space="preserve"> </w:t>
      </w:r>
      <w:r w:rsidR="00B72D7A" w:rsidRPr="00A9211F">
        <w:rPr>
          <w:rFonts w:asciiTheme="majorBidi" w:hAnsiTheme="majorBidi" w:cstheme="majorBidi"/>
          <w:sz w:val="20"/>
          <w:lang w:val="en-GB"/>
        </w:rPr>
        <w:t xml:space="preserve">but does </w:t>
      </w:r>
      <w:r w:rsidRPr="00A9211F">
        <w:rPr>
          <w:rFonts w:asciiTheme="majorBidi" w:hAnsiTheme="majorBidi" w:cstheme="majorBidi"/>
          <w:sz w:val="20"/>
          <w:lang w:val="en-GB"/>
        </w:rPr>
        <w:t xml:space="preserve">not elaborate </w:t>
      </w:r>
      <w:r w:rsidR="00890E3B" w:rsidRPr="00A9211F">
        <w:rPr>
          <w:rFonts w:asciiTheme="majorBidi" w:hAnsiTheme="majorBidi" w:cstheme="majorBidi"/>
          <w:sz w:val="20"/>
          <w:lang w:val="en-GB"/>
        </w:rPr>
        <w:t>its</w:t>
      </w:r>
      <w:r w:rsidRPr="00A9211F">
        <w:rPr>
          <w:rFonts w:asciiTheme="majorBidi" w:hAnsiTheme="majorBidi" w:cstheme="majorBidi"/>
          <w:sz w:val="20"/>
          <w:lang w:val="en-GB"/>
        </w:rPr>
        <w:t xml:space="preserve"> claim under article 3(1)</w:t>
      </w:r>
      <w:r w:rsidR="00CA5C41" w:rsidRPr="00A9211F">
        <w:rPr>
          <w:rFonts w:asciiTheme="majorBidi" w:hAnsiTheme="majorBidi" w:cstheme="majorBidi"/>
          <w:sz w:val="20"/>
          <w:lang w:val="en-GB"/>
        </w:rPr>
        <w:t xml:space="preserve"> further</w:t>
      </w:r>
      <w:r w:rsidR="00B72D7A" w:rsidRPr="00A9211F">
        <w:rPr>
          <w:rFonts w:asciiTheme="majorBidi" w:hAnsiTheme="majorBidi" w:cstheme="majorBidi"/>
          <w:sz w:val="20"/>
          <w:lang w:val="en-GB"/>
        </w:rPr>
        <w:t>.</w:t>
      </w:r>
      <w:r w:rsidR="00367D68" w:rsidRPr="00A9211F">
        <w:rPr>
          <w:rStyle w:val="FootnoteReference"/>
          <w:rFonts w:cstheme="majorBidi"/>
          <w:lang w:val="en-GB"/>
        </w:rPr>
        <w:footnoteReference w:id="109"/>
      </w:r>
      <w:r w:rsidR="00B72D7A" w:rsidRPr="00A9211F">
        <w:rPr>
          <w:rFonts w:asciiTheme="majorBidi" w:hAnsiTheme="majorBidi" w:cstheme="majorBidi"/>
          <w:sz w:val="20"/>
          <w:lang w:val="en-GB"/>
        </w:rPr>
        <w:t xml:space="preserve"> The </w:t>
      </w:r>
      <w:r w:rsidRPr="00A9211F">
        <w:rPr>
          <w:rFonts w:asciiTheme="majorBidi" w:hAnsiTheme="majorBidi" w:cstheme="majorBidi"/>
          <w:sz w:val="20"/>
          <w:lang w:val="en-GB"/>
        </w:rPr>
        <w:t xml:space="preserve">Committee </w:t>
      </w:r>
      <w:r w:rsidR="00B72D7A" w:rsidRPr="00A9211F">
        <w:rPr>
          <w:rFonts w:asciiTheme="majorBidi" w:hAnsiTheme="majorBidi" w:cstheme="majorBidi"/>
          <w:sz w:val="20"/>
          <w:lang w:val="en-GB"/>
        </w:rPr>
        <w:t xml:space="preserve">accordingly finds that the communicant has not substantiated its claim that </w:t>
      </w:r>
      <w:r w:rsidRPr="00A9211F">
        <w:rPr>
          <w:rFonts w:asciiTheme="majorBidi" w:hAnsiTheme="majorBidi" w:cstheme="majorBidi"/>
          <w:sz w:val="20"/>
          <w:lang w:val="en-GB"/>
        </w:rPr>
        <w:t xml:space="preserve">the Party concerned </w:t>
      </w:r>
      <w:r w:rsidR="00B72D7A" w:rsidRPr="00A9211F">
        <w:rPr>
          <w:rFonts w:asciiTheme="majorBidi" w:hAnsiTheme="majorBidi" w:cstheme="majorBidi"/>
          <w:sz w:val="20"/>
          <w:lang w:val="en-GB"/>
        </w:rPr>
        <w:t xml:space="preserve">fails to comply with </w:t>
      </w:r>
      <w:r w:rsidRPr="00A9211F">
        <w:rPr>
          <w:rFonts w:asciiTheme="majorBidi" w:hAnsiTheme="majorBidi" w:cstheme="majorBidi"/>
          <w:sz w:val="20"/>
          <w:lang w:val="en-GB"/>
        </w:rPr>
        <w:t>article 3(1)</w:t>
      </w:r>
      <w:r w:rsidR="00190FEB" w:rsidRPr="00A9211F">
        <w:rPr>
          <w:rFonts w:asciiTheme="majorBidi" w:hAnsiTheme="majorBidi" w:cstheme="majorBidi"/>
          <w:sz w:val="20"/>
          <w:lang w:val="en-GB"/>
        </w:rPr>
        <w:t xml:space="preserve"> of the Convention</w:t>
      </w:r>
      <w:r w:rsidR="00273FE8" w:rsidRPr="00A9211F">
        <w:rPr>
          <w:rFonts w:asciiTheme="majorBidi" w:hAnsiTheme="majorBidi" w:cstheme="majorBidi"/>
          <w:sz w:val="20"/>
          <w:lang w:val="en-GB"/>
        </w:rPr>
        <w:t>.</w:t>
      </w:r>
    </w:p>
    <w:p w14:paraId="0018B705" w14:textId="5F2CCFF2" w:rsidR="007340D8" w:rsidRPr="00A9211F" w:rsidRDefault="007340D8" w:rsidP="00EA5C8B">
      <w:pPr>
        <w:pStyle w:val="ListParagraph"/>
        <w:tabs>
          <w:tab w:val="left" w:pos="1701"/>
        </w:tabs>
        <w:ind w:left="1094"/>
        <w:jc w:val="both"/>
        <w:rPr>
          <w:rFonts w:asciiTheme="majorBidi" w:hAnsiTheme="majorBidi" w:cstheme="majorBidi"/>
          <w:sz w:val="20"/>
          <w:lang w:val="en-GB"/>
        </w:rPr>
      </w:pPr>
    </w:p>
    <w:p w14:paraId="5C8B4AE4" w14:textId="77777777" w:rsidR="00552EF0" w:rsidRPr="00A9211F" w:rsidRDefault="00552EF0" w:rsidP="00EA5C8B">
      <w:pPr>
        <w:tabs>
          <w:tab w:val="left" w:pos="1701"/>
        </w:tabs>
        <w:ind w:left="1094"/>
        <w:jc w:val="both"/>
        <w:rPr>
          <w:rFonts w:asciiTheme="majorBidi" w:hAnsiTheme="majorBidi" w:cstheme="majorBidi"/>
          <w:i/>
          <w:sz w:val="20"/>
        </w:rPr>
      </w:pPr>
      <w:r w:rsidRPr="00A9211F">
        <w:rPr>
          <w:rFonts w:asciiTheme="majorBidi" w:hAnsiTheme="majorBidi" w:cstheme="majorBidi"/>
          <w:b/>
          <w:sz w:val="20"/>
        </w:rPr>
        <w:t xml:space="preserve">Article </w:t>
      </w:r>
      <w:r w:rsidRPr="00A9211F">
        <w:rPr>
          <w:rFonts w:asciiTheme="majorBidi" w:hAnsiTheme="majorBidi" w:cstheme="majorBidi"/>
          <w:b/>
          <w:bCs/>
          <w:iCs/>
          <w:sz w:val="20"/>
          <w:szCs w:val="20"/>
        </w:rPr>
        <w:t>3(</w:t>
      </w:r>
      <w:r w:rsidRPr="00A9211F">
        <w:rPr>
          <w:rFonts w:asciiTheme="majorBidi" w:hAnsiTheme="majorBidi" w:cstheme="majorBidi"/>
          <w:b/>
          <w:sz w:val="20"/>
        </w:rPr>
        <w:t>2</w:t>
      </w:r>
      <w:r w:rsidRPr="00A9211F">
        <w:rPr>
          <w:rFonts w:asciiTheme="majorBidi" w:hAnsiTheme="majorBidi" w:cstheme="majorBidi"/>
          <w:b/>
          <w:bCs/>
          <w:iCs/>
          <w:sz w:val="20"/>
          <w:szCs w:val="20"/>
        </w:rPr>
        <w:t>)</w:t>
      </w:r>
    </w:p>
    <w:p w14:paraId="66C4F3DA" w14:textId="77777777" w:rsidR="00552EF0" w:rsidRPr="00A9211F" w:rsidRDefault="00552EF0" w:rsidP="00EA5C8B">
      <w:pPr>
        <w:pStyle w:val="ListParagraph"/>
        <w:ind w:left="1094"/>
        <w:rPr>
          <w:rFonts w:asciiTheme="majorBidi" w:hAnsiTheme="majorBidi" w:cstheme="majorBidi"/>
          <w:sz w:val="20"/>
          <w:szCs w:val="20"/>
          <w:lang w:val="en-GB"/>
        </w:rPr>
      </w:pPr>
    </w:p>
    <w:p w14:paraId="2CCBE908" w14:textId="08252021" w:rsidR="00552EF0" w:rsidRPr="00A9211F" w:rsidRDefault="00552EF0" w:rsidP="00EA5C8B">
      <w:pPr>
        <w:pStyle w:val="ListParagraph"/>
        <w:numPr>
          <w:ilvl w:val="0"/>
          <w:numId w:val="7"/>
        </w:numPr>
        <w:tabs>
          <w:tab w:val="left" w:pos="1701"/>
        </w:tabs>
        <w:ind w:left="1094" w:firstLine="0"/>
        <w:jc w:val="both"/>
        <w:rPr>
          <w:rFonts w:asciiTheme="majorBidi" w:hAnsiTheme="majorBidi" w:cstheme="majorBidi"/>
          <w:sz w:val="20"/>
          <w:szCs w:val="20"/>
          <w:lang w:val="en-GB"/>
        </w:rPr>
      </w:pPr>
      <w:r w:rsidRPr="00A9211F">
        <w:rPr>
          <w:rFonts w:asciiTheme="majorBidi" w:hAnsiTheme="majorBidi" w:cstheme="majorBidi"/>
          <w:sz w:val="20"/>
          <w:szCs w:val="20"/>
          <w:lang w:val="en-GB"/>
        </w:rPr>
        <w:t xml:space="preserve">The communicant claims that public authorities sometimes refuse access to environmental information knowing that the matter may proceed through subsequent levels of review, due to which there will be a delay of two to three years. While the communication does not refer to article 3(2), the Committee considers that the communicant’s claim would most naturally concern the obligation </w:t>
      </w:r>
      <w:r w:rsidRPr="00A9211F">
        <w:rPr>
          <w:rFonts w:asciiTheme="majorBidi" w:hAnsiTheme="majorBidi" w:cstheme="majorBidi"/>
          <w:sz w:val="20"/>
          <w:szCs w:val="20"/>
          <w:lang w:val="en-GB"/>
        </w:rPr>
        <w:lastRenderedPageBreak/>
        <w:t xml:space="preserve">that provision places on each Party to endeavour to ensure that officials and authorities assist the public in seeking access to information. Given the serious nature of this allegation, however, cogent evidence </w:t>
      </w:r>
      <w:r w:rsidRPr="00A9211F">
        <w:rPr>
          <w:rFonts w:asciiTheme="majorBidi" w:hAnsiTheme="majorBidi" w:cstheme="majorBidi"/>
          <w:sz w:val="20"/>
          <w:lang w:val="en-GB"/>
        </w:rPr>
        <w:t>would be required to support it</w:t>
      </w:r>
      <w:r w:rsidRPr="00A9211F">
        <w:rPr>
          <w:rFonts w:asciiTheme="majorBidi" w:hAnsiTheme="majorBidi" w:cstheme="majorBidi"/>
          <w:sz w:val="20"/>
          <w:szCs w:val="20"/>
          <w:lang w:val="en-GB"/>
        </w:rPr>
        <w:t>.  As the Party concerned points out, no such evidence has been forthcoming.</w:t>
      </w:r>
      <w:r w:rsidRPr="00A9211F">
        <w:rPr>
          <w:rStyle w:val="FootnoteReference"/>
          <w:rFonts w:asciiTheme="majorBidi" w:hAnsiTheme="majorBidi" w:cstheme="majorBidi"/>
          <w:szCs w:val="20"/>
          <w:lang w:val="en-GB"/>
        </w:rPr>
        <w:footnoteReference w:id="110"/>
      </w:r>
      <w:r w:rsidRPr="00A9211F">
        <w:rPr>
          <w:rFonts w:asciiTheme="majorBidi" w:hAnsiTheme="majorBidi" w:cstheme="majorBidi"/>
          <w:sz w:val="20"/>
          <w:szCs w:val="20"/>
          <w:lang w:val="en-GB"/>
        </w:rPr>
        <w:t xml:space="preserve"> Accordingly, the Committee finds the communicant’s allegation to be unsubstantiated.</w:t>
      </w:r>
    </w:p>
    <w:p w14:paraId="0EB8A47F" w14:textId="77777777" w:rsidR="00552EF0" w:rsidRPr="00A9211F" w:rsidRDefault="00552EF0" w:rsidP="00EA5C8B">
      <w:pPr>
        <w:pStyle w:val="ListParagraph"/>
        <w:tabs>
          <w:tab w:val="left" w:pos="1701"/>
        </w:tabs>
        <w:ind w:left="1094"/>
        <w:jc w:val="both"/>
        <w:rPr>
          <w:rFonts w:asciiTheme="majorBidi" w:hAnsiTheme="majorBidi" w:cstheme="majorBidi"/>
          <w:sz w:val="20"/>
          <w:lang w:val="en-GB"/>
        </w:rPr>
      </w:pPr>
    </w:p>
    <w:p w14:paraId="2D5C06D3" w14:textId="77777777" w:rsidR="0054406C" w:rsidRPr="00A9211F" w:rsidRDefault="0054406C" w:rsidP="00EA5C8B">
      <w:pPr>
        <w:pStyle w:val="ListParagraph"/>
        <w:tabs>
          <w:tab w:val="left" w:pos="1701"/>
        </w:tabs>
        <w:ind w:left="1094"/>
        <w:jc w:val="both"/>
        <w:rPr>
          <w:rFonts w:asciiTheme="majorBidi" w:hAnsiTheme="majorBidi" w:cstheme="majorBidi"/>
          <w:sz w:val="20"/>
          <w:lang w:val="en-GB"/>
        </w:rPr>
      </w:pPr>
    </w:p>
    <w:p w14:paraId="0371FE3F" w14:textId="7891486D" w:rsidR="004E7935" w:rsidRPr="00A9211F" w:rsidRDefault="004E7935" w:rsidP="00EA5C8B">
      <w:pPr>
        <w:pStyle w:val="ListParagraph"/>
        <w:numPr>
          <w:ilvl w:val="0"/>
          <w:numId w:val="5"/>
        </w:numPr>
        <w:tabs>
          <w:tab w:val="left" w:pos="1701"/>
        </w:tabs>
        <w:jc w:val="both"/>
        <w:rPr>
          <w:rFonts w:asciiTheme="majorBidi" w:hAnsiTheme="majorBidi" w:cstheme="majorBidi"/>
          <w:b/>
          <w:sz w:val="28"/>
          <w:lang w:val="en-GB"/>
        </w:rPr>
      </w:pPr>
      <w:r w:rsidRPr="00A9211F">
        <w:rPr>
          <w:rFonts w:asciiTheme="majorBidi" w:hAnsiTheme="majorBidi" w:cstheme="majorBidi"/>
          <w:b/>
          <w:sz w:val="28"/>
          <w:lang w:val="en-GB"/>
        </w:rPr>
        <w:t>Conclusions and recommendations</w:t>
      </w:r>
    </w:p>
    <w:p w14:paraId="1B0196CE" w14:textId="77777777" w:rsidR="00F47013" w:rsidRPr="00A9211F" w:rsidRDefault="00F47013" w:rsidP="00EA5C8B">
      <w:pPr>
        <w:pStyle w:val="ListParagraph"/>
        <w:tabs>
          <w:tab w:val="left" w:pos="1701"/>
        </w:tabs>
        <w:ind w:left="1094"/>
        <w:jc w:val="both"/>
        <w:rPr>
          <w:rFonts w:asciiTheme="majorBidi" w:hAnsiTheme="majorBidi" w:cstheme="majorBidi"/>
          <w:b/>
          <w:sz w:val="20"/>
          <w:lang w:val="en-GB"/>
        </w:rPr>
      </w:pPr>
    </w:p>
    <w:p w14:paraId="332751A3" w14:textId="3F35A207" w:rsidR="00027B19" w:rsidRPr="00A9211F" w:rsidRDefault="00027B19" w:rsidP="00A9211F">
      <w:pPr>
        <w:pStyle w:val="ListParagraph"/>
        <w:numPr>
          <w:ilvl w:val="0"/>
          <w:numId w:val="7"/>
        </w:numPr>
        <w:tabs>
          <w:tab w:val="left" w:pos="1701"/>
        </w:tabs>
        <w:ind w:left="1094" w:firstLine="0"/>
        <w:jc w:val="both"/>
        <w:rPr>
          <w:rFonts w:asciiTheme="majorBidi" w:hAnsiTheme="majorBidi" w:cstheme="majorBidi"/>
          <w:sz w:val="20"/>
          <w:lang w:val="en-GB"/>
        </w:rPr>
      </w:pPr>
      <w:r w:rsidRPr="00A9211F">
        <w:rPr>
          <w:rFonts w:asciiTheme="majorBidi" w:hAnsiTheme="majorBidi" w:cstheme="majorBidi"/>
          <w:sz w:val="20"/>
          <w:lang w:val="en-GB"/>
        </w:rPr>
        <w:t>Having considered the above, the Committee adopts the findings and recommendations set out in the following paragraphs</w:t>
      </w:r>
      <w:r w:rsidR="009245B7" w:rsidRPr="00A9211F">
        <w:rPr>
          <w:rFonts w:asciiTheme="majorBidi" w:hAnsiTheme="majorBidi" w:cstheme="majorBidi"/>
          <w:sz w:val="20"/>
          <w:lang w:val="en-GB"/>
        </w:rPr>
        <w:t>:</w:t>
      </w:r>
    </w:p>
    <w:p w14:paraId="14459D79" w14:textId="77777777" w:rsidR="00B26A6D" w:rsidRPr="00A9211F" w:rsidRDefault="00B26A6D" w:rsidP="00EA5C8B">
      <w:pPr>
        <w:tabs>
          <w:tab w:val="left" w:pos="1701"/>
        </w:tabs>
        <w:spacing w:after="120"/>
        <w:jc w:val="both"/>
        <w:rPr>
          <w:rFonts w:asciiTheme="majorBidi" w:hAnsiTheme="majorBidi" w:cstheme="majorBidi"/>
          <w:b/>
          <w:sz w:val="28"/>
          <w:szCs w:val="28"/>
        </w:rPr>
      </w:pPr>
    </w:p>
    <w:p w14:paraId="5AF00459" w14:textId="57FAB541" w:rsidR="004012F2" w:rsidRPr="00A9211F" w:rsidRDefault="00027B19" w:rsidP="00EA5C8B">
      <w:pPr>
        <w:pStyle w:val="ListParagraph"/>
        <w:numPr>
          <w:ilvl w:val="0"/>
          <w:numId w:val="16"/>
        </w:numPr>
        <w:tabs>
          <w:tab w:val="left" w:pos="1701"/>
        </w:tabs>
        <w:spacing w:after="120"/>
        <w:ind w:left="1210"/>
        <w:jc w:val="both"/>
        <w:rPr>
          <w:rFonts w:asciiTheme="majorBidi" w:hAnsiTheme="majorBidi" w:cstheme="majorBidi"/>
          <w:b/>
          <w:sz w:val="28"/>
          <w:szCs w:val="28"/>
          <w:lang w:val="en-GB"/>
        </w:rPr>
      </w:pPr>
      <w:r w:rsidRPr="00A9211F">
        <w:rPr>
          <w:rFonts w:asciiTheme="majorBidi" w:hAnsiTheme="majorBidi" w:cstheme="majorBidi"/>
          <w:b/>
          <w:lang w:val="en-GB"/>
        </w:rPr>
        <w:t>Main findin</w:t>
      </w:r>
      <w:r w:rsidR="00EA5627" w:rsidRPr="00A9211F">
        <w:rPr>
          <w:rFonts w:asciiTheme="majorBidi" w:hAnsiTheme="majorBidi" w:cstheme="majorBidi"/>
          <w:b/>
          <w:lang w:val="en-GB"/>
        </w:rPr>
        <w:t>gs with regard to non-compliance</w:t>
      </w:r>
    </w:p>
    <w:p w14:paraId="78952642" w14:textId="77777777" w:rsidR="00280336" w:rsidRPr="00A9211F" w:rsidRDefault="00280336" w:rsidP="00EA5C8B">
      <w:pPr>
        <w:pStyle w:val="ListParagraph"/>
        <w:tabs>
          <w:tab w:val="left" w:pos="1701"/>
        </w:tabs>
        <w:ind w:left="1094"/>
        <w:jc w:val="both"/>
        <w:rPr>
          <w:rFonts w:asciiTheme="majorBidi" w:hAnsiTheme="majorBidi" w:cstheme="majorBidi"/>
          <w:b/>
          <w:sz w:val="20"/>
          <w:lang w:val="en-GB"/>
        </w:rPr>
      </w:pPr>
    </w:p>
    <w:p w14:paraId="0CE9A24C" w14:textId="71533F76" w:rsidR="00280336" w:rsidRPr="00A9211F" w:rsidRDefault="00690A7E" w:rsidP="00EA5C8B">
      <w:pPr>
        <w:pStyle w:val="ListParagraph"/>
        <w:numPr>
          <w:ilvl w:val="0"/>
          <w:numId w:val="7"/>
        </w:numPr>
        <w:tabs>
          <w:tab w:val="left" w:pos="1701"/>
        </w:tabs>
        <w:ind w:left="1134" w:right="4" w:firstLine="0"/>
        <w:jc w:val="both"/>
        <w:rPr>
          <w:rFonts w:asciiTheme="majorBidi" w:hAnsiTheme="majorBidi" w:cstheme="majorBidi"/>
          <w:sz w:val="20"/>
          <w:lang w:val="en-GB"/>
        </w:rPr>
      </w:pPr>
      <w:r w:rsidRPr="00A9211F">
        <w:rPr>
          <w:rFonts w:asciiTheme="majorBidi" w:hAnsiTheme="majorBidi" w:cstheme="majorBidi"/>
          <w:sz w:val="20"/>
          <w:lang w:val="en-GB"/>
        </w:rPr>
        <w:t>The Committee finds that</w:t>
      </w:r>
      <w:r w:rsidR="00280336" w:rsidRPr="00A9211F">
        <w:rPr>
          <w:rFonts w:asciiTheme="majorBidi" w:hAnsiTheme="majorBidi" w:cstheme="majorBidi"/>
          <w:sz w:val="20"/>
          <w:lang w:val="en-GB"/>
        </w:rPr>
        <w:t>:</w:t>
      </w:r>
    </w:p>
    <w:p w14:paraId="0F653FFA" w14:textId="77777777" w:rsidR="00690A7E" w:rsidRPr="00A9211F" w:rsidRDefault="00690A7E" w:rsidP="00EA5C8B">
      <w:pPr>
        <w:pStyle w:val="ListParagraph"/>
        <w:tabs>
          <w:tab w:val="left" w:pos="1701"/>
        </w:tabs>
        <w:ind w:left="1134" w:right="4"/>
        <w:jc w:val="both"/>
        <w:rPr>
          <w:rFonts w:asciiTheme="majorBidi" w:hAnsiTheme="majorBidi" w:cstheme="majorBidi"/>
          <w:sz w:val="20"/>
          <w:lang w:val="en-GB"/>
        </w:rPr>
      </w:pPr>
    </w:p>
    <w:p w14:paraId="59821CF1" w14:textId="19218457" w:rsidR="00190FEB" w:rsidRPr="00A9211F" w:rsidRDefault="00190FEB" w:rsidP="00EA5C8B">
      <w:pPr>
        <w:pStyle w:val="ListParagraph"/>
        <w:numPr>
          <w:ilvl w:val="0"/>
          <w:numId w:val="58"/>
        </w:numPr>
        <w:tabs>
          <w:tab w:val="left" w:pos="1701"/>
        </w:tabs>
        <w:ind w:right="4"/>
        <w:jc w:val="both"/>
        <w:rPr>
          <w:rFonts w:asciiTheme="majorBidi" w:hAnsiTheme="majorBidi" w:cstheme="majorBidi"/>
          <w:sz w:val="20"/>
          <w:lang w:val="en-GB"/>
        </w:rPr>
      </w:pPr>
      <w:r w:rsidRPr="00A9211F">
        <w:rPr>
          <w:rFonts w:asciiTheme="majorBidi" w:hAnsiTheme="majorBidi" w:cstheme="majorBidi"/>
          <w:sz w:val="20"/>
          <w:lang w:val="en-GB"/>
        </w:rPr>
        <w:t xml:space="preserve">By failing to put in place measures to ensure that the OCEI and the courts decide appeals </w:t>
      </w:r>
      <w:r w:rsidR="00963B39" w:rsidRPr="00A9211F">
        <w:rPr>
          <w:rFonts w:asciiTheme="majorBidi" w:hAnsiTheme="majorBidi" w:cstheme="majorBidi"/>
          <w:sz w:val="20"/>
          <w:lang w:val="en-GB"/>
        </w:rPr>
        <w:t>r</w:t>
      </w:r>
      <w:r w:rsidRPr="00A9211F">
        <w:rPr>
          <w:rFonts w:asciiTheme="majorBidi" w:hAnsiTheme="majorBidi" w:cstheme="majorBidi"/>
          <w:sz w:val="20"/>
          <w:lang w:val="en-GB"/>
        </w:rPr>
        <w:t xml:space="preserve">egarding environmental information requests in a timely manner, </w:t>
      </w:r>
      <w:r w:rsidR="0062662E" w:rsidRPr="00A9211F">
        <w:rPr>
          <w:rFonts w:asciiTheme="majorBidi" w:hAnsiTheme="majorBidi" w:cstheme="majorBidi"/>
          <w:sz w:val="20"/>
          <w:lang w:val="en-GB"/>
        </w:rPr>
        <w:t xml:space="preserve">the Party concerned </w:t>
      </w:r>
      <w:r w:rsidRPr="00A9211F">
        <w:rPr>
          <w:rFonts w:asciiTheme="majorBidi" w:hAnsiTheme="majorBidi" w:cstheme="majorBidi"/>
          <w:sz w:val="20"/>
          <w:lang w:val="en-GB"/>
        </w:rPr>
        <w:t>fails to comply with the requirement in article 9(4) of the Convention to ensure timely procedures for the review of environmental information requests.</w:t>
      </w:r>
    </w:p>
    <w:p w14:paraId="7D23C550" w14:textId="77777777" w:rsidR="00190FEB" w:rsidRPr="00A9211F" w:rsidRDefault="00190FEB" w:rsidP="00EA5C8B">
      <w:pPr>
        <w:pStyle w:val="ListParagraph"/>
        <w:tabs>
          <w:tab w:val="left" w:pos="1701"/>
        </w:tabs>
        <w:ind w:left="2061" w:right="4"/>
        <w:jc w:val="both"/>
        <w:rPr>
          <w:rFonts w:asciiTheme="majorBidi" w:hAnsiTheme="majorBidi" w:cstheme="majorBidi"/>
          <w:sz w:val="20"/>
          <w:lang w:val="en-GB"/>
        </w:rPr>
      </w:pPr>
    </w:p>
    <w:p w14:paraId="260D7789" w14:textId="5FB899DC" w:rsidR="004B1739" w:rsidRPr="00A9211F" w:rsidRDefault="00190FEB" w:rsidP="00EA5C8B">
      <w:pPr>
        <w:pStyle w:val="ListParagraph"/>
        <w:numPr>
          <w:ilvl w:val="0"/>
          <w:numId w:val="58"/>
        </w:numPr>
        <w:tabs>
          <w:tab w:val="left" w:pos="1701"/>
        </w:tabs>
        <w:ind w:right="4"/>
        <w:jc w:val="both"/>
        <w:rPr>
          <w:rFonts w:asciiTheme="majorBidi" w:hAnsiTheme="majorBidi" w:cstheme="majorBidi"/>
          <w:sz w:val="20"/>
          <w:lang w:val="en-GB"/>
        </w:rPr>
      </w:pPr>
      <w:r w:rsidRPr="00A9211F">
        <w:rPr>
          <w:rFonts w:asciiTheme="majorBidi" w:hAnsiTheme="majorBidi" w:cstheme="majorBidi"/>
          <w:sz w:val="20"/>
        </w:rPr>
        <w:t xml:space="preserve">By maintaining a system whereby courts may </w:t>
      </w:r>
      <w:r w:rsidR="00EC2682" w:rsidRPr="00A9211F">
        <w:rPr>
          <w:rFonts w:asciiTheme="majorBidi" w:hAnsiTheme="majorBidi" w:cstheme="majorBidi"/>
          <w:sz w:val="20"/>
        </w:rPr>
        <w:t>rule</w:t>
      </w:r>
      <w:r w:rsidRPr="00A9211F">
        <w:rPr>
          <w:rFonts w:asciiTheme="majorBidi" w:hAnsiTheme="majorBidi" w:cstheme="majorBidi"/>
          <w:sz w:val="20"/>
        </w:rPr>
        <w:t xml:space="preserve"> that information requests fall within the scope of the AIE Regulations without </w:t>
      </w:r>
      <w:r w:rsidR="002E3EFE" w:rsidRPr="00A9211F">
        <w:rPr>
          <w:rFonts w:asciiTheme="majorBidi" w:hAnsiTheme="majorBidi" w:cstheme="majorBidi"/>
          <w:sz w:val="20"/>
        </w:rPr>
        <w:t xml:space="preserve">issuing </w:t>
      </w:r>
      <w:r w:rsidRPr="00A9211F">
        <w:rPr>
          <w:rFonts w:asciiTheme="majorBidi" w:hAnsiTheme="majorBidi" w:cstheme="majorBidi"/>
          <w:sz w:val="20"/>
        </w:rPr>
        <w:t xml:space="preserve">any directions for their adequate and effective resolution thereafter, </w:t>
      </w:r>
      <w:r w:rsidR="0062662E" w:rsidRPr="00A9211F">
        <w:rPr>
          <w:rFonts w:asciiTheme="majorBidi" w:hAnsiTheme="majorBidi" w:cstheme="majorBidi"/>
          <w:sz w:val="20"/>
        </w:rPr>
        <w:t xml:space="preserve">the Party concerned </w:t>
      </w:r>
      <w:r w:rsidRPr="00A9211F">
        <w:rPr>
          <w:rFonts w:asciiTheme="majorBidi" w:hAnsiTheme="majorBidi" w:cstheme="majorBidi"/>
          <w:sz w:val="20"/>
        </w:rPr>
        <w:t>fails to comply with the requirement in article 9(4) of the Convention to ensure adequate and effective remedies for the review of environmental information requests.</w:t>
      </w:r>
    </w:p>
    <w:p w14:paraId="4D22076E" w14:textId="77777777" w:rsidR="00215001" w:rsidRPr="00A9211F" w:rsidRDefault="00215001" w:rsidP="00EA5C8B">
      <w:pPr>
        <w:tabs>
          <w:tab w:val="left" w:pos="1701"/>
        </w:tabs>
        <w:jc w:val="both"/>
        <w:rPr>
          <w:rFonts w:asciiTheme="majorBidi" w:hAnsiTheme="majorBidi" w:cstheme="majorBidi"/>
          <w:sz w:val="20"/>
        </w:rPr>
      </w:pPr>
    </w:p>
    <w:p w14:paraId="4CC0CF06" w14:textId="3948858D" w:rsidR="009E6D1C" w:rsidRPr="00A9211F" w:rsidRDefault="00EA5627" w:rsidP="00EA5C8B">
      <w:pPr>
        <w:pStyle w:val="ListParagraph"/>
        <w:numPr>
          <w:ilvl w:val="0"/>
          <w:numId w:val="16"/>
        </w:numPr>
        <w:tabs>
          <w:tab w:val="left" w:pos="1701"/>
        </w:tabs>
        <w:spacing w:after="120"/>
        <w:ind w:left="1210"/>
        <w:jc w:val="both"/>
        <w:rPr>
          <w:rFonts w:asciiTheme="majorBidi" w:hAnsiTheme="majorBidi" w:cstheme="majorBidi"/>
          <w:lang w:val="en-GB"/>
        </w:rPr>
      </w:pPr>
      <w:r w:rsidRPr="00A9211F">
        <w:rPr>
          <w:rFonts w:asciiTheme="majorBidi" w:hAnsiTheme="majorBidi" w:cstheme="majorBidi"/>
          <w:b/>
          <w:lang w:val="en-GB"/>
        </w:rPr>
        <w:t>Recommendations</w:t>
      </w:r>
    </w:p>
    <w:p w14:paraId="2E3857C0" w14:textId="77777777" w:rsidR="009245B7" w:rsidRPr="00A9211F" w:rsidRDefault="009245B7" w:rsidP="00EA5C8B">
      <w:pPr>
        <w:pStyle w:val="ListParagraph"/>
        <w:tabs>
          <w:tab w:val="left" w:pos="1701"/>
        </w:tabs>
        <w:spacing w:after="120"/>
        <w:ind w:left="1210"/>
        <w:jc w:val="both"/>
        <w:rPr>
          <w:rFonts w:asciiTheme="majorBidi" w:hAnsiTheme="majorBidi" w:cstheme="majorBidi"/>
          <w:lang w:val="en-GB"/>
        </w:rPr>
      </w:pPr>
    </w:p>
    <w:p w14:paraId="45FF008A" w14:textId="7879F162" w:rsidR="00E041CE" w:rsidRPr="00A9211F" w:rsidRDefault="00E041CE" w:rsidP="00EA5C8B">
      <w:pPr>
        <w:pStyle w:val="ListParagraph"/>
        <w:numPr>
          <w:ilvl w:val="0"/>
          <w:numId w:val="7"/>
        </w:numPr>
        <w:tabs>
          <w:tab w:val="left" w:pos="1701"/>
        </w:tabs>
        <w:ind w:left="1134" w:right="4" w:firstLine="0"/>
        <w:jc w:val="both"/>
        <w:rPr>
          <w:rFonts w:asciiTheme="majorBidi" w:hAnsiTheme="majorBidi" w:cstheme="majorBidi"/>
          <w:sz w:val="20"/>
          <w:lang w:val="en-GB"/>
        </w:rPr>
      </w:pPr>
      <w:r w:rsidRPr="00A9211F">
        <w:rPr>
          <w:rFonts w:asciiTheme="majorBidi" w:hAnsiTheme="majorBidi" w:cstheme="majorBidi"/>
          <w:sz w:val="20"/>
          <w:lang w:val="en-GB"/>
        </w:rPr>
        <w:t>The Committee, pursuant to paragraph 36 (b) of the annex to decision I/7 of the Meeting of the Parties, [and noting the agreement of the Party concerned that the Committee take the measures requested in paragraph 37 (b) of the annex to decision I/7,] recommends that the Party concerned take the necessary legislative</w:t>
      </w:r>
      <w:r w:rsidR="005C326E" w:rsidRPr="00A9211F">
        <w:rPr>
          <w:rFonts w:asciiTheme="majorBidi" w:hAnsiTheme="majorBidi" w:cstheme="majorBidi"/>
          <w:sz w:val="20"/>
          <w:lang w:val="en-GB"/>
        </w:rPr>
        <w:t xml:space="preserve"> or</w:t>
      </w:r>
      <w:r w:rsidRPr="00A9211F">
        <w:rPr>
          <w:rFonts w:asciiTheme="majorBidi" w:hAnsiTheme="majorBidi" w:cstheme="majorBidi"/>
          <w:sz w:val="20"/>
          <w:lang w:val="en-GB"/>
        </w:rPr>
        <w:t xml:space="preserve"> regulatory measures to ensure that: </w:t>
      </w:r>
    </w:p>
    <w:p w14:paraId="7A5E4A5B" w14:textId="77777777" w:rsidR="00E041CE" w:rsidRPr="00A9211F" w:rsidRDefault="00E041CE" w:rsidP="00EA5C8B">
      <w:pPr>
        <w:pStyle w:val="ListParagraph"/>
        <w:tabs>
          <w:tab w:val="left" w:pos="1701"/>
        </w:tabs>
        <w:ind w:left="1134" w:right="4"/>
        <w:jc w:val="both"/>
        <w:rPr>
          <w:rFonts w:asciiTheme="majorBidi" w:hAnsiTheme="majorBidi" w:cstheme="majorBidi"/>
          <w:sz w:val="20"/>
          <w:lang w:val="en-GB"/>
        </w:rPr>
      </w:pPr>
    </w:p>
    <w:p w14:paraId="28068494" w14:textId="792E4318" w:rsidR="00E76A44" w:rsidRPr="00A9211F" w:rsidRDefault="00E041CE" w:rsidP="00EA5C8B">
      <w:pPr>
        <w:pStyle w:val="ListParagraph"/>
        <w:numPr>
          <w:ilvl w:val="0"/>
          <w:numId w:val="59"/>
        </w:numPr>
        <w:tabs>
          <w:tab w:val="left" w:pos="1701"/>
        </w:tabs>
        <w:ind w:right="4"/>
        <w:jc w:val="both"/>
        <w:rPr>
          <w:rFonts w:asciiTheme="majorBidi" w:hAnsiTheme="majorBidi" w:cstheme="majorBidi"/>
          <w:sz w:val="20"/>
          <w:lang w:val="en-GB"/>
        </w:rPr>
      </w:pPr>
      <w:r w:rsidRPr="00A9211F">
        <w:rPr>
          <w:rFonts w:asciiTheme="majorBidi" w:hAnsiTheme="majorBidi" w:cstheme="majorBidi"/>
          <w:sz w:val="20"/>
          <w:lang w:val="en-GB"/>
        </w:rPr>
        <w:t xml:space="preserve">Appeals </w:t>
      </w:r>
      <w:r w:rsidR="00F04C84" w:rsidRPr="00A9211F">
        <w:rPr>
          <w:rFonts w:asciiTheme="majorBidi" w:hAnsiTheme="majorBidi" w:cstheme="majorBidi"/>
          <w:sz w:val="20"/>
          <w:lang w:val="en-GB"/>
        </w:rPr>
        <w:t xml:space="preserve">under the AIE Regulations </w:t>
      </w:r>
      <w:r w:rsidRPr="00A9211F">
        <w:rPr>
          <w:rFonts w:asciiTheme="majorBidi" w:hAnsiTheme="majorBidi" w:cstheme="majorBidi"/>
          <w:sz w:val="20"/>
          <w:lang w:val="en-GB"/>
        </w:rPr>
        <w:t xml:space="preserve">to the OCEI </w:t>
      </w:r>
      <w:r w:rsidR="00273FE8" w:rsidRPr="00A9211F">
        <w:rPr>
          <w:rFonts w:asciiTheme="majorBidi" w:hAnsiTheme="majorBidi" w:cstheme="majorBidi"/>
          <w:sz w:val="20"/>
          <w:lang w:val="en-GB"/>
        </w:rPr>
        <w:t>or the courts</w:t>
      </w:r>
      <w:r w:rsidR="00F04C84" w:rsidRPr="00A9211F">
        <w:rPr>
          <w:rFonts w:asciiTheme="majorBidi" w:hAnsiTheme="majorBidi" w:cstheme="majorBidi"/>
          <w:sz w:val="20"/>
          <w:lang w:val="en-GB"/>
        </w:rPr>
        <w:t>, whether commenced by the applicant</w:t>
      </w:r>
      <w:r w:rsidRPr="00A9211F">
        <w:rPr>
          <w:rFonts w:asciiTheme="majorBidi" w:hAnsiTheme="majorBidi" w:cstheme="majorBidi"/>
          <w:sz w:val="20"/>
          <w:lang w:val="en-GB"/>
        </w:rPr>
        <w:t xml:space="preserve"> </w:t>
      </w:r>
      <w:r w:rsidR="00F04C84" w:rsidRPr="00A9211F">
        <w:rPr>
          <w:rFonts w:asciiTheme="majorBidi" w:hAnsiTheme="majorBidi" w:cstheme="majorBidi"/>
          <w:sz w:val="20"/>
          <w:lang w:val="en-GB"/>
        </w:rPr>
        <w:t xml:space="preserve">or </w:t>
      </w:r>
      <w:r w:rsidRPr="00A9211F">
        <w:rPr>
          <w:rFonts w:asciiTheme="majorBidi" w:hAnsiTheme="majorBidi" w:cstheme="majorBidi"/>
          <w:sz w:val="20"/>
          <w:lang w:val="en-GB"/>
        </w:rPr>
        <w:t xml:space="preserve">any </w:t>
      </w:r>
      <w:r w:rsidR="00F04C84" w:rsidRPr="00A9211F">
        <w:rPr>
          <w:rFonts w:asciiTheme="majorBidi" w:hAnsiTheme="majorBidi" w:cstheme="majorBidi"/>
          <w:sz w:val="20"/>
          <w:lang w:val="en-GB"/>
        </w:rPr>
        <w:t xml:space="preserve">other </w:t>
      </w:r>
      <w:r w:rsidRPr="00A9211F">
        <w:rPr>
          <w:rFonts w:asciiTheme="majorBidi" w:hAnsiTheme="majorBidi" w:cstheme="majorBidi"/>
          <w:sz w:val="20"/>
          <w:lang w:val="en-GB"/>
        </w:rPr>
        <w:t>person</w:t>
      </w:r>
      <w:r w:rsidR="00F04C84" w:rsidRPr="00A9211F">
        <w:rPr>
          <w:rFonts w:asciiTheme="majorBidi" w:hAnsiTheme="majorBidi" w:cstheme="majorBidi"/>
          <w:sz w:val="20"/>
          <w:lang w:val="en-GB"/>
        </w:rPr>
        <w:t>,</w:t>
      </w:r>
      <w:r w:rsidRPr="00A9211F">
        <w:rPr>
          <w:rFonts w:asciiTheme="majorBidi" w:hAnsiTheme="majorBidi" w:cstheme="majorBidi"/>
          <w:sz w:val="20"/>
          <w:lang w:val="en-GB"/>
        </w:rPr>
        <w:t xml:space="preserve"> are required to be decided</w:t>
      </w:r>
      <w:r w:rsidR="005C326E" w:rsidRPr="00A9211F">
        <w:rPr>
          <w:rFonts w:asciiTheme="majorBidi" w:hAnsiTheme="majorBidi" w:cstheme="majorBidi"/>
          <w:sz w:val="20"/>
          <w:lang w:val="en-GB"/>
        </w:rPr>
        <w:t xml:space="preserve"> in a timely manner, for instance by setting a specified deadline.</w:t>
      </w:r>
    </w:p>
    <w:p w14:paraId="4DD41631" w14:textId="77777777" w:rsidR="00E041CE" w:rsidRPr="00A9211F" w:rsidRDefault="00E041CE" w:rsidP="00EA5C8B">
      <w:pPr>
        <w:pStyle w:val="ListParagraph"/>
        <w:tabs>
          <w:tab w:val="left" w:pos="1701"/>
        </w:tabs>
        <w:ind w:left="2049" w:right="4"/>
        <w:jc w:val="both"/>
        <w:rPr>
          <w:rFonts w:asciiTheme="majorBidi" w:hAnsiTheme="majorBidi" w:cstheme="majorBidi"/>
          <w:sz w:val="20"/>
          <w:lang w:val="en-GB"/>
        </w:rPr>
      </w:pPr>
    </w:p>
    <w:p w14:paraId="0E0DEF84" w14:textId="714B6E19" w:rsidR="00E041CE" w:rsidRPr="00A9211F" w:rsidRDefault="00E041CE" w:rsidP="00EA5C8B">
      <w:pPr>
        <w:pStyle w:val="ListParagraph"/>
        <w:numPr>
          <w:ilvl w:val="0"/>
          <w:numId w:val="59"/>
        </w:numPr>
        <w:tabs>
          <w:tab w:val="left" w:pos="1701"/>
        </w:tabs>
        <w:ind w:right="4"/>
        <w:jc w:val="both"/>
        <w:rPr>
          <w:rFonts w:asciiTheme="majorBidi" w:hAnsiTheme="majorBidi" w:cstheme="majorBidi"/>
          <w:sz w:val="20"/>
        </w:rPr>
      </w:pPr>
      <w:r w:rsidRPr="00A9211F">
        <w:rPr>
          <w:rFonts w:asciiTheme="majorBidi" w:hAnsiTheme="majorBidi" w:cstheme="majorBidi"/>
          <w:sz w:val="20"/>
          <w:lang w:val="en-GB"/>
        </w:rPr>
        <w:t xml:space="preserve">There are mandatory directions in place to ensure that, should a court rule that a public authority or an information request </w:t>
      </w:r>
      <w:r w:rsidR="00871763" w:rsidRPr="00A9211F">
        <w:rPr>
          <w:rFonts w:asciiTheme="majorBidi" w:hAnsiTheme="majorBidi" w:cstheme="majorBidi"/>
          <w:sz w:val="20"/>
          <w:lang w:val="en-GB"/>
        </w:rPr>
        <w:t xml:space="preserve">falls </w:t>
      </w:r>
      <w:r w:rsidRPr="00A9211F">
        <w:rPr>
          <w:rFonts w:asciiTheme="majorBidi" w:hAnsiTheme="majorBidi" w:cstheme="majorBidi"/>
          <w:sz w:val="20"/>
          <w:lang w:val="en-GB"/>
        </w:rPr>
        <w:t>within the scope of the AIE Regulations, the underlying information request is thereafter resolved in a</w:t>
      </w:r>
      <w:r w:rsidR="00B72D7A" w:rsidRPr="00A9211F">
        <w:rPr>
          <w:rFonts w:asciiTheme="majorBidi" w:hAnsiTheme="majorBidi" w:cstheme="majorBidi"/>
          <w:sz w:val="20"/>
          <w:lang w:val="en-GB"/>
        </w:rPr>
        <w:t>n</w:t>
      </w:r>
      <w:r w:rsidRPr="00A9211F">
        <w:rPr>
          <w:rFonts w:asciiTheme="majorBidi" w:hAnsiTheme="majorBidi" w:cstheme="majorBidi"/>
          <w:sz w:val="20"/>
          <w:lang w:val="en-GB"/>
        </w:rPr>
        <w:t xml:space="preserve"> adequate and effective manner.</w:t>
      </w:r>
    </w:p>
    <w:p w14:paraId="2125CD11" w14:textId="77777777" w:rsidR="00AB2656" w:rsidRPr="00A9211F" w:rsidRDefault="00AB2656" w:rsidP="00EA5C8B">
      <w:pPr>
        <w:pStyle w:val="ListParagraph"/>
        <w:rPr>
          <w:rFonts w:asciiTheme="majorBidi" w:hAnsiTheme="majorBidi" w:cstheme="majorBidi"/>
          <w:sz w:val="20"/>
        </w:rPr>
      </w:pPr>
    </w:p>
    <w:p w14:paraId="440223D7" w14:textId="0C4091B2" w:rsidR="00AB2656" w:rsidRPr="00A9211F" w:rsidRDefault="00AB2656" w:rsidP="00EA5C8B">
      <w:pPr>
        <w:tabs>
          <w:tab w:val="left" w:pos="1701"/>
        </w:tabs>
        <w:ind w:right="4"/>
        <w:jc w:val="both"/>
        <w:rPr>
          <w:rFonts w:asciiTheme="majorBidi" w:hAnsiTheme="majorBidi" w:cstheme="majorBidi"/>
          <w:sz w:val="20"/>
        </w:rPr>
      </w:pPr>
    </w:p>
    <w:p w14:paraId="24220C9E" w14:textId="75CBA5C5" w:rsidR="00AB2656" w:rsidRPr="00AB2656" w:rsidRDefault="00AB2656" w:rsidP="00EA5C8B">
      <w:pPr>
        <w:tabs>
          <w:tab w:val="left" w:pos="1701"/>
        </w:tabs>
        <w:ind w:right="4"/>
        <w:jc w:val="center"/>
        <w:rPr>
          <w:rFonts w:asciiTheme="majorBidi" w:hAnsiTheme="majorBidi" w:cstheme="majorBidi"/>
          <w:sz w:val="20"/>
        </w:rPr>
      </w:pPr>
      <w:r w:rsidRPr="00A9211F">
        <w:rPr>
          <w:rFonts w:asciiTheme="majorBidi" w:hAnsiTheme="majorBidi" w:cstheme="majorBidi"/>
          <w:sz w:val="20"/>
        </w:rPr>
        <w:t>_____________</w:t>
      </w:r>
      <w:r w:rsidR="0062662E" w:rsidRPr="00A9211F">
        <w:rPr>
          <w:rFonts w:asciiTheme="majorBidi" w:hAnsiTheme="majorBidi" w:cstheme="majorBidi"/>
          <w:sz w:val="20"/>
        </w:rPr>
        <w:t>______________</w:t>
      </w:r>
    </w:p>
    <w:sectPr w:rsidR="00AB2656" w:rsidRPr="00AB2656" w:rsidSect="005D33F8">
      <w:headerReference w:type="default" r:id="rId8"/>
      <w:footerReference w:type="default" r:id="rId9"/>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7601" w14:textId="77777777" w:rsidR="006B2913" w:rsidRDefault="006B2913" w:rsidP="002E6CC5">
      <w:r>
        <w:separator/>
      </w:r>
    </w:p>
  </w:endnote>
  <w:endnote w:type="continuationSeparator" w:id="0">
    <w:p w14:paraId="234DBDE9" w14:textId="77777777" w:rsidR="006B2913" w:rsidRDefault="006B2913" w:rsidP="002E6CC5">
      <w:r>
        <w:continuationSeparator/>
      </w:r>
    </w:p>
  </w:endnote>
  <w:endnote w:type="continuationNotice" w:id="1">
    <w:p w14:paraId="2D1679EB" w14:textId="77777777" w:rsidR="006B2913" w:rsidRDefault="006B2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0"/>
        <w:szCs w:val="20"/>
      </w:rPr>
      <w:id w:val="1310527164"/>
      <w:docPartObj>
        <w:docPartGallery w:val="Page Numbers (Bottom of Page)"/>
        <w:docPartUnique/>
      </w:docPartObj>
    </w:sdtPr>
    <w:sdtEndPr>
      <w:rPr>
        <w:noProof/>
      </w:rPr>
    </w:sdtEndPr>
    <w:sdtContent>
      <w:p w14:paraId="5D53BF73" w14:textId="11D786D1" w:rsidR="006B2913" w:rsidRPr="007361A1" w:rsidRDefault="006B2913">
        <w:pPr>
          <w:pStyle w:val="Footer"/>
          <w:jc w:val="right"/>
          <w:rPr>
            <w:rFonts w:asciiTheme="majorBidi" w:hAnsiTheme="majorBidi" w:cstheme="majorBidi"/>
            <w:sz w:val="20"/>
            <w:szCs w:val="20"/>
          </w:rPr>
        </w:pPr>
        <w:r w:rsidRPr="007361A1">
          <w:rPr>
            <w:rFonts w:asciiTheme="majorBidi" w:hAnsiTheme="majorBidi" w:cstheme="majorBidi"/>
            <w:sz w:val="20"/>
            <w:szCs w:val="20"/>
          </w:rPr>
          <w:fldChar w:fldCharType="begin"/>
        </w:r>
        <w:r w:rsidRPr="007361A1">
          <w:rPr>
            <w:rFonts w:asciiTheme="majorBidi" w:hAnsiTheme="majorBidi" w:cstheme="majorBidi"/>
            <w:sz w:val="20"/>
            <w:szCs w:val="20"/>
          </w:rPr>
          <w:instrText xml:space="preserve"> PAGE   \* MERGEFORMAT </w:instrText>
        </w:r>
        <w:r w:rsidRPr="007361A1">
          <w:rPr>
            <w:rFonts w:asciiTheme="majorBidi" w:hAnsiTheme="majorBidi" w:cstheme="majorBidi"/>
            <w:sz w:val="20"/>
            <w:szCs w:val="20"/>
          </w:rPr>
          <w:fldChar w:fldCharType="separate"/>
        </w:r>
        <w:r>
          <w:rPr>
            <w:rFonts w:asciiTheme="majorBidi" w:hAnsiTheme="majorBidi" w:cstheme="majorBidi"/>
            <w:noProof/>
            <w:sz w:val="20"/>
            <w:szCs w:val="20"/>
          </w:rPr>
          <w:t>22</w:t>
        </w:r>
        <w:r w:rsidRPr="007361A1">
          <w:rPr>
            <w:rFonts w:asciiTheme="majorBidi" w:hAnsiTheme="majorBidi" w:cstheme="majorBidi"/>
            <w:noProof/>
            <w:sz w:val="20"/>
            <w:szCs w:val="20"/>
          </w:rPr>
          <w:fldChar w:fldCharType="end"/>
        </w:r>
      </w:p>
    </w:sdtContent>
  </w:sdt>
  <w:p w14:paraId="75EC98F6" w14:textId="77777777" w:rsidR="006B2913" w:rsidRPr="007361A1" w:rsidRDefault="006B2913">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2F5D" w14:textId="77777777" w:rsidR="006B2913" w:rsidRDefault="006B2913" w:rsidP="002E6CC5">
      <w:r>
        <w:separator/>
      </w:r>
    </w:p>
  </w:footnote>
  <w:footnote w:type="continuationSeparator" w:id="0">
    <w:p w14:paraId="3C8B227A" w14:textId="77777777" w:rsidR="006B2913" w:rsidRDefault="006B2913" w:rsidP="002E6CC5">
      <w:r>
        <w:continuationSeparator/>
      </w:r>
    </w:p>
  </w:footnote>
  <w:footnote w:type="continuationNotice" w:id="1">
    <w:p w14:paraId="308A27D0" w14:textId="77777777" w:rsidR="006B2913" w:rsidRDefault="006B2913"/>
  </w:footnote>
  <w:footnote w:id="2">
    <w:p w14:paraId="064BCB7B" w14:textId="77777777" w:rsidR="006B2913" w:rsidRPr="00695D7A" w:rsidRDefault="006B2913" w:rsidP="00A9211F">
      <w:pPr>
        <w:pStyle w:val="FootnoteText"/>
        <w:tabs>
          <w:tab w:val="clear" w:pos="1021"/>
          <w:tab w:val="right" w:pos="709"/>
          <w:tab w:val="left" w:pos="9072"/>
        </w:tabs>
        <w:ind w:right="0" w:firstLine="0"/>
        <w:jc w:val="both"/>
        <w:rPr>
          <w:szCs w:val="18"/>
          <w:lang w:val="en-GB"/>
        </w:rPr>
      </w:pPr>
      <w:r w:rsidRPr="00695D7A">
        <w:rPr>
          <w:rStyle w:val="FootnoteReference"/>
          <w:szCs w:val="18"/>
          <w:lang w:val="en-GB"/>
        </w:rPr>
        <w:footnoteRef/>
      </w:r>
      <w:r w:rsidRPr="00695D7A">
        <w:rPr>
          <w:szCs w:val="18"/>
          <w:lang w:val="en-GB"/>
        </w:rPr>
        <w:t xml:space="preserve"> This section summarizes only the main facts, evidence and issues considered to be relevant to</w:t>
      </w:r>
      <w:r>
        <w:rPr>
          <w:szCs w:val="18"/>
          <w:lang w:val="en-GB"/>
        </w:rPr>
        <w:t xml:space="preserve"> the question of compliance, as </w:t>
      </w:r>
      <w:r w:rsidRPr="00695D7A">
        <w:rPr>
          <w:szCs w:val="18"/>
          <w:lang w:val="en-GB"/>
        </w:rPr>
        <w:t>presented to and considered by the Committee.</w:t>
      </w:r>
    </w:p>
  </w:footnote>
  <w:footnote w:id="3">
    <w:p w14:paraId="6D4610CB" w14:textId="5BFC6BA3" w:rsidR="006B2913" w:rsidRPr="00A9211F" w:rsidRDefault="006B2913" w:rsidP="00A9211F">
      <w:pPr>
        <w:pStyle w:val="FootnoteText"/>
        <w:tabs>
          <w:tab w:val="left" w:pos="9072"/>
        </w:tabs>
        <w:ind w:right="0" w:firstLine="0"/>
        <w:rPr>
          <w:lang w:val="en-GB"/>
        </w:rPr>
      </w:pPr>
      <w:r>
        <w:rPr>
          <w:rStyle w:val="FootnoteReference"/>
        </w:rPr>
        <w:footnoteRef/>
      </w:r>
      <w:r>
        <w:t xml:space="preserve"> </w:t>
      </w:r>
      <w:r>
        <w:rPr>
          <w:lang w:val="en-GB"/>
        </w:rPr>
        <w:t>Party’s response to the communication</w:t>
      </w:r>
      <w:r w:rsidRPr="00E30E7B">
        <w:rPr>
          <w:lang w:val="en-GB"/>
        </w:rPr>
        <w:t>, p</w:t>
      </w:r>
      <w:r>
        <w:rPr>
          <w:lang w:val="en-GB"/>
        </w:rPr>
        <w:t xml:space="preserve">ara. </w:t>
      </w:r>
      <w:r w:rsidRPr="00A9211F">
        <w:rPr>
          <w:lang w:val="en-GB"/>
        </w:rPr>
        <w:t>2.1.</w:t>
      </w:r>
    </w:p>
  </w:footnote>
  <w:footnote w:id="4">
    <w:p w14:paraId="33FF1FC7" w14:textId="430C5065" w:rsidR="006B2913" w:rsidRPr="00A9211F" w:rsidRDefault="006B2913" w:rsidP="00A9211F">
      <w:pPr>
        <w:pStyle w:val="FootnoteText"/>
        <w:tabs>
          <w:tab w:val="left" w:pos="9072"/>
        </w:tabs>
        <w:ind w:right="0"/>
        <w:rPr>
          <w:lang w:val="en-GB"/>
        </w:rPr>
      </w:pPr>
      <w:r>
        <w:tab/>
      </w:r>
      <w:r>
        <w:tab/>
      </w:r>
      <w:r>
        <w:rPr>
          <w:rStyle w:val="FootnoteReference"/>
        </w:rPr>
        <w:footnoteRef/>
      </w:r>
      <w:r>
        <w:t xml:space="preserve"> </w:t>
      </w:r>
      <w:r w:rsidRPr="00A9211F">
        <w:rPr>
          <w:lang w:val="en-GB"/>
        </w:rPr>
        <w:t>Communication, a</w:t>
      </w:r>
      <w:r>
        <w:t>nnex 1.</w:t>
      </w:r>
    </w:p>
  </w:footnote>
  <w:footnote w:id="5">
    <w:p w14:paraId="6BA05BCE" w14:textId="4A7506E9" w:rsidR="006B2913" w:rsidRPr="00C477CC" w:rsidRDefault="006B2913" w:rsidP="00A9211F">
      <w:pPr>
        <w:pStyle w:val="FootnoteText"/>
        <w:tabs>
          <w:tab w:val="left" w:pos="9072"/>
        </w:tabs>
        <w:ind w:right="0" w:firstLine="0"/>
        <w:rPr>
          <w:lang w:val="en-GB"/>
        </w:rPr>
      </w:pPr>
      <w:r>
        <w:rPr>
          <w:rStyle w:val="FootnoteReference"/>
        </w:rPr>
        <w:footnoteRef/>
      </w:r>
      <w:r>
        <w:t xml:space="preserve"> Additional information </w:t>
      </w:r>
      <w:r>
        <w:rPr>
          <w:lang w:val="en-US"/>
        </w:rPr>
        <w:t>from</w:t>
      </w:r>
      <w:r>
        <w:t xml:space="preserve"> the Party concerned, </w:t>
      </w:r>
      <w:r w:rsidRPr="00BF2F4E">
        <w:rPr>
          <w:lang w:val="en-GB"/>
        </w:rPr>
        <w:t>24</w:t>
      </w:r>
      <w:r>
        <w:rPr>
          <w:lang w:val="en-GB"/>
        </w:rPr>
        <w:t xml:space="preserve"> October </w:t>
      </w:r>
      <w:r w:rsidRPr="00BF2F4E">
        <w:rPr>
          <w:lang w:val="en-GB"/>
        </w:rPr>
        <w:t xml:space="preserve">2018, </w:t>
      </w:r>
      <w:r>
        <w:t xml:space="preserve">p. 8. </w:t>
      </w:r>
    </w:p>
  </w:footnote>
  <w:footnote w:id="6">
    <w:p w14:paraId="423A1D91" w14:textId="77777777" w:rsidR="006B2913" w:rsidRPr="00AA39A9" w:rsidRDefault="006B2913" w:rsidP="00A9211F">
      <w:pPr>
        <w:pStyle w:val="FootnoteText"/>
        <w:tabs>
          <w:tab w:val="left" w:pos="9072"/>
        </w:tabs>
        <w:ind w:right="0" w:firstLine="0"/>
        <w:jc w:val="both"/>
        <w:rPr>
          <w:lang w:val="en-GB"/>
        </w:rPr>
      </w:pPr>
      <w:r>
        <w:rPr>
          <w:rStyle w:val="FootnoteReference"/>
        </w:rPr>
        <w:footnoteRef/>
      </w:r>
      <w:r>
        <w:t xml:space="preserve"> </w:t>
      </w:r>
      <w:r w:rsidRPr="00AA39A9">
        <w:rPr>
          <w:lang w:val="en-GB"/>
        </w:rPr>
        <w:t xml:space="preserve">Party’s response to communication, </w:t>
      </w:r>
      <w:r>
        <w:rPr>
          <w:lang w:val="en-GB"/>
        </w:rPr>
        <w:t>annex 7, pp. 70 and 78.</w:t>
      </w:r>
    </w:p>
  </w:footnote>
  <w:footnote w:id="7">
    <w:p w14:paraId="2F0078EC" w14:textId="77777777" w:rsidR="006B2913" w:rsidRPr="00A9211F" w:rsidRDefault="006B2913" w:rsidP="00A9211F">
      <w:pPr>
        <w:pStyle w:val="FootnoteText"/>
        <w:tabs>
          <w:tab w:val="left" w:pos="9072"/>
        </w:tabs>
        <w:ind w:right="0" w:firstLine="0"/>
        <w:rPr>
          <w:lang w:val="en-GB"/>
        </w:rPr>
      </w:pPr>
      <w:r>
        <w:rPr>
          <w:rStyle w:val="FootnoteReference"/>
        </w:rPr>
        <w:footnoteRef/>
      </w:r>
      <w:r>
        <w:t xml:space="preserve"> Communication p. 3</w:t>
      </w:r>
      <w:r w:rsidRPr="00A9211F">
        <w:rPr>
          <w:lang w:val="en-GB"/>
        </w:rPr>
        <w:t>, and</w:t>
      </w:r>
      <w:r>
        <w:t xml:space="preserve"> </w:t>
      </w:r>
      <w:r w:rsidRPr="00A9211F">
        <w:rPr>
          <w:lang w:val="en-GB"/>
        </w:rPr>
        <w:t>Party’s response to communication, para 6.3.</w:t>
      </w:r>
    </w:p>
  </w:footnote>
  <w:footnote w:id="8">
    <w:p w14:paraId="402BC934" w14:textId="77777777" w:rsidR="006B2913" w:rsidRPr="00A9211F" w:rsidRDefault="006B2913" w:rsidP="00A9211F">
      <w:pPr>
        <w:pStyle w:val="FootnoteText"/>
        <w:tabs>
          <w:tab w:val="left" w:pos="9072"/>
        </w:tabs>
        <w:ind w:right="0" w:firstLine="0"/>
        <w:rPr>
          <w:lang w:val="en-GB"/>
        </w:rPr>
      </w:pPr>
      <w:r>
        <w:rPr>
          <w:rStyle w:val="FootnoteReference"/>
        </w:rPr>
        <w:footnoteRef/>
      </w:r>
      <w:r>
        <w:t xml:space="preserve"> Communication, p. 9</w:t>
      </w:r>
      <w:r w:rsidRPr="00A9211F">
        <w:rPr>
          <w:lang w:val="en-GB"/>
        </w:rPr>
        <w:t>, and</w:t>
      </w:r>
      <w:r>
        <w:t xml:space="preserve"> Party’s response to communication, para</w:t>
      </w:r>
      <w:r w:rsidRPr="00A9211F">
        <w:rPr>
          <w:lang w:val="en-GB"/>
        </w:rPr>
        <w:t>.</w:t>
      </w:r>
      <w:r>
        <w:t xml:space="preserve"> 6.8.</w:t>
      </w:r>
    </w:p>
  </w:footnote>
  <w:footnote w:id="9">
    <w:p w14:paraId="6AD2B711" w14:textId="77777777" w:rsidR="006B2913" w:rsidRPr="00A9211F" w:rsidRDefault="006B2913" w:rsidP="00A9211F">
      <w:pPr>
        <w:pStyle w:val="FootnoteText"/>
        <w:tabs>
          <w:tab w:val="left" w:pos="9072"/>
        </w:tabs>
        <w:ind w:right="0"/>
        <w:rPr>
          <w:lang w:val="en-GB"/>
        </w:rPr>
      </w:pPr>
      <w:r>
        <w:tab/>
      </w:r>
      <w:r>
        <w:tab/>
      </w:r>
      <w:r>
        <w:rPr>
          <w:rStyle w:val="FootnoteReference"/>
        </w:rPr>
        <w:footnoteRef/>
      </w:r>
      <w:r>
        <w:t xml:space="preserve"> </w:t>
      </w:r>
      <w:r w:rsidRPr="00A9211F">
        <w:rPr>
          <w:lang w:val="en-GB"/>
        </w:rPr>
        <w:t>Communication, pp. 3 and 8.</w:t>
      </w:r>
    </w:p>
  </w:footnote>
  <w:footnote w:id="10">
    <w:p w14:paraId="30C5E596" w14:textId="0696F8C8" w:rsidR="006B2913" w:rsidRPr="00F91684" w:rsidRDefault="006B2913" w:rsidP="00A9211F">
      <w:pPr>
        <w:pStyle w:val="FootnoteText"/>
        <w:tabs>
          <w:tab w:val="left" w:pos="9072"/>
        </w:tabs>
        <w:ind w:right="0" w:firstLine="0"/>
        <w:rPr>
          <w:lang w:val="en-GB"/>
        </w:rPr>
      </w:pPr>
      <w:r>
        <w:rPr>
          <w:rStyle w:val="FootnoteReference"/>
        </w:rPr>
        <w:footnoteRef/>
      </w:r>
      <w:r>
        <w:t xml:space="preserve"> </w:t>
      </w:r>
      <w:r w:rsidRPr="00F91684">
        <w:rPr>
          <w:lang w:val="en-GB"/>
        </w:rPr>
        <w:t>Communication, annex 3, pp. 10</w:t>
      </w:r>
      <w:r>
        <w:rPr>
          <w:lang w:val="en-GB"/>
        </w:rPr>
        <w:t>-</w:t>
      </w:r>
      <w:r w:rsidRPr="00F91684">
        <w:rPr>
          <w:lang w:val="en-GB"/>
        </w:rPr>
        <w:t>11.</w:t>
      </w:r>
    </w:p>
  </w:footnote>
  <w:footnote w:id="11">
    <w:p w14:paraId="1E423102" w14:textId="77777777" w:rsidR="006B2913" w:rsidRPr="00CB3EFE" w:rsidRDefault="006B2913" w:rsidP="00A9211F">
      <w:pPr>
        <w:pStyle w:val="FootnoteText"/>
        <w:tabs>
          <w:tab w:val="left" w:pos="9072"/>
        </w:tabs>
        <w:ind w:right="0"/>
        <w:rPr>
          <w:lang w:val="en-GB"/>
        </w:rPr>
      </w:pPr>
      <w:r w:rsidRPr="00F0688D">
        <w:tab/>
      </w:r>
      <w:r w:rsidRPr="00F0688D">
        <w:tab/>
      </w:r>
      <w:r w:rsidRPr="00F0688D">
        <w:rPr>
          <w:rStyle w:val="FootnoteReference"/>
        </w:rPr>
        <w:footnoteRef/>
      </w:r>
      <w:r w:rsidRPr="00F0688D">
        <w:rPr>
          <w:lang w:val="en-US"/>
        </w:rPr>
        <w:t xml:space="preserve"> </w:t>
      </w:r>
      <w:r w:rsidRPr="00F0688D">
        <w:rPr>
          <w:lang w:val="en-GB"/>
        </w:rPr>
        <w:t>Additional information from the Party concerned</w:t>
      </w:r>
      <w:r>
        <w:rPr>
          <w:lang w:val="en-GB"/>
        </w:rPr>
        <w:t>,</w:t>
      </w:r>
      <w:r w:rsidRPr="00F0688D">
        <w:rPr>
          <w:lang w:val="en-GB"/>
        </w:rPr>
        <w:t xml:space="preserve"> 24 October 2018, annex 1b, p</w:t>
      </w:r>
      <w:r>
        <w:rPr>
          <w:lang w:val="en-GB"/>
        </w:rPr>
        <w:t>p</w:t>
      </w:r>
      <w:r w:rsidRPr="00F0688D">
        <w:rPr>
          <w:lang w:val="en-GB"/>
        </w:rPr>
        <w:t>. 11</w:t>
      </w:r>
      <w:r>
        <w:rPr>
          <w:lang w:val="en-GB"/>
        </w:rPr>
        <w:t xml:space="preserve"> and 77</w:t>
      </w:r>
      <w:r w:rsidRPr="00F0688D">
        <w:rPr>
          <w:lang w:val="en-GB"/>
        </w:rPr>
        <w:t>.</w:t>
      </w:r>
    </w:p>
  </w:footnote>
  <w:footnote w:id="12">
    <w:p w14:paraId="6C5ECB54" w14:textId="77777777" w:rsidR="006B2913" w:rsidRPr="00F0688D" w:rsidRDefault="006B2913" w:rsidP="00A9211F">
      <w:pPr>
        <w:pStyle w:val="FootnoteText"/>
        <w:tabs>
          <w:tab w:val="left" w:pos="9072"/>
        </w:tabs>
        <w:ind w:right="0" w:firstLine="0"/>
        <w:rPr>
          <w:lang w:val="en-US"/>
        </w:rPr>
      </w:pPr>
      <w:r>
        <w:rPr>
          <w:rStyle w:val="FootnoteReference"/>
        </w:rPr>
        <w:footnoteRef/>
      </w:r>
      <w:r>
        <w:t xml:space="preserve"> </w:t>
      </w:r>
      <w:r w:rsidRPr="00F0688D">
        <w:rPr>
          <w:lang w:val="en-US"/>
        </w:rPr>
        <w:t>Communication, footnote 8.</w:t>
      </w:r>
    </w:p>
  </w:footnote>
  <w:footnote w:id="13">
    <w:p w14:paraId="0F4574F4" w14:textId="3DE9D13A" w:rsidR="006B2913" w:rsidRPr="00057246" w:rsidRDefault="006B2913" w:rsidP="00A9211F">
      <w:pPr>
        <w:pStyle w:val="FootnoteText"/>
        <w:tabs>
          <w:tab w:val="left" w:pos="9072"/>
        </w:tabs>
        <w:ind w:right="0" w:firstLine="0"/>
        <w:rPr>
          <w:lang w:val="en-GB"/>
        </w:rPr>
      </w:pPr>
      <w:r>
        <w:rPr>
          <w:rStyle w:val="FootnoteReference"/>
        </w:rPr>
        <w:footnoteRef/>
      </w:r>
      <w:r>
        <w:t xml:space="preserve"> </w:t>
      </w:r>
      <w:r w:rsidRPr="00057246">
        <w:rPr>
          <w:lang w:val="en-GB"/>
        </w:rPr>
        <w:t>Communication, p</w:t>
      </w:r>
      <w:r w:rsidRPr="00AB59E5">
        <w:rPr>
          <w:lang w:val="en-GB"/>
        </w:rPr>
        <w:t>.</w:t>
      </w:r>
      <w:r w:rsidRPr="00057246">
        <w:rPr>
          <w:lang w:val="en-GB"/>
        </w:rPr>
        <w:t xml:space="preserve"> 6</w:t>
      </w:r>
      <w:r w:rsidRPr="00AB59E5">
        <w:rPr>
          <w:lang w:val="en-GB"/>
        </w:rPr>
        <w:t>, and</w:t>
      </w:r>
      <w:r w:rsidRPr="00057246">
        <w:rPr>
          <w:lang w:val="en-GB"/>
        </w:rPr>
        <w:t xml:space="preserve"> Party’s response to communication, para 6.1.</w:t>
      </w:r>
    </w:p>
  </w:footnote>
  <w:footnote w:id="14">
    <w:p w14:paraId="76A4633E" w14:textId="184F8CB7" w:rsidR="006B2913" w:rsidRPr="00C61BB4" w:rsidRDefault="006B2913" w:rsidP="00A9211F">
      <w:pPr>
        <w:pStyle w:val="FootnoteText"/>
        <w:tabs>
          <w:tab w:val="left" w:pos="9072"/>
        </w:tabs>
        <w:ind w:right="0" w:firstLine="0"/>
        <w:rPr>
          <w:lang w:val="en-US"/>
        </w:rPr>
      </w:pPr>
      <w:r>
        <w:rPr>
          <w:rStyle w:val="FootnoteReference"/>
        </w:rPr>
        <w:footnoteRef/>
      </w:r>
      <w:r>
        <w:t xml:space="preserve"> </w:t>
      </w:r>
      <w:r w:rsidRPr="00057246">
        <w:rPr>
          <w:lang w:val="en-US"/>
        </w:rPr>
        <w:t>Party’s response</w:t>
      </w:r>
      <w:r w:rsidRPr="00C61BB4">
        <w:rPr>
          <w:lang w:val="en-US"/>
        </w:rPr>
        <w:t xml:space="preserve"> to communication</w:t>
      </w:r>
      <w:r>
        <w:t>, para. 6.9.</w:t>
      </w:r>
    </w:p>
  </w:footnote>
  <w:footnote w:id="15">
    <w:p w14:paraId="1B8040FB" w14:textId="1766D4EE" w:rsidR="006B2913" w:rsidRPr="00C477CC" w:rsidRDefault="006B2913" w:rsidP="00A9211F">
      <w:pPr>
        <w:pStyle w:val="FootnoteText"/>
        <w:tabs>
          <w:tab w:val="left" w:pos="9072"/>
        </w:tabs>
        <w:ind w:right="0" w:firstLine="0"/>
        <w:rPr>
          <w:lang w:val="en-GB"/>
        </w:rPr>
      </w:pPr>
      <w:r>
        <w:rPr>
          <w:rStyle w:val="FootnoteReference"/>
        </w:rPr>
        <w:footnoteRef/>
      </w:r>
      <w:r>
        <w:t xml:space="preserve"> </w:t>
      </w:r>
      <w:r>
        <w:rPr>
          <w:lang w:val="en-US"/>
        </w:rPr>
        <w:t>Ibid.</w:t>
      </w:r>
      <w:r>
        <w:t>, para. 6.6.</w:t>
      </w:r>
    </w:p>
  </w:footnote>
  <w:footnote w:id="16">
    <w:p w14:paraId="7B1736E0" w14:textId="77777777" w:rsidR="006B2913" w:rsidRPr="00194662" w:rsidRDefault="006B2913" w:rsidP="00A9211F">
      <w:pPr>
        <w:pStyle w:val="FootnoteText"/>
        <w:tabs>
          <w:tab w:val="left" w:pos="9072"/>
        </w:tabs>
        <w:ind w:right="0" w:firstLine="0"/>
        <w:rPr>
          <w:lang w:val="en-US"/>
        </w:rPr>
      </w:pPr>
      <w:r>
        <w:rPr>
          <w:rStyle w:val="FootnoteReference"/>
        </w:rPr>
        <w:footnoteRef/>
      </w:r>
      <w:r>
        <w:t xml:space="preserve"> </w:t>
      </w:r>
      <w:r>
        <w:rPr>
          <w:lang w:val="en-US"/>
        </w:rPr>
        <w:t>Communication, p 6, and</w:t>
      </w:r>
      <w:r w:rsidRPr="00194662">
        <w:rPr>
          <w:lang w:val="en-US"/>
        </w:rPr>
        <w:t xml:space="preserve"> Party’s response to communication, para 6.8.</w:t>
      </w:r>
    </w:p>
  </w:footnote>
  <w:footnote w:id="17">
    <w:p w14:paraId="44A11C19" w14:textId="344B131F" w:rsidR="006B2913" w:rsidRPr="003A46AE" w:rsidRDefault="006B2913" w:rsidP="00A9211F">
      <w:pPr>
        <w:pStyle w:val="FootnoteText"/>
        <w:tabs>
          <w:tab w:val="left" w:pos="9072"/>
        </w:tabs>
        <w:ind w:right="0" w:firstLine="0"/>
        <w:jc w:val="both"/>
        <w:rPr>
          <w:lang w:val="en-US"/>
        </w:rPr>
      </w:pPr>
      <w:r w:rsidRPr="000B6977">
        <w:rPr>
          <w:rStyle w:val="FootnoteReference"/>
        </w:rPr>
        <w:footnoteRef/>
      </w:r>
      <w:r w:rsidRPr="000B6977">
        <w:t xml:space="preserve"> </w:t>
      </w:r>
      <w:r w:rsidRPr="008D2E8E">
        <w:rPr>
          <w:lang w:val="en-US"/>
        </w:rPr>
        <w:t>U</w:t>
      </w:r>
      <w:r w:rsidRPr="000B6977">
        <w:rPr>
          <w:lang w:val="en-US"/>
        </w:rPr>
        <w:t>pdate from the communicant, 9 October 2018, p. 2.</w:t>
      </w:r>
    </w:p>
  </w:footnote>
  <w:footnote w:id="18">
    <w:p w14:paraId="73BFB422" w14:textId="77777777" w:rsidR="006B2913" w:rsidRPr="003A46AE" w:rsidRDefault="006B2913" w:rsidP="00A9211F">
      <w:pPr>
        <w:pStyle w:val="FootnoteText"/>
        <w:tabs>
          <w:tab w:val="left" w:pos="9072"/>
        </w:tabs>
        <w:ind w:right="0" w:firstLine="0"/>
        <w:rPr>
          <w:lang w:val="en-US"/>
        </w:rPr>
      </w:pPr>
      <w:r>
        <w:rPr>
          <w:rStyle w:val="FootnoteReference"/>
        </w:rPr>
        <w:footnoteRef/>
      </w:r>
      <w:r>
        <w:t xml:space="preserve"> </w:t>
      </w:r>
      <w:r w:rsidRPr="003A46AE">
        <w:rPr>
          <w:lang w:val="en-US"/>
        </w:rPr>
        <w:t xml:space="preserve">Communication, p 7. </w:t>
      </w:r>
    </w:p>
  </w:footnote>
  <w:footnote w:id="19">
    <w:p w14:paraId="03428F70" w14:textId="4A31EB40" w:rsidR="006B2913" w:rsidRPr="00AA39A9" w:rsidRDefault="006B2913" w:rsidP="00A9211F">
      <w:pPr>
        <w:pStyle w:val="FootnoteText"/>
        <w:tabs>
          <w:tab w:val="left" w:pos="9072"/>
        </w:tabs>
        <w:ind w:right="0" w:firstLine="0"/>
        <w:jc w:val="both"/>
        <w:rPr>
          <w:lang w:val="en-GB"/>
        </w:rPr>
      </w:pPr>
      <w:r>
        <w:rPr>
          <w:rStyle w:val="FootnoteReference"/>
        </w:rPr>
        <w:footnoteRef/>
      </w:r>
      <w:r>
        <w:t xml:space="preserve"> </w:t>
      </w:r>
      <w:r>
        <w:rPr>
          <w:lang w:val="en-GB"/>
        </w:rPr>
        <w:t xml:space="preserve">Additional information from the Party concerned, </w:t>
      </w:r>
      <w:r w:rsidRPr="00A95298">
        <w:rPr>
          <w:lang w:val="en-GB"/>
        </w:rPr>
        <w:t>24 October 2018</w:t>
      </w:r>
      <w:r>
        <w:rPr>
          <w:lang w:val="en-GB"/>
        </w:rPr>
        <w:t>, p. 2</w:t>
      </w:r>
      <w:r w:rsidRPr="00AA39A9">
        <w:rPr>
          <w:lang w:val="en-GB"/>
        </w:rPr>
        <w:t>.</w:t>
      </w:r>
    </w:p>
  </w:footnote>
  <w:footnote w:id="20">
    <w:p w14:paraId="63810EA6" w14:textId="3F294B6D" w:rsidR="006B2913" w:rsidRPr="008939EB"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2018 annual report, p. 67, and OCEI 2019 annual report, p. 75.</w:t>
      </w:r>
    </w:p>
  </w:footnote>
  <w:footnote w:id="21">
    <w:p w14:paraId="4E35662A" w14:textId="77777777" w:rsidR="006B2913" w:rsidRPr="00DE577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2016 annual report, p. 86.</w:t>
      </w:r>
    </w:p>
  </w:footnote>
  <w:footnote w:id="22">
    <w:p w14:paraId="719D27B4" w14:textId="77777777" w:rsidR="006B2913" w:rsidRPr="00DE577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2017 annual report, p. 88.</w:t>
      </w:r>
    </w:p>
  </w:footnote>
  <w:footnote w:id="23">
    <w:p w14:paraId="35092B6A" w14:textId="2E3F7329" w:rsidR="006B2913" w:rsidRPr="008434B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2018 annual report, p. 76.</w:t>
      </w:r>
    </w:p>
  </w:footnote>
  <w:footnote w:id="24">
    <w:p w14:paraId="565D5BF9" w14:textId="330F01ED" w:rsidR="006B2913" w:rsidRPr="005019F5"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2017 annual report, p. 79, OCEI 2018 annual report, p. 68, OCEI 2019 annual report, p. 72.</w:t>
      </w:r>
    </w:p>
  </w:footnote>
  <w:footnote w:id="25">
    <w:p w14:paraId="14F32B52" w14:textId="6CAE3216" w:rsidR="006B2913" w:rsidRPr="00AE720E" w:rsidRDefault="006B2913" w:rsidP="00A9211F">
      <w:pPr>
        <w:pStyle w:val="FootnoteText"/>
        <w:tabs>
          <w:tab w:val="left" w:pos="9072"/>
        </w:tabs>
        <w:ind w:right="0" w:firstLine="0"/>
      </w:pPr>
      <w:r>
        <w:rPr>
          <w:rStyle w:val="FootnoteReference"/>
        </w:rPr>
        <w:footnoteRef/>
      </w:r>
      <w:r>
        <w:t xml:space="preserve"> </w:t>
      </w:r>
      <w:r>
        <w:rPr>
          <w:lang w:val="en-GB"/>
        </w:rPr>
        <w:t>Update from the communicant, 9 October 2018, p. 1, and annex 1.</w:t>
      </w:r>
    </w:p>
  </w:footnote>
  <w:footnote w:id="26">
    <w:p w14:paraId="47BC0605" w14:textId="61C9A08F" w:rsidR="006B2913" w:rsidRPr="008939EB" w:rsidRDefault="006B2913" w:rsidP="00A9211F">
      <w:pPr>
        <w:pStyle w:val="FootnoteText"/>
        <w:tabs>
          <w:tab w:val="left" w:pos="9072"/>
        </w:tabs>
        <w:ind w:right="0" w:firstLine="0"/>
        <w:rPr>
          <w:b/>
          <w:bCs/>
          <w:lang w:val="en-US"/>
        </w:rPr>
      </w:pPr>
      <w:r>
        <w:rPr>
          <w:rStyle w:val="FootnoteReference"/>
        </w:rPr>
        <w:footnoteRef/>
      </w:r>
      <w:r>
        <w:t xml:space="preserve"> </w:t>
      </w:r>
      <w:r>
        <w:rPr>
          <w:lang w:val="en-US"/>
        </w:rPr>
        <w:t>OCEI 2018 annual report, p. 72.</w:t>
      </w:r>
    </w:p>
  </w:footnote>
  <w:footnote w:id="27">
    <w:p w14:paraId="337F638A" w14:textId="1479E9CD" w:rsidR="006B2913" w:rsidRPr="008939EB" w:rsidRDefault="006B2913" w:rsidP="00A9211F">
      <w:pPr>
        <w:pStyle w:val="FootnoteText"/>
        <w:tabs>
          <w:tab w:val="left" w:pos="9072"/>
        </w:tabs>
        <w:ind w:right="0" w:firstLine="0"/>
        <w:rPr>
          <w:b/>
          <w:bCs/>
          <w:lang w:val="en-US"/>
        </w:rPr>
      </w:pPr>
      <w:r>
        <w:rPr>
          <w:rStyle w:val="FootnoteReference"/>
        </w:rPr>
        <w:footnoteRef/>
      </w:r>
      <w:r>
        <w:t xml:space="preserve"> </w:t>
      </w:r>
      <w:r>
        <w:rPr>
          <w:lang w:val="en-US"/>
        </w:rPr>
        <w:t>Ibid., p. 74.</w:t>
      </w:r>
    </w:p>
  </w:footnote>
  <w:footnote w:id="28">
    <w:p w14:paraId="045140CC" w14:textId="240B1AEA" w:rsidR="006B2913" w:rsidRPr="008939EB" w:rsidRDefault="006B2913" w:rsidP="00A9211F">
      <w:pPr>
        <w:pStyle w:val="FootnoteText"/>
        <w:tabs>
          <w:tab w:val="left" w:pos="9072"/>
        </w:tabs>
        <w:ind w:right="0" w:firstLine="0"/>
        <w:rPr>
          <w:b/>
          <w:bCs/>
          <w:lang w:val="en-US"/>
        </w:rPr>
      </w:pPr>
      <w:r>
        <w:rPr>
          <w:rStyle w:val="FootnoteReference"/>
        </w:rPr>
        <w:footnoteRef/>
      </w:r>
      <w:r>
        <w:t xml:space="preserve"> </w:t>
      </w:r>
      <w:r>
        <w:rPr>
          <w:lang w:val="en-US"/>
        </w:rPr>
        <w:t>Ibid., p. 72.</w:t>
      </w:r>
    </w:p>
  </w:footnote>
  <w:footnote w:id="29">
    <w:p w14:paraId="01AB24AA" w14:textId="77777777" w:rsidR="006B2913" w:rsidRPr="00194662" w:rsidRDefault="006B2913" w:rsidP="00A9211F">
      <w:pPr>
        <w:pStyle w:val="FootnoteText"/>
        <w:tabs>
          <w:tab w:val="left" w:pos="9072"/>
        </w:tabs>
        <w:ind w:right="0" w:firstLine="0"/>
        <w:rPr>
          <w:lang w:val="en-GB"/>
        </w:rPr>
      </w:pPr>
      <w:r>
        <w:rPr>
          <w:rStyle w:val="FootnoteReference"/>
        </w:rPr>
        <w:footnoteRef/>
      </w:r>
      <w:r>
        <w:t xml:space="preserve"> </w:t>
      </w:r>
      <w:r w:rsidRPr="00194662">
        <w:rPr>
          <w:i/>
          <w:lang w:val="en-GB"/>
        </w:rPr>
        <w:t xml:space="preserve">NAMA v. Commissioner for Environmental Information </w:t>
      </w:r>
      <w:r w:rsidRPr="00194662">
        <w:rPr>
          <w:lang w:val="en-GB"/>
        </w:rPr>
        <w:t>[2013] IEHC 166.</w:t>
      </w:r>
    </w:p>
  </w:footnote>
  <w:footnote w:id="30">
    <w:p w14:paraId="1DAA3313" w14:textId="6A9D7C76" w:rsidR="006B2913" w:rsidRPr="002A5299" w:rsidRDefault="006B2913" w:rsidP="00A9211F">
      <w:pPr>
        <w:pStyle w:val="FootnoteText"/>
        <w:tabs>
          <w:tab w:val="left" w:pos="9072"/>
        </w:tabs>
        <w:ind w:right="0" w:firstLine="0"/>
        <w:rPr>
          <w:lang w:val="en-GB"/>
        </w:rPr>
      </w:pPr>
      <w:r>
        <w:rPr>
          <w:rStyle w:val="FootnoteReference"/>
        </w:rPr>
        <w:footnoteRef/>
      </w:r>
      <w:r>
        <w:t xml:space="preserve"> </w:t>
      </w:r>
      <w:r>
        <w:rPr>
          <w:lang w:val="en-GB"/>
        </w:rPr>
        <w:t>Party’s r</w:t>
      </w:r>
      <w:r w:rsidRPr="002A5299">
        <w:rPr>
          <w:lang w:val="en-GB"/>
        </w:rPr>
        <w:t xml:space="preserve">esponse </w:t>
      </w:r>
      <w:r>
        <w:rPr>
          <w:lang w:val="en-GB"/>
        </w:rPr>
        <w:t>to the communication</w:t>
      </w:r>
      <w:r w:rsidRPr="002A5299">
        <w:rPr>
          <w:lang w:val="en-GB"/>
        </w:rPr>
        <w:t xml:space="preserve">, </w:t>
      </w:r>
      <w:r>
        <w:rPr>
          <w:lang w:val="en-GB"/>
        </w:rPr>
        <w:t xml:space="preserve">annex 12, </w:t>
      </w:r>
      <w:r w:rsidRPr="002A5299">
        <w:rPr>
          <w:lang w:val="en-GB"/>
        </w:rPr>
        <w:t xml:space="preserve">pp. </w:t>
      </w:r>
      <w:r>
        <w:rPr>
          <w:lang w:val="en-GB"/>
        </w:rPr>
        <w:t>1-2.</w:t>
      </w:r>
    </w:p>
  </w:footnote>
  <w:footnote w:id="31">
    <w:p w14:paraId="257624EA" w14:textId="77777777" w:rsidR="006B2913" w:rsidRPr="00593E4F" w:rsidRDefault="006B2913" w:rsidP="00A9211F">
      <w:pPr>
        <w:pStyle w:val="FootnoteText"/>
        <w:tabs>
          <w:tab w:val="left" w:pos="9072"/>
        </w:tabs>
        <w:ind w:right="0" w:firstLine="0"/>
        <w:rPr>
          <w:lang w:val="en-GB"/>
        </w:rPr>
      </w:pPr>
      <w:r>
        <w:rPr>
          <w:rStyle w:val="FootnoteReference"/>
        </w:rPr>
        <w:footnoteRef/>
      </w:r>
      <w:r>
        <w:t xml:space="preserve"> </w:t>
      </w:r>
      <w:r w:rsidRPr="00593E4F">
        <w:rPr>
          <w:lang w:val="en-GB"/>
        </w:rPr>
        <w:t>Party’s response to communication, para. 6.11.</w:t>
      </w:r>
    </w:p>
  </w:footnote>
  <w:footnote w:id="32">
    <w:p w14:paraId="4072FAA7" w14:textId="74358A21" w:rsidR="006B2913" w:rsidRPr="00593E4F" w:rsidRDefault="006B2913" w:rsidP="00A9211F">
      <w:pPr>
        <w:pStyle w:val="FootnoteText"/>
        <w:tabs>
          <w:tab w:val="left" w:pos="9072"/>
        </w:tabs>
        <w:ind w:right="0" w:firstLine="0"/>
        <w:jc w:val="both"/>
        <w:rPr>
          <w:lang w:val="en-GB"/>
        </w:rPr>
      </w:pPr>
      <w:r>
        <w:rPr>
          <w:rStyle w:val="FootnoteReference"/>
        </w:rPr>
        <w:footnoteRef/>
      </w:r>
      <w:r>
        <w:t xml:space="preserve"> </w:t>
      </w:r>
      <w:r w:rsidRPr="00593E4F">
        <w:rPr>
          <w:lang w:val="en-GB"/>
        </w:rPr>
        <w:t>Communication, annex 5.</w:t>
      </w:r>
    </w:p>
  </w:footnote>
  <w:footnote w:id="33">
    <w:p w14:paraId="1606A3C0" w14:textId="7CEA461F" w:rsidR="006B2913" w:rsidRPr="00593E4F" w:rsidRDefault="006B2913" w:rsidP="00A9211F">
      <w:pPr>
        <w:pStyle w:val="FootnoteText"/>
        <w:tabs>
          <w:tab w:val="left" w:pos="9072"/>
        </w:tabs>
        <w:ind w:right="0" w:firstLine="0"/>
        <w:rPr>
          <w:lang w:val="en-GB"/>
        </w:rPr>
      </w:pPr>
      <w:r>
        <w:rPr>
          <w:rStyle w:val="FootnoteReference"/>
        </w:rPr>
        <w:footnoteRef/>
      </w:r>
      <w:r>
        <w:t xml:space="preserve"> </w:t>
      </w:r>
      <w:r>
        <w:rPr>
          <w:lang w:val="en-GB"/>
        </w:rPr>
        <w:t>Ibid</w:t>
      </w:r>
      <w:r w:rsidRPr="00593E4F">
        <w:rPr>
          <w:lang w:val="en-GB"/>
        </w:rPr>
        <w:t>.</w:t>
      </w:r>
    </w:p>
  </w:footnote>
  <w:footnote w:id="34">
    <w:p w14:paraId="17C4B061" w14:textId="77777777" w:rsidR="006B2913" w:rsidRPr="00593E4F" w:rsidRDefault="006B2913" w:rsidP="00A9211F">
      <w:pPr>
        <w:pStyle w:val="FootnoteText"/>
        <w:tabs>
          <w:tab w:val="left" w:pos="9072"/>
        </w:tabs>
        <w:ind w:right="0" w:firstLine="0"/>
        <w:rPr>
          <w:lang w:val="en-GB"/>
        </w:rPr>
      </w:pPr>
      <w:r>
        <w:rPr>
          <w:rStyle w:val="FootnoteReference"/>
        </w:rPr>
        <w:footnoteRef/>
      </w:r>
      <w:r>
        <w:t xml:space="preserve"> </w:t>
      </w:r>
      <w:r w:rsidRPr="00593E4F">
        <w:rPr>
          <w:lang w:val="en-GB"/>
        </w:rPr>
        <w:t>Party’s response to communication, para. 6.12.</w:t>
      </w:r>
    </w:p>
  </w:footnote>
  <w:footnote w:id="35">
    <w:p w14:paraId="6FAF327B" w14:textId="529ECE3C" w:rsidR="006B2913" w:rsidRPr="00593E4F" w:rsidRDefault="006B2913" w:rsidP="00A9211F">
      <w:pPr>
        <w:pStyle w:val="FootnoteText"/>
        <w:tabs>
          <w:tab w:val="left" w:pos="9072"/>
        </w:tabs>
        <w:ind w:right="0" w:firstLine="0"/>
        <w:rPr>
          <w:lang w:val="en-GB"/>
        </w:rPr>
      </w:pPr>
      <w:r>
        <w:rPr>
          <w:rStyle w:val="FootnoteReference"/>
        </w:rPr>
        <w:footnoteRef/>
      </w:r>
      <w:r>
        <w:t xml:space="preserve"> </w:t>
      </w:r>
      <w:r>
        <w:rPr>
          <w:lang w:val="en-GB"/>
        </w:rPr>
        <w:t>Ibid</w:t>
      </w:r>
      <w:r w:rsidRPr="00593E4F">
        <w:rPr>
          <w:lang w:val="en-GB"/>
        </w:rPr>
        <w:t>.</w:t>
      </w:r>
    </w:p>
  </w:footnote>
  <w:footnote w:id="36">
    <w:p w14:paraId="2F309032" w14:textId="00DA594B" w:rsidR="006B2913" w:rsidRPr="00593E4F" w:rsidRDefault="006B2913" w:rsidP="00A9211F">
      <w:pPr>
        <w:pStyle w:val="FootnoteText"/>
        <w:tabs>
          <w:tab w:val="left" w:pos="9072"/>
        </w:tabs>
        <w:ind w:right="0" w:firstLine="0"/>
        <w:jc w:val="both"/>
        <w:rPr>
          <w:lang w:val="en-GB"/>
        </w:rPr>
      </w:pPr>
      <w:r>
        <w:rPr>
          <w:rStyle w:val="FootnoteReference"/>
        </w:rPr>
        <w:footnoteRef/>
      </w:r>
      <w:r>
        <w:t xml:space="preserve"> </w:t>
      </w:r>
      <w:r w:rsidRPr="00593E4F">
        <w:rPr>
          <w:lang w:val="en-GB"/>
        </w:rPr>
        <w:t xml:space="preserve">Communication, annex 2. </w:t>
      </w:r>
    </w:p>
  </w:footnote>
  <w:footnote w:id="37">
    <w:p w14:paraId="75189D36" w14:textId="39BCBE6E" w:rsidR="006B2913" w:rsidRPr="00593E4F" w:rsidRDefault="006B2913" w:rsidP="00A9211F">
      <w:pPr>
        <w:pStyle w:val="FootnoteText"/>
        <w:tabs>
          <w:tab w:val="left" w:pos="9072"/>
        </w:tabs>
        <w:ind w:right="0" w:firstLine="0"/>
        <w:rPr>
          <w:lang w:val="en-GB"/>
        </w:rPr>
      </w:pPr>
      <w:r>
        <w:rPr>
          <w:rStyle w:val="FootnoteReference"/>
        </w:rPr>
        <w:footnoteRef/>
      </w:r>
      <w:r>
        <w:t xml:space="preserve"> </w:t>
      </w:r>
      <w:r w:rsidRPr="00593E4F">
        <w:rPr>
          <w:lang w:val="en-GB"/>
        </w:rPr>
        <w:t>Communication, annex 5.</w:t>
      </w:r>
    </w:p>
  </w:footnote>
  <w:footnote w:id="38">
    <w:p w14:paraId="3505D9F8" w14:textId="77777777" w:rsidR="006B2913" w:rsidRPr="006E667C" w:rsidRDefault="006B2913" w:rsidP="00A9211F">
      <w:pPr>
        <w:pStyle w:val="FootnoteText"/>
        <w:tabs>
          <w:tab w:val="left" w:pos="9072"/>
        </w:tabs>
        <w:ind w:right="0" w:firstLine="0"/>
      </w:pPr>
      <w:r>
        <w:rPr>
          <w:rStyle w:val="FootnoteReference"/>
        </w:rPr>
        <w:footnoteRef/>
      </w:r>
      <w:r>
        <w:t xml:space="preserve"> </w:t>
      </w:r>
      <w:r w:rsidRPr="00593E4F">
        <w:rPr>
          <w:lang w:val="en-GB"/>
        </w:rPr>
        <w:t>Party’s response to communication, p. 2, and annex 19.</w:t>
      </w:r>
    </w:p>
  </w:footnote>
  <w:footnote w:id="39">
    <w:p w14:paraId="3C87DB2E" w14:textId="77777777" w:rsidR="006B2913" w:rsidRPr="00B2145B" w:rsidRDefault="006B2913" w:rsidP="00A9211F">
      <w:pPr>
        <w:pStyle w:val="FootnoteText"/>
        <w:tabs>
          <w:tab w:val="left" w:pos="9072"/>
        </w:tabs>
        <w:ind w:right="0" w:firstLine="0"/>
        <w:jc w:val="both"/>
        <w:rPr>
          <w:lang w:val="en-GB"/>
        </w:rPr>
      </w:pPr>
      <w:r>
        <w:rPr>
          <w:rStyle w:val="FootnoteReference"/>
        </w:rPr>
        <w:footnoteRef/>
      </w:r>
      <w:r>
        <w:t xml:space="preserve"> </w:t>
      </w:r>
      <w:r w:rsidRPr="00C624D6">
        <w:rPr>
          <w:lang w:val="en-GB"/>
        </w:rPr>
        <w:t xml:space="preserve">Party’s response to communication, para. </w:t>
      </w:r>
      <w:r w:rsidRPr="00B2145B">
        <w:rPr>
          <w:lang w:val="en-GB"/>
        </w:rPr>
        <w:t>6.15.</w:t>
      </w:r>
    </w:p>
  </w:footnote>
  <w:footnote w:id="40">
    <w:p w14:paraId="1937BC40" w14:textId="77777777" w:rsidR="006B2913" w:rsidRPr="002E328C" w:rsidRDefault="006B2913" w:rsidP="00A9211F">
      <w:pPr>
        <w:pStyle w:val="FootnoteText"/>
        <w:tabs>
          <w:tab w:val="left" w:pos="9072"/>
        </w:tabs>
        <w:ind w:right="0" w:firstLine="0"/>
        <w:rPr>
          <w:lang w:val="en-GB"/>
        </w:rPr>
      </w:pPr>
      <w:r>
        <w:rPr>
          <w:rStyle w:val="FootnoteReference"/>
        </w:rPr>
        <w:footnoteRef/>
      </w:r>
      <w:r>
        <w:t xml:space="preserve"> </w:t>
      </w:r>
      <w:r>
        <w:rPr>
          <w:lang w:val="en-GB"/>
        </w:rPr>
        <w:t>Additional information from the Party concerned, 24 October 2018, pp. 7-8, and o</w:t>
      </w:r>
      <w:r w:rsidRPr="00C477CC">
        <w:rPr>
          <w:lang w:val="en-GB"/>
        </w:rPr>
        <w:t>bserver statement by Mr. Minch, 27 October 2018, p. 1</w:t>
      </w:r>
      <w:r>
        <w:rPr>
          <w:lang w:val="en-GB"/>
        </w:rPr>
        <w:t xml:space="preserve">, fn. 1. </w:t>
      </w:r>
    </w:p>
  </w:footnote>
  <w:footnote w:id="41">
    <w:p w14:paraId="6247E0BB" w14:textId="2A35B94D" w:rsidR="006B2913" w:rsidRPr="00B234BD" w:rsidRDefault="00B234BD">
      <w:pPr>
        <w:pStyle w:val="FootnoteText"/>
        <w:rPr>
          <w:lang w:val="fr-CH"/>
        </w:rPr>
      </w:pPr>
      <w:r>
        <w:tab/>
      </w:r>
      <w:r>
        <w:tab/>
      </w:r>
      <w:r w:rsidR="006B2913">
        <w:rPr>
          <w:rStyle w:val="FootnoteReference"/>
        </w:rPr>
        <w:footnoteRef/>
      </w:r>
      <w:r w:rsidR="006B2913">
        <w:t xml:space="preserve"> </w:t>
      </w:r>
      <w:r w:rsidRPr="00B234BD">
        <w:rPr>
          <w:lang w:val="fr-CH"/>
        </w:rPr>
        <w:t>P</w:t>
      </w:r>
      <w:r>
        <w:rPr>
          <w:lang w:val="fr-CH"/>
        </w:rPr>
        <w:t>arty’s response to communication, para. 2.10.</w:t>
      </w:r>
    </w:p>
  </w:footnote>
  <w:footnote w:id="42">
    <w:p w14:paraId="58338F73" w14:textId="6FACAFBA" w:rsidR="006B2913" w:rsidRPr="00A9211F" w:rsidRDefault="006B2913" w:rsidP="00A9211F">
      <w:pPr>
        <w:pStyle w:val="FootnoteText"/>
        <w:tabs>
          <w:tab w:val="left" w:pos="9072"/>
        </w:tabs>
        <w:ind w:right="0" w:firstLine="0"/>
        <w:rPr>
          <w:lang w:val="fr-CH"/>
        </w:rPr>
      </w:pPr>
      <w:r>
        <w:rPr>
          <w:rStyle w:val="FootnoteReference"/>
        </w:rPr>
        <w:footnoteRef/>
      </w:r>
      <w:r>
        <w:t xml:space="preserve"> Communication p.</w:t>
      </w:r>
      <w:r w:rsidRPr="00A9211F">
        <w:rPr>
          <w:lang w:val="fr-CH"/>
        </w:rPr>
        <w:t xml:space="preserve"> 2.</w:t>
      </w:r>
    </w:p>
  </w:footnote>
  <w:footnote w:id="43">
    <w:p w14:paraId="66A8E0F5" w14:textId="77777777" w:rsidR="006B2913" w:rsidRPr="00A9211F" w:rsidRDefault="006B2913" w:rsidP="00A9211F">
      <w:pPr>
        <w:pStyle w:val="FootnoteText"/>
        <w:tabs>
          <w:tab w:val="left" w:pos="9072"/>
        </w:tabs>
        <w:ind w:right="0" w:firstLine="0"/>
        <w:jc w:val="both"/>
        <w:rPr>
          <w:lang w:val="fr-CH"/>
        </w:rPr>
      </w:pPr>
      <w:r>
        <w:rPr>
          <w:rStyle w:val="FootnoteReference"/>
        </w:rPr>
        <w:footnoteRef/>
      </w:r>
      <w:r>
        <w:t xml:space="preserve"> Communication, p. 10.</w:t>
      </w:r>
    </w:p>
  </w:footnote>
  <w:footnote w:id="44">
    <w:p w14:paraId="77CAF9C2" w14:textId="77777777" w:rsidR="006B2913" w:rsidRPr="00A9211F" w:rsidRDefault="006B2913" w:rsidP="00A9211F">
      <w:pPr>
        <w:pStyle w:val="FootnoteText"/>
        <w:tabs>
          <w:tab w:val="left" w:pos="9072"/>
        </w:tabs>
        <w:ind w:right="0" w:firstLine="0"/>
        <w:rPr>
          <w:lang w:val="fr-CH"/>
        </w:rPr>
      </w:pPr>
      <w:r>
        <w:rPr>
          <w:rStyle w:val="FootnoteReference"/>
        </w:rPr>
        <w:footnoteRef/>
      </w:r>
      <w:r>
        <w:t xml:space="preserve"> Communication, p. 10.</w:t>
      </w:r>
    </w:p>
  </w:footnote>
  <w:footnote w:id="45">
    <w:p w14:paraId="00CE1421" w14:textId="77777777" w:rsidR="006B2913" w:rsidRPr="007A71B2" w:rsidRDefault="006B2913" w:rsidP="00A9211F">
      <w:pPr>
        <w:pStyle w:val="FootnoteText"/>
        <w:tabs>
          <w:tab w:val="left" w:pos="9072"/>
        </w:tabs>
        <w:ind w:right="0" w:firstLine="0"/>
        <w:jc w:val="both"/>
        <w:rPr>
          <w:lang w:val="en-GB"/>
        </w:rPr>
      </w:pPr>
      <w:r>
        <w:rPr>
          <w:rStyle w:val="FootnoteReference"/>
        </w:rPr>
        <w:footnoteRef/>
      </w:r>
      <w:r>
        <w:t xml:space="preserve"> Communication, p. 4.</w:t>
      </w:r>
    </w:p>
  </w:footnote>
  <w:footnote w:id="46">
    <w:p w14:paraId="313E255E" w14:textId="77777777" w:rsidR="006B2913" w:rsidRPr="00B2145B" w:rsidRDefault="006B2913" w:rsidP="00A9211F">
      <w:pPr>
        <w:pStyle w:val="FootnoteText"/>
        <w:tabs>
          <w:tab w:val="left" w:pos="9072"/>
        </w:tabs>
        <w:ind w:right="0" w:firstLine="0"/>
        <w:jc w:val="both"/>
        <w:rPr>
          <w:lang w:val="en-GB"/>
        </w:rPr>
      </w:pPr>
      <w:r>
        <w:rPr>
          <w:rStyle w:val="FootnoteReference"/>
        </w:rPr>
        <w:footnoteRef/>
      </w:r>
      <w:r>
        <w:t xml:space="preserve"> </w:t>
      </w:r>
      <w:r w:rsidRPr="00B2145B">
        <w:rPr>
          <w:lang w:val="en-GB"/>
        </w:rPr>
        <w:t>Party’s response to communication, para. 3.2.</w:t>
      </w:r>
    </w:p>
  </w:footnote>
  <w:footnote w:id="47">
    <w:p w14:paraId="382C6017" w14:textId="1AA339BF" w:rsidR="006B2913" w:rsidRPr="00B2145B" w:rsidRDefault="006B2913" w:rsidP="00A9211F">
      <w:pPr>
        <w:pStyle w:val="FootnoteText"/>
        <w:tabs>
          <w:tab w:val="left" w:pos="9072"/>
        </w:tabs>
        <w:ind w:right="0" w:firstLine="0"/>
        <w:jc w:val="both"/>
        <w:rPr>
          <w:lang w:val="en-GB"/>
        </w:rPr>
      </w:pPr>
      <w:r>
        <w:rPr>
          <w:rStyle w:val="FootnoteReference"/>
        </w:rPr>
        <w:footnoteRef/>
      </w:r>
      <w:r>
        <w:t xml:space="preserve"> </w:t>
      </w:r>
      <w:r>
        <w:rPr>
          <w:lang w:val="en-GB"/>
        </w:rPr>
        <w:t>Ibid</w:t>
      </w:r>
      <w:r w:rsidRPr="00B2145B">
        <w:rPr>
          <w:lang w:val="en-GB"/>
        </w:rPr>
        <w:t>.</w:t>
      </w:r>
    </w:p>
  </w:footnote>
  <w:footnote w:id="48">
    <w:p w14:paraId="56BD85D4" w14:textId="02EB16B4" w:rsidR="006B2913" w:rsidRPr="00B2145B" w:rsidRDefault="006B2913" w:rsidP="00A9211F">
      <w:pPr>
        <w:pStyle w:val="FootnoteText"/>
        <w:tabs>
          <w:tab w:val="left" w:pos="9072"/>
        </w:tabs>
        <w:ind w:right="0" w:firstLine="0"/>
        <w:jc w:val="both"/>
        <w:rPr>
          <w:lang w:val="en-GB"/>
        </w:rPr>
      </w:pPr>
      <w:r>
        <w:rPr>
          <w:rStyle w:val="FootnoteReference"/>
        </w:rPr>
        <w:footnoteRef/>
      </w:r>
      <w:r>
        <w:t xml:space="preserve"> </w:t>
      </w:r>
      <w:r>
        <w:rPr>
          <w:lang w:val="en-GB"/>
        </w:rPr>
        <w:t>Ibid.</w:t>
      </w:r>
      <w:r w:rsidRPr="00B2145B">
        <w:rPr>
          <w:lang w:val="en-GB"/>
        </w:rPr>
        <w:t>, para</w:t>
      </w:r>
      <w:r>
        <w:rPr>
          <w:lang w:val="en-GB"/>
        </w:rPr>
        <w:t>s</w:t>
      </w:r>
      <w:r w:rsidRPr="00B2145B">
        <w:rPr>
          <w:lang w:val="en-GB"/>
        </w:rPr>
        <w:t>. 3</w:t>
      </w:r>
      <w:r>
        <w:rPr>
          <w:lang w:val="en-GB"/>
        </w:rPr>
        <w:t>.3 and 3.4</w:t>
      </w:r>
      <w:r w:rsidRPr="00B2145B">
        <w:rPr>
          <w:lang w:val="en-GB"/>
        </w:rPr>
        <w:t>.</w:t>
      </w:r>
    </w:p>
  </w:footnote>
  <w:footnote w:id="49">
    <w:p w14:paraId="3FC4061C" w14:textId="77777777" w:rsidR="006B2913" w:rsidRPr="001A3D4B" w:rsidRDefault="006B2913" w:rsidP="00A9211F">
      <w:pPr>
        <w:pStyle w:val="FootnoteText"/>
        <w:tabs>
          <w:tab w:val="left" w:pos="9072"/>
        </w:tabs>
        <w:ind w:right="0" w:firstLine="0"/>
        <w:rPr>
          <w:lang w:val="en-GB"/>
        </w:rPr>
      </w:pPr>
      <w:r>
        <w:rPr>
          <w:rStyle w:val="FootnoteReference"/>
        </w:rPr>
        <w:footnoteRef/>
      </w:r>
      <w:r>
        <w:t xml:space="preserve"> </w:t>
      </w:r>
      <w:r w:rsidRPr="001A3D4B">
        <w:rPr>
          <w:lang w:val="en-GB"/>
        </w:rPr>
        <w:t>Party’s oral submission during h</w:t>
      </w:r>
      <w:r>
        <w:rPr>
          <w:lang w:val="en-GB"/>
        </w:rPr>
        <w:t>earing at Committee’s 62</w:t>
      </w:r>
      <w:r w:rsidRPr="001A3D4B">
        <w:rPr>
          <w:vertAlign w:val="superscript"/>
          <w:lang w:val="en-GB"/>
        </w:rPr>
        <w:t>nd</w:t>
      </w:r>
      <w:r>
        <w:rPr>
          <w:lang w:val="en-GB"/>
        </w:rPr>
        <w:t xml:space="preserve"> meeting.</w:t>
      </w:r>
    </w:p>
  </w:footnote>
  <w:footnote w:id="50">
    <w:p w14:paraId="5E2B2FD2" w14:textId="63FD46DB" w:rsidR="006B2913" w:rsidRPr="003C4365" w:rsidRDefault="006B2913" w:rsidP="00A9211F">
      <w:pPr>
        <w:pStyle w:val="FootnoteText"/>
        <w:tabs>
          <w:tab w:val="left" w:pos="9072"/>
        </w:tabs>
        <w:ind w:right="0" w:firstLine="0"/>
        <w:rPr>
          <w:lang w:val="en-GB"/>
        </w:rPr>
      </w:pPr>
      <w:r>
        <w:rPr>
          <w:rStyle w:val="FootnoteReference"/>
        </w:rPr>
        <w:footnoteRef/>
      </w:r>
      <w:r>
        <w:t xml:space="preserve"> </w:t>
      </w:r>
      <w:r w:rsidRPr="003C4365">
        <w:rPr>
          <w:lang w:val="en-GB"/>
        </w:rPr>
        <w:t xml:space="preserve">Observer comments from </w:t>
      </w:r>
      <w:r>
        <w:rPr>
          <w:lang w:val="en-GB"/>
        </w:rPr>
        <w:t>the Environmental Pillar</w:t>
      </w:r>
      <w:r w:rsidRPr="003C4365">
        <w:rPr>
          <w:lang w:val="en-GB"/>
        </w:rPr>
        <w:t>, 18 October 2018</w:t>
      </w:r>
      <w:r>
        <w:rPr>
          <w:lang w:val="en-GB"/>
        </w:rPr>
        <w:t>, pp. 4-5</w:t>
      </w:r>
      <w:r w:rsidRPr="003C4365">
        <w:rPr>
          <w:lang w:val="en-GB"/>
        </w:rPr>
        <w:t>.</w:t>
      </w:r>
    </w:p>
  </w:footnote>
  <w:footnote w:id="51">
    <w:p w14:paraId="39D6685A" w14:textId="77777777" w:rsidR="006B2913" w:rsidRPr="00D872EC" w:rsidRDefault="006B2913" w:rsidP="00A9211F">
      <w:pPr>
        <w:pStyle w:val="FootnoteText"/>
        <w:tabs>
          <w:tab w:val="left" w:pos="9072"/>
        </w:tabs>
        <w:ind w:right="0" w:firstLine="0"/>
        <w:jc w:val="both"/>
        <w:rPr>
          <w:lang w:val="en-GB"/>
        </w:rPr>
      </w:pPr>
      <w:r>
        <w:rPr>
          <w:rStyle w:val="FootnoteReference"/>
        </w:rPr>
        <w:footnoteRef/>
      </w:r>
      <w:r>
        <w:t xml:space="preserve"> Communication, p. 8</w:t>
      </w:r>
      <w:r w:rsidRPr="00D872EC">
        <w:rPr>
          <w:lang w:val="en-GB"/>
        </w:rPr>
        <w:t>.</w:t>
      </w:r>
    </w:p>
  </w:footnote>
  <w:footnote w:id="52">
    <w:p w14:paraId="716E0F19" w14:textId="77777777" w:rsidR="006B2913" w:rsidRPr="00D872EC" w:rsidRDefault="006B2913" w:rsidP="00A9211F">
      <w:pPr>
        <w:pStyle w:val="FootnoteText"/>
        <w:tabs>
          <w:tab w:val="left" w:pos="9072"/>
        </w:tabs>
        <w:ind w:right="0" w:firstLine="0"/>
        <w:rPr>
          <w:lang w:val="en-GB"/>
        </w:rPr>
      </w:pPr>
      <w:r>
        <w:rPr>
          <w:rStyle w:val="FootnoteReference"/>
        </w:rPr>
        <w:footnoteRef/>
      </w:r>
      <w:r>
        <w:t xml:space="preserve"> </w:t>
      </w:r>
      <w:r>
        <w:rPr>
          <w:lang w:val="en-GB"/>
        </w:rPr>
        <w:t>Update</w:t>
      </w:r>
      <w:r w:rsidRPr="00D872EC">
        <w:rPr>
          <w:lang w:val="en-GB"/>
        </w:rPr>
        <w:t xml:space="preserve"> from communicant, 9 October 2018, p. 2.</w:t>
      </w:r>
    </w:p>
  </w:footnote>
  <w:footnote w:id="53">
    <w:p w14:paraId="6A6375F6" w14:textId="5858B07B" w:rsidR="006B2913" w:rsidRPr="002B66EF" w:rsidRDefault="006B2913" w:rsidP="00A9211F">
      <w:pPr>
        <w:pStyle w:val="FootnoteText"/>
        <w:tabs>
          <w:tab w:val="left" w:pos="9072"/>
        </w:tabs>
        <w:ind w:right="0" w:firstLine="0"/>
        <w:jc w:val="both"/>
        <w:rPr>
          <w:b/>
          <w:lang w:val="en-GB"/>
        </w:rPr>
      </w:pPr>
      <w:r>
        <w:rPr>
          <w:rStyle w:val="FootnoteReference"/>
        </w:rPr>
        <w:footnoteRef/>
      </w:r>
      <w:r>
        <w:t xml:space="preserve"> </w:t>
      </w:r>
      <w:r>
        <w:rPr>
          <w:lang w:val="en-GB"/>
        </w:rPr>
        <w:t>Ibid</w:t>
      </w:r>
      <w:r>
        <w:t>.</w:t>
      </w:r>
    </w:p>
  </w:footnote>
  <w:footnote w:id="54">
    <w:p w14:paraId="04B15283" w14:textId="77777777" w:rsidR="006B2913" w:rsidRPr="00E31DA9" w:rsidRDefault="006B2913" w:rsidP="00A9211F">
      <w:pPr>
        <w:pStyle w:val="FootnoteText"/>
        <w:tabs>
          <w:tab w:val="left" w:pos="9072"/>
        </w:tabs>
        <w:ind w:right="0" w:firstLine="0"/>
        <w:rPr>
          <w:lang w:val="en-US"/>
        </w:rPr>
      </w:pPr>
      <w:r>
        <w:rPr>
          <w:rStyle w:val="FootnoteReference"/>
        </w:rPr>
        <w:footnoteRef/>
      </w:r>
      <w:r>
        <w:t xml:space="preserve"> </w:t>
      </w:r>
      <w:r>
        <w:rPr>
          <w:lang w:val="en-US"/>
        </w:rPr>
        <w:t>Communication, p. 9.</w:t>
      </w:r>
    </w:p>
  </w:footnote>
  <w:footnote w:id="55">
    <w:p w14:paraId="21B70D89" w14:textId="77777777" w:rsidR="006B2913" w:rsidRPr="005A7C5A" w:rsidRDefault="006B2913" w:rsidP="00A9211F">
      <w:pPr>
        <w:pStyle w:val="FootnoteText"/>
        <w:tabs>
          <w:tab w:val="left" w:pos="9072"/>
        </w:tabs>
        <w:ind w:right="0" w:firstLine="0"/>
        <w:rPr>
          <w:lang w:val="en-US"/>
        </w:rPr>
      </w:pPr>
      <w:r>
        <w:rPr>
          <w:rStyle w:val="FootnoteReference"/>
        </w:rPr>
        <w:footnoteRef/>
      </w:r>
      <w:r>
        <w:t xml:space="preserve"> </w:t>
      </w:r>
      <w:r w:rsidRPr="0057564B">
        <w:rPr>
          <w:lang w:val="en-GB"/>
        </w:rPr>
        <w:t>Party’s response to communication</w:t>
      </w:r>
      <w:r>
        <w:rPr>
          <w:lang w:val="en-GB"/>
        </w:rPr>
        <w:t>, para. 4.16.</w:t>
      </w:r>
    </w:p>
  </w:footnote>
  <w:footnote w:id="56">
    <w:p w14:paraId="068EFF1D" w14:textId="438C29A9" w:rsidR="006B2913" w:rsidRPr="005A7C5A" w:rsidRDefault="006B2913" w:rsidP="00A9211F">
      <w:pPr>
        <w:pStyle w:val="FootnoteText"/>
        <w:tabs>
          <w:tab w:val="left" w:pos="9072"/>
        </w:tabs>
        <w:ind w:right="0" w:firstLine="0"/>
        <w:rPr>
          <w:lang w:val="en-US"/>
        </w:rPr>
      </w:pPr>
      <w:r>
        <w:rPr>
          <w:rStyle w:val="FootnoteReference"/>
        </w:rPr>
        <w:footnoteRef/>
      </w:r>
      <w:r>
        <w:t xml:space="preserve"> </w:t>
      </w:r>
      <w:r>
        <w:rPr>
          <w:lang w:val="en-GB"/>
        </w:rPr>
        <w:t>Ibid., para. 4.16.</w:t>
      </w:r>
    </w:p>
  </w:footnote>
  <w:footnote w:id="57">
    <w:p w14:paraId="36DDB3CF" w14:textId="3BCE26A9" w:rsidR="006B2913" w:rsidRPr="00A318D0" w:rsidRDefault="006B2913" w:rsidP="00A9211F">
      <w:pPr>
        <w:pStyle w:val="FootnoteText"/>
        <w:tabs>
          <w:tab w:val="left" w:pos="9072"/>
        </w:tabs>
        <w:ind w:right="0" w:firstLine="0"/>
        <w:jc w:val="both"/>
        <w:rPr>
          <w:lang w:val="en-US"/>
        </w:rPr>
      </w:pPr>
      <w:r>
        <w:rPr>
          <w:rStyle w:val="FootnoteReference"/>
        </w:rPr>
        <w:footnoteRef/>
      </w:r>
      <w:r>
        <w:t xml:space="preserve"> </w:t>
      </w:r>
      <w:r>
        <w:rPr>
          <w:lang w:val="en-GB"/>
        </w:rPr>
        <w:t>Ibid., para. 4.12.</w:t>
      </w:r>
    </w:p>
  </w:footnote>
  <w:footnote w:id="58">
    <w:p w14:paraId="47EFA63B" w14:textId="58A21F42" w:rsidR="006B2913" w:rsidRPr="0073757D" w:rsidRDefault="006B2913" w:rsidP="00A9211F">
      <w:pPr>
        <w:pStyle w:val="FootnoteText"/>
        <w:tabs>
          <w:tab w:val="left" w:pos="9072"/>
        </w:tabs>
        <w:ind w:right="0" w:firstLine="0"/>
        <w:rPr>
          <w:lang w:val="en-GB"/>
        </w:rPr>
      </w:pPr>
      <w:r>
        <w:rPr>
          <w:rStyle w:val="FootnoteReference"/>
        </w:rPr>
        <w:footnoteRef/>
      </w:r>
      <w:r>
        <w:t xml:space="preserve"> </w:t>
      </w:r>
      <w:r w:rsidRPr="0073757D">
        <w:rPr>
          <w:lang w:val="en-GB"/>
        </w:rPr>
        <w:t xml:space="preserve">Additional information from the Party concerned, 24 October 2018, pp. </w:t>
      </w:r>
      <w:r>
        <w:rPr>
          <w:lang w:val="en-GB"/>
        </w:rPr>
        <w:t>5-6.</w:t>
      </w:r>
    </w:p>
  </w:footnote>
  <w:footnote w:id="59">
    <w:p w14:paraId="4FC90BB6" w14:textId="2599F65A" w:rsidR="006B2913" w:rsidRPr="007358EF" w:rsidRDefault="006B2913" w:rsidP="00A9211F">
      <w:pPr>
        <w:pStyle w:val="FootnoteText"/>
        <w:tabs>
          <w:tab w:val="left" w:pos="9072"/>
        </w:tabs>
        <w:ind w:right="0"/>
        <w:rPr>
          <w:lang w:val="en-US"/>
        </w:rPr>
      </w:pPr>
      <w:r>
        <w:tab/>
      </w:r>
      <w:r>
        <w:tab/>
      </w:r>
      <w:r>
        <w:rPr>
          <w:rStyle w:val="FootnoteReference"/>
        </w:rPr>
        <w:footnoteRef/>
      </w:r>
      <w:r>
        <w:t xml:space="preserve"> </w:t>
      </w:r>
      <w:r w:rsidRPr="0057564B">
        <w:rPr>
          <w:lang w:val="en-GB"/>
        </w:rPr>
        <w:t>Party’s response to communication</w:t>
      </w:r>
      <w:r>
        <w:rPr>
          <w:lang w:val="en-GB"/>
        </w:rPr>
        <w:t>, para. 4.14.</w:t>
      </w:r>
    </w:p>
  </w:footnote>
  <w:footnote w:id="60">
    <w:p w14:paraId="33FE52B0" w14:textId="521E118F" w:rsidR="006B2913" w:rsidRPr="005E1621" w:rsidRDefault="006B2913" w:rsidP="00A9211F">
      <w:pPr>
        <w:pStyle w:val="FootnoteText"/>
        <w:tabs>
          <w:tab w:val="left" w:pos="9072"/>
        </w:tabs>
        <w:ind w:right="0"/>
        <w:rPr>
          <w:lang w:val="en-GB"/>
        </w:rPr>
      </w:pPr>
      <w:r>
        <w:rPr>
          <w:lang w:val="en-US"/>
        </w:rPr>
        <w:tab/>
      </w:r>
      <w:r>
        <w:rPr>
          <w:lang w:val="en-US"/>
        </w:rPr>
        <w:tab/>
      </w:r>
      <w:r>
        <w:rPr>
          <w:rStyle w:val="FootnoteReference"/>
        </w:rPr>
        <w:footnoteRef/>
      </w:r>
      <w:r>
        <w:t xml:space="preserve"> </w:t>
      </w:r>
      <w:r w:rsidRPr="005E1621">
        <w:rPr>
          <w:lang w:val="en-GB"/>
        </w:rPr>
        <w:t xml:space="preserve">Observer comments from </w:t>
      </w:r>
      <w:r>
        <w:rPr>
          <w:lang w:val="en-GB"/>
        </w:rPr>
        <w:t>the Environmental Pillar</w:t>
      </w:r>
      <w:r w:rsidRPr="005E1621">
        <w:rPr>
          <w:lang w:val="en-GB"/>
        </w:rPr>
        <w:t>, 18 October 2018, p</w:t>
      </w:r>
      <w:r>
        <w:rPr>
          <w:lang w:val="en-GB"/>
        </w:rPr>
        <w:t>. 3.</w:t>
      </w:r>
    </w:p>
  </w:footnote>
  <w:footnote w:id="61">
    <w:p w14:paraId="3EB6E9B4" w14:textId="3CFA8632" w:rsidR="006B2913" w:rsidRPr="005E1621" w:rsidRDefault="006B2913" w:rsidP="00A9211F">
      <w:pPr>
        <w:pStyle w:val="FootnoteText"/>
        <w:tabs>
          <w:tab w:val="left" w:pos="9072"/>
        </w:tabs>
        <w:ind w:right="0"/>
        <w:rPr>
          <w:lang w:val="en-GB"/>
        </w:rPr>
      </w:pPr>
      <w:r>
        <w:rPr>
          <w:lang w:val="en-US"/>
        </w:rPr>
        <w:tab/>
      </w:r>
      <w:r>
        <w:rPr>
          <w:lang w:val="en-US"/>
        </w:rPr>
        <w:tab/>
      </w:r>
      <w:r>
        <w:rPr>
          <w:rStyle w:val="FootnoteReference"/>
        </w:rPr>
        <w:footnoteRef/>
      </w:r>
      <w:r>
        <w:t xml:space="preserve"> </w:t>
      </w:r>
      <w:r>
        <w:rPr>
          <w:lang w:val="en-GB"/>
        </w:rPr>
        <w:t>Ibid.</w:t>
      </w:r>
      <w:r w:rsidRPr="005E1621">
        <w:rPr>
          <w:lang w:val="en-GB"/>
        </w:rPr>
        <w:t>, p</w:t>
      </w:r>
      <w:r>
        <w:rPr>
          <w:lang w:val="en-GB"/>
        </w:rPr>
        <w:t>. 6.</w:t>
      </w:r>
    </w:p>
  </w:footnote>
  <w:footnote w:id="62">
    <w:p w14:paraId="0A3067F9" w14:textId="77777777" w:rsidR="006B2913" w:rsidRPr="00A12FA6" w:rsidRDefault="006B2913" w:rsidP="00A9211F">
      <w:pPr>
        <w:pStyle w:val="FootnoteText"/>
        <w:tabs>
          <w:tab w:val="left" w:pos="9072"/>
        </w:tabs>
        <w:ind w:right="0" w:firstLine="0"/>
        <w:jc w:val="both"/>
        <w:rPr>
          <w:lang w:val="en-US"/>
        </w:rPr>
      </w:pPr>
      <w:r>
        <w:rPr>
          <w:rStyle w:val="FootnoteReference"/>
        </w:rPr>
        <w:footnoteRef/>
      </w:r>
      <w:r>
        <w:t xml:space="preserve"> Communication, p. 8.</w:t>
      </w:r>
    </w:p>
  </w:footnote>
  <w:footnote w:id="63">
    <w:p w14:paraId="7E117D2A" w14:textId="44E8D422" w:rsidR="006B2913" w:rsidRPr="00A12FA6" w:rsidRDefault="006B2913" w:rsidP="00A9211F">
      <w:pPr>
        <w:pStyle w:val="FootnoteText"/>
        <w:tabs>
          <w:tab w:val="left" w:pos="9072"/>
        </w:tabs>
        <w:ind w:right="0" w:firstLine="0"/>
        <w:jc w:val="both"/>
        <w:rPr>
          <w:lang w:val="en-US"/>
        </w:rPr>
      </w:pPr>
      <w:r>
        <w:rPr>
          <w:rStyle w:val="FootnoteReference"/>
        </w:rPr>
        <w:footnoteRef/>
      </w:r>
      <w:r>
        <w:t xml:space="preserve"> Communication, p</w:t>
      </w:r>
      <w:r>
        <w:rPr>
          <w:lang w:val="en-US"/>
        </w:rPr>
        <w:t>p</w:t>
      </w:r>
      <w:r>
        <w:t>. 2</w:t>
      </w:r>
      <w:r>
        <w:rPr>
          <w:lang w:val="en-US"/>
        </w:rPr>
        <w:t>-</w:t>
      </w:r>
      <w:r>
        <w:t>3.</w:t>
      </w:r>
    </w:p>
  </w:footnote>
  <w:footnote w:id="64">
    <w:p w14:paraId="7FFBBFEC" w14:textId="77777777" w:rsidR="006B2913" w:rsidRPr="00A12FA6" w:rsidRDefault="006B2913" w:rsidP="00A9211F">
      <w:pPr>
        <w:pStyle w:val="FootnoteText"/>
        <w:tabs>
          <w:tab w:val="left" w:pos="9072"/>
        </w:tabs>
        <w:ind w:right="0" w:firstLine="0"/>
        <w:jc w:val="both"/>
        <w:rPr>
          <w:lang w:val="en-GB"/>
        </w:rPr>
      </w:pPr>
      <w:r>
        <w:rPr>
          <w:rStyle w:val="FootnoteReference"/>
        </w:rPr>
        <w:footnoteRef/>
      </w:r>
      <w:r>
        <w:t xml:space="preserve"> </w:t>
      </w:r>
      <w:r w:rsidRPr="00A12FA6">
        <w:rPr>
          <w:lang w:val="en-US"/>
        </w:rPr>
        <w:t xml:space="preserve">Party’s </w:t>
      </w:r>
      <w:r>
        <w:rPr>
          <w:lang w:val="en-US"/>
        </w:rPr>
        <w:t>response to communication, para</w:t>
      </w:r>
      <w:r w:rsidRPr="00A12FA6">
        <w:rPr>
          <w:lang w:val="en-US"/>
        </w:rPr>
        <w:t xml:space="preserve">. </w:t>
      </w:r>
      <w:r w:rsidRPr="00A12FA6">
        <w:rPr>
          <w:lang w:val="en-GB"/>
        </w:rPr>
        <w:t>4.5.</w:t>
      </w:r>
    </w:p>
  </w:footnote>
  <w:footnote w:id="65">
    <w:p w14:paraId="38F4C0E0" w14:textId="441CDB64" w:rsidR="006B2913" w:rsidRPr="00A12FA6" w:rsidRDefault="006B2913" w:rsidP="00A9211F">
      <w:pPr>
        <w:pStyle w:val="FootnoteText"/>
        <w:tabs>
          <w:tab w:val="left" w:pos="9072"/>
        </w:tabs>
        <w:ind w:right="0" w:firstLine="0"/>
        <w:jc w:val="both"/>
        <w:rPr>
          <w:lang w:val="en-GB"/>
        </w:rPr>
      </w:pPr>
      <w:r>
        <w:rPr>
          <w:rStyle w:val="FootnoteReference"/>
        </w:rPr>
        <w:footnoteRef/>
      </w:r>
      <w:r>
        <w:t xml:space="preserve"> </w:t>
      </w:r>
      <w:r>
        <w:rPr>
          <w:lang w:val="en-GB"/>
        </w:rPr>
        <w:t>Ibid., para</w:t>
      </w:r>
      <w:r w:rsidRPr="00A12FA6">
        <w:rPr>
          <w:lang w:val="en-GB"/>
        </w:rPr>
        <w:t>. 4.6.</w:t>
      </w:r>
    </w:p>
  </w:footnote>
  <w:footnote w:id="66">
    <w:p w14:paraId="20981E41" w14:textId="5B9A8451" w:rsidR="006B2913" w:rsidRPr="00EE38A7" w:rsidRDefault="006B2913" w:rsidP="00A9211F">
      <w:pPr>
        <w:pStyle w:val="FootnoteText"/>
        <w:tabs>
          <w:tab w:val="left" w:pos="9072"/>
        </w:tabs>
        <w:ind w:right="0" w:firstLine="0"/>
        <w:rPr>
          <w:lang w:val="en-GB"/>
        </w:rPr>
      </w:pPr>
      <w:r>
        <w:rPr>
          <w:rStyle w:val="FootnoteReference"/>
        </w:rPr>
        <w:footnoteRef/>
      </w:r>
      <w:r>
        <w:t xml:space="preserve"> </w:t>
      </w:r>
      <w:r w:rsidRPr="00EE38A7">
        <w:rPr>
          <w:lang w:val="en-GB"/>
        </w:rPr>
        <w:t xml:space="preserve">Observer comments from </w:t>
      </w:r>
      <w:r>
        <w:rPr>
          <w:lang w:val="en-GB"/>
        </w:rPr>
        <w:t>the Environmental Pillar</w:t>
      </w:r>
      <w:r w:rsidRPr="00EE38A7">
        <w:rPr>
          <w:lang w:val="en-GB"/>
        </w:rPr>
        <w:t xml:space="preserve">, 18 October 2018, p. </w:t>
      </w:r>
      <w:r>
        <w:rPr>
          <w:lang w:val="en-GB"/>
        </w:rPr>
        <w:t>6.</w:t>
      </w:r>
    </w:p>
  </w:footnote>
  <w:footnote w:id="67">
    <w:p w14:paraId="06CD707E" w14:textId="77777777" w:rsidR="006B2913" w:rsidRPr="00A12FA6" w:rsidRDefault="006B2913" w:rsidP="00A9211F">
      <w:pPr>
        <w:pStyle w:val="FootnoteText"/>
        <w:tabs>
          <w:tab w:val="left" w:pos="9072"/>
        </w:tabs>
        <w:ind w:right="0" w:firstLine="0"/>
        <w:jc w:val="both"/>
        <w:rPr>
          <w:lang w:val="en-GB"/>
        </w:rPr>
      </w:pPr>
      <w:r>
        <w:rPr>
          <w:rStyle w:val="FootnoteReference"/>
        </w:rPr>
        <w:footnoteRef/>
      </w:r>
      <w:r>
        <w:t xml:space="preserve"> Communication, p. 4.</w:t>
      </w:r>
    </w:p>
  </w:footnote>
  <w:footnote w:id="68">
    <w:p w14:paraId="12615330" w14:textId="77777777" w:rsidR="006B2913" w:rsidRPr="0075315D" w:rsidRDefault="006B2913" w:rsidP="00A9211F">
      <w:pPr>
        <w:pStyle w:val="FootnoteText"/>
        <w:tabs>
          <w:tab w:val="left" w:pos="9072"/>
        </w:tabs>
        <w:ind w:right="0" w:firstLine="0"/>
        <w:rPr>
          <w:lang w:val="en-US"/>
        </w:rPr>
      </w:pPr>
      <w:r>
        <w:rPr>
          <w:rStyle w:val="FootnoteReference"/>
        </w:rPr>
        <w:footnoteRef/>
      </w:r>
      <w:r>
        <w:t xml:space="preserve"> </w:t>
      </w:r>
      <w:r w:rsidRPr="0057564B">
        <w:rPr>
          <w:lang w:val="en-GB"/>
        </w:rPr>
        <w:t>Party’s response to communication</w:t>
      </w:r>
      <w:r>
        <w:rPr>
          <w:lang w:val="en-GB"/>
        </w:rPr>
        <w:t>, para. 3.4.</w:t>
      </w:r>
    </w:p>
  </w:footnote>
  <w:footnote w:id="69">
    <w:p w14:paraId="3AC121DE" w14:textId="40991355" w:rsidR="006B2913" w:rsidRPr="0075315D" w:rsidRDefault="006B2913" w:rsidP="00A9211F">
      <w:pPr>
        <w:pStyle w:val="FootnoteText"/>
        <w:tabs>
          <w:tab w:val="left" w:pos="9072"/>
        </w:tabs>
        <w:ind w:right="0" w:firstLine="0"/>
        <w:rPr>
          <w:lang w:val="en-US"/>
        </w:rPr>
      </w:pPr>
      <w:r>
        <w:rPr>
          <w:rStyle w:val="FootnoteReference"/>
        </w:rPr>
        <w:footnoteRef/>
      </w:r>
      <w:r>
        <w:t xml:space="preserve"> </w:t>
      </w:r>
      <w:r>
        <w:rPr>
          <w:lang w:val="en-GB"/>
        </w:rPr>
        <w:t>Ibid., para. 3.5.</w:t>
      </w:r>
    </w:p>
  </w:footnote>
  <w:footnote w:id="70">
    <w:p w14:paraId="1E3D1BCA" w14:textId="269B9CC7" w:rsidR="006B2913" w:rsidRPr="00F157C2" w:rsidRDefault="006B2913" w:rsidP="00A9211F">
      <w:pPr>
        <w:pStyle w:val="FootnoteText"/>
        <w:tabs>
          <w:tab w:val="left" w:pos="9072"/>
        </w:tabs>
        <w:ind w:right="0" w:firstLine="0"/>
        <w:rPr>
          <w:lang w:val="en-US"/>
        </w:rPr>
      </w:pPr>
      <w:r>
        <w:rPr>
          <w:rStyle w:val="FootnoteReference"/>
        </w:rPr>
        <w:footnoteRef/>
      </w:r>
      <w:r>
        <w:t xml:space="preserve"> </w:t>
      </w:r>
      <w:r>
        <w:rPr>
          <w:lang w:val="en-GB"/>
        </w:rPr>
        <w:t>Ibid., para. 5.3.</w:t>
      </w:r>
    </w:p>
  </w:footnote>
  <w:footnote w:id="71">
    <w:p w14:paraId="295FDB91" w14:textId="61E6784A" w:rsidR="006B2913" w:rsidRPr="00C477CC" w:rsidRDefault="006B2913" w:rsidP="00A9211F">
      <w:pPr>
        <w:pStyle w:val="FootnoteText"/>
        <w:tabs>
          <w:tab w:val="left" w:pos="9072"/>
        </w:tabs>
        <w:ind w:right="0" w:firstLine="0"/>
        <w:rPr>
          <w:lang w:val="en-US"/>
        </w:rPr>
      </w:pPr>
      <w:r>
        <w:rPr>
          <w:rStyle w:val="FootnoteReference"/>
        </w:rPr>
        <w:footnoteRef/>
      </w:r>
      <w:r>
        <w:t xml:space="preserve"> Communication, p. 6.</w:t>
      </w:r>
    </w:p>
  </w:footnote>
  <w:footnote w:id="72">
    <w:p w14:paraId="3C10ADDA" w14:textId="77777777" w:rsidR="006B2913" w:rsidRPr="00A12FA6" w:rsidRDefault="006B2913" w:rsidP="00A9211F">
      <w:pPr>
        <w:pStyle w:val="FootnoteText"/>
        <w:tabs>
          <w:tab w:val="left" w:pos="9072"/>
        </w:tabs>
        <w:ind w:right="0" w:firstLine="0"/>
        <w:jc w:val="both"/>
        <w:rPr>
          <w:lang w:val="en-US"/>
        </w:rPr>
      </w:pPr>
      <w:r>
        <w:rPr>
          <w:rStyle w:val="FootnoteReference"/>
        </w:rPr>
        <w:footnoteRef/>
      </w:r>
      <w:r>
        <w:t xml:space="preserve"> </w:t>
      </w:r>
      <w:r w:rsidRPr="00A12FA6">
        <w:rPr>
          <w:lang w:val="en-US"/>
        </w:rPr>
        <w:t xml:space="preserve">Party’s </w:t>
      </w:r>
      <w:r>
        <w:rPr>
          <w:lang w:val="en-US"/>
        </w:rPr>
        <w:t>response to communication, para</w:t>
      </w:r>
      <w:r w:rsidRPr="00A12FA6">
        <w:rPr>
          <w:lang w:val="en-US"/>
        </w:rPr>
        <w:t>. 6.2.</w:t>
      </w:r>
    </w:p>
  </w:footnote>
  <w:footnote w:id="73">
    <w:p w14:paraId="66EA6839" w14:textId="63857844" w:rsidR="006B2913" w:rsidRPr="00A12FA6" w:rsidRDefault="006B2913" w:rsidP="00A9211F">
      <w:pPr>
        <w:pStyle w:val="FootnoteText"/>
        <w:tabs>
          <w:tab w:val="left" w:pos="9072"/>
        </w:tabs>
        <w:ind w:right="0" w:firstLine="0"/>
        <w:jc w:val="both"/>
        <w:rPr>
          <w:lang w:val="en-US"/>
        </w:rPr>
      </w:pPr>
      <w:r>
        <w:rPr>
          <w:rStyle w:val="FootnoteReference"/>
        </w:rPr>
        <w:footnoteRef/>
      </w:r>
      <w:r>
        <w:t xml:space="preserve"> </w:t>
      </w:r>
      <w:r>
        <w:rPr>
          <w:lang w:val="en-US"/>
        </w:rPr>
        <w:t>Ibid., paras</w:t>
      </w:r>
      <w:r w:rsidRPr="00A12FA6">
        <w:rPr>
          <w:lang w:val="en-US"/>
        </w:rPr>
        <w:t>. 6.2</w:t>
      </w:r>
      <w:r>
        <w:rPr>
          <w:lang w:val="en-US"/>
        </w:rPr>
        <w:t xml:space="preserve"> and 6.4</w:t>
      </w:r>
      <w:r w:rsidRPr="00A12FA6">
        <w:rPr>
          <w:lang w:val="en-US"/>
        </w:rPr>
        <w:t>.</w:t>
      </w:r>
    </w:p>
  </w:footnote>
  <w:footnote w:id="74">
    <w:p w14:paraId="16644813" w14:textId="77777777" w:rsidR="006B2913" w:rsidRPr="00057246" w:rsidRDefault="006B2913" w:rsidP="00A9211F">
      <w:pPr>
        <w:pStyle w:val="FootnoteText"/>
        <w:tabs>
          <w:tab w:val="left" w:pos="9072"/>
        </w:tabs>
        <w:ind w:right="0" w:firstLine="0"/>
        <w:rPr>
          <w:lang w:val="en-US"/>
        </w:rPr>
      </w:pPr>
      <w:r>
        <w:rPr>
          <w:rStyle w:val="FootnoteReference"/>
        </w:rPr>
        <w:footnoteRef/>
      </w:r>
      <w:r>
        <w:t xml:space="preserve"> Communication, p. 8</w:t>
      </w:r>
      <w:r w:rsidRPr="00057246">
        <w:rPr>
          <w:lang w:val="en-US"/>
        </w:rPr>
        <w:t>.</w:t>
      </w:r>
    </w:p>
  </w:footnote>
  <w:footnote w:id="75">
    <w:p w14:paraId="202DB55B" w14:textId="77777777" w:rsidR="006B2913" w:rsidRPr="00057246" w:rsidRDefault="006B2913" w:rsidP="00A9211F">
      <w:pPr>
        <w:pStyle w:val="FootnoteText"/>
        <w:tabs>
          <w:tab w:val="left" w:pos="9072"/>
        </w:tabs>
        <w:ind w:right="0" w:firstLine="0"/>
        <w:rPr>
          <w:lang w:val="en-US"/>
        </w:rPr>
      </w:pPr>
      <w:r>
        <w:rPr>
          <w:rStyle w:val="FootnoteReference"/>
        </w:rPr>
        <w:footnoteRef/>
      </w:r>
      <w:r>
        <w:t xml:space="preserve"> Communication, pp. 8-1</w:t>
      </w:r>
      <w:r w:rsidRPr="00057246">
        <w:rPr>
          <w:lang w:val="en-US"/>
        </w:rPr>
        <w:t>0.</w:t>
      </w:r>
    </w:p>
  </w:footnote>
  <w:footnote w:id="76">
    <w:p w14:paraId="14931D3B" w14:textId="77777777" w:rsidR="006B2913" w:rsidRPr="00057246" w:rsidRDefault="006B2913" w:rsidP="00A9211F">
      <w:pPr>
        <w:pStyle w:val="FootnoteText"/>
        <w:tabs>
          <w:tab w:val="left" w:pos="9072"/>
        </w:tabs>
        <w:ind w:right="0" w:firstLine="0"/>
        <w:jc w:val="both"/>
        <w:rPr>
          <w:lang w:val="en-US"/>
        </w:rPr>
      </w:pPr>
      <w:r>
        <w:rPr>
          <w:rStyle w:val="FootnoteReference"/>
        </w:rPr>
        <w:footnoteRef/>
      </w:r>
      <w:r>
        <w:t xml:space="preserve"> Communication, p. 6.</w:t>
      </w:r>
    </w:p>
  </w:footnote>
  <w:footnote w:id="77">
    <w:p w14:paraId="2391A19E" w14:textId="2465B41C" w:rsidR="006B2913" w:rsidRPr="00183CA1" w:rsidRDefault="006B2913" w:rsidP="00A9211F">
      <w:pPr>
        <w:pStyle w:val="FootnoteText"/>
        <w:tabs>
          <w:tab w:val="left" w:pos="9072"/>
        </w:tabs>
        <w:ind w:right="0" w:firstLine="0"/>
        <w:jc w:val="both"/>
        <w:rPr>
          <w:lang w:val="en-GB"/>
        </w:rPr>
      </w:pPr>
      <w:r>
        <w:rPr>
          <w:rStyle w:val="FootnoteReference"/>
        </w:rPr>
        <w:footnoteRef/>
      </w:r>
      <w:r>
        <w:t xml:space="preserve"> Communication, p</w:t>
      </w:r>
      <w:r>
        <w:rPr>
          <w:lang w:val="en-US"/>
        </w:rPr>
        <w:t>p</w:t>
      </w:r>
      <w:r>
        <w:t xml:space="preserve">. </w:t>
      </w:r>
      <w:r>
        <w:rPr>
          <w:lang w:val="en-US"/>
        </w:rPr>
        <w:t xml:space="preserve">6 and </w:t>
      </w:r>
      <w:r>
        <w:t>8.</w:t>
      </w:r>
    </w:p>
  </w:footnote>
  <w:footnote w:id="78">
    <w:p w14:paraId="24F20091" w14:textId="77777777" w:rsidR="006B2913" w:rsidRPr="00183CA1" w:rsidRDefault="006B2913" w:rsidP="00A9211F">
      <w:pPr>
        <w:pStyle w:val="FootnoteText"/>
        <w:tabs>
          <w:tab w:val="left" w:pos="9072"/>
        </w:tabs>
        <w:ind w:right="0" w:firstLine="0"/>
        <w:jc w:val="both"/>
        <w:rPr>
          <w:lang w:val="en-GB"/>
        </w:rPr>
      </w:pPr>
      <w:r>
        <w:rPr>
          <w:rStyle w:val="FootnoteReference"/>
        </w:rPr>
        <w:footnoteRef/>
      </w:r>
      <w:r>
        <w:t xml:space="preserve"> Communication, p. 8.</w:t>
      </w:r>
    </w:p>
  </w:footnote>
  <w:footnote w:id="79">
    <w:p w14:paraId="01C56437" w14:textId="77777777" w:rsidR="006B2913" w:rsidRPr="00C477CC" w:rsidRDefault="006B2913" w:rsidP="00A9211F">
      <w:pPr>
        <w:pStyle w:val="FootnoteText"/>
        <w:tabs>
          <w:tab w:val="left" w:pos="9072"/>
        </w:tabs>
        <w:ind w:right="0" w:firstLine="0"/>
        <w:rPr>
          <w:lang w:val="en-GB"/>
        </w:rPr>
      </w:pPr>
      <w:r>
        <w:rPr>
          <w:rStyle w:val="FootnoteReference"/>
        </w:rPr>
        <w:footnoteRef/>
      </w:r>
      <w:r>
        <w:t xml:space="preserve"> </w:t>
      </w:r>
      <w:r w:rsidRPr="00C477CC">
        <w:rPr>
          <w:lang w:val="en-GB"/>
        </w:rPr>
        <w:t>Communication, p. 10.</w:t>
      </w:r>
    </w:p>
  </w:footnote>
  <w:footnote w:id="80">
    <w:p w14:paraId="5AE29EDB" w14:textId="77777777" w:rsidR="006B2913" w:rsidRPr="00085229" w:rsidRDefault="006B2913" w:rsidP="00A9211F">
      <w:pPr>
        <w:pStyle w:val="FootnoteText"/>
        <w:tabs>
          <w:tab w:val="left" w:pos="9072"/>
        </w:tabs>
        <w:ind w:right="0" w:firstLine="0"/>
        <w:jc w:val="both"/>
        <w:rPr>
          <w:lang w:val="en-GB"/>
        </w:rPr>
      </w:pPr>
      <w:r>
        <w:rPr>
          <w:rStyle w:val="FootnoteReference"/>
        </w:rPr>
        <w:footnoteRef/>
      </w:r>
      <w:r>
        <w:t xml:space="preserve"> </w:t>
      </w:r>
      <w:r w:rsidRPr="00085229">
        <w:rPr>
          <w:lang w:val="en-GB"/>
        </w:rPr>
        <w:t>Party’s response to communication, para. 6.8.</w:t>
      </w:r>
    </w:p>
  </w:footnote>
  <w:footnote w:id="81">
    <w:p w14:paraId="48935A74" w14:textId="0F207C96" w:rsidR="006B2913" w:rsidRPr="006F0F3C" w:rsidRDefault="006B2913" w:rsidP="00A9211F">
      <w:pPr>
        <w:pStyle w:val="FootnoteText"/>
        <w:tabs>
          <w:tab w:val="left" w:pos="9072"/>
        </w:tabs>
        <w:ind w:right="0" w:firstLine="0"/>
        <w:rPr>
          <w:lang w:val="en-US"/>
        </w:rPr>
      </w:pPr>
      <w:r>
        <w:rPr>
          <w:rStyle w:val="FootnoteReference"/>
        </w:rPr>
        <w:footnoteRef/>
      </w:r>
      <w:r>
        <w:t xml:space="preserve"> </w:t>
      </w:r>
      <w:r>
        <w:rPr>
          <w:lang w:val="en-GB"/>
        </w:rPr>
        <w:t>Ibid</w:t>
      </w:r>
      <w:r w:rsidRPr="00C477CC">
        <w:rPr>
          <w:lang w:val="en-GB"/>
        </w:rPr>
        <w:t>.</w:t>
      </w:r>
    </w:p>
  </w:footnote>
  <w:footnote w:id="82">
    <w:p w14:paraId="4F69DF10" w14:textId="6C584282" w:rsidR="006B2913" w:rsidRPr="00A9211F" w:rsidRDefault="006B2913" w:rsidP="00A9211F">
      <w:pPr>
        <w:pStyle w:val="FootnoteText"/>
        <w:tabs>
          <w:tab w:val="left" w:pos="9072"/>
        </w:tabs>
        <w:ind w:right="0" w:firstLine="0"/>
        <w:jc w:val="both"/>
        <w:rPr>
          <w:lang w:val="es-ES"/>
        </w:rPr>
      </w:pPr>
      <w:r>
        <w:rPr>
          <w:rStyle w:val="FootnoteReference"/>
        </w:rPr>
        <w:footnoteRef/>
      </w:r>
      <w:r>
        <w:t xml:space="preserve"> </w:t>
      </w:r>
      <w:r w:rsidRPr="007A71B2">
        <w:rPr>
          <w:lang w:val="es-ES"/>
        </w:rPr>
        <w:t>Ibid.,</w:t>
      </w:r>
      <w:r w:rsidRPr="00A9211F">
        <w:rPr>
          <w:lang w:val="es-ES"/>
        </w:rPr>
        <w:t xml:space="preserve"> para. 6.9.</w:t>
      </w:r>
    </w:p>
  </w:footnote>
  <w:footnote w:id="83">
    <w:p w14:paraId="16B55DEA" w14:textId="10FC6207" w:rsidR="006B2913" w:rsidRPr="00A9211F" w:rsidRDefault="006B2913" w:rsidP="00A9211F">
      <w:pPr>
        <w:pStyle w:val="FootnoteText"/>
        <w:tabs>
          <w:tab w:val="left" w:pos="9072"/>
        </w:tabs>
        <w:ind w:right="0" w:firstLine="0"/>
        <w:rPr>
          <w:lang w:val="es-ES"/>
        </w:rPr>
      </w:pPr>
      <w:r>
        <w:rPr>
          <w:rStyle w:val="FootnoteReference"/>
        </w:rPr>
        <w:footnoteRef/>
      </w:r>
      <w:r>
        <w:t xml:space="preserve"> </w:t>
      </w:r>
      <w:r w:rsidRPr="007A71B2">
        <w:rPr>
          <w:lang w:val="es-ES"/>
        </w:rPr>
        <w:t>Ibid.,</w:t>
      </w:r>
      <w:r w:rsidRPr="00A9211F">
        <w:rPr>
          <w:lang w:val="es-ES"/>
        </w:rPr>
        <w:t xml:space="preserve"> para. 6.11.</w:t>
      </w:r>
    </w:p>
  </w:footnote>
  <w:footnote w:id="84">
    <w:p w14:paraId="46E0A23D" w14:textId="3D495021" w:rsidR="006B2913" w:rsidRPr="00C477CC" w:rsidRDefault="006B2913" w:rsidP="00A9211F">
      <w:pPr>
        <w:pStyle w:val="FootnoteText"/>
        <w:tabs>
          <w:tab w:val="left" w:pos="9072"/>
        </w:tabs>
        <w:ind w:right="0" w:firstLine="0"/>
        <w:rPr>
          <w:lang w:val="en-GB"/>
        </w:rPr>
      </w:pPr>
      <w:r>
        <w:rPr>
          <w:rStyle w:val="FootnoteReference"/>
        </w:rPr>
        <w:footnoteRef/>
      </w:r>
      <w:r>
        <w:t xml:space="preserve"> </w:t>
      </w:r>
      <w:r w:rsidRPr="007A71B2">
        <w:rPr>
          <w:lang w:val="es-ES"/>
        </w:rPr>
        <w:t>Ibid.,</w:t>
      </w:r>
      <w:r w:rsidRPr="00A9211F">
        <w:rPr>
          <w:lang w:val="es-ES"/>
        </w:rPr>
        <w:t xml:space="preserve"> para. </w:t>
      </w:r>
      <w:r w:rsidRPr="00C477CC">
        <w:rPr>
          <w:lang w:val="en-GB"/>
        </w:rPr>
        <w:t>6.12.</w:t>
      </w:r>
    </w:p>
  </w:footnote>
  <w:footnote w:id="85">
    <w:p w14:paraId="2B9F3AA3" w14:textId="292DC452" w:rsidR="006B2913" w:rsidRPr="00FC6DF7" w:rsidRDefault="006B2913" w:rsidP="00A9211F">
      <w:pPr>
        <w:pStyle w:val="FootnoteText"/>
        <w:tabs>
          <w:tab w:val="left" w:pos="9072"/>
        </w:tabs>
        <w:ind w:right="0" w:firstLine="0"/>
        <w:rPr>
          <w:lang w:val="en-GB"/>
        </w:rPr>
      </w:pPr>
      <w:r>
        <w:rPr>
          <w:rStyle w:val="FootnoteReference"/>
        </w:rPr>
        <w:footnoteRef/>
      </w:r>
      <w:r>
        <w:t xml:space="preserve"> </w:t>
      </w:r>
      <w:r w:rsidRPr="00FC6DF7">
        <w:rPr>
          <w:lang w:val="en-GB"/>
        </w:rPr>
        <w:t xml:space="preserve">Observer comments from the </w:t>
      </w:r>
      <w:r>
        <w:rPr>
          <w:lang w:val="en-GB"/>
        </w:rPr>
        <w:t>Environmental Pillar</w:t>
      </w:r>
      <w:r w:rsidRPr="00FC6DF7">
        <w:rPr>
          <w:lang w:val="en-GB"/>
        </w:rPr>
        <w:t>, 18 October 2018</w:t>
      </w:r>
      <w:r>
        <w:rPr>
          <w:lang w:val="en-GB"/>
        </w:rPr>
        <w:t>, p. 6.</w:t>
      </w:r>
    </w:p>
  </w:footnote>
  <w:footnote w:id="86">
    <w:p w14:paraId="1699402E" w14:textId="180B8EFD" w:rsidR="006B2913" w:rsidRPr="00FC6DF7" w:rsidRDefault="006B2913" w:rsidP="00A9211F">
      <w:pPr>
        <w:pStyle w:val="FootnoteText"/>
        <w:tabs>
          <w:tab w:val="left" w:pos="9072"/>
        </w:tabs>
        <w:ind w:right="0" w:firstLine="0"/>
        <w:rPr>
          <w:lang w:val="en-GB"/>
        </w:rPr>
      </w:pPr>
      <w:r>
        <w:rPr>
          <w:rStyle w:val="FootnoteReference"/>
        </w:rPr>
        <w:footnoteRef/>
      </w:r>
      <w:r>
        <w:t xml:space="preserve"> </w:t>
      </w:r>
      <w:r>
        <w:rPr>
          <w:lang w:val="en-GB"/>
        </w:rPr>
        <w:t>Ibid., pp. 3-4.</w:t>
      </w:r>
    </w:p>
  </w:footnote>
  <w:footnote w:id="87">
    <w:p w14:paraId="103FEAB2" w14:textId="48ED24B9" w:rsidR="006B2913" w:rsidRPr="00FC6DF7" w:rsidRDefault="006B2913" w:rsidP="00A9211F">
      <w:pPr>
        <w:pStyle w:val="FootnoteText"/>
        <w:tabs>
          <w:tab w:val="left" w:pos="9072"/>
        </w:tabs>
        <w:ind w:right="0" w:firstLine="0"/>
        <w:rPr>
          <w:lang w:val="en-GB"/>
        </w:rPr>
      </w:pPr>
      <w:r>
        <w:rPr>
          <w:rStyle w:val="FootnoteReference"/>
        </w:rPr>
        <w:footnoteRef/>
      </w:r>
      <w:r>
        <w:t xml:space="preserve"> </w:t>
      </w:r>
      <w:r>
        <w:rPr>
          <w:lang w:val="en-GB"/>
        </w:rPr>
        <w:t>Ibid., p. 6.</w:t>
      </w:r>
    </w:p>
  </w:footnote>
  <w:footnote w:id="88">
    <w:p w14:paraId="5C50E58E" w14:textId="00FE1A03" w:rsidR="006B2913" w:rsidRPr="00C477CC" w:rsidRDefault="006B2913" w:rsidP="00A9211F">
      <w:pPr>
        <w:pStyle w:val="FootnoteText"/>
        <w:tabs>
          <w:tab w:val="left" w:pos="9072"/>
        </w:tabs>
        <w:ind w:right="0" w:firstLine="0"/>
        <w:rPr>
          <w:lang w:val="en-GB"/>
        </w:rPr>
      </w:pPr>
      <w:r>
        <w:rPr>
          <w:rStyle w:val="FootnoteReference"/>
        </w:rPr>
        <w:footnoteRef/>
      </w:r>
      <w:r>
        <w:t xml:space="preserve"> </w:t>
      </w:r>
      <w:r w:rsidRPr="00C477CC">
        <w:rPr>
          <w:lang w:val="en-GB"/>
        </w:rPr>
        <w:t>Observer comments from Mr. Minch, 27 October, pp. 1-2.</w:t>
      </w:r>
    </w:p>
  </w:footnote>
  <w:footnote w:id="89">
    <w:p w14:paraId="7EEBF2BF" w14:textId="77777777" w:rsidR="006B2913" w:rsidRPr="00C477CC" w:rsidRDefault="006B2913" w:rsidP="00A9211F">
      <w:pPr>
        <w:pStyle w:val="FootnoteText"/>
        <w:tabs>
          <w:tab w:val="left" w:pos="9072"/>
        </w:tabs>
        <w:ind w:right="0" w:firstLine="0"/>
        <w:jc w:val="both"/>
        <w:rPr>
          <w:b/>
          <w:lang w:val="en-GB"/>
        </w:rPr>
      </w:pPr>
      <w:r>
        <w:rPr>
          <w:rStyle w:val="FootnoteReference"/>
        </w:rPr>
        <w:footnoteRef/>
      </w:r>
      <w:r>
        <w:t xml:space="preserve"> Communication, p. 8.</w:t>
      </w:r>
    </w:p>
  </w:footnote>
  <w:footnote w:id="90">
    <w:p w14:paraId="26B6E799" w14:textId="77777777" w:rsidR="006B2913" w:rsidRPr="00C477CC" w:rsidRDefault="006B2913" w:rsidP="00A9211F">
      <w:pPr>
        <w:pStyle w:val="FootnoteText"/>
        <w:tabs>
          <w:tab w:val="left" w:pos="9072"/>
        </w:tabs>
        <w:ind w:right="0" w:firstLine="0"/>
        <w:rPr>
          <w:lang w:val="en-GB"/>
        </w:rPr>
      </w:pPr>
      <w:r>
        <w:rPr>
          <w:rStyle w:val="FootnoteReference"/>
        </w:rPr>
        <w:footnoteRef/>
      </w:r>
      <w:r>
        <w:t xml:space="preserve"> </w:t>
      </w:r>
      <w:r w:rsidRPr="00C477CC">
        <w:rPr>
          <w:lang w:val="en-GB"/>
        </w:rPr>
        <w:t>Party’s response to communication, para 2.11.</w:t>
      </w:r>
    </w:p>
  </w:footnote>
  <w:footnote w:id="91">
    <w:p w14:paraId="51DFB1AC" w14:textId="4CA6A985" w:rsidR="006B2913" w:rsidRPr="00085229" w:rsidRDefault="006B2913" w:rsidP="00A9211F">
      <w:pPr>
        <w:pStyle w:val="FootnoteText"/>
        <w:tabs>
          <w:tab w:val="left" w:pos="9072"/>
        </w:tabs>
        <w:ind w:right="0" w:firstLine="0"/>
        <w:rPr>
          <w:lang w:val="en-US"/>
        </w:rPr>
      </w:pPr>
      <w:r>
        <w:rPr>
          <w:rStyle w:val="FootnoteReference"/>
        </w:rPr>
        <w:footnoteRef/>
      </w:r>
      <w:r>
        <w:t xml:space="preserve"> </w:t>
      </w:r>
      <w:r>
        <w:rPr>
          <w:lang w:val="en-US"/>
        </w:rPr>
        <w:t>Ibid.</w:t>
      </w:r>
      <w:r w:rsidRPr="00085229">
        <w:rPr>
          <w:lang w:val="en-US"/>
        </w:rPr>
        <w:t>, para. 7.2.</w:t>
      </w:r>
    </w:p>
  </w:footnote>
  <w:footnote w:id="92">
    <w:p w14:paraId="31053CC4" w14:textId="77AF7F64" w:rsidR="006B2913" w:rsidRPr="00085229" w:rsidRDefault="006B2913" w:rsidP="00A9211F">
      <w:pPr>
        <w:pStyle w:val="FootnoteText"/>
        <w:tabs>
          <w:tab w:val="left" w:pos="9072"/>
        </w:tabs>
        <w:ind w:right="0" w:firstLine="0"/>
        <w:rPr>
          <w:lang w:val="en-GB"/>
        </w:rPr>
      </w:pPr>
      <w:r>
        <w:rPr>
          <w:rStyle w:val="FootnoteReference"/>
        </w:rPr>
        <w:footnoteRef/>
      </w:r>
      <w:r>
        <w:t xml:space="preserve"> </w:t>
      </w:r>
      <w:r w:rsidRPr="00085229">
        <w:rPr>
          <w:lang w:val="en-GB"/>
        </w:rPr>
        <w:t xml:space="preserve">Observer comments from </w:t>
      </w:r>
      <w:r>
        <w:rPr>
          <w:lang w:val="en-GB"/>
        </w:rPr>
        <w:t>the Environmental Pillar</w:t>
      </w:r>
      <w:r w:rsidRPr="00085229">
        <w:rPr>
          <w:lang w:val="en-GB"/>
        </w:rPr>
        <w:t>, 18 October 2018, p. 4.</w:t>
      </w:r>
    </w:p>
  </w:footnote>
  <w:footnote w:id="93">
    <w:p w14:paraId="30F8F5AF" w14:textId="79CC7AB8" w:rsidR="006B2913" w:rsidRPr="00A9211F" w:rsidRDefault="006B2913" w:rsidP="00A9211F">
      <w:pPr>
        <w:pStyle w:val="FootnoteText"/>
        <w:tabs>
          <w:tab w:val="left" w:pos="9072"/>
        </w:tabs>
        <w:ind w:right="0" w:firstLine="0"/>
        <w:rPr>
          <w:lang w:val="es-ES"/>
        </w:rPr>
      </w:pPr>
      <w:r>
        <w:rPr>
          <w:rStyle w:val="FootnoteReference"/>
        </w:rPr>
        <w:footnoteRef/>
      </w:r>
      <w:r>
        <w:t xml:space="preserve"> </w:t>
      </w:r>
      <w:r w:rsidRPr="00A9211F">
        <w:rPr>
          <w:lang w:val="es-ES"/>
        </w:rPr>
        <w:t>Ibid., p. 3.</w:t>
      </w:r>
    </w:p>
  </w:footnote>
  <w:footnote w:id="94">
    <w:p w14:paraId="72878325" w14:textId="77777777" w:rsidR="006B2913" w:rsidRPr="004B74A4" w:rsidRDefault="006B2913" w:rsidP="00A9211F">
      <w:pPr>
        <w:pStyle w:val="FootnoteText"/>
        <w:tabs>
          <w:tab w:val="left" w:pos="9072"/>
        </w:tabs>
        <w:ind w:right="0"/>
      </w:pPr>
      <w:r>
        <w:tab/>
      </w:r>
      <w:r>
        <w:tab/>
      </w:r>
      <w:r>
        <w:rPr>
          <w:rStyle w:val="FootnoteReference"/>
        </w:rPr>
        <w:footnoteRef/>
      </w:r>
      <w:r>
        <w:t xml:space="preserve"> ECE/MP.PP/C.1/2017/16</w:t>
      </w:r>
      <w:r w:rsidRPr="00F91684">
        <w:rPr>
          <w:lang w:val="es-ES"/>
        </w:rPr>
        <w:t xml:space="preserve">, para. </w:t>
      </w:r>
      <w:r w:rsidRPr="009C436D">
        <w:rPr>
          <w:lang w:val="en-GB"/>
        </w:rPr>
        <w:t>90.</w:t>
      </w:r>
    </w:p>
  </w:footnote>
  <w:footnote w:id="95">
    <w:p w14:paraId="281FBD49" w14:textId="30C224C4" w:rsidR="006B2913" w:rsidRPr="00A9211F" w:rsidRDefault="006B2913" w:rsidP="00A9211F">
      <w:pPr>
        <w:pStyle w:val="FootnoteText"/>
        <w:tabs>
          <w:tab w:val="left" w:pos="9072"/>
        </w:tabs>
        <w:ind w:right="0" w:firstLine="0"/>
        <w:rPr>
          <w:lang w:val="en-GB"/>
        </w:rPr>
      </w:pPr>
      <w:r>
        <w:rPr>
          <w:rStyle w:val="FootnoteReference"/>
        </w:rPr>
        <w:footnoteRef/>
      </w:r>
      <w:r>
        <w:t xml:space="preserve"> </w:t>
      </w:r>
      <w:r>
        <w:rPr>
          <w:lang w:val="en-US"/>
        </w:rPr>
        <w:t>See e.g. the Committee’s findings on</w:t>
      </w:r>
      <w:r>
        <w:t xml:space="preserve"> communication ACCC/C/2008/33 (United Kingdom)</w:t>
      </w:r>
      <w:r>
        <w:rPr>
          <w:lang w:val="en-US"/>
        </w:rPr>
        <w:t xml:space="preserve">, </w:t>
      </w:r>
      <w:r>
        <w:t>ECE/MP.PP/C.1/2010/6/Add.3, para. 128</w:t>
      </w:r>
      <w:r w:rsidRPr="00A9211F">
        <w:rPr>
          <w:lang w:val="en-GB"/>
        </w:rPr>
        <w:t>.</w:t>
      </w:r>
    </w:p>
  </w:footnote>
  <w:footnote w:id="96">
    <w:p w14:paraId="6E8351CF" w14:textId="74248906" w:rsidR="006B2913" w:rsidRPr="00861055" w:rsidRDefault="006B2913" w:rsidP="007A71B2">
      <w:pPr>
        <w:pStyle w:val="FootnoteText"/>
        <w:tabs>
          <w:tab w:val="left" w:pos="9072"/>
        </w:tabs>
        <w:ind w:right="0"/>
        <w:rPr>
          <w:lang w:val="en-US"/>
        </w:rPr>
      </w:pPr>
      <w:r>
        <w:tab/>
      </w:r>
      <w:r>
        <w:tab/>
      </w:r>
      <w:r>
        <w:rPr>
          <w:rStyle w:val="FootnoteReference"/>
        </w:rPr>
        <w:footnoteRef/>
      </w:r>
      <w:r>
        <w:t xml:space="preserve"> </w:t>
      </w:r>
      <w:r>
        <w:rPr>
          <w:lang w:val="en-US"/>
        </w:rPr>
        <w:t xml:space="preserve">Cf. the Committee’s findings on communications ACCC/C/2013/85 and ACCC/C/2013/86 (United Kingdom), </w:t>
      </w:r>
      <w:r>
        <w:t>ECE/MP.PP/C.1/2016/10</w:t>
      </w:r>
      <w:r>
        <w:rPr>
          <w:lang w:val="en-US"/>
        </w:rPr>
        <w:t>, para. 76.</w:t>
      </w:r>
    </w:p>
  </w:footnote>
  <w:footnote w:id="97">
    <w:p w14:paraId="0813BA5A" w14:textId="634F1D70" w:rsidR="006B2913" w:rsidRPr="00173DF1" w:rsidRDefault="006B2913" w:rsidP="00A9211F">
      <w:pPr>
        <w:pStyle w:val="FootnoteText"/>
        <w:tabs>
          <w:tab w:val="left" w:pos="9072"/>
        </w:tabs>
        <w:ind w:right="0" w:firstLine="0"/>
        <w:rPr>
          <w:lang w:val="en-GB"/>
        </w:rPr>
      </w:pPr>
      <w:r>
        <w:rPr>
          <w:rStyle w:val="FootnoteReference"/>
        </w:rPr>
        <w:footnoteRef/>
      </w:r>
      <w:r>
        <w:t xml:space="preserve"> </w:t>
      </w:r>
      <w:r w:rsidRPr="004E7D3B">
        <w:rPr>
          <w:bCs/>
          <w:sz w:val="20"/>
        </w:rPr>
        <w:t>ECE/MP.PP/C.1/2017/16</w:t>
      </w:r>
      <w:r w:rsidRPr="006B2913">
        <w:rPr>
          <w:sz w:val="20"/>
          <w:lang w:val="es-ES"/>
        </w:rPr>
        <w:t xml:space="preserve">, para. </w:t>
      </w:r>
      <w:r w:rsidRPr="00173DF1">
        <w:rPr>
          <w:bCs/>
          <w:sz w:val="20"/>
          <w:lang w:val="en-GB"/>
        </w:rPr>
        <w:t>88.</w:t>
      </w:r>
    </w:p>
  </w:footnote>
  <w:footnote w:id="98">
    <w:p w14:paraId="77E0C2C4" w14:textId="4039FCD9" w:rsidR="006B2913" w:rsidRPr="003A46AE" w:rsidRDefault="006B2913" w:rsidP="00A9211F">
      <w:pPr>
        <w:pStyle w:val="FootnoteText"/>
        <w:tabs>
          <w:tab w:val="left" w:pos="9072"/>
        </w:tabs>
        <w:ind w:right="0" w:firstLine="0"/>
        <w:rPr>
          <w:lang w:val="en-US"/>
        </w:rPr>
      </w:pPr>
      <w:r>
        <w:rPr>
          <w:rStyle w:val="FootnoteReference"/>
        </w:rPr>
        <w:footnoteRef/>
      </w:r>
      <w:r>
        <w:t xml:space="preserve"> </w:t>
      </w:r>
      <w:r w:rsidRPr="003A46AE">
        <w:rPr>
          <w:lang w:val="en-US"/>
        </w:rPr>
        <w:t xml:space="preserve">Communication, p </w:t>
      </w:r>
      <w:r>
        <w:rPr>
          <w:lang w:val="en-US"/>
        </w:rPr>
        <w:t>3, and annex 3, paras. 29-34.</w:t>
      </w:r>
    </w:p>
  </w:footnote>
  <w:footnote w:id="99">
    <w:p w14:paraId="756623F2" w14:textId="23D446AC" w:rsidR="006B2913" w:rsidRPr="00DF2B00" w:rsidRDefault="006B2913" w:rsidP="00A9211F">
      <w:pPr>
        <w:pStyle w:val="FootnoteText"/>
        <w:tabs>
          <w:tab w:val="left" w:pos="9072"/>
        </w:tabs>
        <w:ind w:right="0" w:firstLine="0"/>
        <w:rPr>
          <w:lang w:val="en-US"/>
        </w:rPr>
      </w:pPr>
      <w:r>
        <w:rPr>
          <w:rStyle w:val="FootnoteReference"/>
        </w:rPr>
        <w:footnoteRef/>
      </w:r>
      <w:r>
        <w:rPr>
          <w:lang w:val="en-US"/>
        </w:rPr>
        <w:t xml:space="preserve"> Office of the Information Commissioner 2018 annual report,</w:t>
      </w:r>
      <w:r>
        <w:t xml:space="preserve"> </w:t>
      </w:r>
      <w:r>
        <w:rPr>
          <w:lang w:val="en-US"/>
        </w:rPr>
        <w:t>p. 23.</w:t>
      </w:r>
    </w:p>
  </w:footnote>
  <w:footnote w:id="100">
    <w:p w14:paraId="441E87C0" w14:textId="77777777" w:rsidR="006B2913" w:rsidRPr="00B4158C" w:rsidRDefault="006B2913" w:rsidP="00A9211F">
      <w:pPr>
        <w:pStyle w:val="FootnoteText"/>
        <w:tabs>
          <w:tab w:val="left" w:pos="9072"/>
        </w:tabs>
        <w:ind w:right="0" w:firstLine="0"/>
        <w:rPr>
          <w:lang w:val="en-GB"/>
        </w:rPr>
      </w:pPr>
      <w:r>
        <w:rPr>
          <w:rStyle w:val="FootnoteReference"/>
        </w:rPr>
        <w:footnoteRef/>
      </w:r>
      <w:r>
        <w:t xml:space="preserve"> </w:t>
      </w:r>
      <w:r w:rsidRPr="00B4158C">
        <w:rPr>
          <w:lang w:val="en-GB"/>
        </w:rPr>
        <w:t>Communication, p. 6.</w:t>
      </w:r>
    </w:p>
  </w:footnote>
  <w:footnote w:id="101">
    <w:p w14:paraId="213505E7" w14:textId="037A26B7" w:rsidR="006B2913" w:rsidRPr="00DB1CC1" w:rsidRDefault="006B2913" w:rsidP="00A9211F">
      <w:pPr>
        <w:pStyle w:val="FootnoteText"/>
        <w:tabs>
          <w:tab w:val="left" w:pos="9072"/>
        </w:tabs>
        <w:ind w:right="0" w:firstLine="0"/>
        <w:jc w:val="both"/>
        <w:rPr>
          <w:lang w:val="en-GB"/>
        </w:rPr>
      </w:pPr>
      <w:r>
        <w:rPr>
          <w:rStyle w:val="FootnoteReference"/>
        </w:rPr>
        <w:footnoteRef/>
      </w:r>
      <w:r>
        <w:t xml:space="preserve"> </w:t>
      </w:r>
      <w:r w:rsidRPr="00DB1CC1">
        <w:rPr>
          <w:lang w:val="en-GB"/>
        </w:rPr>
        <w:t xml:space="preserve">Communication, annex 2. </w:t>
      </w:r>
    </w:p>
  </w:footnote>
  <w:footnote w:id="102">
    <w:p w14:paraId="77FF91B5" w14:textId="77777777" w:rsidR="006B2913" w:rsidRPr="002E328C" w:rsidRDefault="006B2913" w:rsidP="007A71B2">
      <w:pPr>
        <w:pStyle w:val="FootnoteText"/>
        <w:tabs>
          <w:tab w:val="left" w:pos="9072"/>
        </w:tabs>
        <w:ind w:right="0" w:firstLine="0"/>
        <w:rPr>
          <w:lang w:val="en-GB"/>
        </w:rPr>
      </w:pPr>
      <w:r>
        <w:rPr>
          <w:rStyle w:val="FootnoteReference"/>
        </w:rPr>
        <w:footnoteRef/>
      </w:r>
      <w:r>
        <w:t xml:space="preserve"> </w:t>
      </w:r>
      <w:r>
        <w:rPr>
          <w:lang w:val="en-GB"/>
        </w:rPr>
        <w:t>Additional information from the Party concerned, 24 October 2018, pp. 7-8, and o</w:t>
      </w:r>
      <w:r w:rsidRPr="00C477CC">
        <w:rPr>
          <w:lang w:val="en-GB"/>
        </w:rPr>
        <w:t>bserver statement by Mr. Minch, 27 October 2018, p. 1</w:t>
      </w:r>
      <w:r>
        <w:rPr>
          <w:lang w:val="en-GB"/>
        </w:rPr>
        <w:t xml:space="preserve">, fn. 1. </w:t>
      </w:r>
    </w:p>
  </w:footnote>
  <w:footnote w:id="103">
    <w:p w14:paraId="7A6B74B9" w14:textId="77777777" w:rsidR="006B2913" w:rsidRPr="00DE577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2016 annual report, p. 86.</w:t>
      </w:r>
    </w:p>
  </w:footnote>
  <w:footnote w:id="104">
    <w:p w14:paraId="6248B869" w14:textId="77777777" w:rsidR="006B2913" w:rsidRPr="00DE577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2017 annual report, p. 88.</w:t>
      </w:r>
    </w:p>
  </w:footnote>
  <w:footnote w:id="105">
    <w:p w14:paraId="775A9281" w14:textId="77777777" w:rsidR="006B2913" w:rsidRPr="008434B6" w:rsidRDefault="006B2913" w:rsidP="00A9211F">
      <w:pPr>
        <w:pStyle w:val="FootnoteText"/>
        <w:tabs>
          <w:tab w:val="left" w:pos="9072"/>
        </w:tabs>
        <w:ind w:right="0" w:firstLine="0"/>
        <w:rPr>
          <w:lang w:val="en-US"/>
        </w:rPr>
      </w:pPr>
      <w:r>
        <w:rPr>
          <w:rStyle w:val="FootnoteReference"/>
        </w:rPr>
        <w:footnoteRef/>
      </w:r>
      <w:r>
        <w:t xml:space="preserve"> </w:t>
      </w:r>
      <w:r>
        <w:rPr>
          <w:lang w:val="en-US"/>
        </w:rPr>
        <w:t>OCEI 2018 annual report, p. 13.</w:t>
      </w:r>
    </w:p>
  </w:footnote>
  <w:footnote w:id="106">
    <w:p w14:paraId="65FA91C1" w14:textId="77777777" w:rsidR="006B2913" w:rsidRPr="00DB1CC1" w:rsidRDefault="006B2913" w:rsidP="00A9211F">
      <w:pPr>
        <w:pStyle w:val="FootnoteText"/>
        <w:tabs>
          <w:tab w:val="left" w:pos="9072"/>
        </w:tabs>
        <w:ind w:right="0" w:firstLine="0"/>
        <w:rPr>
          <w:lang w:val="en-GB"/>
        </w:rPr>
      </w:pPr>
      <w:r>
        <w:rPr>
          <w:rStyle w:val="FootnoteReference"/>
        </w:rPr>
        <w:footnoteRef/>
      </w:r>
      <w:r>
        <w:t xml:space="preserve"> </w:t>
      </w:r>
      <w:r w:rsidRPr="00DB1CC1">
        <w:rPr>
          <w:lang w:val="en-GB"/>
        </w:rPr>
        <w:t>Communication, annex 5.</w:t>
      </w:r>
    </w:p>
  </w:footnote>
  <w:footnote w:id="107">
    <w:p w14:paraId="58B697F7" w14:textId="1CDFECDD" w:rsidR="006B2913" w:rsidRPr="00484B95" w:rsidRDefault="006B2913" w:rsidP="00A9211F">
      <w:pPr>
        <w:pStyle w:val="FootnoteText"/>
        <w:tabs>
          <w:tab w:val="left" w:pos="9072"/>
        </w:tabs>
        <w:ind w:right="0" w:firstLine="0"/>
        <w:jc w:val="both"/>
        <w:rPr>
          <w:lang w:val="fr-CH"/>
        </w:rPr>
      </w:pPr>
      <w:r>
        <w:rPr>
          <w:rStyle w:val="FootnoteReference"/>
        </w:rPr>
        <w:footnoteRef/>
      </w:r>
      <w:r>
        <w:t xml:space="preserve"> </w:t>
      </w:r>
      <w:r w:rsidRPr="00484B95">
        <w:rPr>
          <w:lang w:val="fr-CH"/>
        </w:rPr>
        <w:t xml:space="preserve">Communication, annex 2. </w:t>
      </w:r>
    </w:p>
  </w:footnote>
  <w:footnote w:id="108">
    <w:p w14:paraId="6FF0CC6C" w14:textId="77777777" w:rsidR="006B2913" w:rsidRPr="00484B95" w:rsidRDefault="006B2913" w:rsidP="00A9211F">
      <w:pPr>
        <w:pStyle w:val="FootnoteText"/>
        <w:tabs>
          <w:tab w:val="left" w:pos="9072"/>
        </w:tabs>
        <w:ind w:right="0" w:firstLine="0"/>
        <w:rPr>
          <w:lang w:val="fr-CH"/>
        </w:rPr>
      </w:pPr>
      <w:r>
        <w:rPr>
          <w:rStyle w:val="FootnoteReference"/>
        </w:rPr>
        <w:footnoteRef/>
      </w:r>
      <w:r>
        <w:t xml:space="preserve"> </w:t>
      </w:r>
      <w:r w:rsidRPr="00484B95">
        <w:rPr>
          <w:lang w:val="fr-CH"/>
        </w:rPr>
        <w:t>Communication, annex 5.</w:t>
      </w:r>
    </w:p>
  </w:footnote>
  <w:footnote w:id="109">
    <w:p w14:paraId="04320E8F" w14:textId="77777777" w:rsidR="006B2913" w:rsidRPr="007A71B2" w:rsidRDefault="006B2913" w:rsidP="007A71B2">
      <w:pPr>
        <w:pStyle w:val="FootnoteText"/>
        <w:tabs>
          <w:tab w:val="left" w:pos="9072"/>
        </w:tabs>
        <w:ind w:right="0" w:firstLine="0"/>
        <w:rPr>
          <w:lang w:val="fr-CH"/>
        </w:rPr>
      </w:pPr>
      <w:r>
        <w:rPr>
          <w:rStyle w:val="FootnoteReference"/>
        </w:rPr>
        <w:footnoteRef/>
      </w:r>
      <w:r>
        <w:t xml:space="preserve"> </w:t>
      </w:r>
      <w:r w:rsidRPr="007A71B2">
        <w:rPr>
          <w:lang w:val="fr-CH"/>
        </w:rPr>
        <w:t>Communication, p. 8.</w:t>
      </w:r>
    </w:p>
  </w:footnote>
  <w:footnote w:id="110">
    <w:p w14:paraId="2ADEE13E" w14:textId="3CBC42E3" w:rsidR="006B2913" w:rsidRPr="001A3D4B" w:rsidRDefault="006B2913" w:rsidP="00A9211F">
      <w:pPr>
        <w:pStyle w:val="FootnoteText"/>
        <w:tabs>
          <w:tab w:val="left" w:pos="9072"/>
        </w:tabs>
        <w:ind w:right="0" w:firstLine="0"/>
        <w:rPr>
          <w:lang w:val="en-GB"/>
        </w:rPr>
      </w:pPr>
      <w:r>
        <w:rPr>
          <w:rStyle w:val="FootnoteReference"/>
        </w:rPr>
        <w:footnoteRef/>
      </w:r>
      <w:r>
        <w:t xml:space="preserve"> </w:t>
      </w:r>
      <w:r w:rsidRPr="001A3D4B">
        <w:rPr>
          <w:lang w:val="en-GB"/>
        </w:rPr>
        <w:t>Party’s oral submissions at h</w:t>
      </w:r>
      <w:r>
        <w:rPr>
          <w:lang w:val="en-GB"/>
        </w:rPr>
        <w:t>earing at Committee’s 62</w:t>
      </w:r>
      <w:r w:rsidRPr="001A3D4B">
        <w:rPr>
          <w:vertAlign w:val="superscript"/>
          <w:lang w:val="en-GB"/>
        </w:rPr>
        <w:t>nd</w:t>
      </w:r>
      <w:r>
        <w:rPr>
          <w:lang w:val="en-GB"/>
        </w:rPr>
        <w:t xml:space="preserv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3A6A" w14:textId="621BF74B" w:rsidR="006B2913" w:rsidRDefault="006B2913" w:rsidP="000B2F82">
    <w:pPr>
      <w:pStyle w:val="Header"/>
      <w:pBdr>
        <w:bottom w:val="none" w:sz="0" w:space="0" w:color="auto"/>
      </w:pBdr>
      <w:tabs>
        <w:tab w:val="left" w:pos="84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8B6"/>
    <w:multiLevelType w:val="hybridMultilevel"/>
    <w:tmpl w:val="34586010"/>
    <w:lvl w:ilvl="0" w:tplc="98CC7610">
      <w:start w:val="1"/>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F4C"/>
    <w:multiLevelType w:val="multilevel"/>
    <w:tmpl w:val="1C229E38"/>
    <w:lvl w:ilvl="0">
      <w:start w:val="1"/>
      <w:numFmt w:val="none"/>
      <w:lvlText w:val="(i)"/>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76D1838"/>
    <w:multiLevelType w:val="hybridMultilevel"/>
    <w:tmpl w:val="8E3A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74899"/>
    <w:multiLevelType w:val="multilevel"/>
    <w:tmpl w:val="91F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F4B74"/>
    <w:multiLevelType w:val="multilevel"/>
    <w:tmpl w:val="1858536C"/>
    <w:lvl w:ilvl="0">
      <w:start w:val="1"/>
      <w:numFmt w:val="none"/>
      <w:lvlText w:val="(a)"/>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DDA1ADC"/>
    <w:multiLevelType w:val="hybridMultilevel"/>
    <w:tmpl w:val="9AE02634"/>
    <w:lvl w:ilvl="0" w:tplc="CCF0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3010A"/>
    <w:multiLevelType w:val="hybridMultilevel"/>
    <w:tmpl w:val="1E02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C09DA"/>
    <w:multiLevelType w:val="hybridMultilevel"/>
    <w:tmpl w:val="BDBAF9E4"/>
    <w:lvl w:ilvl="0" w:tplc="CE30C0DA">
      <w:start w:val="1"/>
      <w:numFmt w:val="decimal"/>
      <w:lvlText w:val="%1."/>
      <w:lvlJc w:val="left"/>
      <w:pPr>
        <w:ind w:left="720" w:hanging="360"/>
      </w:pPr>
      <w:rPr>
        <w:rFonts w:hint="default"/>
        <w:b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B77A4"/>
    <w:multiLevelType w:val="hybridMultilevel"/>
    <w:tmpl w:val="483CB69C"/>
    <w:lvl w:ilvl="0" w:tplc="D818A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25561"/>
    <w:multiLevelType w:val="hybridMultilevel"/>
    <w:tmpl w:val="731EAB6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D53ACA"/>
    <w:multiLevelType w:val="hybridMultilevel"/>
    <w:tmpl w:val="CD5270C4"/>
    <w:lvl w:ilvl="0" w:tplc="0E04279A">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7555726"/>
    <w:multiLevelType w:val="hybridMultilevel"/>
    <w:tmpl w:val="2088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020BE"/>
    <w:multiLevelType w:val="hybridMultilevel"/>
    <w:tmpl w:val="A88C8AD0"/>
    <w:lvl w:ilvl="0" w:tplc="33DE5C98">
      <w:start w:val="1"/>
      <w:numFmt w:val="lowerRoman"/>
      <w:lvlText w:val="(%1)"/>
      <w:lvlJc w:val="left"/>
      <w:pPr>
        <w:ind w:left="2720" w:hanging="12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FE06E7"/>
    <w:multiLevelType w:val="hybridMultilevel"/>
    <w:tmpl w:val="E42A9F24"/>
    <w:lvl w:ilvl="0" w:tplc="92C4EC68">
      <w:start w:val="1"/>
      <w:numFmt w:val="upperRoman"/>
      <w:lvlText w:val="%1."/>
      <w:lvlJc w:val="left"/>
      <w:pPr>
        <w:ind w:left="1800" w:hanging="720"/>
      </w:pPr>
      <w:rPr>
        <w:rFonts w:ascii="Times" w:hAnsi="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1155C5"/>
    <w:multiLevelType w:val="hybridMultilevel"/>
    <w:tmpl w:val="3FA87436"/>
    <w:lvl w:ilvl="0" w:tplc="CACED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2B198A"/>
    <w:multiLevelType w:val="hybridMultilevel"/>
    <w:tmpl w:val="49F0D58C"/>
    <w:lvl w:ilvl="0" w:tplc="C81EC4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AA6D99"/>
    <w:multiLevelType w:val="hybridMultilevel"/>
    <w:tmpl w:val="D18EBFCA"/>
    <w:lvl w:ilvl="0" w:tplc="0809000F">
      <w:start w:val="1"/>
      <w:numFmt w:val="decimal"/>
      <w:lvlText w:val="%1."/>
      <w:lvlJc w:val="left"/>
      <w:pPr>
        <w:ind w:left="1778" w:hanging="360"/>
      </w:pPr>
      <w:rPr>
        <w:rFonts w:hint="default"/>
        <w:b w:val="0"/>
        <w:i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C15B9"/>
    <w:multiLevelType w:val="hybridMultilevel"/>
    <w:tmpl w:val="ABB26D20"/>
    <w:lvl w:ilvl="0" w:tplc="21B69FD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F55FCE"/>
    <w:multiLevelType w:val="hybridMultilevel"/>
    <w:tmpl w:val="CF6ABDEE"/>
    <w:lvl w:ilvl="0" w:tplc="4C9096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AEE2644"/>
    <w:multiLevelType w:val="hybridMultilevel"/>
    <w:tmpl w:val="D18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E1801"/>
    <w:multiLevelType w:val="hybridMultilevel"/>
    <w:tmpl w:val="34586010"/>
    <w:lvl w:ilvl="0" w:tplc="98CC7610">
      <w:start w:val="1"/>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5069F"/>
    <w:multiLevelType w:val="hybridMultilevel"/>
    <w:tmpl w:val="6DBA1A36"/>
    <w:lvl w:ilvl="0" w:tplc="CE30C0DA">
      <w:start w:val="1"/>
      <w:numFmt w:val="decimal"/>
      <w:lvlText w:val="%1."/>
      <w:lvlJc w:val="left"/>
      <w:pPr>
        <w:ind w:left="720" w:hanging="360"/>
      </w:pPr>
      <w:rPr>
        <w:rFonts w:hint="default"/>
        <w:b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A3726"/>
    <w:multiLevelType w:val="hybridMultilevel"/>
    <w:tmpl w:val="0B4E0F2E"/>
    <w:lvl w:ilvl="0" w:tplc="CBF279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24535AB"/>
    <w:multiLevelType w:val="hybridMultilevel"/>
    <w:tmpl w:val="34586010"/>
    <w:lvl w:ilvl="0" w:tplc="98CC7610">
      <w:start w:val="1"/>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D28A0"/>
    <w:multiLevelType w:val="hybridMultilevel"/>
    <w:tmpl w:val="631A5D74"/>
    <w:lvl w:ilvl="0" w:tplc="945051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37255E6"/>
    <w:multiLevelType w:val="hybridMultilevel"/>
    <w:tmpl w:val="34586010"/>
    <w:lvl w:ilvl="0" w:tplc="98CC7610">
      <w:start w:val="1"/>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80013"/>
    <w:multiLevelType w:val="hybridMultilevel"/>
    <w:tmpl w:val="DF3A37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440288"/>
    <w:multiLevelType w:val="hybridMultilevel"/>
    <w:tmpl w:val="06DC7898"/>
    <w:lvl w:ilvl="0" w:tplc="C08C37F6">
      <w:start w:val="1"/>
      <w:numFmt w:val="decimal"/>
      <w:lvlText w:val="%1."/>
      <w:lvlJc w:val="left"/>
      <w:pPr>
        <w:ind w:left="1495" w:hanging="360"/>
      </w:pPr>
      <w:rPr>
        <w:rFonts w:hint="default"/>
        <w:b w:val="0"/>
        <w:sz w:val="20"/>
        <w:szCs w:val="20"/>
        <w:vertAlign w:val="baseline"/>
        <w:lang w:val="en-GB"/>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3E71482A"/>
    <w:multiLevelType w:val="hybridMultilevel"/>
    <w:tmpl w:val="CA8A9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9801B8"/>
    <w:multiLevelType w:val="hybridMultilevel"/>
    <w:tmpl w:val="34586010"/>
    <w:lvl w:ilvl="0" w:tplc="98CC7610">
      <w:start w:val="1"/>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C3605"/>
    <w:multiLevelType w:val="hybridMultilevel"/>
    <w:tmpl w:val="EFF061A2"/>
    <w:lvl w:ilvl="0" w:tplc="9D203C70">
      <w:start w:val="1"/>
      <w:numFmt w:val="bullet"/>
      <w:lvlText w:val="-"/>
      <w:lvlJc w:val="left"/>
      <w:pPr>
        <w:ind w:left="2061" w:hanging="360"/>
      </w:pPr>
      <w:rPr>
        <w:rFonts w:ascii="Times New Roman" w:eastAsiaTheme="minorHAnsi" w:hAnsi="Times New Roman" w:cs="Times New Roman" w:hint="default"/>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42255166"/>
    <w:multiLevelType w:val="hybridMultilevel"/>
    <w:tmpl w:val="9ACAC65C"/>
    <w:lvl w:ilvl="0" w:tplc="6AA6E524">
      <w:start w:val="1"/>
      <w:numFmt w:val="decimal"/>
      <w:lvlText w:val="%1."/>
      <w:lvlJc w:val="left"/>
      <w:pPr>
        <w:ind w:left="1778" w:hanging="360"/>
      </w:pPr>
      <w:rPr>
        <w:rFonts w:hint="default"/>
        <w:b w:val="0"/>
        <w:i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95738F"/>
    <w:multiLevelType w:val="hybridMultilevel"/>
    <w:tmpl w:val="9A74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C80ED2"/>
    <w:multiLevelType w:val="multilevel"/>
    <w:tmpl w:val="A8322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F557AC"/>
    <w:multiLevelType w:val="hybridMultilevel"/>
    <w:tmpl w:val="B6BE329A"/>
    <w:lvl w:ilvl="0" w:tplc="C7E43452">
      <w:start w:val="1"/>
      <w:numFmt w:val="lowerLetter"/>
      <w:lvlText w:val="(%1)"/>
      <w:lvlJc w:val="left"/>
      <w:pPr>
        <w:ind w:left="2049" w:hanging="360"/>
      </w:pPr>
      <w:rPr>
        <w:rFonts w:hint="default"/>
      </w:rPr>
    </w:lvl>
    <w:lvl w:ilvl="1" w:tplc="08090019">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5" w15:restartNumberingAfterBreak="0">
    <w:nsid w:val="46585955"/>
    <w:multiLevelType w:val="hybridMultilevel"/>
    <w:tmpl w:val="73E80E98"/>
    <w:lvl w:ilvl="0" w:tplc="29FC1052">
      <w:start w:val="1"/>
      <w:numFmt w:val="upperLetter"/>
      <w:lvlText w:val="%1."/>
      <w:lvlJc w:val="left"/>
      <w:pPr>
        <w:ind w:left="1577" w:hanging="360"/>
      </w:pPr>
      <w:rPr>
        <w:rFonts w:hint="default"/>
        <w:sz w:val="24"/>
        <w:szCs w:val="24"/>
      </w:r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36" w15:restartNumberingAfterBreak="0">
    <w:nsid w:val="4B1F361C"/>
    <w:multiLevelType w:val="hybridMultilevel"/>
    <w:tmpl w:val="AFB688EE"/>
    <w:lvl w:ilvl="0" w:tplc="E18EAF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63480"/>
    <w:multiLevelType w:val="hybridMultilevel"/>
    <w:tmpl w:val="9DD6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02D1F"/>
    <w:multiLevelType w:val="hybridMultilevel"/>
    <w:tmpl w:val="ADBA5E02"/>
    <w:lvl w:ilvl="0" w:tplc="C1B4C852">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9" w15:restartNumberingAfterBreak="0">
    <w:nsid w:val="51514EBB"/>
    <w:multiLevelType w:val="hybridMultilevel"/>
    <w:tmpl w:val="0B4E0F2E"/>
    <w:lvl w:ilvl="0" w:tplc="CBF279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15:restartNumberingAfterBreak="0">
    <w:nsid w:val="53B6395D"/>
    <w:multiLevelType w:val="hybridMultilevel"/>
    <w:tmpl w:val="2A06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1274FB"/>
    <w:multiLevelType w:val="hybridMultilevel"/>
    <w:tmpl w:val="6AAA71DA"/>
    <w:lvl w:ilvl="0" w:tplc="787E00D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429764B"/>
    <w:multiLevelType w:val="hybridMultilevel"/>
    <w:tmpl w:val="DF82FABA"/>
    <w:lvl w:ilvl="0" w:tplc="6F26717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3352E"/>
    <w:multiLevelType w:val="hybridMultilevel"/>
    <w:tmpl w:val="E970342E"/>
    <w:lvl w:ilvl="0" w:tplc="F910764E">
      <w:start w:val="1"/>
      <w:numFmt w:val="none"/>
      <w:lvlText w:val="(a)"/>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5" w15:restartNumberingAfterBreak="0">
    <w:nsid w:val="5B656861"/>
    <w:multiLevelType w:val="hybridMultilevel"/>
    <w:tmpl w:val="ADBA5E02"/>
    <w:lvl w:ilvl="0" w:tplc="C1B4C8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5C0E59A2"/>
    <w:multiLevelType w:val="hybridMultilevel"/>
    <w:tmpl w:val="ADBA5E02"/>
    <w:lvl w:ilvl="0" w:tplc="C1B4C8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5E732D6A"/>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8"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9" w15:restartNumberingAfterBreak="0">
    <w:nsid w:val="6366147F"/>
    <w:multiLevelType w:val="hybridMultilevel"/>
    <w:tmpl w:val="9ACAC65C"/>
    <w:lvl w:ilvl="0" w:tplc="6AA6E524">
      <w:start w:val="1"/>
      <w:numFmt w:val="decimal"/>
      <w:lvlText w:val="%1."/>
      <w:lvlJc w:val="left"/>
      <w:pPr>
        <w:ind w:left="1778" w:hanging="360"/>
      </w:pPr>
      <w:rPr>
        <w:rFonts w:hint="default"/>
        <w:b w:val="0"/>
        <w:i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355BA4"/>
    <w:multiLevelType w:val="multilevel"/>
    <w:tmpl w:val="892AAD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966826"/>
    <w:multiLevelType w:val="hybridMultilevel"/>
    <w:tmpl w:val="87483560"/>
    <w:lvl w:ilvl="0" w:tplc="1DCEDC5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CE33B6"/>
    <w:multiLevelType w:val="multilevel"/>
    <w:tmpl w:val="49F0D58C"/>
    <w:lvl w:ilvl="0">
      <w:start w:val="1"/>
      <w:numFmt w:val="lowerLetter"/>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673E0640"/>
    <w:multiLevelType w:val="hybridMultilevel"/>
    <w:tmpl w:val="1C7E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141DF9"/>
    <w:multiLevelType w:val="hybridMultilevel"/>
    <w:tmpl w:val="223A50E6"/>
    <w:lvl w:ilvl="0" w:tplc="ABD0FDB8">
      <w:start w:val="1"/>
      <w:numFmt w:val="lowerRoman"/>
      <w:lvlText w:val="(%1)"/>
      <w:lvlJc w:val="left"/>
      <w:pPr>
        <w:ind w:left="2874" w:hanging="72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55" w15:restartNumberingAfterBreak="0">
    <w:nsid w:val="68B77827"/>
    <w:multiLevelType w:val="hybridMultilevel"/>
    <w:tmpl w:val="ABB26D20"/>
    <w:lvl w:ilvl="0" w:tplc="21B69FD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FC523F6"/>
    <w:multiLevelType w:val="multilevel"/>
    <w:tmpl w:val="82DE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8A2FA3"/>
    <w:multiLevelType w:val="hybridMultilevel"/>
    <w:tmpl w:val="CCAA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305E2"/>
    <w:multiLevelType w:val="hybridMultilevel"/>
    <w:tmpl w:val="CF20B254"/>
    <w:lvl w:ilvl="0" w:tplc="C700CCFE">
      <w:start w:val="1"/>
      <w:numFmt w:val="decimal"/>
      <w:lvlText w:val="%1."/>
      <w:lvlJc w:val="left"/>
      <w:pPr>
        <w:ind w:left="6739" w:hanging="360"/>
      </w:pPr>
      <w:rPr>
        <w:rFonts w:hint="default"/>
        <w:b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37"/>
  </w:num>
  <w:num w:numId="5">
    <w:abstractNumId w:val="13"/>
  </w:num>
  <w:num w:numId="6">
    <w:abstractNumId w:val="57"/>
  </w:num>
  <w:num w:numId="7">
    <w:abstractNumId w:val="27"/>
  </w:num>
  <w:num w:numId="8">
    <w:abstractNumId w:val="47"/>
  </w:num>
  <w:num w:numId="9">
    <w:abstractNumId w:val="44"/>
  </w:num>
  <w:num w:numId="10">
    <w:abstractNumId w:val="48"/>
  </w:num>
  <w:num w:numId="11">
    <w:abstractNumId w:val="36"/>
  </w:num>
  <w:num w:numId="12">
    <w:abstractNumId w:val="26"/>
  </w:num>
  <w:num w:numId="13">
    <w:abstractNumId w:val="9"/>
  </w:num>
  <w:num w:numId="14">
    <w:abstractNumId w:val="8"/>
  </w:num>
  <w:num w:numId="15">
    <w:abstractNumId w:val="14"/>
  </w:num>
  <w:num w:numId="16">
    <w:abstractNumId w:val="42"/>
  </w:num>
  <w:num w:numId="17">
    <w:abstractNumId w:val="35"/>
  </w:num>
  <w:num w:numId="18">
    <w:abstractNumId w:val="6"/>
  </w:num>
  <w:num w:numId="19">
    <w:abstractNumId w:val="0"/>
  </w:num>
  <w:num w:numId="20">
    <w:abstractNumId w:val="15"/>
  </w:num>
  <w:num w:numId="21">
    <w:abstractNumId w:val="43"/>
  </w:num>
  <w:num w:numId="22">
    <w:abstractNumId w:val="52"/>
  </w:num>
  <w:num w:numId="23">
    <w:abstractNumId w:val="1"/>
  </w:num>
  <w:num w:numId="24">
    <w:abstractNumId w:val="4"/>
  </w:num>
  <w:num w:numId="25">
    <w:abstractNumId w:val="55"/>
  </w:num>
  <w:num w:numId="26">
    <w:abstractNumId w:val="17"/>
  </w:num>
  <w:num w:numId="27">
    <w:abstractNumId w:val="12"/>
  </w:num>
  <w:num w:numId="28">
    <w:abstractNumId w:val="41"/>
  </w:num>
  <w:num w:numId="29">
    <w:abstractNumId w:val="24"/>
  </w:num>
  <w:num w:numId="30">
    <w:abstractNumId w:val="32"/>
  </w:num>
  <w:num w:numId="31">
    <w:abstractNumId w:val="23"/>
  </w:num>
  <w:num w:numId="32">
    <w:abstractNumId w:val="40"/>
  </w:num>
  <w:num w:numId="33">
    <w:abstractNumId w:val="28"/>
  </w:num>
  <w:num w:numId="34">
    <w:abstractNumId w:val="25"/>
  </w:num>
  <w:num w:numId="35">
    <w:abstractNumId w:val="29"/>
  </w:num>
  <w:num w:numId="36">
    <w:abstractNumId w:val="20"/>
  </w:num>
  <w:num w:numId="37">
    <w:abstractNumId w:val="53"/>
  </w:num>
  <w:num w:numId="38">
    <w:abstractNumId w:val="21"/>
  </w:num>
  <w:num w:numId="39">
    <w:abstractNumId w:val="51"/>
  </w:num>
  <w:num w:numId="40">
    <w:abstractNumId w:val="7"/>
  </w:num>
  <w:num w:numId="41">
    <w:abstractNumId w:val="39"/>
  </w:num>
  <w:num w:numId="42">
    <w:abstractNumId w:val="33"/>
  </w:num>
  <w:num w:numId="43">
    <w:abstractNumId w:val="22"/>
  </w:num>
  <w:num w:numId="44">
    <w:abstractNumId w:val="50"/>
  </w:num>
  <w:num w:numId="45">
    <w:abstractNumId w:val="56"/>
  </w:num>
  <w:num w:numId="46">
    <w:abstractNumId w:val="3"/>
  </w:num>
  <w:num w:numId="47">
    <w:abstractNumId w:val="58"/>
  </w:num>
  <w:num w:numId="48">
    <w:abstractNumId w:val="46"/>
  </w:num>
  <w:num w:numId="49">
    <w:abstractNumId w:val="45"/>
  </w:num>
  <w:num w:numId="50">
    <w:abstractNumId w:val="2"/>
  </w:num>
  <w:num w:numId="51">
    <w:abstractNumId w:val="49"/>
  </w:num>
  <w:num w:numId="52">
    <w:abstractNumId w:val="31"/>
  </w:num>
  <w:num w:numId="53">
    <w:abstractNumId w:val="38"/>
  </w:num>
  <w:num w:numId="54">
    <w:abstractNumId w:val="54"/>
  </w:num>
  <w:num w:numId="55">
    <w:abstractNumId w:val="16"/>
  </w:num>
  <w:num w:numId="56">
    <w:abstractNumId w:val="30"/>
  </w:num>
  <w:num w:numId="57">
    <w:abstractNumId w:val="18"/>
  </w:num>
  <w:num w:numId="58">
    <w:abstractNumId w:val="10"/>
  </w:num>
  <w:num w:numId="59">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ar-SA" w:vendorID="64" w:dllVersion="0" w:nlCheck="1" w:checkStyle="0"/>
  <w:activeWritingStyle w:appName="MSWord" w:lang="ar-SA" w:vendorID="64" w:dllVersion="6" w:nlCheck="1" w:checkStyle="0"/>
  <w:activeWritingStyle w:appName="MSWord" w:lang="de-AT" w:vendorID="64" w:dllVersion="6" w:nlCheck="1" w:checkStyle="0"/>
  <w:activeWritingStyle w:appName="MSWord" w:lang="de-AT" w:vendorID="64" w:dllVersion="0" w:nlCheck="1" w:checkStyle="0"/>
  <w:activeWritingStyle w:appName="MSWord" w:lang="ar-SA"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fr-FR" w:vendorID="64" w:dllVersion="6" w:nlCheck="1" w:checkStyle="1"/>
  <w:activeWritingStyle w:appName="MSWord" w:lang="fr-BE" w:vendorID="64" w:dllVersion="6" w:nlCheck="1" w:checkStyle="1"/>
  <w:activeWritingStyle w:appName="MSWord" w:lang="es-ES" w:vendorID="64" w:dllVersion="0" w:nlCheck="1" w:checkStyle="0"/>
  <w:activeWritingStyle w:appName="MSWord" w:lang="es-ES" w:vendorID="64" w:dllVersion="4096" w:nlCheck="1" w:checkStyle="0"/>
  <w:activeWritingStyle w:appName="MSWord" w:lang="fr-FR" w:vendorID="64" w:dllVersion="0"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46"/>
    <w:rsid w:val="00000380"/>
    <w:rsid w:val="0000133C"/>
    <w:rsid w:val="00001F45"/>
    <w:rsid w:val="00003F15"/>
    <w:rsid w:val="000044D9"/>
    <w:rsid w:val="000047B7"/>
    <w:rsid w:val="0000583B"/>
    <w:rsid w:val="0000601A"/>
    <w:rsid w:val="0000727A"/>
    <w:rsid w:val="00007D5B"/>
    <w:rsid w:val="00013168"/>
    <w:rsid w:val="00013C19"/>
    <w:rsid w:val="000145F7"/>
    <w:rsid w:val="0001490C"/>
    <w:rsid w:val="0001536D"/>
    <w:rsid w:val="0001568D"/>
    <w:rsid w:val="00015A68"/>
    <w:rsid w:val="000162E9"/>
    <w:rsid w:val="00016BE6"/>
    <w:rsid w:val="00017160"/>
    <w:rsid w:val="00017221"/>
    <w:rsid w:val="00020787"/>
    <w:rsid w:val="00021213"/>
    <w:rsid w:val="000213E1"/>
    <w:rsid w:val="00021685"/>
    <w:rsid w:val="0002198D"/>
    <w:rsid w:val="00022EC2"/>
    <w:rsid w:val="00023B38"/>
    <w:rsid w:val="000241C5"/>
    <w:rsid w:val="000243AF"/>
    <w:rsid w:val="000245B5"/>
    <w:rsid w:val="00025279"/>
    <w:rsid w:val="00025BBC"/>
    <w:rsid w:val="000268E3"/>
    <w:rsid w:val="00026EA0"/>
    <w:rsid w:val="00027204"/>
    <w:rsid w:val="00027B19"/>
    <w:rsid w:val="00027F78"/>
    <w:rsid w:val="0003133D"/>
    <w:rsid w:val="00031F69"/>
    <w:rsid w:val="00032C99"/>
    <w:rsid w:val="00033384"/>
    <w:rsid w:val="000346CA"/>
    <w:rsid w:val="0003485C"/>
    <w:rsid w:val="00036639"/>
    <w:rsid w:val="00036D12"/>
    <w:rsid w:val="00036E21"/>
    <w:rsid w:val="00036E6D"/>
    <w:rsid w:val="0003717A"/>
    <w:rsid w:val="000372FA"/>
    <w:rsid w:val="000419CC"/>
    <w:rsid w:val="00041C8E"/>
    <w:rsid w:val="000426CD"/>
    <w:rsid w:val="00042971"/>
    <w:rsid w:val="00042A48"/>
    <w:rsid w:val="000431D5"/>
    <w:rsid w:val="000433DC"/>
    <w:rsid w:val="000442AB"/>
    <w:rsid w:val="000457F9"/>
    <w:rsid w:val="000457FC"/>
    <w:rsid w:val="0004597F"/>
    <w:rsid w:val="00046619"/>
    <w:rsid w:val="00051CE2"/>
    <w:rsid w:val="00051D1A"/>
    <w:rsid w:val="00051E28"/>
    <w:rsid w:val="00052ACE"/>
    <w:rsid w:val="00053319"/>
    <w:rsid w:val="00053870"/>
    <w:rsid w:val="00053E41"/>
    <w:rsid w:val="000542FA"/>
    <w:rsid w:val="00055CB0"/>
    <w:rsid w:val="00055E48"/>
    <w:rsid w:val="000569F3"/>
    <w:rsid w:val="00056BC0"/>
    <w:rsid w:val="00056F63"/>
    <w:rsid w:val="00057246"/>
    <w:rsid w:val="00060041"/>
    <w:rsid w:val="000613E5"/>
    <w:rsid w:val="000615A0"/>
    <w:rsid w:val="00061986"/>
    <w:rsid w:val="00062CA7"/>
    <w:rsid w:val="000639ED"/>
    <w:rsid w:val="00064F91"/>
    <w:rsid w:val="000650BF"/>
    <w:rsid w:val="000658DC"/>
    <w:rsid w:val="00065F5E"/>
    <w:rsid w:val="00066349"/>
    <w:rsid w:val="0006636E"/>
    <w:rsid w:val="00067EA2"/>
    <w:rsid w:val="000707EC"/>
    <w:rsid w:val="00072042"/>
    <w:rsid w:val="0007254A"/>
    <w:rsid w:val="000725FC"/>
    <w:rsid w:val="000729A1"/>
    <w:rsid w:val="00072B74"/>
    <w:rsid w:val="000738B0"/>
    <w:rsid w:val="00074994"/>
    <w:rsid w:val="000752D4"/>
    <w:rsid w:val="000753B7"/>
    <w:rsid w:val="00075632"/>
    <w:rsid w:val="000759D3"/>
    <w:rsid w:val="00075A27"/>
    <w:rsid w:val="000766CB"/>
    <w:rsid w:val="00076F96"/>
    <w:rsid w:val="000774FF"/>
    <w:rsid w:val="00077516"/>
    <w:rsid w:val="00077563"/>
    <w:rsid w:val="00077DFF"/>
    <w:rsid w:val="00080429"/>
    <w:rsid w:val="0008093C"/>
    <w:rsid w:val="000817FC"/>
    <w:rsid w:val="00082183"/>
    <w:rsid w:val="00082CEE"/>
    <w:rsid w:val="00083205"/>
    <w:rsid w:val="00083208"/>
    <w:rsid w:val="00083917"/>
    <w:rsid w:val="0008497D"/>
    <w:rsid w:val="00084CA4"/>
    <w:rsid w:val="00084EC4"/>
    <w:rsid w:val="00084F6F"/>
    <w:rsid w:val="00085229"/>
    <w:rsid w:val="000857CF"/>
    <w:rsid w:val="0008583D"/>
    <w:rsid w:val="000858DB"/>
    <w:rsid w:val="00085BD2"/>
    <w:rsid w:val="00085D48"/>
    <w:rsid w:val="00085F6C"/>
    <w:rsid w:val="00085FB9"/>
    <w:rsid w:val="00086250"/>
    <w:rsid w:val="0008686F"/>
    <w:rsid w:val="000875E5"/>
    <w:rsid w:val="00087E69"/>
    <w:rsid w:val="000902CB"/>
    <w:rsid w:val="00090A68"/>
    <w:rsid w:val="00091C8E"/>
    <w:rsid w:val="000920B1"/>
    <w:rsid w:val="000925EC"/>
    <w:rsid w:val="00092A15"/>
    <w:rsid w:val="0009348F"/>
    <w:rsid w:val="00094A1E"/>
    <w:rsid w:val="00094CA6"/>
    <w:rsid w:val="00094DBE"/>
    <w:rsid w:val="00094EDD"/>
    <w:rsid w:val="00095996"/>
    <w:rsid w:val="00095BA7"/>
    <w:rsid w:val="00095CAA"/>
    <w:rsid w:val="00096CCD"/>
    <w:rsid w:val="000A00D8"/>
    <w:rsid w:val="000A03D3"/>
    <w:rsid w:val="000A05FB"/>
    <w:rsid w:val="000A14C9"/>
    <w:rsid w:val="000A1AB1"/>
    <w:rsid w:val="000A1B75"/>
    <w:rsid w:val="000A1CB9"/>
    <w:rsid w:val="000A23B2"/>
    <w:rsid w:val="000A24EB"/>
    <w:rsid w:val="000A3FEE"/>
    <w:rsid w:val="000A4703"/>
    <w:rsid w:val="000A4E36"/>
    <w:rsid w:val="000A62AE"/>
    <w:rsid w:val="000A6B5B"/>
    <w:rsid w:val="000A6F1D"/>
    <w:rsid w:val="000A75A3"/>
    <w:rsid w:val="000A7B61"/>
    <w:rsid w:val="000B0D36"/>
    <w:rsid w:val="000B2B03"/>
    <w:rsid w:val="000B2F82"/>
    <w:rsid w:val="000B4447"/>
    <w:rsid w:val="000B4D7D"/>
    <w:rsid w:val="000B5208"/>
    <w:rsid w:val="000B5699"/>
    <w:rsid w:val="000B6977"/>
    <w:rsid w:val="000B74A2"/>
    <w:rsid w:val="000C039A"/>
    <w:rsid w:val="000C0971"/>
    <w:rsid w:val="000C0C1D"/>
    <w:rsid w:val="000C0E52"/>
    <w:rsid w:val="000C13BD"/>
    <w:rsid w:val="000C1406"/>
    <w:rsid w:val="000C38E5"/>
    <w:rsid w:val="000C4F6D"/>
    <w:rsid w:val="000C567C"/>
    <w:rsid w:val="000C5AF7"/>
    <w:rsid w:val="000C61BF"/>
    <w:rsid w:val="000C6DE9"/>
    <w:rsid w:val="000C739C"/>
    <w:rsid w:val="000C7B95"/>
    <w:rsid w:val="000D044B"/>
    <w:rsid w:val="000D04D3"/>
    <w:rsid w:val="000D17C6"/>
    <w:rsid w:val="000D2AA8"/>
    <w:rsid w:val="000D35B8"/>
    <w:rsid w:val="000D373E"/>
    <w:rsid w:val="000D3806"/>
    <w:rsid w:val="000D385D"/>
    <w:rsid w:val="000D4253"/>
    <w:rsid w:val="000D5093"/>
    <w:rsid w:val="000D5551"/>
    <w:rsid w:val="000D66DD"/>
    <w:rsid w:val="000D6B65"/>
    <w:rsid w:val="000D7D22"/>
    <w:rsid w:val="000E0B25"/>
    <w:rsid w:val="000E0BA2"/>
    <w:rsid w:val="000E1036"/>
    <w:rsid w:val="000E110B"/>
    <w:rsid w:val="000E1D3E"/>
    <w:rsid w:val="000E226E"/>
    <w:rsid w:val="000E2EB0"/>
    <w:rsid w:val="000E2EE6"/>
    <w:rsid w:val="000E3935"/>
    <w:rsid w:val="000E412C"/>
    <w:rsid w:val="000E5329"/>
    <w:rsid w:val="000E593E"/>
    <w:rsid w:val="000E5EBB"/>
    <w:rsid w:val="000E6A69"/>
    <w:rsid w:val="000E6C7A"/>
    <w:rsid w:val="000E7005"/>
    <w:rsid w:val="000E71CA"/>
    <w:rsid w:val="000E71E1"/>
    <w:rsid w:val="000F0A01"/>
    <w:rsid w:val="000F1829"/>
    <w:rsid w:val="000F1EDA"/>
    <w:rsid w:val="000F2B54"/>
    <w:rsid w:val="000F2F90"/>
    <w:rsid w:val="000F3D8A"/>
    <w:rsid w:val="000F434E"/>
    <w:rsid w:val="000F5188"/>
    <w:rsid w:val="000F58BA"/>
    <w:rsid w:val="000F5D3F"/>
    <w:rsid w:val="000F5E06"/>
    <w:rsid w:val="000F628E"/>
    <w:rsid w:val="000F644E"/>
    <w:rsid w:val="000F694B"/>
    <w:rsid w:val="000F698C"/>
    <w:rsid w:val="000F7284"/>
    <w:rsid w:val="000F729D"/>
    <w:rsid w:val="000F73FF"/>
    <w:rsid w:val="00100D10"/>
    <w:rsid w:val="00100DBF"/>
    <w:rsid w:val="00100EE5"/>
    <w:rsid w:val="00100F45"/>
    <w:rsid w:val="00101889"/>
    <w:rsid w:val="0010235D"/>
    <w:rsid w:val="001050C3"/>
    <w:rsid w:val="00106777"/>
    <w:rsid w:val="00106AAF"/>
    <w:rsid w:val="00106D3A"/>
    <w:rsid w:val="00107568"/>
    <w:rsid w:val="00107862"/>
    <w:rsid w:val="00107A8D"/>
    <w:rsid w:val="00110850"/>
    <w:rsid w:val="00110E5C"/>
    <w:rsid w:val="00112231"/>
    <w:rsid w:val="001128A2"/>
    <w:rsid w:val="00112CB7"/>
    <w:rsid w:val="00113459"/>
    <w:rsid w:val="001136D3"/>
    <w:rsid w:val="0011541E"/>
    <w:rsid w:val="001165CB"/>
    <w:rsid w:val="001170C1"/>
    <w:rsid w:val="001170EE"/>
    <w:rsid w:val="001178B1"/>
    <w:rsid w:val="00117980"/>
    <w:rsid w:val="001206EF"/>
    <w:rsid w:val="001207D0"/>
    <w:rsid w:val="001208A2"/>
    <w:rsid w:val="00121041"/>
    <w:rsid w:val="001212BC"/>
    <w:rsid w:val="00121772"/>
    <w:rsid w:val="001220CB"/>
    <w:rsid w:val="0012214E"/>
    <w:rsid w:val="001221E2"/>
    <w:rsid w:val="001221F8"/>
    <w:rsid w:val="00122849"/>
    <w:rsid w:val="00123457"/>
    <w:rsid w:val="00123460"/>
    <w:rsid w:val="00123FAC"/>
    <w:rsid w:val="00123FF0"/>
    <w:rsid w:val="0012443A"/>
    <w:rsid w:val="00124724"/>
    <w:rsid w:val="00124CAE"/>
    <w:rsid w:val="00124E9E"/>
    <w:rsid w:val="00125370"/>
    <w:rsid w:val="00126CE5"/>
    <w:rsid w:val="00126FCF"/>
    <w:rsid w:val="00131E0B"/>
    <w:rsid w:val="00132A8F"/>
    <w:rsid w:val="00133188"/>
    <w:rsid w:val="00133636"/>
    <w:rsid w:val="00134265"/>
    <w:rsid w:val="0013497E"/>
    <w:rsid w:val="00134E12"/>
    <w:rsid w:val="0013591F"/>
    <w:rsid w:val="0013650D"/>
    <w:rsid w:val="00136703"/>
    <w:rsid w:val="001373F6"/>
    <w:rsid w:val="0014086B"/>
    <w:rsid w:val="0014156A"/>
    <w:rsid w:val="00141C89"/>
    <w:rsid w:val="00142730"/>
    <w:rsid w:val="00142D28"/>
    <w:rsid w:val="00143640"/>
    <w:rsid w:val="00143A3B"/>
    <w:rsid w:val="001448B1"/>
    <w:rsid w:val="001450F2"/>
    <w:rsid w:val="001452F2"/>
    <w:rsid w:val="00145C57"/>
    <w:rsid w:val="00146D74"/>
    <w:rsid w:val="00146ED0"/>
    <w:rsid w:val="001474BE"/>
    <w:rsid w:val="00150FA4"/>
    <w:rsid w:val="00151200"/>
    <w:rsid w:val="00152D67"/>
    <w:rsid w:val="00153ED9"/>
    <w:rsid w:val="00154841"/>
    <w:rsid w:val="00155374"/>
    <w:rsid w:val="001557D0"/>
    <w:rsid w:val="001560C0"/>
    <w:rsid w:val="001566B9"/>
    <w:rsid w:val="00157F0A"/>
    <w:rsid w:val="001606BB"/>
    <w:rsid w:val="001611F3"/>
    <w:rsid w:val="0016150F"/>
    <w:rsid w:val="00161E57"/>
    <w:rsid w:val="0016244F"/>
    <w:rsid w:val="0016263D"/>
    <w:rsid w:val="00164D88"/>
    <w:rsid w:val="00164E70"/>
    <w:rsid w:val="00165FC3"/>
    <w:rsid w:val="001665C3"/>
    <w:rsid w:val="00166842"/>
    <w:rsid w:val="00166B5D"/>
    <w:rsid w:val="00166BBC"/>
    <w:rsid w:val="00166EEE"/>
    <w:rsid w:val="0016700D"/>
    <w:rsid w:val="001675E7"/>
    <w:rsid w:val="00167D5B"/>
    <w:rsid w:val="00167EA7"/>
    <w:rsid w:val="001706CB"/>
    <w:rsid w:val="00171122"/>
    <w:rsid w:val="001716E1"/>
    <w:rsid w:val="001719C6"/>
    <w:rsid w:val="00171D55"/>
    <w:rsid w:val="00172BEC"/>
    <w:rsid w:val="00173619"/>
    <w:rsid w:val="00173CE6"/>
    <w:rsid w:val="00173DF1"/>
    <w:rsid w:val="0017498D"/>
    <w:rsid w:val="001750B8"/>
    <w:rsid w:val="001757DD"/>
    <w:rsid w:val="00175EFF"/>
    <w:rsid w:val="0017649B"/>
    <w:rsid w:val="00176A5F"/>
    <w:rsid w:val="00180261"/>
    <w:rsid w:val="00182070"/>
    <w:rsid w:val="0018291C"/>
    <w:rsid w:val="00182FF5"/>
    <w:rsid w:val="001833FC"/>
    <w:rsid w:val="0018384A"/>
    <w:rsid w:val="00183BD9"/>
    <w:rsid w:val="00183CA1"/>
    <w:rsid w:val="00183EB4"/>
    <w:rsid w:val="00184B04"/>
    <w:rsid w:val="001852AD"/>
    <w:rsid w:val="001866CD"/>
    <w:rsid w:val="00186CC6"/>
    <w:rsid w:val="00187210"/>
    <w:rsid w:val="0018721E"/>
    <w:rsid w:val="00187BAC"/>
    <w:rsid w:val="001904A1"/>
    <w:rsid w:val="00190FEB"/>
    <w:rsid w:val="001916E7"/>
    <w:rsid w:val="0019188D"/>
    <w:rsid w:val="00191CAB"/>
    <w:rsid w:val="0019297D"/>
    <w:rsid w:val="0019312C"/>
    <w:rsid w:val="0019319E"/>
    <w:rsid w:val="00193504"/>
    <w:rsid w:val="001938BF"/>
    <w:rsid w:val="00193C0A"/>
    <w:rsid w:val="00193C8E"/>
    <w:rsid w:val="00194295"/>
    <w:rsid w:val="00194662"/>
    <w:rsid w:val="0019505F"/>
    <w:rsid w:val="0019714F"/>
    <w:rsid w:val="00197710"/>
    <w:rsid w:val="00197AC0"/>
    <w:rsid w:val="00197C6D"/>
    <w:rsid w:val="001A077B"/>
    <w:rsid w:val="001A0E1E"/>
    <w:rsid w:val="001A14E3"/>
    <w:rsid w:val="001A18E0"/>
    <w:rsid w:val="001A1CA9"/>
    <w:rsid w:val="001A2B16"/>
    <w:rsid w:val="001A3D4B"/>
    <w:rsid w:val="001A48EF"/>
    <w:rsid w:val="001A5A44"/>
    <w:rsid w:val="001A645C"/>
    <w:rsid w:val="001A7DC9"/>
    <w:rsid w:val="001B1449"/>
    <w:rsid w:val="001B1D84"/>
    <w:rsid w:val="001B20DF"/>
    <w:rsid w:val="001B2508"/>
    <w:rsid w:val="001B3714"/>
    <w:rsid w:val="001B5095"/>
    <w:rsid w:val="001B5707"/>
    <w:rsid w:val="001B5A1D"/>
    <w:rsid w:val="001B5B65"/>
    <w:rsid w:val="001B5F46"/>
    <w:rsid w:val="001B6251"/>
    <w:rsid w:val="001B6886"/>
    <w:rsid w:val="001B74D2"/>
    <w:rsid w:val="001B7CF0"/>
    <w:rsid w:val="001B7D13"/>
    <w:rsid w:val="001B7D99"/>
    <w:rsid w:val="001C057F"/>
    <w:rsid w:val="001C05DF"/>
    <w:rsid w:val="001C075A"/>
    <w:rsid w:val="001C0F56"/>
    <w:rsid w:val="001C1ED2"/>
    <w:rsid w:val="001C2BD5"/>
    <w:rsid w:val="001C2DAC"/>
    <w:rsid w:val="001C3008"/>
    <w:rsid w:val="001C3B57"/>
    <w:rsid w:val="001C5E27"/>
    <w:rsid w:val="001C64B9"/>
    <w:rsid w:val="001C6815"/>
    <w:rsid w:val="001C7441"/>
    <w:rsid w:val="001C772F"/>
    <w:rsid w:val="001D04AA"/>
    <w:rsid w:val="001D1189"/>
    <w:rsid w:val="001D1806"/>
    <w:rsid w:val="001D1EDA"/>
    <w:rsid w:val="001D271D"/>
    <w:rsid w:val="001D2E1E"/>
    <w:rsid w:val="001D34C0"/>
    <w:rsid w:val="001D385D"/>
    <w:rsid w:val="001D4866"/>
    <w:rsid w:val="001D55BE"/>
    <w:rsid w:val="001D568B"/>
    <w:rsid w:val="001D6663"/>
    <w:rsid w:val="001D6A79"/>
    <w:rsid w:val="001D7EA8"/>
    <w:rsid w:val="001E004B"/>
    <w:rsid w:val="001E0432"/>
    <w:rsid w:val="001E1412"/>
    <w:rsid w:val="001E18E3"/>
    <w:rsid w:val="001E2969"/>
    <w:rsid w:val="001E2DDC"/>
    <w:rsid w:val="001E363D"/>
    <w:rsid w:val="001E3676"/>
    <w:rsid w:val="001E394C"/>
    <w:rsid w:val="001E418B"/>
    <w:rsid w:val="001E46D1"/>
    <w:rsid w:val="001E4B7E"/>
    <w:rsid w:val="001E5545"/>
    <w:rsid w:val="001E5F2D"/>
    <w:rsid w:val="001E6E26"/>
    <w:rsid w:val="001E7653"/>
    <w:rsid w:val="001E7EF2"/>
    <w:rsid w:val="001F076A"/>
    <w:rsid w:val="001F0CB2"/>
    <w:rsid w:val="001F25D0"/>
    <w:rsid w:val="001F2F4F"/>
    <w:rsid w:val="001F3425"/>
    <w:rsid w:val="001F4EA2"/>
    <w:rsid w:val="001F6F77"/>
    <w:rsid w:val="002015E7"/>
    <w:rsid w:val="00201D52"/>
    <w:rsid w:val="0020296B"/>
    <w:rsid w:val="00202BBE"/>
    <w:rsid w:val="00202EB1"/>
    <w:rsid w:val="0020401E"/>
    <w:rsid w:val="002056D6"/>
    <w:rsid w:val="002059CD"/>
    <w:rsid w:val="00205C12"/>
    <w:rsid w:val="00205FEE"/>
    <w:rsid w:val="0020732B"/>
    <w:rsid w:val="00207366"/>
    <w:rsid w:val="00207AED"/>
    <w:rsid w:val="0021026F"/>
    <w:rsid w:val="002121C1"/>
    <w:rsid w:val="0021321F"/>
    <w:rsid w:val="002141CC"/>
    <w:rsid w:val="00214926"/>
    <w:rsid w:val="00214D04"/>
    <w:rsid w:val="00215001"/>
    <w:rsid w:val="002151D9"/>
    <w:rsid w:val="0021525F"/>
    <w:rsid w:val="00215A8F"/>
    <w:rsid w:val="002218EF"/>
    <w:rsid w:val="00221B3C"/>
    <w:rsid w:val="00221C6E"/>
    <w:rsid w:val="00222078"/>
    <w:rsid w:val="00222212"/>
    <w:rsid w:val="002222B4"/>
    <w:rsid w:val="0022234B"/>
    <w:rsid w:val="00222857"/>
    <w:rsid w:val="002234AF"/>
    <w:rsid w:val="00223AFF"/>
    <w:rsid w:val="00223D7E"/>
    <w:rsid w:val="0022415E"/>
    <w:rsid w:val="00225475"/>
    <w:rsid w:val="00226109"/>
    <w:rsid w:val="00226435"/>
    <w:rsid w:val="0023099D"/>
    <w:rsid w:val="00230C0C"/>
    <w:rsid w:val="00230DBB"/>
    <w:rsid w:val="0023102E"/>
    <w:rsid w:val="00231602"/>
    <w:rsid w:val="00231692"/>
    <w:rsid w:val="00232377"/>
    <w:rsid w:val="002326F2"/>
    <w:rsid w:val="00232E9B"/>
    <w:rsid w:val="00232F0E"/>
    <w:rsid w:val="00232F96"/>
    <w:rsid w:val="0023408F"/>
    <w:rsid w:val="00234239"/>
    <w:rsid w:val="00234265"/>
    <w:rsid w:val="00234397"/>
    <w:rsid w:val="00234C12"/>
    <w:rsid w:val="00235BDD"/>
    <w:rsid w:val="002360AA"/>
    <w:rsid w:val="002362C6"/>
    <w:rsid w:val="00236883"/>
    <w:rsid w:val="00236DC2"/>
    <w:rsid w:val="00236FD8"/>
    <w:rsid w:val="002377CC"/>
    <w:rsid w:val="00240401"/>
    <w:rsid w:val="00240EAB"/>
    <w:rsid w:val="0024154C"/>
    <w:rsid w:val="00241B0C"/>
    <w:rsid w:val="002434B3"/>
    <w:rsid w:val="00244BED"/>
    <w:rsid w:val="0024538C"/>
    <w:rsid w:val="00245807"/>
    <w:rsid w:val="00245A3B"/>
    <w:rsid w:val="00245DB7"/>
    <w:rsid w:val="00246011"/>
    <w:rsid w:val="002470BD"/>
    <w:rsid w:val="00247AF1"/>
    <w:rsid w:val="00247B70"/>
    <w:rsid w:val="00250793"/>
    <w:rsid w:val="00250D79"/>
    <w:rsid w:val="00250EEB"/>
    <w:rsid w:val="00251161"/>
    <w:rsid w:val="00251375"/>
    <w:rsid w:val="0025145B"/>
    <w:rsid w:val="00252337"/>
    <w:rsid w:val="00252EA7"/>
    <w:rsid w:val="00253119"/>
    <w:rsid w:val="00254698"/>
    <w:rsid w:val="00254A5F"/>
    <w:rsid w:val="00255137"/>
    <w:rsid w:val="002557E7"/>
    <w:rsid w:val="00255F07"/>
    <w:rsid w:val="002560F8"/>
    <w:rsid w:val="00256100"/>
    <w:rsid w:val="00256C63"/>
    <w:rsid w:val="00256CD4"/>
    <w:rsid w:val="00257447"/>
    <w:rsid w:val="0025772C"/>
    <w:rsid w:val="00257F64"/>
    <w:rsid w:val="0026038B"/>
    <w:rsid w:val="00260692"/>
    <w:rsid w:val="00260C0D"/>
    <w:rsid w:val="00261B26"/>
    <w:rsid w:val="00261B5C"/>
    <w:rsid w:val="0026235F"/>
    <w:rsid w:val="002638EE"/>
    <w:rsid w:val="00263ECB"/>
    <w:rsid w:val="00264023"/>
    <w:rsid w:val="002649BE"/>
    <w:rsid w:val="00264C9C"/>
    <w:rsid w:val="00264E1D"/>
    <w:rsid w:val="00265396"/>
    <w:rsid w:val="0026622B"/>
    <w:rsid w:val="002663BE"/>
    <w:rsid w:val="00266C18"/>
    <w:rsid w:val="00267235"/>
    <w:rsid w:val="002677EC"/>
    <w:rsid w:val="00270802"/>
    <w:rsid w:val="00270A74"/>
    <w:rsid w:val="00270E35"/>
    <w:rsid w:val="002715E4"/>
    <w:rsid w:val="00271E99"/>
    <w:rsid w:val="00272487"/>
    <w:rsid w:val="00273FE8"/>
    <w:rsid w:val="0027471A"/>
    <w:rsid w:val="00274917"/>
    <w:rsid w:val="00274D84"/>
    <w:rsid w:val="00274EC1"/>
    <w:rsid w:val="002752B4"/>
    <w:rsid w:val="00275743"/>
    <w:rsid w:val="002767CB"/>
    <w:rsid w:val="00276E00"/>
    <w:rsid w:val="00276F15"/>
    <w:rsid w:val="0027720E"/>
    <w:rsid w:val="00277673"/>
    <w:rsid w:val="00277BFD"/>
    <w:rsid w:val="0028009B"/>
    <w:rsid w:val="00280336"/>
    <w:rsid w:val="00280E88"/>
    <w:rsid w:val="0028165D"/>
    <w:rsid w:val="00281818"/>
    <w:rsid w:val="00281A97"/>
    <w:rsid w:val="00282411"/>
    <w:rsid w:val="00282A49"/>
    <w:rsid w:val="00282BB6"/>
    <w:rsid w:val="00282F22"/>
    <w:rsid w:val="0028335C"/>
    <w:rsid w:val="0028379B"/>
    <w:rsid w:val="002838A7"/>
    <w:rsid w:val="00284168"/>
    <w:rsid w:val="00284575"/>
    <w:rsid w:val="00285D2B"/>
    <w:rsid w:val="0028607E"/>
    <w:rsid w:val="002861DA"/>
    <w:rsid w:val="00286526"/>
    <w:rsid w:val="002879AA"/>
    <w:rsid w:val="00287F71"/>
    <w:rsid w:val="00290C6C"/>
    <w:rsid w:val="002915FC"/>
    <w:rsid w:val="002931C3"/>
    <w:rsid w:val="00293318"/>
    <w:rsid w:val="002934ED"/>
    <w:rsid w:val="00293B7A"/>
    <w:rsid w:val="002950A7"/>
    <w:rsid w:val="00295356"/>
    <w:rsid w:val="00295FCE"/>
    <w:rsid w:val="00296CBB"/>
    <w:rsid w:val="00297B44"/>
    <w:rsid w:val="00297CA4"/>
    <w:rsid w:val="00297DD7"/>
    <w:rsid w:val="00297E2C"/>
    <w:rsid w:val="002A02E4"/>
    <w:rsid w:val="002A0968"/>
    <w:rsid w:val="002A122D"/>
    <w:rsid w:val="002A1CFC"/>
    <w:rsid w:val="002A28B7"/>
    <w:rsid w:val="002A2C8B"/>
    <w:rsid w:val="002A2D56"/>
    <w:rsid w:val="002A2E38"/>
    <w:rsid w:val="002A3127"/>
    <w:rsid w:val="002A4033"/>
    <w:rsid w:val="002A5299"/>
    <w:rsid w:val="002A5715"/>
    <w:rsid w:val="002A66FE"/>
    <w:rsid w:val="002A6853"/>
    <w:rsid w:val="002A6921"/>
    <w:rsid w:val="002A714E"/>
    <w:rsid w:val="002A729B"/>
    <w:rsid w:val="002A7604"/>
    <w:rsid w:val="002A7FFA"/>
    <w:rsid w:val="002B1C23"/>
    <w:rsid w:val="002B21A7"/>
    <w:rsid w:val="002B38E7"/>
    <w:rsid w:val="002B5254"/>
    <w:rsid w:val="002B649F"/>
    <w:rsid w:val="002B66EF"/>
    <w:rsid w:val="002B6EC7"/>
    <w:rsid w:val="002B7922"/>
    <w:rsid w:val="002B7DB7"/>
    <w:rsid w:val="002C08C3"/>
    <w:rsid w:val="002C2139"/>
    <w:rsid w:val="002C24E0"/>
    <w:rsid w:val="002C2774"/>
    <w:rsid w:val="002C30A2"/>
    <w:rsid w:val="002C3BA2"/>
    <w:rsid w:val="002C4B0B"/>
    <w:rsid w:val="002C4D50"/>
    <w:rsid w:val="002C5107"/>
    <w:rsid w:val="002C5E40"/>
    <w:rsid w:val="002C6346"/>
    <w:rsid w:val="002C6380"/>
    <w:rsid w:val="002C6E6D"/>
    <w:rsid w:val="002C743B"/>
    <w:rsid w:val="002D0150"/>
    <w:rsid w:val="002D0948"/>
    <w:rsid w:val="002D0CE4"/>
    <w:rsid w:val="002D395C"/>
    <w:rsid w:val="002D39D0"/>
    <w:rsid w:val="002D4813"/>
    <w:rsid w:val="002D4D71"/>
    <w:rsid w:val="002D4DDF"/>
    <w:rsid w:val="002D5075"/>
    <w:rsid w:val="002D59B5"/>
    <w:rsid w:val="002D5C91"/>
    <w:rsid w:val="002D5E81"/>
    <w:rsid w:val="002D66D1"/>
    <w:rsid w:val="002D6BC4"/>
    <w:rsid w:val="002D763B"/>
    <w:rsid w:val="002D7943"/>
    <w:rsid w:val="002D795F"/>
    <w:rsid w:val="002E14B3"/>
    <w:rsid w:val="002E22D2"/>
    <w:rsid w:val="002E328C"/>
    <w:rsid w:val="002E3EFE"/>
    <w:rsid w:val="002E4329"/>
    <w:rsid w:val="002E4605"/>
    <w:rsid w:val="002E50EC"/>
    <w:rsid w:val="002E5413"/>
    <w:rsid w:val="002E5479"/>
    <w:rsid w:val="002E5D6F"/>
    <w:rsid w:val="002E61CF"/>
    <w:rsid w:val="002E66BD"/>
    <w:rsid w:val="002E67F6"/>
    <w:rsid w:val="002E6CAA"/>
    <w:rsid w:val="002E6CC5"/>
    <w:rsid w:val="002E7026"/>
    <w:rsid w:val="002E7142"/>
    <w:rsid w:val="002E7FF6"/>
    <w:rsid w:val="002F0992"/>
    <w:rsid w:val="002F1583"/>
    <w:rsid w:val="002F1D3B"/>
    <w:rsid w:val="002F210C"/>
    <w:rsid w:val="002F23A2"/>
    <w:rsid w:val="002F2570"/>
    <w:rsid w:val="002F344B"/>
    <w:rsid w:val="002F3C64"/>
    <w:rsid w:val="002F5BD8"/>
    <w:rsid w:val="002F60B4"/>
    <w:rsid w:val="002F644B"/>
    <w:rsid w:val="002F6D02"/>
    <w:rsid w:val="002F712E"/>
    <w:rsid w:val="002F78B7"/>
    <w:rsid w:val="002F7CC4"/>
    <w:rsid w:val="0030014B"/>
    <w:rsid w:val="0030027F"/>
    <w:rsid w:val="0030042B"/>
    <w:rsid w:val="00300835"/>
    <w:rsid w:val="00300FF8"/>
    <w:rsid w:val="003014AD"/>
    <w:rsid w:val="003015DB"/>
    <w:rsid w:val="0030171D"/>
    <w:rsid w:val="003023E9"/>
    <w:rsid w:val="00302622"/>
    <w:rsid w:val="00302A54"/>
    <w:rsid w:val="00302D07"/>
    <w:rsid w:val="00302E7F"/>
    <w:rsid w:val="00302FB3"/>
    <w:rsid w:val="003030AD"/>
    <w:rsid w:val="00303198"/>
    <w:rsid w:val="003034F8"/>
    <w:rsid w:val="00303FDB"/>
    <w:rsid w:val="00304264"/>
    <w:rsid w:val="003045D5"/>
    <w:rsid w:val="00304817"/>
    <w:rsid w:val="003052BE"/>
    <w:rsid w:val="0030654D"/>
    <w:rsid w:val="00307063"/>
    <w:rsid w:val="00307E27"/>
    <w:rsid w:val="0031007C"/>
    <w:rsid w:val="003107B4"/>
    <w:rsid w:val="00310E10"/>
    <w:rsid w:val="0031286E"/>
    <w:rsid w:val="00313034"/>
    <w:rsid w:val="00314BB2"/>
    <w:rsid w:val="00315121"/>
    <w:rsid w:val="003156AC"/>
    <w:rsid w:val="00316744"/>
    <w:rsid w:val="00316EA5"/>
    <w:rsid w:val="0032017C"/>
    <w:rsid w:val="00320350"/>
    <w:rsid w:val="00320F84"/>
    <w:rsid w:val="00324494"/>
    <w:rsid w:val="00324649"/>
    <w:rsid w:val="0032464C"/>
    <w:rsid w:val="00324680"/>
    <w:rsid w:val="0032522E"/>
    <w:rsid w:val="0032578E"/>
    <w:rsid w:val="0032660B"/>
    <w:rsid w:val="00326C62"/>
    <w:rsid w:val="00327266"/>
    <w:rsid w:val="00327877"/>
    <w:rsid w:val="00327EB1"/>
    <w:rsid w:val="00330485"/>
    <w:rsid w:val="003307B6"/>
    <w:rsid w:val="0033097A"/>
    <w:rsid w:val="00330B44"/>
    <w:rsid w:val="003310B6"/>
    <w:rsid w:val="00332456"/>
    <w:rsid w:val="003343E5"/>
    <w:rsid w:val="00335D38"/>
    <w:rsid w:val="00337D34"/>
    <w:rsid w:val="00337F33"/>
    <w:rsid w:val="00341481"/>
    <w:rsid w:val="00341C87"/>
    <w:rsid w:val="003422D6"/>
    <w:rsid w:val="003424E5"/>
    <w:rsid w:val="00342E0B"/>
    <w:rsid w:val="00343E0F"/>
    <w:rsid w:val="00345D13"/>
    <w:rsid w:val="00345F5B"/>
    <w:rsid w:val="0034645A"/>
    <w:rsid w:val="00346D4E"/>
    <w:rsid w:val="003471AD"/>
    <w:rsid w:val="0034760B"/>
    <w:rsid w:val="003501D1"/>
    <w:rsid w:val="0035060E"/>
    <w:rsid w:val="00350A29"/>
    <w:rsid w:val="00352115"/>
    <w:rsid w:val="003522B1"/>
    <w:rsid w:val="00353BE1"/>
    <w:rsid w:val="003555A3"/>
    <w:rsid w:val="003559D0"/>
    <w:rsid w:val="003562E5"/>
    <w:rsid w:val="00356935"/>
    <w:rsid w:val="00356E0A"/>
    <w:rsid w:val="00357078"/>
    <w:rsid w:val="00360AAF"/>
    <w:rsid w:val="00360DC9"/>
    <w:rsid w:val="003612A7"/>
    <w:rsid w:val="00361FD7"/>
    <w:rsid w:val="0036238D"/>
    <w:rsid w:val="00362777"/>
    <w:rsid w:val="00362823"/>
    <w:rsid w:val="00363129"/>
    <w:rsid w:val="003632AA"/>
    <w:rsid w:val="00363317"/>
    <w:rsid w:val="00363D8B"/>
    <w:rsid w:val="00364BF5"/>
    <w:rsid w:val="00365C36"/>
    <w:rsid w:val="003664D9"/>
    <w:rsid w:val="00366546"/>
    <w:rsid w:val="0036674E"/>
    <w:rsid w:val="00366A2C"/>
    <w:rsid w:val="00367D23"/>
    <w:rsid w:val="00367D68"/>
    <w:rsid w:val="00367D7E"/>
    <w:rsid w:val="00370245"/>
    <w:rsid w:val="0037087A"/>
    <w:rsid w:val="00370E4D"/>
    <w:rsid w:val="00371175"/>
    <w:rsid w:val="00371492"/>
    <w:rsid w:val="003721C5"/>
    <w:rsid w:val="00372604"/>
    <w:rsid w:val="00373075"/>
    <w:rsid w:val="003744D4"/>
    <w:rsid w:val="003748B0"/>
    <w:rsid w:val="00374F74"/>
    <w:rsid w:val="0037623F"/>
    <w:rsid w:val="00376370"/>
    <w:rsid w:val="00376F2C"/>
    <w:rsid w:val="003803EC"/>
    <w:rsid w:val="00381345"/>
    <w:rsid w:val="003814EB"/>
    <w:rsid w:val="0038271E"/>
    <w:rsid w:val="00382DBD"/>
    <w:rsid w:val="00384073"/>
    <w:rsid w:val="003841DA"/>
    <w:rsid w:val="003842C0"/>
    <w:rsid w:val="003848C5"/>
    <w:rsid w:val="00384A05"/>
    <w:rsid w:val="00384F90"/>
    <w:rsid w:val="0038649B"/>
    <w:rsid w:val="00386BA3"/>
    <w:rsid w:val="003873AD"/>
    <w:rsid w:val="00387D3D"/>
    <w:rsid w:val="003900E4"/>
    <w:rsid w:val="00391BCE"/>
    <w:rsid w:val="00391CA9"/>
    <w:rsid w:val="00393F47"/>
    <w:rsid w:val="00395842"/>
    <w:rsid w:val="00395C5C"/>
    <w:rsid w:val="00396179"/>
    <w:rsid w:val="003963C4"/>
    <w:rsid w:val="003968FD"/>
    <w:rsid w:val="00396F07"/>
    <w:rsid w:val="003A09BD"/>
    <w:rsid w:val="003A130A"/>
    <w:rsid w:val="003A161C"/>
    <w:rsid w:val="003A26B9"/>
    <w:rsid w:val="003A3170"/>
    <w:rsid w:val="003A42C3"/>
    <w:rsid w:val="003A46AE"/>
    <w:rsid w:val="003A7E26"/>
    <w:rsid w:val="003B038D"/>
    <w:rsid w:val="003B08B9"/>
    <w:rsid w:val="003B192E"/>
    <w:rsid w:val="003B1DA3"/>
    <w:rsid w:val="003B2FA8"/>
    <w:rsid w:val="003B3D37"/>
    <w:rsid w:val="003B3F2F"/>
    <w:rsid w:val="003B5DCF"/>
    <w:rsid w:val="003B60D6"/>
    <w:rsid w:val="003B6A99"/>
    <w:rsid w:val="003B7612"/>
    <w:rsid w:val="003C06F1"/>
    <w:rsid w:val="003C086B"/>
    <w:rsid w:val="003C0D2A"/>
    <w:rsid w:val="003C0DDB"/>
    <w:rsid w:val="003C0F84"/>
    <w:rsid w:val="003C11BB"/>
    <w:rsid w:val="003C1519"/>
    <w:rsid w:val="003C2153"/>
    <w:rsid w:val="003C2B8B"/>
    <w:rsid w:val="003C344D"/>
    <w:rsid w:val="003C3760"/>
    <w:rsid w:val="003C376B"/>
    <w:rsid w:val="003C3D10"/>
    <w:rsid w:val="003C4365"/>
    <w:rsid w:val="003C4370"/>
    <w:rsid w:val="003C4891"/>
    <w:rsid w:val="003C4931"/>
    <w:rsid w:val="003C4BD2"/>
    <w:rsid w:val="003C6A72"/>
    <w:rsid w:val="003C6E32"/>
    <w:rsid w:val="003C708C"/>
    <w:rsid w:val="003C727B"/>
    <w:rsid w:val="003C7EB4"/>
    <w:rsid w:val="003D0EF0"/>
    <w:rsid w:val="003D2810"/>
    <w:rsid w:val="003D2B05"/>
    <w:rsid w:val="003D326C"/>
    <w:rsid w:val="003D3397"/>
    <w:rsid w:val="003D3B3E"/>
    <w:rsid w:val="003D3FF7"/>
    <w:rsid w:val="003D4EDB"/>
    <w:rsid w:val="003D5026"/>
    <w:rsid w:val="003D5249"/>
    <w:rsid w:val="003D600B"/>
    <w:rsid w:val="003D6BDE"/>
    <w:rsid w:val="003E0782"/>
    <w:rsid w:val="003E12F1"/>
    <w:rsid w:val="003E1AA9"/>
    <w:rsid w:val="003E32A6"/>
    <w:rsid w:val="003E3603"/>
    <w:rsid w:val="003E3A33"/>
    <w:rsid w:val="003E4834"/>
    <w:rsid w:val="003E56B6"/>
    <w:rsid w:val="003E6636"/>
    <w:rsid w:val="003F01C8"/>
    <w:rsid w:val="003F113F"/>
    <w:rsid w:val="003F1289"/>
    <w:rsid w:val="003F1E5F"/>
    <w:rsid w:val="003F2837"/>
    <w:rsid w:val="003F2C63"/>
    <w:rsid w:val="003F381B"/>
    <w:rsid w:val="003F417E"/>
    <w:rsid w:val="003F4749"/>
    <w:rsid w:val="003F4950"/>
    <w:rsid w:val="003F5741"/>
    <w:rsid w:val="003F5A2F"/>
    <w:rsid w:val="003F5E3F"/>
    <w:rsid w:val="003F6446"/>
    <w:rsid w:val="0040007A"/>
    <w:rsid w:val="00400325"/>
    <w:rsid w:val="00400477"/>
    <w:rsid w:val="00400B5D"/>
    <w:rsid w:val="004012F2"/>
    <w:rsid w:val="00401D13"/>
    <w:rsid w:val="0040229E"/>
    <w:rsid w:val="00402A0A"/>
    <w:rsid w:val="00402F51"/>
    <w:rsid w:val="0040320D"/>
    <w:rsid w:val="0040332D"/>
    <w:rsid w:val="00403751"/>
    <w:rsid w:val="00403F77"/>
    <w:rsid w:val="00404BFB"/>
    <w:rsid w:val="00404ED7"/>
    <w:rsid w:val="004055A0"/>
    <w:rsid w:val="00405E05"/>
    <w:rsid w:val="0040756F"/>
    <w:rsid w:val="0040796D"/>
    <w:rsid w:val="00407B3D"/>
    <w:rsid w:val="004104D6"/>
    <w:rsid w:val="0041157C"/>
    <w:rsid w:val="00411750"/>
    <w:rsid w:val="00411888"/>
    <w:rsid w:val="00411DD7"/>
    <w:rsid w:val="0041235A"/>
    <w:rsid w:val="00412E3D"/>
    <w:rsid w:val="00413366"/>
    <w:rsid w:val="00413565"/>
    <w:rsid w:val="00413A2D"/>
    <w:rsid w:val="00413DCE"/>
    <w:rsid w:val="004148C2"/>
    <w:rsid w:val="0041538A"/>
    <w:rsid w:val="00417067"/>
    <w:rsid w:val="00417DEE"/>
    <w:rsid w:val="004201AD"/>
    <w:rsid w:val="00421F41"/>
    <w:rsid w:val="00422326"/>
    <w:rsid w:val="00422E93"/>
    <w:rsid w:val="00424237"/>
    <w:rsid w:val="004242A0"/>
    <w:rsid w:val="0042440C"/>
    <w:rsid w:val="00424728"/>
    <w:rsid w:val="004250C9"/>
    <w:rsid w:val="004252E3"/>
    <w:rsid w:val="004259EF"/>
    <w:rsid w:val="00426CBD"/>
    <w:rsid w:val="00431048"/>
    <w:rsid w:val="0043164B"/>
    <w:rsid w:val="00431B95"/>
    <w:rsid w:val="00431D9A"/>
    <w:rsid w:val="0043238E"/>
    <w:rsid w:val="00432B86"/>
    <w:rsid w:val="00432CBE"/>
    <w:rsid w:val="00434478"/>
    <w:rsid w:val="00434BFF"/>
    <w:rsid w:val="004350A0"/>
    <w:rsid w:val="00435DEC"/>
    <w:rsid w:val="004362C7"/>
    <w:rsid w:val="00436E11"/>
    <w:rsid w:val="004400F9"/>
    <w:rsid w:val="004402C7"/>
    <w:rsid w:val="004412F3"/>
    <w:rsid w:val="00442119"/>
    <w:rsid w:val="00442C9D"/>
    <w:rsid w:val="00443363"/>
    <w:rsid w:val="0044382F"/>
    <w:rsid w:val="00443888"/>
    <w:rsid w:val="00444026"/>
    <w:rsid w:val="00444C98"/>
    <w:rsid w:val="00445B1B"/>
    <w:rsid w:val="00446360"/>
    <w:rsid w:val="004479DF"/>
    <w:rsid w:val="00450134"/>
    <w:rsid w:val="004504B5"/>
    <w:rsid w:val="004509CB"/>
    <w:rsid w:val="00451571"/>
    <w:rsid w:val="00451E76"/>
    <w:rsid w:val="004522B2"/>
    <w:rsid w:val="0045296F"/>
    <w:rsid w:val="00453411"/>
    <w:rsid w:val="004537A2"/>
    <w:rsid w:val="0045536F"/>
    <w:rsid w:val="004556A3"/>
    <w:rsid w:val="00456013"/>
    <w:rsid w:val="00457A3B"/>
    <w:rsid w:val="00457B06"/>
    <w:rsid w:val="00460F93"/>
    <w:rsid w:val="0046105C"/>
    <w:rsid w:val="0046140A"/>
    <w:rsid w:val="00462578"/>
    <w:rsid w:val="00462D26"/>
    <w:rsid w:val="004632CA"/>
    <w:rsid w:val="004636E1"/>
    <w:rsid w:val="00464286"/>
    <w:rsid w:val="004653DB"/>
    <w:rsid w:val="0046777A"/>
    <w:rsid w:val="004677C0"/>
    <w:rsid w:val="0047098B"/>
    <w:rsid w:val="00470B0A"/>
    <w:rsid w:val="00471066"/>
    <w:rsid w:val="00471190"/>
    <w:rsid w:val="00471CFC"/>
    <w:rsid w:val="00472BCD"/>
    <w:rsid w:val="004734C2"/>
    <w:rsid w:val="00473BE5"/>
    <w:rsid w:val="004755EE"/>
    <w:rsid w:val="004764BD"/>
    <w:rsid w:val="00477161"/>
    <w:rsid w:val="00480856"/>
    <w:rsid w:val="00481208"/>
    <w:rsid w:val="00481351"/>
    <w:rsid w:val="0048302E"/>
    <w:rsid w:val="0048438D"/>
    <w:rsid w:val="0048453F"/>
    <w:rsid w:val="00484D80"/>
    <w:rsid w:val="00484E15"/>
    <w:rsid w:val="00486A6F"/>
    <w:rsid w:val="00487141"/>
    <w:rsid w:val="00487660"/>
    <w:rsid w:val="00487B42"/>
    <w:rsid w:val="00487B43"/>
    <w:rsid w:val="00490E6F"/>
    <w:rsid w:val="00491104"/>
    <w:rsid w:val="0049185E"/>
    <w:rsid w:val="00492A37"/>
    <w:rsid w:val="00492D6D"/>
    <w:rsid w:val="004944A2"/>
    <w:rsid w:val="004949B1"/>
    <w:rsid w:val="00494F3A"/>
    <w:rsid w:val="00495CF6"/>
    <w:rsid w:val="00496026"/>
    <w:rsid w:val="004968CD"/>
    <w:rsid w:val="004A086E"/>
    <w:rsid w:val="004A0F28"/>
    <w:rsid w:val="004A1361"/>
    <w:rsid w:val="004A18DB"/>
    <w:rsid w:val="004A4038"/>
    <w:rsid w:val="004A4877"/>
    <w:rsid w:val="004A4886"/>
    <w:rsid w:val="004A49AA"/>
    <w:rsid w:val="004A52DD"/>
    <w:rsid w:val="004A5CA0"/>
    <w:rsid w:val="004A5CBD"/>
    <w:rsid w:val="004A5DC7"/>
    <w:rsid w:val="004A779B"/>
    <w:rsid w:val="004A7F8F"/>
    <w:rsid w:val="004B1739"/>
    <w:rsid w:val="004B1D23"/>
    <w:rsid w:val="004B37CD"/>
    <w:rsid w:val="004B4E44"/>
    <w:rsid w:val="004B5D7F"/>
    <w:rsid w:val="004B6F04"/>
    <w:rsid w:val="004B744D"/>
    <w:rsid w:val="004B74A4"/>
    <w:rsid w:val="004B79C1"/>
    <w:rsid w:val="004C0C16"/>
    <w:rsid w:val="004C2076"/>
    <w:rsid w:val="004C2956"/>
    <w:rsid w:val="004C2C7A"/>
    <w:rsid w:val="004C3569"/>
    <w:rsid w:val="004C3767"/>
    <w:rsid w:val="004C381C"/>
    <w:rsid w:val="004C3C2A"/>
    <w:rsid w:val="004C6964"/>
    <w:rsid w:val="004C6D21"/>
    <w:rsid w:val="004C6F0E"/>
    <w:rsid w:val="004C700A"/>
    <w:rsid w:val="004D13E1"/>
    <w:rsid w:val="004D158E"/>
    <w:rsid w:val="004D1E49"/>
    <w:rsid w:val="004D1F60"/>
    <w:rsid w:val="004D2395"/>
    <w:rsid w:val="004D29B4"/>
    <w:rsid w:val="004D4A0D"/>
    <w:rsid w:val="004D4A8C"/>
    <w:rsid w:val="004D4AE3"/>
    <w:rsid w:val="004D4EBB"/>
    <w:rsid w:val="004D6334"/>
    <w:rsid w:val="004D6C50"/>
    <w:rsid w:val="004D6D89"/>
    <w:rsid w:val="004D7014"/>
    <w:rsid w:val="004E036F"/>
    <w:rsid w:val="004E03BA"/>
    <w:rsid w:val="004E0D4B"/>
    <w:rsid w:val="004E1094"/>
    <w:rsid w:val="004E18A2"/>
    <w:rsid w:val="004E253D"/>
    <w:rsid w:val="004E275B"/>
    <w:rsid w:val="004E3E8F"/>
    <w:rsid w:val="004E45A1"/>
    <w:rsid w:val="004E5699"/>
    <w:rsid w:val="004E6C85"/>
    <w:rsid w:val="004E7841"/>
    <w:rsid w:val="004E7935"/>
    <w:rsid w:val="004F0AAD"/>
    <w:rsid w:val="004F0DDF"/>
    <w:rsid w:val="004F114C"/>
    <w:rsid w:val="004F120B"/>
    <w:rsid w:val="004F17D9"/>
    <w:rsid w:val="004F1E71"/>
    <w:rsid w:val="004F2C90"/>
    <w:rsid w:val="004F2D03"/>
    <w:rsid w:val="004F2E02"/>
    <w:rsid w:val="004F2EF6"/>
    <w:rsid w:val="004F40A1"/>
    <w:rsid w:val="004F6749"/>
    <w:rsid w:val="004F6F68"/>
    <w:rsid w:val="004F7573"/>
    <w:rsid w:val="004F76C1"/>
    <w:rsid w:val="00500589"/>
    <w:rsid w:val="00500D84"/>
    <w:rsid w:val="005019F5"/>
    <w:rsid w:val="00501B98"/>
    <w:rsid w:val="00501D79"/>
    <w:rsid w:val="00502313"/>
    <w:rsid w:val="00502436"/>
    <w:rsid w:val="00502817"/>
    <w:rsid w:val="00502919"/>
    <w:rsid w:val="0050357F"/>
    <w:rsid w:val="005046B7"/>
    <w:rsid w:val="00504E70"/>
    <w:rsid w:val="00504FB7"/>
    <w:rsid w:val="005058B0"/>
    <w:rsid w:val="0050780C"/>
    <w:rsid w:val="00507A8B"/>
    <w:rsid w:val="0051000C"/>
    <w:rsid w:val="00510014"/>
    <w:rsid w:val="00510A0A"/>
    <w:rsid w:val="00511216"/>
    <w:rsid w:val="00512837"/>
    <w:rsid w:val="00512BA6"/>
    <w:rsid w:val="00512F82"/>
    <w:rsid w:val="0051304B"/>
    <w:rsid w:val="00513545"/>
    <w:rsid w:val="005137AE"/>
    <w:rsid w:val="00513DAB"/>
    <w:rsid w:val="005156FA"/>
    <w:rsid w:val="00515E24"/>
    <w:rsid w:val="00515ECC"/>
    <w:rsid w:val="005160B5"/>
    <w:rsid w:val="00516982"/>
    <w:rsid w:val="00520D58"/>
    <w:rsid w:val="005218C0"/>
    <w:rsid w:val="005228F1"/>
    <w:rsid w:val="00522A41"/>
    <w:rsid w:val="00523179"/>
    <w:rsid w:val="00524524"/>
    <w:rsid w:val="0052582F"/>
    <w:rsid w:val="00525E8D"/>
    <w:rsid w:val="005261F5"/>
    <w:rsid w:val="00526F96"/>
    <w:rsid w:val="0052765A"/>
    <w:rsid w:val="00530B4B"/>
    <w:rsid w:val="00531176"/>
    <w:rsid w:val="00531A24"/>
    <w:rsid w:val="005324C8"/>
    <w:rsid w:val="00532EDB"/>
    <w:rsid w:val="00533A86"/>
    <w:rsid w:val="0053474C"/>
    <w:rsid w:val="005348EE"/>
    <w:rsid w:val="005359F4"/>
    <w:rsid w:val="00536241"/>
    <w:rsid w:val="0053653C"/>
    <w:rsid w:val="00537554"/>
    <w:rsid w:val="00540795"/>
    <w:rsid w:val="00540975"/>
    <w:rsid w:val="00540E7F"/>
    <w:rsid w:val="00542662"/>
    <w:rsid w:val="00542BBC"/>
    <w:rsid w:val="00542FA6"/>
    <w:rsid w:val="005431EC"/>
    <w:rsid w:val="00543504"/>
    <w:rsid w:val="00543607"/>
    <w:rsid w:val="005436B0"/>
    <w:rsid w:val="00543743"/>
    <w:rsid w:val="00543F96"/>
    <w:rsid w:val="0054406C"/>
    <w:rsid w:val="00544604"/>
    <w:rsid w:val="005462F8"/>
    <w:rsid w:val="0054637D"/>
    <w:rsid w:val="00546607"/>
    <w:rsid w:val="00546BAB"/>
    <w:rsid w:val="005472ED"/>
    <w:rsid w:val="005474BF"/>
    <w:rsid w:val="00550A77"/>
    <w:rsid w:val="00550B85"/>
    <w:rsid w:val="00550D93"/>
    <w:rsid w:val="00551DC5"/>
    <w:rsid w:val="00552EF0"/>
    <w:rsid w:val="00553236"/>
    <w:rsid w:val="00553CA0"/>
    <w:rsid w:val="00554AD2"/>
    <w:rsid w:val="00555006"/>
    <w:rsid w:val="005554FB"/>
    <w:rsid w:val="0055556C"/>
    <w:rsid w:val="005555E3"/>
    <w:rsid w:val="00556046"/>
    <w:rsid w:val="005562AF"/>
    <w:rsid w:val="0056075A"/>
    <w:rsid w:val="005627B1"/>
    <w:rsid w:val="005631E4"/>
    <w:rsid w:val="0056347D"/>
    <w:rsid w:val="00564237"/>
    <w:rsid w:val="00565204"/>
    <w:rsid w:val="00565854"/>
    <w:rsid w:val="005662FB"/>
    <w:rsid w:val="00566B96"/>
    <w:rsid w:val="00566CCB"/>
    <w:rsid w:val="005679EA"/>
    <w:rsid w:val="00570102"/>
    <w:rsid w:val="005706DB"/>
    <w:rsid w:val="00570D12"/>
    <w:rsid w:val="00570E64"/>
    <w:rsid w:val="00570FEB"/>
    <w:rsid w:val="005717A1"/>
    <w:rsid w:val="00571D96"/>
    <w:rsid w:val="0057250D"/>
    <w:rsid w:val="0057301B"/>
    <w:rsid w:val="00573F7C"/>
    <w:rsid w:val="0057416B"/>
    <w:rsid w:val="005741CE"/>
    <w:rsid w:val="00574A40"/>
    <w:rsid w:val="005751E3"/>
    <w:rsid w:val="005757B6"/>
    <w:rsid w:val="0057682F"/>
    <w:rsid w:val="00576A34"/>
    <w:rsid w:val="00576C38"/>
    <w:rsid w:val="00577034"/>
    <w:rsid w:val="005777BA"/>
    <w:rsid w:val="005806DA"/>
    <w:rsid w:val="00581629"/>
    <w:rsid w:val="00581C3D"/>
    <w:rsid w:val="00582042"/>
    <w:rsid w:val="00582520"/>
    <w:rsid w:val="005827A9"/>
    <w:rsid w:val="00582C68"/>
    <w:rsid w:val="00583935"/>
    <w:rsid w:val="005847BD"/>
    <w:rsid w:val="00584ADA"/>
    <w:rsid w:val="00585E91"/>
    <w:rsid w:val="0058668B"/>
    <w:rsid w:val="005866E4"/>
    <w:rsid w:val="00586B8D"/>
    <w:rsid w:val="005877B0"/>
    <w:rsid w:val="00590803"/>
    <w:rsid w:val="00590A0B"/>
    <w:rsid w:val="00591776"/>
    <w:rsid w:val="00591866"/>
    <w:rsid w:val="0059248A"/>
    <w:rsid w:val="005924E5"/>
    <w:rsid w:val="00592F69"/>
    <w:rsid w:val="00593655"/>
    <w:rsid w:val="005938D7"/>
    <w:rsid w:val="0059394E"/>
    <w:rsid w:val="00593B44"/>
    <w:rsid w:val="00593C2B"/>
    <w:rsid w:val="00593E4F"/>
    <w:rsid w:val="005943D7"/>
    <w:rsid w:val="00594C1F"/>
    <w:rsid w:val="00595196"/>
    <w:rsid w:val="005953F5"/>
    <w:rsid w:val="005966DD"/>
    <w:rsid w:val="00596B1E"/>
    <w:rsid w:val="0059713C"/>
    <w:rsid w:val="005973D0"/>
    <w:rsid w:val="0059740E"/>
    <w:rsid w:val="005A0417"/>
    <w:rsid w:val="005A0AE1"/>
    <w:rsid w:val="005A0E44"/>
    <w:rsid w:val="005A1534"/>
    <w:rsid w:val="005A1E3A"/>
    <w:rsid w:val="005A2932"/>
    <w:rsid w:val="005A2CB3"/>
    <w:rsid w:val="005A3126"/>
    <w:rsid w:val="005A44DF"/>
    <w:rsid w:val="005A4C2A"/>
    <w:rsid w:val="005A4E02"/>
    <w:rsid w:val="005A509B"/>
    <w:rsid w:val="005A6E79"/>
    <w:rsid w:val="005A6EFE"/>
    <w:rsid w:val="005A75FC"/>
    <w:rsid w:val="005A7C5A"/>
    <w:rsid w:val="005B043D"/>
    <w:rsid w:val="005B09BF"/>
    <w:rsid w:val="005B0FE3"/>
    <w:rsid w:val="005B1C6D"/>
    <w:rsid w:val="005B1EE1"/>
    <w:rsid w:val="005B255B"/>
    <w:rsid w:val="005B297A"/>
    <w:rsid w:val="005B3F41"/>
    <w:rsid w:val="005B47DA"/>
    <w:rsid w:val="005B47E8"/>
    <w:rsid w:val="005B491B"/>
    <w:rsid w:val="005B49F1"/>
    <w:rsid w:val="005B4EAF"/>
    <w:rsid w:val="005B50FA"/>
    <w:rsid w:val="005B588B"/>
    <w:rsid w:val="005B678E"/>
    <w:rsid w:val="005B7D59"/>
    <w:rsid w:val="005C05A6"/>
    <w:rsid w:val="005C05D7"/>
    <w:rsid w:val="005C16AA"/>
    <w:rsid w:val="005C1E4D"/>
    <w:rsid w:val="005C1EB1"/>
    <w:rsid w:val="005C23B9"/>
    <w:rsid w:val="005C246F"/>
    <w:rsid w:val="005C28E3"/>
    <w:rsid w:val="005C2A53"/>
    <w:rsid w:val="005C2BEC"/>
    <w:rsid w:val="005C326E"/>
    <w:rsid w:val="005C449A"/>
    <w:rsid w:val="005C608A"/>
    <w:rsid w:val="005C731A"/>
    <w:rsid w:val="005C7A10"/>
    <w:rsid w:val="005D0108"/>
    <w:rsid w:val="005D0936"/>
    <w:rsid w:val="005D093A"/>
    <w:rsid w:val="005D0DE7"/>
    <w:rsid w:val="005D11CD"/>
    <w:rsid w:val="005D2107"/>
    <w:rsid w:val="005D2342"/>
    <w:rsid w:val="005D2B46"/>
    <w:rsid w:val="005D2EDD"/>
    <w:rsid w:val="005D33EB"/>
    <w:rsid w:val="005D33F8"/>
    <w:rsid w:val="005D45C3"/>
    <w:rsid w:val="005D4FEF"/>
    <w:rsid w:val="005D521F"/>
    <w:rsid w:val="005D6621"/>
    <w:rsid w:val="005D68CE"/>
    <w:rsid w:val="005D71BC"/>
    <w:rsid w:val="005D7B2A"/>
    <w:rsid w:val="005D7E46"/>
    <w:rsid w:val="005E0232"/>
    <w:rsid w:val="005E1621"/>
    <w:rsid w:val="005E1C62"/>
    <w:rsid w:val="005E26F4"/>
    <w:rsid w:val="005E2718"/>
    <w:rsid w:val="005E2911"/>
    <w:rsid w:val="005E2C64"/>
    <w:rsid w:val="005E2ECA"/>
    <w:rsid w:val="005E3BBD"/>
    <w:rsid w:val="005E3F0B"/>
    <w:rsid w:val="005E4019"/>
    <w:rsid w:val="005E7659"/>
    <w:rsid w:val="005E7C17"/>
    <w:rsid w:val="005F0B23"/>
    <w:rsid w:val="005F10C8"/>
    <w:rsid w:val="005F296C"/>
    <w:rsid w:val="005F335E"/>
    <w:rsid w:val="005F3A01"/>
    <w:rsid w:val="005F5796"/>
    <w:rsid w:val="005F58E5"/>
    <w:rsid w:val="005F5C79"/>
    <w:rsid w:val="005F5F39"/>
    <w:rsid w:val="005F6276"/>
    <w:rsid w:val="005F658B"/>
    <w:rsid w:val="005F68AD"/>
    <w:rsid w:val="005F6C85"/>
    <w:rsid w:val="005F6DA5"/>
    <w:rsid w:val="005F7372"/>
    <w:rsid w:val="005F7488"/>
    <w:rsid w:val="005F79A3"/>
    <w:rsid w:val="006000D2"/>
    <w:rsid w:val="0060033E"/>
    <w:rsid w:val="00601281"/>
    <w:rsid w:val="006014F6"/>
    <w:rsid w:val="006016F5"/>
    <w:rsid w:val="00601CAD"/>
    <w:rsid w:val="0060416E"/>
    <w:rsid w:val="006054A1"/>
    <w:rsid w:val="00605BF1"/>
    <w:rsid w:val="00607D5C"/>
    <w:rsid w:val="006109C4"/>
    <w:rsid w:val="006111AF"/>
    <w:rsid w:val="00611679"/>
    <w:rsid w:val="00611818"/>
    <w:rsid w:val="00611858"/>
    <w:rsid w:val="00614B16"/>
    <w:rsid w:val="00615184"/>
    <w:rsid w:val="006160A5"/>
    <w:rsid w:val="0061799A"/>
    <w:rsid w:val="00617F0F"/>
    <w:rsid w:val="0062175C"/>
    <w:rsid w:val="00621E58"/>
    <w:rsid w:val="00621EF1"/>
    <w:rsid w:val="0062272A"/>
    <w:rsid w:val="00622F25"/>
    <w:rsid w:val="00622F5C"/>
    <w:rsid w:val="006257DF"/>
    <w:rsid w:val="00625CA5"/>
    <w:rsid w:val="00625EFC"/>
    <w:rsid w:val="006265D1"/>
    <w:rsid w:val="0062662E"/>
    <w:rsid w:val="0062775F"/>
    <w:rsid w:val="006277D7"/>
    <w:rsid w:val="00627D62"/>
    <w:rsid w:val="006301DD"/>
    <w:rsid w:val="00630F33"/>
    <w:rsid w:val="006319D8"/>
    <w:rsid w:val="00632128"/>
    <w:rsid w:val="00632417"/>
    <w:rsid w:val="006324FB"/>
    <w:rsid w:val="00632861"/>
    <w:rsid w:val="00632C62"/>
    <w:rsid w:val="0063342F"/>
    <w:rsid w:val="0063355A"/>
    <w:rsid w:val="00633EAC"/>
    <w:rsid w:val="00634435"/>
    <w:rsid w:val="00634E5A"/>
    <w:rsid w:val="0063534F"/>
    <w:rsid w:val="00635613"/>
    <w:rsid w:val="00635B4A"/>
    <w:rsid w:val="00635E09"/>
    <w:rsid w:val="006360E0"/>
    <w:rsid w:val="00637183"/>
    <w:rsid w:val="0064047C"/>
    <w:rsid w:val="006415B2"/>
    <w:rsid w:val="006422E6"/>
    <w:rsid w:val="00642330"/>
    <w:rsid w:val="00642E2A"/>
    <w:rsid w:val="00643825"/>
    <w:rsid w:val="0064449B"/>
    <w:rsid w:val="00644D1D"/>
    <w:rsid w:val="00645C1C"/>
    <w:rsid w:val="006474F1"/>
    <w:rsid w:val="00650E67"/>
    <w:rsid w:val="0065106E"/>
    <w:rsid w:val="00651372"/>
    <w:rsid w:val="00652F6B"/>
    <w:rsid w:val="00654449"/>
    <w:rsid w:val="00655525"/>
    <w:rsid w:val="00655FC0"/>
    <w:rsid w:val="00656556"/>
    <w:rsid w:val="0065665F"/>
    <w:rsid w:val="006569F6"/>
    <w:rsid w:val="00656A99"/>
    <w:rsid w:val="00656C1D"/>
    <w:rsid w:val="00657347"/>
    <w:rsid w:val="00657E80"/>
    <w:rsid w:val="00660813"/>
    <w:rsid w:val="00660992"/>
    <w:rsid w:val="00660F77"/>
    <w:rsid w:val="00661635"/>
    <w:rsid w:val="00662B28"/>
    <w:rsid w:val="00662DFD"/>
    <w:rsid w:val="00663CC9"/>
    <w:rsid w:val="00664C77"/>
    <w:rsid w:val="0066627B"/>
    <w:rsid w:val="00667551"/>
    <w:rsid w:val="00667E8A"/>
    <w:rsid w:val="00670797"/>
    <w:rsid w:val="00670A26"/>
    <w:rsid w:val="00670C9D"/>
    <w:rsid w:val="00671322"/>
    <w:rsid w:val="00671345"/>
    <w:rsid w:val="00671707"/>
    <w:rsid w:val="006725AF"/>
    <w:rsid w:val="0067383E"/>
    <w:rsid w:val="00673890"/>
    <w:rsid w:val="0067411B"/>
    <w:rsid w:val="00674195"/>
    <w:rsid w:val="00674A8C"/>
    <w:rsid w:val="00674BA4"/>
    <w:rsid w:val="00674D4C"/>
    <w:rsid w:val="00675501"/>
    <w:rsid w:val="0067604C"/>
    <w:rsid w:val="00676357"/>
    <w:rsid w:val="00676556"/>
    <w:rsid w:val="00676BE1"/>
    <w:rsid w:val="00677476"/>
    <w:rsid w:val="006778EE"/>
    <w:rsid w:val="006778F0"/>
    <w:rsid w:val="00677C75"/>
    <w:rsid w:val="00677D36"/>
    <w:rsid w:val="00680905"/>
    <w:rsid w:val="00680A7E"/>
    <w:rsid w:val="00680C3E"/>
    <w:rsid w:val="00681F26"/>
    <w:rsid w:val="00683314"/>
    <w:rsid w:val="00683AFC"/>
    <w:rsid w:val="00685675"/>
    <w:rsid w:val="00685D86"/>
    <w:rsid w:val="00690084"/>
    <w:rsid w:val="00690351"/>
    <w:rsid w:val="00690A7E"/>
    <w:rsid w:val="00691450"/>
    <w:rsid w:val="006923C6"/>
    <w:rsid w:val="00692E87"/>
    <w:rsid w:val="00693DAB"/>
    <w:rsid w:val="00693EAC"/>
    <w:rsid w:val="006941B1"/>
    <w:rsid w:val="00694355"/>
    <w:rsid w:val="00694640"/>
    <w:rsid w:val="006948B5"/>
    <w:rsid w:val="0069536E"/>
    <w:rsid w:val="00696A09"/>
    <w:rsid w:val="00697914"/>
    <w:rsid w:val="006A0CBB"/>
    <w:rsid w:val="006A0E96"/>
    <w:rsid w:val="006A0F8B"/>
    <w:rsid w:val="006A1957"/>
    <w:rsid w:val="006A1DA3"/>
    <w:rsid w:val="006A24C6"/>
    <w:rsid w:val="006A25C7"/>
    <w:rsid w:val="006A343B"/>
    <w:rsid w:val="006A34C4"/>
    <w:rsid w:val="006A36C5"/>
    <w:rsid w:val="006A49F8"/>
    <w:rsid w:val="006A4C30"/>
    <w:rsid w:val="006A6C0C"/>
    <w:rsid w:val="006A6E08"/>
    <w:rsid w:val="006A6F73"/>
    <w:rsid w:val="006A744A"/>
    <w:rsid w:val="006A759E"/>
    <w:rsid w:val="006A7AA1"/>
    <w:rsid w:val="006B06EF"/>
    <w:rsid w:val="006B16DE"/>
    <w:rsid w:val="006B21A3"/>
    <w:rsid w:val="006B2403"/>
    <w:rsid w:val="006B2913"/>
    <w:rsid w:val="006B2B8A"/>
    <w:rsid w:val="006B2E3B"/>
    <w:rsid w:val="006B31E2"/>
    <w:rsid w:val="006B3465"/>
    <w:rsid w:val="006B386D"/>
    <w:rsid w:val="006B3D94"/>
    <w:rsid w:val="006B52D7"/>
    <w:rsid w:val="006B5339"/>
    <w:rsid w:val="006B5676"/>
    <w:rsid w:val="006B5795"/>
    <w:rsid w:val="006B5E99"/>
    <w:rsid w:val="006B6684"/>
    <w:rsid w:val="006B68D5"/>
    <w:rsid w:val="006B6963"/>
    <w:rsid w:val="006B6FB0"/>
    <w:rsid w:val="006B7F5A"/>
    <w:rsid w:val="006C1A94"/>
    <w:rsid w:val="006C409A"/>
    <w:rsid w:val="006C40A4"/>
    <w:rsid w:val="006C42BA"/>
    <w:rsid w:val="006C641E"/>
    <w:rsid w:val="006C6832"/>
    <w:rsid w:val="006C7944"/>
    <w:rsid w:val="006D007C"/>
    <w:rsid w:val="006D151F"/>
    <w:rsid w:val="006D1635"/>
    <w:rsid w:val="006D1672"/>
    <w:rsid w:val="006D4008"/>
    <w:rsid w:val="006D51AE"/>
    <w:rsid w:val="006D5E12"/>
    <w:rsid w:val="006D6476"/>
    <w:rsid w:val="006D689D"/>
    <w:rsid w:val="006E0122"/>
    <w:rsid w:val="006E0674"/>
    <w:rsid w:val="006E2514"/>
    <w:rsid w:val="006E2718"/>
    <w:rsid w:val="006E2B44"/>
    <w:rsid w:val="006E4737"/>
    <w:rsid w:val="006E482E"/>
    <w:rsid w:val="006E4A15"/>
    <w:rsid w:val="006E5233"/>
    <w:rsid w:val="006E6504"/>
    <w:rsid w:val="006E667C"/>
    <w:rsid w:val="006E6BB9"/>
    <w:rsid w:val="006E7147"/>
    <w:rsid w:val="006E7520"/>
    <w:rsid w:val="006E7E0B"/>
    <w:rsid w:val="006E7E3C"/>
    <w:rsid w:val="006E7F74"/>
    <w:rsid w:val="006F03BF"/>
    <w:rsid w:val="006F0A11"/>
    <w:rsid w:val="006F0B17"/>
    <w:rsid w:val="006F0F3C"/>
    <w:rsid w:val="006F1781"/>
    <w:rsid w:val="006F1A31"/>
    <w:rsid w:val="006F3885"/>
    <w:rsid w:val="006F44E8"/>
    <w:rsid w:val="006F5EF7"/>
    <w:rsid w:val="006F606C"/>
    <w:rsid w:val="006F688A"/>
    <w:rsid w:val="006F70A3"/>
    <w:rsid w:val="006F7704"/>
    <w:rsid w:val="007000BF"/>
    <w:rsid w:val="007005D8"/>
    <w:rsid w:val="00700B43"/>
    <w:rsid w:val="007013AD"/>
    <w:rsid w:val="00701455"/>
    <w:rsid w:val="00701531"/>
    <w:rsid w:val="007027D1"/>
    <w:rsid w:val="00703C09"/>
    <w:rsid w:val="007045AA"/>
    <w:rsid w:val="00704AB5"/>
    <w:rsid w:val="00704E3D"/>
    <w:rsid w:val="00705266"/>
    <w:rsid w:val="0070661F"/>
    <w:rsid w:val="0070697B"/>
    <w:rsid w:val="0070713F"/>
    <w:rsid w:val="00707C23"/>
    <w:rsid w:val="00707F5F"/>
    <w:rsid w:val="007101FA"/>
    <w:rsid w:val="00710379"/>
    <w:rsid w:val="00710D76"/>
    <w:rsid w:val="00712D84"/>
    <w:rsid w:val="00712D85"/>
    <w:rsid w:val="007139AD"/>
    <w:rsid w:val="007150CD"/>
    <w:rsid w:val="00715202"/>
    <w:rsid w:val="00716024"/>
    <w:rsid w:val="007165ED"/>
    <w:rsid w:val="007169F3"/>
    <w:rsid w:val="00717D38"/>
    <w:rsid w:val="00720163"/>
    <w:rsid w:val="00720A67"/>
    <w:rsid w:val="00720D94"/>
    <w:rsid w:val="00721016"/>
    <w:rsid w:val="007215CB"/>
    <w:rsid w:val="00722C0E"/>
    <w:rsid w:val="007236F7"/>
    <w:rsid w:val="007248A9"/>
    <w:rsid w:val="007256A9"/>
    <w:rsid w:val="00725B92"/>
    <w:rsid w:val="00725C69"/>
    <w:rsid w:val="00725D6A"/>
    <w:rsid w:val="007266E0"/>
    <w:rsid w:val="00727F49"/>
    <w:rsid w:val="0073041B"/>
    <w:rsid w:val="007304C0"/>
    <w:rsid w:val="00730781"/>
    <w:rsid w:val="00731746"/>
    <w:rsid w:val="007319F3"/>
    <w:rsid w:val="00731FCA"/>
    <w:rsid w:val="0073240A"/>
    <w:rsid w:val="007325C7"/>
    <w:rsid w:val="00733203"/>
    <w:rsid w:val="00733C01"/>
    <w:rsid w:val="00733D4E"/>
    <w:rsid w:val="007340D8"/>
    <w:rsid w:val="0073444B"/>
    <w:rsid w:val="00734E36"/>
    <w:rsid w:val="007352E0"/>
    <w:rsid w:val="007355AC"/>
    <w:rsid w:val="00735740"/>
    <w:rsid w:val="007358EF"/>
    <w:rsid w:val="00735D9C"/>
    <w:rsid w:val="007360A3"/>
    <w:rsid w:val="007361A1"/>
    <w:rsid w:val="0073625F"/>
    <w:rsid w:val="007373EF"/>
    <w:rsid w:val="0073757D"/>
    <w:rsid w:val="00737955"/>
    <w:rsid w:val="00737A9B"/>
    <w:rsid w:val="00740909"/>
    <w:rsid w:val="00741400"/>
    <w:rsid w:val="00742872"/>
    <w:rsid w:val="00742A98"/>
    <w:rsid w:val="00744543"/>
    <w:rsid w:val="00744686"/>
    <w:rsid w:val="007449D2"/>
    <w:rsid w:val="0074516B"/>
    <w:rsid w:val="00745C0B"/>
    <w:rsid w:val="0074660E"/>
    <w:rsid w:val="00746F2A"/>
    <w:rsid w:val="0075020C"/>
    <w:rsid w:val="007509FF"/>
    <w:rsid w:val="007513D2"/>
    <w:rsid w:val="007513E0"/>
    <w:rsid w:val="0075165C"/>
    <w:rsid w:val="00751EE6"/>
    <w:rsid w:val="007522B0"/>
    <w:rsid w:val="00752DAA"/>
    <w:rsid w:val="0075315D"/>
    <w:rsid w:val="00754797"/>
    <w:rsid w:val="0075479C"/>
    <w:rsid w:val="007548F3"/>
    <w:rsid w:val="00754EA7"/>
    <w:rsid w:val="0075527C"/>
    <w:rsid w:val="00755457"/>
    <w:rsid w:val="007555DC"/>
    <w:rsid w:val="00756A30"/>
    <w:rsid w:val="00757CD1"/>
    <w:rsid w:val="00760481"/>
    <w:rsid w:val="00762A6C"/>
    <w:rsid w:val="00762F23"/>
    <w:rsid w:val="00762FC4"/>
    <w:rsid w:val="00763343"/>
    <w:rsid w:val="0076347D"/>
    <w:rsid w:val="007639A2"/>
    <w:rsid w:val="00763BCA"/>
    <w:rsid w:val="00763D2C"/>
    <w:rsid w:val="00764C7F"/>
    <w:rsid w:val="00766468"/>
    <w:rsid w:val="007665AF"/>
    <w:rsid w:val="00766CD8"/>
    <w:rsid w:val="00767222"/>
    <w:rsid w:val="00767781"/>
    <w:rsid w:val="00770C52"/>
    <w:rsid w:val="00771369"/>
    <w:rsid w:val="00771BFA"/>
    <w:rsid w:val="0077348E"/>
    <w:rsid w:val="00773BB8"/>
    <w:rsid w:val="007742B0"/>
    <w:rsid w:val="00774CCF"/>
    <w:rsid w:val="0077551E"/>
    <w:rsid w:val="00775BCA"/>
    <w:rsid w:val="00776670"/>
    <w:rsid w:val="007776D2"/>
    <w:rsid w:val="00777B96"/>
    <w:rsid w:val="00780A37"/>
    <w:rsid w:val="0078172C"/>
    <w:rsid w:val="00782517"/>
    <w:rsid w:val="007831FD"/>
    <w:rsid w:val="00784426"/>
    <w:rsid w:val="00784FD7"/>
    <w:rsid w:val="00785307"/>
    <w:rsid w:val="0078616F"/>
    <w:rsid w:val="0078669A"/>
    <w:rsid w:val="00786F3D"/>
    <w:rsid w:val="00787498"/>
    <w:rsid w:val="00787908"/>
    <w:rsid w:val="007905CD"/>
    <w:rsid w:val="00790A58"/>
    <w:rsid w:val="00790B02"/>
    <w:rsid w:val="00790BEC"/>
    <w:rsid w:val="007915C0"/>
    <w:rsid w:val="00791F1B"/>
    <w:rsid w:val="007921CF"/>
    <w:rsid w:val="0079240B"/>
    <w:rsid w:val="00793008"/>
    <w:rsid w:val="00793C8C"/>
    <w:rsid w:val="00793DBF"/>
    <w:rsid w:val="00794973"/>
    <w:rsid w:val="00794EF7"/>
    <w:rsid w:val="00794F42"/>
    <w:rsid w:val="00795B55"/>
    <w:rsid w:val="00795E72"/>
    <w:rsid w:val="00796535"/>
    <w:rsid w:val="00796825"/>
    <w:rsid w:val="00797931"/>
    <w:rsid w:val="00797DC7"/>
    <w:rsid w:val="00797E7B"/>
    <w:rsid w:val="007A12F1"/>
    <w:rsid w:val="007A3615"/>
    <w:rsid w:val="007A3B7F"/>
    <w:rsid w:val="007A3CAF"/>
    <w:rsid w:val="007A41B8"/>
    <w:rsid w:val="007A48AA"/>
    <w:rsid w:val="007A57F5"/>
    <w:rsid w:val="007A58F9"/>
    <w:rsid w:val="007A624E"/>
    <w:rsid w:val="007A71B2"/>
    <w:rsid w:val="007A7602"/>
    <w:rsid w:val="007B0C10"/>
    <w:rsid w:val="007B1EB2"/>
    <w:rsid w:val="007B303B"/>
    <w:rsid w:val="007B3945"/>
    <w:rsid w:val="007B3CFB"/>
    <w:rsid w:val="007B5D1E"/>
    <w:rsid w:val="007B5EE7"/>
    <w:rsid w:val="007B7164"/>
    <w:rsid w:val="007B756F"/>
    <w:rsid w:val="007B7C16"/>
    <w:rsid w:val="007C11CA"/>
    <w:rsid w:val="007C17EC"/>
    <w:rsid w:val="007C18B3"/>
    <w:rsid w:val="007C1C62"/>
    <w:rsid w:val="007C265A"/>
    <w:rsid w:val="007C2D56"/>
    <w:rsid w:val="007C32BF"/>
    <w:rsid w:val="007C3733"/>
    <w:rsid w:val="007C3772"/>
    <w:rsid w:val="007C399F"/>
    <w:rsid w:val="007C4B85"/>
    <w:rsid w:val="007C713D"/>
    <w:rsid w:val="007C7F29"/>
    <w:rsid w:val="007D05E4"/>
    <w:rsid w:val="007D08E0"/>
    <w:rsid w:val="007D0E8A"/>
    <w:rsid w:val="007D121F"/>
    <w:rsid w:val="007D22EF"/>
    <w:rsid w:val="007D2E9E"/>
    <w:rsid w:val="007D39A2"/>
    <w:rsid w:val="007D3F55"/>
    <w:rsid w:val="007D47A2"/>
    <w:rsid w:val="007D5370"/>
    <w:rsid w:val="007E0858"/>
    <w:rsid w:val="007E0DFE"/>
    <w:rsid w:val="007E18B0"/>
    <w:rsid w:val="007E1A14"/>
    <w:rsid w:val="007E2F28"/>
    <w:rsid w:val="007E3445"/>
    <w:rsid w:val="007E3754"/>
    <w:rsid w:val="007E3935"/>
    <w:rsid w:val="007E44A1"/>
    <w:rsid w:val="007E46F7"/>
    <w:rsid w:val="007E49B5"/>
    <w:rsid w:val="007E4C88"/>
    <w:rsid w:val="007E501C"/>
    <w:rsid w:val="007E55EB"/>
    <w:rsid w:val="007E5C4F"/>
    <w:rsid w:val="007E6199"/>
    <w:rsid w:val="007E657E"/>
    <w:rsid w:val="007E6C08"/>
    <w:rsid w:val="007E7AB3"/>
    <w:rsid w:val="007E7D13"/>
    <w:rsid w:val="007E7F84"/>
    <w:rsid w:val="007F09BE"/>
    <w:rsid w:val="007F21B4"/>
    <w:rsid w:val="007F2B55"/>
    <w:rsid w:val="007F328E"/>
    <w:rsid w:val="007F4303"/>
    <w:rsid w:val="007F43E7"/>
    <w:rsid w:val="007F5CE4"/>
    <w:rsid w:val="007F5F07"/>
    <w:rsid w:val="007F69CB"/>
    <w:rsid w:val="007F7A1F"/>
    <w:rsid w:val="00800D27"/>
    <w:rsid w:val="0080166F"/>
    <w:rsid w:val="00802261"/>
    <w:rsid w:val="00802B0B"/>
    <w:rsid w:val="00802B65"/>
    <w:rsid w:val="0080340E"/>
    <w:rsid w:val="008035A2"/>
    <w:rsid w:val="00804C44"/>
    <w:rsid w:val="00805818"/>
    <w:rsid w:val="00805B0C"/>
    <w:rsid w:val="00806032"/>
    <w:rsid w:val="008066FE"/>
    <w:rsid w:val="00810B06"/>
    <w:rsid w:val="00810F91"/>
    <w:rsid w:val="008113F3"/>
    <w:rsid w:val="00811CE3"/>
    <w:rsid w:val="008128B8"/>
    <w:rsid w:val="00813CEC"/>
    <w:rsid w:val="00814145"/>
    <w:rsid w:val="008143EF"/>
    <w:rsid w:val="008162D8"/>
    <w:rsid w:val="008170BA"/>
    <w:rsid w:val="0081721F"/>
    <w:rsid w:val="00817D2C"/>
    <w:rsid w:val="008213CF"/>
    <w:rsid w:val="0082164A"/>
    <w:rsid w:val="008226D4"/>
    <w:rsid w:val="00822B33"/>
    <w:rsid w:val="00822B7C"/>
    <w:rsid w:val="00822C8A"/>
    <w:rsid w:val="008234E5"/>
    <w:rsid w:val="00824076"/>
    <w:rsid w:val="008243F4"/>
    <w:rsid w:val="00824BE3"/>
    <w:rsid w:val="00825CE5"/>
    <w:rsid w:val="008265D8"/>
    <w:rsid w:val="00826631"/>
    <w:rsid w:val="00826EF3"/>
    <w:rsid w:val="008277EE"/>
    <w:rsid w:val="00827A14"/>
    <w:rsid w:val="0083020A"/>
    <w:rsid w:val="00830BAD"/>
    <w:rsid w:val="00830D39"/>
    <w:rsid w:val="008311A2"/>
    <w:rsid w:val="00831D2E"/>
    <w:rsid w:val="008327C6"/>
    <w:rsid w:val="00832B4D"/>
    <w:rsid w:val="00832CCC"/>
    <w:rsid w:val="00833131"/>
    <w:rsid w:val="00835B14"/>
    <w:rsid w:val="00835B4C"/>
    <w:rsid w:val="00835DEF"/>
    <w:rsid w:val="0083601F"/>
    <w:rsid w:val="00837E78"/>
    <w:rsid w:val="0084001C"/>
    <w:rsid w:val="00841705"/>
    <w:rsid w:val="008434B4"/>
    <w:rsid w:val="00843ADB"/>
    <w:rsid w:val="00843CC5"/>
    <w:rsid w:val="00844675"/>
    <w:rsid w:val="008448D4"/>
    <w:rsid w:val="008455B6"/>
    <w:rsid w:val="00845ABE"/>
    <w:rsid w:val="008460D6"/>
    <w:rsid w:val="0084676D"/>
    <w:rsid w:val="00846946"/>
    <w:rsid w:val="008476EB"/>
    <w:rsid w:val="00847EAC"/>
    <w:rsid w:val="00850A63"/>
    <w:rsid w:val="008512AE"/>
    <w:rsid w:val="008514C0"/>
    <w:rsid w:val="008530FE"/>
    <w:rsid w:val="008547AC"/>
    <w:rsid w:val="00854D0E"/>
    <w:rsid w:val="00855D30"/>
    <w:rsid w:val="00857115"/>
    <w:rsid w:val="008571F5"/>
    <w:rsid w:val="008600D5"/>
    <w:rsid w:val="008601BF"/>
    <w:rsid w:val="0086065B"/>
    <w:rsid w:val="0086077C"/>
    <w:rsid w:val="00860852"/>
    <w:rsid w:val="008609ED"/>
    <w:rsid w:val="00860C92"/>
    <w:rsid w:val="00861055"/>
    <w:rsid w:val="008616B6"/>
    <w:rsid w:val="008625FC"/>
    <w:rsid w:val="008640C6"/>
    <w:rsid w:val="00864243"/>
    <w:rsid w:val="00864AAE"/>
    <w:rsid w:val="00864B5E"/>
    <w:rsid w:val="008664F4"/>
    <w:rsid w:val="00866BB6"/>
    <w:rsid w:val="008674B8"/>
    <w:rsid w:val="008674D6"/>
    <w:rsid w:val="00867AE5"/>
    <w:rsid w:val="00867D00"/>
    <w:rsid w:val="0087013F"/>
    <w:rsid w:val="00870861"/>
    <w:rsid w:val="008709F2"/>
    <w:rsid w:val="00871763"/>
    <w:rsid w:val="00873B5F"/>
    <w:rsid w:val="00874382"/>
    <w:rsid w:val="00874AA9"/>
    <w:rsid w:val="008751A5"/>
    <w:rsid w:val="0087522A"/>
    <w:rsid w:val="00875917"/>
    <w:rsid w:val="00875E31"/>
    <w:rsid w:val="00875FD3"/>
    <w:rsid w:val="008763D9"/>
    <w:rsid w:val="008763DF"/>
    <w:rsid w:val="0087678E"/>
    <w:rsid w:val="00876E08"/>
    <w:rsid w:val="00876F44"/>
    <w:rsid w:val="0087759A"/>
    <w:rsid w:val="008803A4"/>
    <w:rsid w:val="0088095C"/>
    <w:rsid w:val="0088115D"/>
    <w:rsid w:val="00881694"/>
    <w:rsid w:val="008817B9"/>
    <w:rsid w:val="00881919"/>
    <w:rsid w:val="00882944"/>
    <w:rsid w:val="00882D6C"/>
    <w:rsid w:val="00882EE5"/>
    <w:rsid w:val="0088376E"/>
    <w:rsid w:val="00883859"/>
    <w:rsid w:val="00883D9C"/>
    <w:rsid w:val="008843F0"/>
    <w:rsid w:val="00884420"/>
    <w:rsid w:val="0088451E"/>
    <w:rsid w:val="00884AB0"/>
    <w:rsid w:val="0088541D"/>
    <w:rsid w:val="00885F26"/>
    <w:rsid w:val="00887104"/>
    <w:rsid w:val="008875F4"/>
    <w:rsid w:val="00887ED8"/>
    <w:rsid w:val="008904EE"/>
    <w:rsid w:val="008907B4"/>
    <w:rsid w:val="00890E3B"/>
    <w:rsid w:val="00891397"/>
    <w:rsid w:val="00891767"/>
    <w:rsid w:val="00892C44"/>
    <w:rsid w:val="00893094"/>
    <w:rsid w:val="008934F6"/>
    <w:rsid w:val="0089394A"/>
    <w:rsid w:val="008939EB"/>
    <w:rsid w:val="00894DD8"/>
    <w:rsid w:val="00895031"/>
    <w:rsid w:val="008954EA"/>
    <w:rsid w:val="0089567C"/>
    <w:rsid w:val="00895883"/>
    <w:rsid w:val="00895FD7"/>
    <w:rsid w:val="008963EC"/>
    <w:rsid w:val="008A0F27"/>
    <w:rsid w:val="008A1ED1"/>
    <w:rsid w:val="008A2080"/>
    <w:rsid w:val="008A2877"/>
    <w:rsid w:val="008A2FBA"/>
    <w:rsid w:val="008A3093"/>
    <w:rsid w:val="008A34D3"/>
    <w:rsid w:val="008A3A92"/>
    <w:rsid w:val="008A3C5B"/>
    <w:rsid w:val="008A4BCF"/>
    <w:rsid w:val="008A53C2"/>
    <w:rsid w:val="008A60D5"/>
    <w:rsid w:val="008A6365"/>
    <w:rsid w:val="008A6918"/>
    <w:rsid w:val="008A78B1"/>
    <w:rsid w:val="008B0D3A"/>
    <w:rsid w:val="008B0FD6"/>
    <w:rsid w:val="008B1823"/>
    <w:rsid w:val="008B1C73"/>
    <w:rsid w:val="008B215B"/>
    <w:rsid w:val="008B3312"/>
    <w:rsid w:val="008B363C"/>
    <w:rsid w:val="008B44B2"/>
    <w:rsid w:val="008B4EEF"/>
    <w:rsid w:val="008B6CF3"/>
    <w:rsid w:val="008B7DD4"/>
    <w:rsid w:val="008C00D3"/>
    <w:rsid w:val="008C014F"/>
    <w:rsid w:val="008C04C8"/>
    <w:rsid w:val="008C0865"/>
    <w:rsid w:val="008C113A"/>
    <w:rsid w:val="008C1C7E"/>
    <w:rsid w:val="008C1C8A"/>
    <w:rsid w:val="008C4272"/>
    <w:rsid w:val="008C4EB3"/>
    <w:rsid w:val="008C66F1"/>
    <w:rsid w:val="008C6F6A"/>
    <w:rsid w:val="008C7661"/>
    <w:rsid w:val="008C7889"/>
    <w:rsid w:val="008C7931"/>
    <w:rsid w:val="008C7F19"/>
    <w:rsid w:val="008D00EA"/>
    <w:rsid w:val="008D096F"/>
    <w:rsid w:val="008D0D66"/>
    <w:rsid w:val="008D12B8"/>
    <w:rsid w:val="008D1F40"/>
    <w:rsid w:val="008D24D8"/>
    <w:rsid w:val="008D2E8E"/>
    <w:rsid w:val="008D4490"/>
    <w:rsid w:val="008D4FC6"/>
    <w:rsid w:val="008D5113"/>
    <w:rsid w:val="008D54E1"/>
    <w:rsid w:val="008D5A6C"/>
    <w:rsid w:val="008D5E0E"/>
    <w:rsid w:val="008D6D74"/>
    <w:rsid w:val="008E0F5C"/>
    <w:rsid w:val="008E1BFF"/>
    <w:rsid w:val="008E389E"/>
    <w:rsid w:val="008E3AE2"/>
    <w:rsid w:val="008E3C44"/>
    <w:rsid w:val="008E3CF6"/>
    <w:rsid w:val="008E432A"/>
    <w:rsid w:val="008E4654"/>
    <w:rsid w:val="008E5BEE"/>
    <w:rsid w:val="008E6DEF"/>
    <w:rsid w:val="008E7B42"/>
    <w:rsid w:val="008F0362"/>
    <w:rsid w:val="008F2081"/>
    <w:rsid w:val="008F27A2"/>
    <w:rsid w:val="008F2B7D"/>
    <w:rsid w:val="008F2E31"/>
    <w:rsid w:val="008F3CB8"/>
    <w:rsid w:val="008F4820"/>
    <w:rsid w:val="008F5705"/>
    <w:rsid w:val="008F65EF"/>
    <w:rsid w:val="008F693A"/>
    <w:rsid w:val="008F7A52"/>
    <w:rsid w:val="008F7FE4"/>
    <w:rsid w:val="0090081B"/>
    <w:rsid w:val="00900B59"/>
    <w:rsid w:val="00900E60"/>
    <w:rsid w:val="00901C44"/>
    <w:rsid w:val="0090210F"/>
    <w:rsid w:val="00902445"/>
    <w:rsid w:val="009024A7"/>
    <w:rsid w:val="00902CDE"/>
    <w:rsid w:val="009033FB"/>
    <w:rsid w:val="0090450C"/>
    <w:rsid w:val="00904C01"/>
    <w:rsid w:val="0090555C"/>
    <w:rsid w:val="00906508"/>
    <w:rsid w:val="00906946"/>
    <w:rsid w:val="009071E5"/>
    <w:rsid w:val="00911947"/>
    <w:rsid w:val="009129A7"/>
    <w:rsid w:val="00912A37"/>
    <w:rsid w:val="00913578"/>
    <w:rsid w:val="0091558F"/>
    <w:rsid w:val="00915733"/>
    <w:rsid w:val="0091650B"/>
    <w:rsid w:val="009166DB"/>
    <w:rsid w:val="00916FA7"/>
    <w:rsid w:val="0091735D"/>
    <w:rsid w:val="00920628"/>
    <w:rsid w:val="0092136B"/>
    <w:rsid w:val="00922AF5"/>
    <w:rsid w:val="0092375A"/>
    <w:rsid w:val="00924584"/>
    <w:rsid w:val="009245B7"/>
    <w:rsid w:val="00924C00"/>
    <w:rsid w:val="00926190"/>
    <w:rsid w:val="00926392"/>
    <w:rsid w:val="009264DE"/>
    <w:rsid w:val="00926B86"/>
    <w:rsid w:val="00927C41"/>
    <w:rsid w:val="009302BB"/>
    <w:rsid w:val="00930844"/>
    <w:rsid w:val="00930F4C"/>
    <w:rsid w:val="00931691"/>
    <w:rsid w:val="009324E2"/>
    <w:rsid w:val="009334DA"/>
    <w:rsid w:val="0093351F"/>
    <w:rsid w:val="00933F02"/>
    <w:rsid w:val="009342F3"/>
    <w:rsid w:val="00935E04"/>
    <w:rsid w:val="00936837"/>
    <w:rsid w:val="00936999"/>
    <w:rsid w:val="00936AA0"/>
    <w:rsid w:val="00941B9F"/>
    <w:rsid w:val="00941EF4"/>
    <w:rsid w:val="009427E4"/>
    <w:rsid w:val="00942B8B"/>
    <w:rsid w:val="00943174"/>
    <w:rsid w:val="009432B2"/>
    <w:rsid w:val="009432BF"/>
    <w:rsid w:val="0094341F"/>
    <w:rsid w:val="0094350D"/>
    <w:rsid w:val="009449A6"/>
    <w:rsid w:val="00944FA7"/>
    <w:rsid w:val="009452C1"/>
    <w:rsid w:val="0094638E"/>
    <w:rsid w:val="00946892"/>
    <w:rsid w:val="00947501"/>
    <w:rsid w:val="00947976"/>
    <w:rsid w:val="00947EDF"/>
    <w:rsid w:val="0095028F"/>
    <w:rsid w:val="00950E8B"/>
    <w:rsid w:val="00951065"/>
    <w:rsid w:val="00951B8C"/>
    <w:rsid w:val="00951D0F"/>
    <w:rsid w:val="0095203B"/>
    <w:rsid w:val="00952912"/>
    <w:rsid w:val="0095328C"/>
    <w:rsid w:val="009551C9"/>
    <w:rsid w:val="00955555"/>
    <w:rsid w:val="00955BF3"/>
    <w:rsid w:val="0095674E"/>
    <w:rsid w:val="00956B3D"/>
    <w:rsid w:val="009578C7"/>
    <w:rsid w:val="0096139D"/>
    <w:rsid w:val="0096189C"/>
    <w:rsid w:val="00962162"/>
    <w:rsid w:val="00962199"/>
    <w:rsid w:val="009622C7"/>
    <w:rsid w:val="00962454"/>
    <w:rsid w:val="00962943"/>
    <w:rsid w:val="00962FE1"/>
    <w:rsid w:val="009634F8"/>
    <w:rsid w:val="00963B39"/>
    <w:rsid w:val="00965207"/>
    <w:rsid w:val="00966859"/>
    <w:rsid w:val="00967038"/>
    <w:rsid w:val="00970AD7"/>
    <w:rsid w:val="00970E1B"/>
    <w:rsid w:val="00971266"/>
    <w:rsid w:val="0097141F"/>
    <w:rsid w:val="0097195E"/>
    <w:rsid w:val="00973063"/>
    <w:rsid w:val="009735A1"/>
    <w:rsid w:val="009739CC"/>
    <w:rsid w:val="00974A8A"/>
    <w:rsid w:val="00974FF6"/>
    <w:rsid w:val="00975A79"/>
    <w:rsid w:val="0097614A"/>
    <w:rsid w:val="00976224"/>
    <w:rsid w:val="00977CAD"/>
    <w:rsid w:val="00977DB6"/>
    <w:rsid w:val="00980924"/>
    <w:rsid w:val="00980CC4"/>
    <w:rsid w:val="009811DC"/>
    <w:rsid w:val="00981453"/>
    <w:rsid w:val="00981B26"/>
    <w:rsid w:val="00982B68"/>
    <w:rsid w:val="009830BA"/>
    <w:rsid w:val="00983DC5"/>
    <w:rsid w:val="009844DC"/>
    <w:rsid w:val="00984DD1"/>
    <w:rsid w:val="00985745"/>
    <w:rsid w:val="00985F7B"/>
    <w:rsid w:val="00985F99"/>
    <w:rsid w:val="0098668A"/>
    <w:rsid w:val="009901EC"/>
    <w:rsid w:val="009907E5"/>
    <w:rsid w:val="009910C8"/>
    <w:rsid w:val="0099113A"/>
    <w:rsid w:val="009914F2"/>
    <w:rsid w:val="00991696"/>
    <w:rsid w:val="00991866"/>
    <w:rsid w:val="0099194D"/>
    <w:rsid w:val="0099293B"/>
    <w:rsid w:val="009931AD"/>
    <w:rsid w:val="00994291"/>
    <w:rsid w:val="00994A62"/>
    <w:rsid w:val="00995B0D"/>
    <w:rsid w:val="00995D05"/>
    <w:rsid w:val="0099655D"/>
    <w:rsid w:val="00996A98"/>
    <w:rsid w:val="00996DDD"/>
    <w:rsid w:val="00996F0F"/>
    <w:rsid w:val="00996F81"/>
    <w:rsid w:val="0099788C"/>
    <w:rsid w:val="009A1B07"/>
    <w:rsid w:val="009A1E2F"/>
    <w:rsid w:val="009A2906"/>
    <w:rsid w:val="009A31A7"/>
    <w:rsid w:val="009A3365"/>
    <w:rsid w:val="009A3812"/>
    <w:rsid w:val="009A3CE2"/>
    <w:rsid w:val="009A436F"/>
    <w:rsid w:val="009A468E"/>
    <w:rsid w:val="009A4883"/>
    <w:rsid w:val="009A4996"/>
    <w:rsid w:val="009A5015"/>
    <w:rsid w:val="009A5025"/>
    <w:rsid w:val="009A64FE"/>
    <w:rsid w:val="009A7F92"/>
    <w:rsid w:val="009B0D98"/>
    <w:rsid w:val="009B0DE4"/>
    <w:rsid w:val="009B124D"/>
    <w:rsid w:val="009B13B8"/>
    <w:rsid w:val="009B1E21"/>
    <w:rsid w:val="009B20A1"/>
    <w:rsid w:val="009B2CF9"/>
    <w:rsid w:val="009B3130"/>
    <w:rsid w:val="009B34DD"/>
    <w:rsid w:val="009B3D48"/>
    <w:rsid w:val="009B43B3"/>
    <w:rsid w:val="009B4BE3"/>
    <w:rsid w:val="009B511E"/>
    <w:rsid w:val="009B640C"/>
    <w:rsid w:val="009B7E9C"/>
    <w:rsid w:val="009C07D5"/>
    <w:rsid w:val="009C172B"/>
    <w:rsid w:val="009C19B0"/>
    <w:rsid w:val="009C19C4"/>
    <w:rsid w:val="009C1B43"/>
    <w:rsid w:val="009C1F4E"/>
    <w:rsid w:val="009C2676"/>
    <w:rsid w:val="009C335E"/>
    <w:rsid w:val="009C3C85"/>
    <w:rsid w:val="009C3EC6"/>
    <w:rsid w:val="009C4DAA"/>
    <w:rsid w:val="009C5CB3"/>
    <w:rsid w:val="009C6DF7"/>
    <w:rsid w:val="009C7785"/>
    <w:rsid w:val="009D0101"/>
    <w:rsid w:val="009D1594"/>
    <w:rsid w:val="009D16C7"/>
    <w:rsid w:val="009D28AB"/>
    <w:rsid w:val="009D2A59"/>
    <w:rsid w:val="009D39C4"/>
    <w:rsid w:val="009D3E10"/>
    <w:rsid w:val="009D4082"/>
    <w:rsid w:val="009D40AA"/>
    <w:rsid w:val="009D4229"/>
    <w:rsid w:val="009D7AD7"/>
    <w:rsid w:val="009E0463"/>
    <w:rsid w:val="009E18DE"/>
    <w:rsid w:val="009E3B10"/>
    <w:rsid w:val="009E3C01"/>
    <w:rsid w:val="009E3DA5"/>
    <w:rsid w:val="009E3DCC"/>
    <w:rsid w:val="009E4CDE"/>
    <w:rsid w:val="009E5AE2"/>
    <w:rsid w:val="009E5C74"/>
    <w:rsid w:val="009E6110"/>
    <w:rsid w:val="009E62BE"/>
    <w:rsid w:val="009E656D"/>
    <w:rsid w:val="009E6D1C"/>
    <w:rsid w:val="009E6DC2"/>
    <w:rsid w:val="009E7C21"/>
    <w:rsid w:val="009E7E3B"/>
    <w:rsid w:val="009F0E89"/>
    <w:rsid w:val="009F16AD"/>
    <w:rsid w:val="009F2977"/>
    <w:rsid w:val="009F2EEF"/>
    <w:rsid w:val="009F3B6D"/>
    <w:rsid w:val="009F47CD"/>
    <w:rsid w:val="009F4A41"/>
    <w:rsid w:val="009F4B3D"/>
    <w:rsid w:val="009F4FBF"/>
    <w:rsid w:val="009F65A6"/>
    <w:rsid w:val="009F65C5"/>
    <w:rsid w:val="009F6A74"/>
    <w:rsid w:val="009F7E74"/>
    <w:rsid w:val="00A0023E"/>
    <w:rsid w:val="00A0050E"/>
    <w:rsid w:val="00A0063B"/>
    <w:rsid w:val="00A00D09"/>
    <w:rsid w:val="00A00DD5"/>
    <w:rsid w:val="00A0107F"/>
    <w:rsid w:val="00A01B9A"/>
    <w:rsid w:val="00A02206"/>
    <w:rsid w:val="00A03FD4"/>
    <w:rsid w:val="00A040C2"/>
    <w:rsid w:val="00A04405"/>
    <w:rsid w:val="00A04456"/>
    <w:rsid w:val="00A048BC"/>
    <w:rsid w:val="00A06851"/>
    <w:rsid w:val="00A07CB6"/>
    <w:rsid w:val="00A10747"/>
    <w:rsid w:val="00A10D84"/>
    <w:rsid w:val="00A10EDE"/>
    <w:rsid w:val="00A1200B"/>
    <w:rsid w:val="00A12FA6"/>
    <w:rsid w:val="00A130D5"/>
    <w:rsid w:val="00A13436"/>
    <w:rsid w:val="00A15733"/>
    <w:rsid w:val="00A15CF2"/>
    <w:rsid w:val="00A204E3"/>
    <w:rsid w:val="00A20763"/>
    <w:rsid w:val="00A21642"/>
    <w:rsid w:val="00A224D1"/>
    <w:rsid w:val="00A22639"/>
    <w:rsid w:val="00A233FD"/>
    <w:rsid w:val="00A23640"/>
    <w:rsid w:val="00A23E5E"/>
    <w:rsid w:val="00A23FF2"/>
    <w:rsid w:val="00A248C7"/>
    <w:rsid w:val="00A24C1F"/>
    <w:rsid w:val="00A24F28"/>
    <w:rsid w:val="00A2549E"/>
    <w:rsid w:val="00A25923"/>
    <w:rsid w:val="00A261AA"/>
    <w:rsid w:val="00A265B6"/>
    <w:rsid w:val="00A26F70"/>
    <w:rsid w:val="00A27142"/>
    <w:rsid w:val="00A27609"/>
    <w:rsid w:val="00A2769C"/>
    <w:rsid w:val="00A276F8"/>
    <w:rsid w:val="00A30224"/>
    <w:rsid w:val="00A3058B"/>
    <w:rsid w:val="00A318D0"/>
    <w:rsid w:val="00A32A03"/>
    <w:rsid w:val="00A32F47"/>
    <w:rsid w:val="00A3324F"/>
    <w:rsid w:val="00A3333F"/>
    <w:rsid w:val="00A33A36"/>
    <w:rsid w:val="00A33E3A"/>
    <w:rsid w:val="00A345B1"/>
    <w:rsid w:val="00A3481A"/>
    <w:rsid w:val="00A3483F"/>
    <w:rsid w:val="00A3596B"/>
    <w:rsid w:val="00A35B41"/>
    <w:rsid w:val="00A3610D"/>
    <w:rsid w:val="00A36382"/>
    <w:rsid w:val="00A3763C"/>
    <w:rsid w:val="00A3765D"/>
    <w:rsid w:val="00A379A5"/>
    <w:rsid w:val="00A4091D"/>
    <w:rsid w:val="00A41A03"/>
    <w:rsid w:val="00A41D14"/>
    <w:rsid w:val="00A41E21"/>
    <w:rsid w:val="00A42AB7"/>
    <w:rsid w:val="00A431C0"/>
    <w:rsid w:val="00A43311"/>
    <w:rsid w:val="00A440A2"/>
    <w:rsid w:val="00A445D2"/>
    <w:rsid w:val="00A45B3B"/>
    <w:rsid w:val="00A46895"/>
    <w:rsid w:val="00A46B25"/>
    <w:rsid w:val="00A46E13"/>
    <w:rsid w:val="00A471CC"/>
    <w:rsid w:val="00A4785F"/>
    <w:rsid w:val="00A47C24"/>
    <w:rsid w:val="00A47D62"/>
    <w:rsid w:val="00A50779"/>
    <w:rsid w:val="00A508C2"/>
    <w:rsid w:val="00A50EE3"/>
    <w:rsid w:val="00A52BCA"/>
    <w:rsid w:val="00A53ECE"/>
    <w:rsid w:val="00A54021"/>
    <w:rsid w:val="00A54365"/>
    <w:rsid w:val="00A546E8"/>
    <w:rsid w:val="00A5586F"/>
    <w:rsid w:val="00A56965"/>
    <w:rsid w:val="00A56E0A"/>
    <w:rsid w:val="00A56FA7"/>
    <w:rsid w:val="00A60558"/>
    <w:rsid w:val="00A60688"/>
    <w:rsid w:val="00A63017"/>
    <w:rsid w:val="00A63BEC"/>
    <w:rsid w:val="00A65E48"/>
    <w:rsid w:val="00A66704"/>
    <w:rsid w:val="00A668A1"/>
    <w:rsid w:val="00A67927"/>
    <w:rsid w:val="00A67B76"/>
    <w:rsid w:val="00A7055E"/>
    <w:rsid w:val="00A707A3"/>
    <w:rsid w:val="00A71003"/>
    <w:rsid w:val="00A71904"/>
    <w:rsid w:val="00A71953"/>
    <w:rsid w:val="00A7338B"/>
    <w:rsid w:val="00A7342E"/>
    <w:rsid w:val="00A7421B"/>
    <w:rsid w:val="00A74867"/>
    <w:rsid w:val="00A75240"/>
    <w:rsid w:val="00A75940"/>
    <w:rsid w:val="00A7595B"/>
    <w:rsid w:val="00A75CC4"/>
    <w:rsid w:val="00A75EEE"/>
    <w:rsid w:val="00A7664B"/>
    <w:rsid w:val="00A77E93"/>
    <w:rsid w:val="00A80A4F"/>
    <w:rsid w:val="00A80E7C"/>
    <w:rsid w:val="00A81A01"/>
    <w:rsid w:val="00A81E42"/>
    <w:rsid w:val="00A82012"/>
    <w:rsid w:val="00A82253"/>
    <w:rsid w:val="00A8252D"/>
    <w:rsid w:val="00A8287A"/>
    <w:rsid w:val="00A82B4A"/>
    <w:rsid w:val="00A82E37"/>
    <w:rsid w:val="00A85A49"/>
    <w:rsid w:val="00A86452"/>
    <w:rsid w:val="00A864F4"/>
    <w:rsid w:val="00A86CFF"/>
    <w:rsid w:val="00A87971"/>
    <w:rsid w:val="00A87B03"/>
    <w:rsid w:val="00A87EA0"/>
    <w:rsid w:val="00A901E8"/>
    <w:rsid w:val="00A90A66"/>
    <w:rsid w:val="00A90A9A"/>
    <w:rsid w:val="00A90AD5"/>
    <w:rsid w:val="00A91415"/>
    <w:rsid w:val="00A91A31"/>
    <w:rsid w:val="00A9211F"/>
    <w:rsid w:val="00A92B93"/>
    <w:rsid w:val="00A92BEB"/>
    <w:rsid w:val="00A931C0"/>
    <w:rsid w:val="00A93286"/>
    <w:rsid w:val="00A95298"/>
    <w:rsid w:val="00A95B42"/>
    <w:rsid w:val="00A9731E"/>
    <w:rsid w:val="00A97EE9"/>
    <w:rsid w:val="00AA02F4"/>
    <w:rsid w:val="00AA1484"/>
    <w:rsid w:val="00AA1998"/>
    <w:rsid w:val="00AA1BF7"/>
    <w:rsid w:val="00AA210F"/>
    <w:rsid w:val="00AA22A4"/>
    <w:rsid w:val="00AA24D2"/>
    <w:rsid w:val="00AA281E"/>
    <w:rsid w:val="00AA29BB"/>
    <w:rsid w:val="00AA38C0"/>
    <w:rsid w:val="00AA39A9"/>
    <w:rsid w:val="00AA5BA1"/>
    <w:rsid w:val="00AA65D7"/>
    <w:rsid w:val="00AA75E5"/>
    <w:rsid w:val="00AB0191"/>
    <w:rsid w:val="00AB0AC9"/>
    <w:rsid w:val="00AB1060"/>
    <w:rsid w:val="00AB1181"/>
    <w:rsid w:val="00AB2425"/>
    <w:rsid w:val="00AB2656"/>
    <w:rsid w:val="00AB372B"/>
    <w:rsid w:val="00AB417A"/>
    <w:rsid w:val="00AB41EC"/>
    <w:rsid w:val="00AB478B"/>
    <w:rsid w:val="00AB5339"/>
    <w:rsid w:val="00AB55D9"/>
    <w:rsid w:val="00AB577A"/>
    <w:rsid w:val="00AB5895"/>
    <w:rsid w:val="00AB59E5"/>
    <w:rsid w:val="00AB6049"/>
    <w:rsid w:val="00AB6807"/>
    <w:rsid w:val="00AB75BF"/>
    <w:rsid w:val="00AB775D"/>
    <w:rsid w:val="00AB7B67"/>
    <w:rsid w:val="00AC0678"/>
    <w:rsid w:val="00AC1591"/>
    <w:rsid w:val="00AC1753"/>
    <w:rsid w:val="00AC20A1"/>
    <w:rsid w:val="00AC2FC8"/>
    <w:rsid w:val="00AC3689"/>
    <w:rsid w:val="00AC36BA"/>
    <w:rsid w:val="00AC3E35"/>
    <w:rsid w:val="00AC3E4A"/>
    <w:rsid w:val="00AC408E"/>
    <w:rsid w:val="00AC4266"/>
    <w:rsid w:val="00AC58CF"/>
    <w:rsid w:val="00AC5C3F"/>
    <w:rsid w:val="00AC622F"/>
    <w:rsid w:val="00AC73BE"/>
    <w:rsid w:val="00AC7DC3"/>
    <w:rsid w:val="00AD0130"/>
    <w:rsid w:val="00AD03AD"/>
    <w:rsid w:val="00AD06B4"/>
    <w:rsid w:val="00AD071F"/>
    <w:rsid w:val="00AD10FE"/>
    <w:rsid w:val="00AD1D97"/>
    <w:rsid w:val="00AD22C5"/>
    <w:rsid w:val="00AD2D87"/>
    <w:rsid w:val="00AD30E1"/>
    <w:rsid w:val="00AD3CAF"/>
    <w:rsid w:val="00AD3FEB"/>
    <w:rsid w:val="00AD4911"/>
    <w:rsid w:val="00AD4BB2"/>
    <w:rsid w:val="00AD5F20"/>
    <w:rsid w:val="00AD66BA"/>
    <w:rsid w:val="00AD6CCD"/>
    <w:rsid w:val="00AE0087"/>
    <w:rsid w:val="00AE07E0"/>
    <w:rsid w:val="00AE136D"/>
    <w:rsid w:val="00AE16FC"/>
    <w:rsid w:val="00AE1B0F"/>
    <w:rsid w:val="00AE1FE3"/>
    <w:rsid w:val="00AE3455"/>
    <w:rsid w:val="00AE35DE"/>
    <w:rsid w:val="00AE3636"/>
    <w:rsid w:val="00AE3AEA"/>
    <w:rsid w:val="00AE3BE5"/>
    <w:rsid w:val="00AE3D80"/>
    <w:rsid w:val="00AE42F4"/>
    <w:rsid w:val="00AE445E"/>
    <w:rsid w:val="00AE4A15"/>
    <w:rsid w:val="00AE4BB5"/>
    <w:rsid w:val="00AE5A1A"/>
    <w:rsid w:val="00AE5C0E"/>
    <w:rsid w:val="00AE642D"/>
    <w:rsid w:val="00AE68B4"/>
    <w:rsid w:val="00AE7012"/>
    <w:rsid w:val="00AE720E"/>
    <w:rsid w:val="00AE72C5"/>
    <w:rsid w:val="00AE79BC"/>
    <w:rsid w:val="00AF00B4"/>
    <w:rsid w:val="00AF0F95"/>
    <w:rsid w:val="00AF1A18"/>
    <w:rsid w:val="00AF1A99"/>
    <w:rsid w:val="00AF1DD4"/>
    <w:rsid w:val="00AF2C13"/>
    <w:rsid w:val="00AF3FB9"/>
    <w:rsid w:val="00AF4CC9"/>
    <w:rsid w:val="00AF4D7C"/>
    <w:rsid w:val="00AF4D87"/>
    <w:rsid w:val="00AF60A2"/>
    <w:rsid w:val="00AF68CD"/>
    <w:rsid w:val="00AF6DB5"/>
    <w:rsid w:val="00AF6F86"/>
    <w:rsid w:val="00B00100"/>
    <w:rsid w:val="00B006D0"/>
    <w:rsid w:val="00B00E2B"/>
    <w:rsid w:val="00B01348"/>
    <w:rsid w:val="00B036B1"/>
    <w:rsid w:val="00B03C5C"/>
    <w:rsid w:val="00B043C0"/>
    <w:rsid w:val="00B0460B"/>
    <w:rsid w:val="00B0506B"/>
    <w:rsid w:val="00B05DBA"/>
    <w:rsid w:val="00B06470"/>
    <w:rsid w:val="00B07817"/>
    <w:rsid w:val="00B07819"/>
    <w:rsid w:val="00B07942"/>
    <w:rsid w:val="00B07F9F"/>
    <w:rsid w:val="00B1032B"/>
    <w:rsid w:val="00B1049E"/>
    <w:rsid w:val="00B10651"/>
    <w:rsid w:val="00B116AB"/>
    <w:rsid w:val="00B11E88"/>
    <w:rsid w:val="00B151BA"/>
    <w:rsid w:val="00B16192"/>
    <w:rsid w:val="00B16263"/>
    <w:rsid w:val="00B16861"/>
    <w:rsid w:val="00B16890"/>
    <w:rsid w:val="00B168EB"/>
    <w:rsid w:val="00B17584"/>
    <w:rsid w:val="00B17B21"/>
    <w:rsid w:val="00B201E9"/>
    <w:rsid w:val="00B2022D"/>
    <w:rsid w:val="00B20286"/>
    <w:rsid w:val="00B20FE3"/>
    <w:rsid w:val="00B2145B"/>
    <w:rsid w:val="00B21489"/>
    <w:rsid w:val="00B214C6"/>
    <w:rsid w:val="00B215CB"/>
    <w:rsid w:val="00B218B4"/>
    <w:rsid w:val="00B21DE4"/>
    <w:rsid w:val="00B22289"/>
    <w:rsid w:val="00B225A2"/>
    <w:rsid w:val="00B226B3"/>
    <w:rsid w:val="00B22966"/>
    <w:rsid w:val="00B2315C"/>
    <w:rsid w:val="00B234BD"/>
    <w:rsid w:val="00B24226"/>
    <w:rsid w:val="00B25487"/>
    <w:rsid w:val="00B254E2"/>
    <w:rsid w:val="00B25CF3"/>
    <w:rsid w:val="00B26098"/>
    <w:rsid w:val="00B2693A"/>
    <w:rsid w:val="00B26A6D"/>
    <w:rsid w:val="00B26ACA"/>
    <w:rsid w:val="00B272F6"/>
    <w:rsid w:val="00B27526"/>
    <w:rsid w:val="00B2767F"/>
    <w:rsid w:val="00B27C32"/>
    <w:rsid w:val="00B3025E"/>
    <w:rsid w:val="00B31239"/>
    <w:rsid w:val="00B313C8"/>
    <w:rsid w:val="00B32672"/>
    <w:rsid w:val="00B335C1"/>
    <w:rsid w:val="00B339BE"/>
    <w:rsid w:val="00B33B57"/>
    <w:rsid w:val="00B3567A"/>
    <w:rsid w:val="00B35CA9"/>
    <w:rsid w:val="00B35FBF"/>
    <w:rsid w:val="00B3671C"/>
    <w:rsid w:val="00B37404"/>
    <w:rsid w:val="00B375C1"/>
    <w:rsid w:val="00B377DB"/>
    <w:rsid w:val="00B377E7"/>
    <w:rsid w:val="00B37BB0"/>
    <w:rsid w:val="00B37CD8"/>
    <w:rsid w:val="00B40400"/>
    <w:rsid w:val="00B406AD"/>
    <w:rsid w:val="00B410D7"/>
    <w:rsid w:val="00B41587"/>
    <w:rsid w:val="00B4158C"/>
    <w:rsid w:val="00B4230E"/>
    <w:rsid w:val="00B42379"/>
    <w:rsid w:val="00B43177"/>
    <w:rsid w:val="00B4428B"/>
    <w:rsid w:val="00B443C1"/>
    <w:rsid w:val="00B46214"/>
    <w:rsid w:val="00B4661F"/>
    <w:rsid w:val="00B4732D"/>
    <w:rsid w:val="00B47D93"/>
    <w:rsid w:val="00B50146"/>
    <w:rsid w:val="00B518A2"/>
    <w:rsid w:val="00B5298B"/>
    <w:rsid w:val="00B541AC"/>
    <w:rsid w:val="00B544E2"/>
    <w:rsid w:val="00B54B0A"/>
    <w:rsid w:val="00B55567"/>
    <w:rsid w:val="00B55854"/>
    <w:rsid w:val="00B56426"/>
    <w:rsid w:val="00B56A3C"/>
    <w:rsid w:val="00B6096C"/>
    <w:rsid w:val="00B60CD1"/>
    <w:rsid w:val="00B6139C"/>
    <w:rsid w:val="00B618AB"/>
    <w:rsid w:val="00B634A6"/>
    <w:rsid w:val="00B63C96"/>
    <w:rsid w:val="00B6403E"/>
    <w:rsid w:val="00B64689"/>
    <w:rsid w:val="00B64FDD"/>
    <w:rsid w:val="00B652E9"/>
    <w:rsid w:val="00B6539D"/>
    <w:rsid w:val="00B65FAA"/>
    <w:rsid w:val="00B6606F"/>
    <w:rsid w:val="00B6724D"/>
    <w:rsid w:val="00B70507"/>
    <w:rsid w:val="00B706FE"/>
    <w:rsid w:val="00B70C23"/>
    <w:rsid w:val="00B70F93"/>
    <w:rsid w:val="00B71333"/>
    <w:rsid w:val="00B71700"/>
    <w:rsid w:val="00B71827"/>
    <w:rsid w:val="00B72345"/>
    <w:rsid w:val="00B7285A"/>
    <w:rsid w:val="00B729FB"/>
    <w:rsid w:val="00B72D7A"/>
    <w:rsid w:val="00B732D7"/>
    <w:rsid w:val="00B73D8F"/>
    <w:rsid w:val="00B741DB"/>
    <w:rsid w:val="00B743F3"/>
    <w:rsid w:val="00B75FD7"/>
    <w:rsid w:val="00B76403"/>
    <w:rsid w:val="00B7694A"/>
    <w:rsid w:val="00B76977"/>
    <w:rsid w:val="00B76B7C"/>
    <w:rsid w:val="00B8122F"/>
    <w:rsid w:val="00B81269"/>
    <w:rsid w:val="00B815E3"/>
    <w:rsid w:val="00B81DFA"/>
    <w:rsid w:val="00B82662"/>
    <w:rsid w:val="00B82BA6"/>
    <w:rsid w:val="00B82E04"/>
    <w:rsid w:val="00B833D1"/>
    <w:rsid w:val="00B8520D"/>
    <w:rsid w:val="00B8533D"/>
    <w:rsid w:val="00B862FF"/>
    <w:rsid w:val="00B8660B"/>
    <w:rsid w:val="00B87148"/>
    <w:rsid w:val="00B873B5"/>
    <w:rsid w:val="00B876D8"/>
    <w:rsid w:val="00B87723"/>
    <w:rsid w:val="00B87E33"/>
    <w:rsid w:val="00B90804"/>
    <w:rsid w:val="00B90E13"/>
    <w:rsid w:val="00B94097"/>
    <w:rsid w:val="00B94B40"/>
    <w:rsid w:val="00B953A1"/>
    <w:rsid w:val="00B96353"/>
    <w:rsid w:val="00B97073"/>
    <w:rsid w:val="00B9795E"/>
    <w:rsid w:val="00B97A77"/>
    <w:rsid w:val="00BA0B58"/>
    <w:rsid w:val="00BA0D38"/>
    <w:rsid w:val="00BA14DF"/>
    <w:rsid w:val="00BA2983"/>
    <w:rsid w:val="00BA2B1A"/>
    <w:rsid w:val="00BA3340"/>
    <w:rsid w:val="00BA476D"/>
    <w:rsid w:val="00BA4AA3"/>
    <w:rsid w:val="00BA50C9"/>
    <w:rsid w:val="00BA5518"/>
    <w:rsid w:val="00BA5D1E"/>
    <w:rsid w:val="00BA6084"/>
    <w:rsid w:val="00BA6C2B"/>
    <w:rsid w:val="00BA74E5"/>
    <w:rsid w:val="00BB3E46"/>
    <w:rsid w:val="00BB4348"/>
    <w:rsid w:val="00BB495E"/>
    <w:rsid w:val="00BB520F"/>
    <w:rsid w:val="00BB592D"/>
    <w:rsid w:val="00BB5E94"/>
    <w:rsid w:val="00BB67BA"/>
    <w:rsid w:val="00BB6886"/>
    <w:rsid w:val="00BB6907"/>
    <w:rsid w:val="00BB7B07"/>
    <w:rsid w:val="00BB7CE3"/>
    <w:rsid w:val="00BC01CF"/>
    <w:rsid w:val="00BC0B5A"/>
    <w:rsid w:val="00BC1060"/>
    <w:rsid w:val="00BC1C69"/>
    <w:rsid w:val="00BC252F"/>
    <w:rsid w:val="00BC41E1"/>
    <w:rsid w:val="00BC48B4"/>
    <w:rsid w:val="00BC66D4"/>
    <w:rsid w:val="00BD0479"/>
    <w:rsid w:val="00BD2316"/>
    <w:rsid w:val="00BD3340"/>
    <w:rsid w:val="00BD3C39"/>
    <w:rsid w:val="00BD4CB6"/>
    <w:rsid w:val="00BD6663"/>
    <w:rsid w:val="00BD6D1F"/>
    <w:rsid w:val="00BD72AB"/>
    <w:rsid w:val="00BD7754"/>
    <w:rsid w:val="00BD77C3"/>
    <w:rsid w:val="00BD799E"/>
    <w:rsid w:val="00BE159D"/>
    <w:rsid w:val="00BE1D5B"/>
    <w:rsid w:val="00BE20B2"/>
    <w:rsid w:val="00BE2288"/>
    <w:rsid w:val="00BE2779"/>
    <w:rsid w:val="00BE2988"/>
    <w:rsid w:val="00BE298B"/>
    <w:rsid w:val="00BE34D1"/>
    <w:rsid w:val="00BE49B7"/>
    <w:rsid w:val="00BE4A7C"/>
    <w:rsid w:val="00BE5086"/>
    <w:rsid w:val="00BE5A74"/>
    <w:rsid w:val="00BE5BA8"/>
    <w:rsid w:val="00BE6962"/>
    <w:rsid w:val="00BE6AB1"/>
    <w:rsid w:val="00BE6F89"/>
    <w:rsid w:val="00BE78E9"/>
    <w:rsid w:val="00BE7967"/>
    <w:rsid w:val="00BE79B6"/>
    <w:rsid w:val="00BF07B1"/>
    <w:rsid w:val="00BF0AFA"/>
    <w:rsid w:val="00BF134A"/>
    <w:rsid w:val="00BF1F1F"/>
    <w:rsid w:val="00BF1F25"/>
    <w:rsid w:val="00BF204F"/>
    <w:rsid w:val="00BF2F26"/>
    <w:rsid w:val="00BF2F4E"/>
    <w:rsid w:val="00BF330D"/>
    <w:rsid w:val="00BF360D"/>
    <w:rsid w:val="00BF3C0E"/>
    <w:rsid w:val="00BF3D94"/>
    <w:rsid w:val="00BF3FFB"/>
    <w:rsid w:val="00BF4C2D"/>
    <w:rsid w:val="00BF5705"/>
    <w:rsid w:val="00BF5991"/>
    <w:rsid w:val="00BF5DAA"/>
    <w:rsid w:val="00BF7698"/>
    <w:rsid w:val="00C00291"/>
    <w:rsid w:val="00C012DC"/>
    <w:rsid w:val="00C01644"/>
    <w:rsid w:val="00C0204F"/>
    <w:rsid w:val="00C02B35"/>
    <w:rsid w:val="00C03451"/>
    <w:rsid w:val="00C03528"/>
    <w:rsid w:val="00C03581"/>
    <w:rsid w:val="00C03B66"/>
    <w:rsid w:val="00C04022"/>
    <w:rsid w:val="00C041D4"/>
    <w:rsid w:val="00C048EE"/>
    <w:rsid w:val="00C04D02"/>
    <w:rsid w:val="00C051CD"/>
    <w:rsid w:val="00C0669D"/>
    <w:rsid w:val="00C07364"/>
    <w:rsid w:val="00C112B0"/>
    <w:rsid w:val="00C11914"/>
    <w:rsid w:val="00C12456"/>
    <w:rsid w:val="00C127D4"/>
    <w:rsid w:val="00C12A95"/>
    <w:rsid w:val="00C12C82"/>
    <w:rsid w:val="00C12FB2"/>
    <w:rsid w:val="00C135BE"/>
    <w:rsid w:val="00C13602"/>
    <w:rsid w:val="00C13920"/>
    <w:rsid w:val="00C1398D"/>
    <w:rsid w:val="00C1483E"/>
    <w:rsid w:val="00C14932"/>
    <w:rsid w:val="00C15062"/>
    <w:rsid w:val="00C155B7"/>
    <w:rsid w:val="00C15759"/>
    <w:rsid w:val="00C157D7"/>
    <w:rsid w:val="00C20199"/>
    <w:rsid w:val="00C20608"/>
    <w:rsid w:val="00C206E9"/>
    <w:rsid w:val="00C21478"/>
    <w:rsid w:val="00C21D64"/>
    <w:rsid w:val="00C22365"/>
    <w:rsid w:val="00C22660"/>
    <w:rsid w:val="00C22CB9"/>
    <w:rsid w:val="00C23484"/>
    <w:rsid w:val="00C23992"/>
    <w:rsid w:val="00C2400F"/>
    <w:rsid w:val="00C245E6"/>
    <w:rsid w:val="00C248F1"/>
    <w:rsid w:val="00C24B5F"/>
    <w:rsid w:val="00C24F91"/>
    <w:rsid w:val="00C252FA"/>
    <w:rsid w:val="00C2539B"/>
    <w:rsid w:val="00C25597"/>
    <w:rsid w:val="00C26204"/>
    <w:rsid w:val="00C26911"/>
    <w:rsid w:val="00C2779F"/>
    <w:rsid w:val="00C27C44"/>
    <w:rsid w:val="00C27E43"/>
    <w:rsid w:val="00C30CC4"/>
    <w:rsid w:val="00C31B0E"/>
    <w:rsid w:val="00C32AE7"/>
    <w:rsid w:val="00C33A64"/>
    <w:rsid w:val="00C33B7D"/>
    <w:rsid w:val="00C3441C"/>
    <w:rsid w:val="00C344D2"/>
    <w:rsid w:val="00C3466E"/>
    <w:rsid w:val="00C34F50"/>
    <w:rsid w:val="00C34FF6"/>
    <w:rsid w:val="00C367F5"/>
    <w:rsid w:val="00C36BEA"/>
    <w:rsid w:val="00C36F81"/>
    <w:rsid w:val="00C37131"/>
    <w:rsid w:val="00C37277"/>
    <w:rsid w:val="00C37482"/>
    <w:rsid w:val="00C404B3"/>
    <w:rsid w:val="00C40B5B"/>
    <w:rsid w:val="00C4235C"/>
    <w:rsid w:val="00C4263A"/>
    <w:rsid w:val="00C426D6"/>
    <w:rsid w:val="00C426ED"/>
    <w:rsid w:val="00C42E85"/>
    <w:rsid w:val="00C430B5"/>
    <w:rsid w:val="00C4331C"/>
    <w:rsid w:val="00C43695"/>
    <w:rsid w:val="00C43CAF"/>
    <w:rsid w:val="00C4438F"/>
    <w:rsid w:val="00C44467"/>
    <w:rsid w:val="00C446B7"/>
    <w:rsid w:val="00C46704"/>
    <w:rsid w:val="00C46BCA"/>
    <w:rsid w:val="00C46F99"/>
    <w:rsid w:val="00C472D3"/>
    <w:rsid w:val="00C4730F"/>
    <w:rsid w:val="00C47425"/>
    <w:rsid w:val="00C47752"/>
    <w:rsid w:val="00C477CC"/>
    <w:rsid w:val="00C516A7"/>
    <w:rsid w:val="00C5170B"/>
    <w:rsid w:val="00C51832"/>
    <w:rsid w:val="00C51E9D"/>
    <w:rsid w:val="00C51F86"/>
    <w:rsid w:val="00C52959"/>
    <w:rsid w:val="00C52DA5"/>
    <w:rsid w:val="00C530C3"/>
    <w:rsid w:val="00C53C84"/>
    <w:rsid w:val="00C5454F"/>
    <w:rsid w:val="00C54D42"/>
    <w:rsid w:val="00C55AC0"/>
    <w:rsid w:val="00C56669"/>
    <w:rsid w:val="00C56AB8"/>
    <w:rsid w:val="00C56FDF"/>
    <w:rsid w:val="00C60BCC"/>
    <w:rsid w:val="00C6158D"/>
    <w:rsid w:val="00C61B8F"/>
    <w:rsid w:val="00C61BB4"/>
    <w:rsid w:val="00C61FCA"/>
    <w:rsid w:val="00C62014"/>
    <w:rsid w:val="00C63E0C"/>
    <w:rsid w:val="00C63F43"/>
    <w:rsid w:val="00C647C5"/>
    <w:rsid w:val="00C64821"/>
    <w:rsid w:val="00C66C56"/>
    <w:rsid w:val="00C67DF1"/>
    <w:rsid w:val="00C7016F"/>
    <w:rsid w:val="00C71A02"/>
    <w:rsid w:val="00C72332"/>
    <w:rsid w:val="00C73B47"/>
    <w:rsid w:val="00C74656"/>
    <w:rsid w:val="00C7466D"/>
    <w:rsid w:val="00C74F27"/>
    <w:rsid w:val="00C756A0"/>
    <w:rsid w:val="00C7676D"/>
    <w:rsid w:val="00C768A9"/>
    <w:rsid w:val="00C77992"/>
    <w:rsid w:val="00C8066C"/>
    <w:rsid w:val="00C80803"/>
    <w:rsid w:val="00C8080A"/>
    <w:rsid w:val="00C80C3E"/>
    <w:rsid w:val="00C81683"/>
    <w:rsid w:val="00C8299B"/>
    <w:rsid w:val="00C829DD"/>
    <w:rsid w:val="00C830F4"/>
    <w:rsid w:val="00C8332C"/>
    <w:rsid w:val="00C83849"/>
    <w:rsid w:val="00C84B30"/>
    <w:rsid w:val="00C84DCE"/>
    <w:rsid w:val="00C85861"/>
    <w:rsid w:val="00C85C2F"/>
    <w:rsid w:val="00C870A8"/>
    <w:rsid w:val="00C90604"/>
    <w:rsid w:val="00C9081C"/>
    <w:rsid w:val="00C9114C"/>
    <w:rsid w:val="00C912D1"/>
    <w:rsid w:val="00C913A7"/>
    <w:rsid w:val="00C91412"/>
    <w:rsid w:val="00C918E7"/>
    <w:rsid w:val="00C92219"/>
    <w:rsid w:val="00C92295"/>
    <w:rsid w:val="00C9301A"/>
    <w:rsid w:val="00C930EC"/>
    <w:rsid w:val="00C93450"/>
    <w:rsid w:val="00C9385E"/>
    <w:rsid w:val="00C93874"/>
    <w:rsid w:val="00C9396E"/>
    <w:rsid w:val="00C93A9D"/>
    <w:rsid w:val="00C94578"/>
    <w:rsid w:val="00C94A5D"/>
    <w:rsid w:val="00C94D72"/>
    <w:rsid w:val="00C956FA"/>
    <w:rsid w:val="00C957DD"/>
    <w:rsid w:val="00C96E5D"/>
    <w:rsid w:val="00C970EF"/>
    <w:rsid w:val="00C9745E"/>
    <w:rsid w:val="00CA0884"/>
    <w:rsid w:val="00CA1DE6"/>
    <w:rsid w:val="00CA2F85"/>
    <w:rsid w:val="00CA43FF"/>
    <w:rsid w:val="00CA4C67"/>
    <w:rsid w:val="00CA4C7E"/>
    <w:rsid w:val="00CA5C41"/>
    <w:rsid w:val="00CA5EBA"/>
    <w:rsid w:val="00CA5EE5"/>
    <w:rsid w:val="00CA7388"/>
    <w:rsid w:val="00CA7797"/>
    <w:rsid w:val="00CA7A6A"/>
    <w:rsid w:val="00CA7EAD"/>
    <w:rsid w:val="00CB0A88"/>
    <w:rsid w:val="00CB234B"/>
    <w:rsid w:val="00CB37ED"/>
    <w:rsid w:val="00CB3DC0"/>
    <w:rsid w:val="00CB3EFE"/>
    <w:rsid w:val="00CB3FF9"/>
    <w:rsid w:val="00CB4772"/>
    <w:rsid w:val="00CB50CA"/>
    <w:rsid w:val="00CB5503"/>
    <w:rsid w:val="00CB69B4"/>
    <w:rsid w:val="00CB6CF0"/>
    <w:rsid w:val="00CB7299"/>
    <w:rsid w:val="00CC0180"/>
    <w:rsid w:val="00CC0375"/>
    <w:rsid w:val="00CC09FE"/>
    <w:rsid w:val="00CC0D2F"/>
    <w:rsid w:val="00CC0D84"/>
    <w:rsid w:val="00CC0FE1"/>
    <w:rsid w:val="00CC1C74"/>
    <w:rsid w:val="00CC1FD1"/>
    <w:rsid w:val="00CC2161"/>
    <w:rsid w:val="00CC228A"/>
    <w:rsid w:val="00CC339B"/>
    <w:rsid w:val="00CC3F10"/>
    <w:rsid w:val="00CC4A29"/>
    <w:rsid w:val="00CC504F"/>
    <w:rsid w:val="00CC51E5"/>
    <w:rsid w:val="00CC5DDF"/>
    <w:rsid w:val="00CC658B"/>
    <w:rsid w:val="00CC6771"/>
    <w:rsid w:val="00CC74B8"/>
    <w:rsid w:val="00CD121F"/>
    <w:rsid w:val="00CD14CE"/>
    <w:rsid w:val="00CD15FF"/>
    <w:rsid w:val="00CD1CEA"/>
    <w:rsid w:val="00CD249B"/>
    <w:rsid w:val="00CD34C1"/>
    <w:rsid w:val="00CD403F"/>
    <w:rsid w:val="00CD43B2"/>
    <w:rsid w:val="00CD46A5"/>
    <w:rsid w:val="00CD48F0"/>
    <w:rsid w:val="00CD4B07"/>
    <w:rsid w:val="00CD5625"/>
    <w:rsid w:val="00CD5B6A"/>
    <w:rsid w:val="00CD6030"/>
    <w:rsid w:val="00CD6426"/>
    <w:rsid w:val="00CD6820"/>
    <w:rsid w:val="00CD7B55"/>
    <w:rsid w:val="00CE0127"/>
    <w:rsid w:val="00CE0788"/>
    <w:rsid w:val="00CE10FC"/>
    <w:rsid w:val="00CE25AC"/>
    <w:rsid w:val="00CE2A7F"/>
    <w:rsid w:val="00CE2CBC"/>
    <w:rsid w:val="00CE2EA2"/>
    <w:rsid w:val="00CE4865"/>
    <w:rsid w:val="00CE5E5E"/>
    <w:rsid w:val="00CE6260"/>
    <w:rsid w:val="00CE6789"/>
    <w:rsid w:val="00CE69F8"/>
    <w:rsid w:val="00CF0B72"/>
    <w:rsid w:val="00CF1567"/>
    <w:rsid w:val="00CF1D17"/>
    <w:rsid w:val="00CF2250"/>
    <w:rsid w:val="00CF2E9C"/>
    <w:rsid w:val="00CF40CF"/>
    <w:rsid w:val="00CF4F36"/>
    <w:rsid w:val="00CF58E2"/>
    <w:rsid w:val="00CF5B16"/>
    <w:rsid w:val="00CF5C78"/>
    <w:rsid w:val="00CF62BF"/>
    <w:rsid w:val="00CF7276"/>
    <w:rsid w:val="00CF7CE5"/>
    <w:rsid w:val="00D001D2"/>
    <w:rsid w:val="00D0082A"/>
    <w:rsid w:val="00D00EB8"/>
    <w:rsid w:val="00D01765"/>
    <w:rsid w:val="00D01885"/>
    <w:rsid w:val="00D01BFB"/>
    <w:rsid w:val="00D01C6F"/>
    <w:rsid w:val="00D022C9"/>
    <w:rsid w:val="00D02B7A"/>
    <w:rsid w:val="00D03F2E"/>
    <w:rsid w:val="00D04ADC"/>
    <w:rsid w:val="00D04BE3"/>
    <w:rsid w:val="00D04D2A"/>
    <w:rsid w:val="00D06733"/>
    <w:rsid w:val="00D06DF5"/>
    <w:rsid w:val="00D07345"/>
    <w:rsid w:val="00D07604"/>
    <w:rsid w:val="00D07FA7"/>
    <w:rsid w:val="00D105DA"/>
    <w:rsid w:val="00D11318"/>
    <w:rsid w:val="00D11470"/>
    <w:rsid w:val="00D11667"/>
    <w:rsid w:val="00D12D80"/>
    <w:rsid w:val="00D145A9"/>
    <w:rsid w:val="00D15E8F"/>
    <w:rsid w:val="00D161E6"/>
    <w:rsid w:val="00D17E39"/>
    <w:rsid w:val="00D205D4"/>
    <w:rsid w:val="00D20998"/>
    <w:rsid w:val="00D20C78"/>
    <w:rsid w:val="00D20D89"/>
    <w:rsid w:val="00D20E53"/>
    <w:rsid w:val="00D2106E"/>
    <w:rsid w:val="00D21677"/>
    <w:rsid w:val="00D216DA"/>
    <w:rsid w:val="00D2186A"/>
    <w:rsid w:val="00D22928"/>
    <w:rsid w:val="00D22C42"/>
    <w:rsid w:val="00D248C1"/>
    <w:rsid w:val="00D24BA0"/>
    <w:rsid w:val="00D24EF0"/>
    <w:rsid w:val="00D254D5"/>
    <w:rsid w:val="00D25E4C"/>
    <w:rsid w:val="00D2608D"/>
    <w:rsid w:val="00D316AD"/>
    <w:rsid w:val="00D31F68"/>
    <w:rsid w:val="00D32704"/>
    <w:rsid w:val="00D332FF"/>
    <w:rsid w:val="00D333E3"/>
    <w:rsid w:val="00D33B2D"/>
    <w:rsid w:val="00D34A90"/>
    <w:rsid w:val="00D34C46"/>
    <w:rsid w:val="00D36734"/>
    <w:rsid w:val="00D36C4D"/>
    <w:rsid w:val="00D371A6"/>
    <w:rsid w:val="00D37863"/>
    <w:rsid w:val="00D37DBC"/>
    <w:rsid w:val="00D41BAB"/>
    <w:rsid w:val="00D421E8"/>
    <w:rsid w:val="00D426E9"/>
    <w:rsid w:val="00D42F79"/>
    <w:rsid w:val="00D43B25"/>
    <w:rsid w:val="00D43F09"/>
    <w:rsid w:val="00D45A92"/>
    <w:rsid w:val="00D45C34"/>
    <w:rsid w:val="00D45C99"/>
    <w:rsid w:val="00D4630C"/>
    <w:rsid w:val="00D46912"/>
    <w:rsid w:val="00D46D36"/>
    <w:rsid w:val="00D4704C"/>
    <w:rsid w:val="00D479A9"/>
    <w:rsid w:val="00D47B1B"/>
    <w:rsid w:val="00D50075"/>
    <w:rsid w:val="00D503CA"/>
    <w:rsid w:val="00D50D2E"/>
    <w:rsid w:val="00D51CB1"/>
    <w:rsid w:val="00D51EAD"/>
    <w:rsid w:val="00D52756"/>
    <w:rsid w:val="00D529A3"/>
    <w:rsid w:val="00D529B7"/>
    <w:rsid w:val="00D5369C"/>
    <w:rsid w:val="00D537D8"/>
    <w:rsid w:val="00D54B5A"/>
    <w:rsid w:val="00D54D0D"/>
    <w:rsid w:val="00D55A5E"/>
    <w:rsid w:val="00D561D0"/>
    <w:rsid w:val="00D56AB7"/>
    <w:rsid w:val="00D56DA6"/>
    <w:rsid w:val="00D577A5"/>
    <w:rsid w:val="00D60160"/>
    <w:rsid w:val="00D61500"/>
    <w:rsid w:val="00D61E50"/>
    <w:rsid w:val="00D62183"/>
    <w:rsid w:val="00D62EAC"/>
    <w:rsid w:val="00D639FB"/>
    <w:rsid w:val="00D63EB8"/>
    <w:rsid w:val="00D65263"/>
    <w:rsid w:val="00D65276"/>
    <w:rsid w:val="00D65289"/>
    <w:rsid w:val="00D65675"/>
    <w:rsid w:val="00D66645"/>
    <w:rsid w:val="00D66702"/>
    <w:rsid w:val="00D667D3"/>
    <w:rsid w:val="00D721CF"/>
    <w:rsid w:val="00D72D65"/>
    <w:rsid w:val="00D73D18"/>
    <w:rsid w:val="00D7423F"/>
    <w:rsid w:val="00D749DE"/>
    <w:rsid w:val="00D74E29"/>
    <w:rsid w:val="00D74F10"/>
    <w:rsid w:val="00D75237"/>
    <w:rsid w:val="00D7565F"/>
    <w:rsid w:val="00D75A2F"/>
    <w:rsid w:val="00D76C23"/>
    <w:rsid w:val="00D773D4"/>
    <w:rsid w:val="00D778F4"/>
    <w:rsid w:val="00D804E8"/>
    <w:rsid w:val="00D8118C"/>
    <w:rsid w:val="00D81C46"/>
    <w:rsid w:val="00D8200E"/>
    <w:rsid w:val="00D82024"/>
    <w:rsid w:val="00D826A0"/>
    <w:rsid w:val="00D82797"/>
    <w:rsid w:val="00D832C9"/>
    <w:rsid w:val="00D84406"/>
    <w:rsid w:val="00D844D5"/>
    <w:rsid w:val="00D85654"/>
    <w:rsid w:val="00D872EC"/>
    <w:rsid w:val="00D874A4"/>
    <w:rsid w:val="00D911B3"/>
    <w:rsid w:val="00D91972"/>
    <w:rsid w:val="00D91A15"/>
    <w:rsid w:val="00D91B11"/>
    <w:rsid w:val="00D91B48"/>
    <w:rsid w:val="00D924F1"/>
    <w:rsid w:val="00D94591"/>
    <w:rsid w:val="00D9505E"/>
    <w:rsid w:val="00D953B6"/>
    <w:rsid w:val="00D95A49"/>
    <w:rsid w:val="00D96557"/>
    <w:rsid w:val="00D96A6A"/>
    <w:rsid w:val="00DA00EB"/>
    <w:rsid w:val="00DA2303"/>
    <w:rsid w:val="00DA2D96"/>
    <w:rsid w:val="00DA2E36"/>
    <w:rsid w:val="00DA378E"/>
    <w:rsid w:val="00DA3D00"/>
    <w:rsid w:val="00DA3EB6"/>
    <w:rsid w:val="00DA4445"/>
    <w:rsid w:val="00DA5E42"/>
    <w:rsid w:val="00DA627D"/>
    <w:rsid w:val="00DA6301"/>
    <w:rsid w:val="00DB06E3"/>
    <w:rsid w:val="00DB1CC1"/>
    <w:rsid w:val="00DB3301"/>
    <w:rsid w:val="00DB357D"/>
    <w:rsid w:val="00DB368B"/>
    <w:rsid w:val="00DB41A9"/>
    <w:rsid w:val="00DB43F1"/>
    <w:rsid w:val="00DB4431"/>
    <w:rsid w:val="00DB576D"/>
    <w:rsid w:val="00DB59AD"/>
    <w:rsid w:val="00DB5A65"/>
    <w:rsid w:val="00DB69CA"/>
    <w:rsid w:val="00DB77B3"/>
    <w:rsid w:val="00DB7920"/>
    <w:rsid w:val="00DB7B73"/>
    <w:rsid w:val="00DC0644"/>
    <w:rsid w:val="00DC1A8C"/>
    <w:rsid w:val="00DC1D41"/>
    <w:rsid w:val="00DC25FC"/>
    <w:rsid w:val="00DC298F"/>
    <w:rsid w:val="00DC2B32"/>
    <w:rsid w:val="00DC312C"/>
    <w:rsid w:val="00DC3C0D"/>
    <w:rsid w:val="00DC46A5"/>
    <w:rsid w:val="00DC46FA"/>
    <w:rsid w:val="00DC4DDD"/>
    <w:rsid w:val="00DC4E1F"/>
    <w:rsid w:val="00DC4E71"/>
    <w:rsid w:val="00DC4EA2"/>
    <w:rsid w:val="00DC53D5"/>
    <w:rsid w:val="00DC5D7D"/>
    <w:rsid w:val="00DC5DC6"/>
    <w:rsid w:val="00DC6158"/>
    <w:rsid w:val="00DC6509"/>
    <w:rsid w:val="00DC650E"/>
    <w:rsid w:val="00DC6C01"/>
    <w:rsid w:val="00DC6CF9"/>
    <w:rsid w:val="00DC7411"/>
    <w:rsid w:val="00DD0737"/>
    <w:rsid w:val="00DD1639"/>
    <w:rsid w:val="00DD1B70"/>
    <w:rsid w:val="00DD216A"/>
    <w:rsid w:val="00DD3A32"/>
    <w:rsid w:val="00DD4ADA"/>
    <w:rsid w:val="00DD4D83"/>
    <w:rsid w:val="00DD4E8E"/>
    <w:rsid w:val="00DD51C9"/>
    <w:rsid w:val="00DD5556"/>
    <w:rsid w:val="00DD576A"/>
    <w:rsid w:val="00DD5BD6"/>
    <w:rsid w:val="00DD670C"/>
    <w:rsid w:val="00DD7006"/>
    <w:rsid w:val="00DD7B0F"/>
    <w:rsid w:val="00DD7B43"/>
    <w:rsid w:val="00DD7DE6"/>
    <w:rsid w:val="00DD7E24"/>
    <w:rsid w:val="00DE0392"/>
    <w:rsid w:val="00DE0A7F"/>
    <w:rsid w:val="00DE1468"/>
    <w:rsid w:val="00DE1F43"/>
    <w:rsid w:val="00DE3010"/>
    <w:rsid w:val="00DE36E7"/>
    <w:rsid w:val="00DE3C71"/>
    <w:rsid w:val="00DE44C4"/>
    <w:rsid w:val="00DE4A99"/>
    <w:rsid w:val="00DE4E28"/>
    <w:rsid w:val="00DE5582"/>
    <w:rsid w:val="00DE569E"/>
    <w:rsid w:val="00DE599C"/>
    <w:rsid w:val="00DE657F"/>
    <w:rsid w:val="00DE777F"/>
    <w:rsid w:val="00DE7D17"/>
    <w:rsid w:val="00DF0F62"/>
    <w:rsid w:val="00DF1056"/>
    <w:rsid w:val="00DF146C"/>
    <w:rsid w:val="00DF1E6C"/>
    <w:rsid w:val="00DF2B00"/>
    <w:rsid w:val="00DF40F2"/>
    <w:rsid w:val="00DF46CA"/>
    <w:rsid w:val="00DF53DF"/>
    <w:rsid w:val="00DF5840"/>
    <w:rsid w:val="00DF61AC"/>
    <w:rsid w:val="00DF6AF2"/>
    <w:rsid w:val="00DF7221"/>
    <w:rsid w:val="00DF7E26"/>
    <w:rsid w:val="00DF7F52"/>
    <w:rsid w:val="00E00164"/>
    <w:rsid w:val="00E00300"/>
    <w:rsid w:val="00E01E09"/>
    <w:rsid w:val="00E01F48"/>
    <w:rsid w:val="00E021A9"/>
    <w:rsid w:val="00E03FB7"/>
    <w:rsid w:val="00E041CE"/>
    <w:rsid w:val="00E052F9"/>
    <w:rsid w:val="00E068D8"/>
    <w:rsid w:val="00E06B41"/>
    <w:rsid w:val="00E06BCC"/>
    <w:rsid w:val="00E06E5C"/>
    <w:rsid w:val="00E06F03"/>
    <w:rsid w:val="00E07B7E"/>
    <w:rsid w:val="00E10316"/>
    <w:rsid w:val="00E105D6"/>
    <w:rsid w:val="00E1091B"/>
    <w:rsid w:val="00E14216"/>
    <w:rsid w:val="00E143BF"/>
    <w:rsid w:val="00E1489C"/>
    <w:rsid w:val="00E16526"/>
    <w:rsid w:val="00E1659A"/>
    <w:rsid w:val="00E165EF"/>
    <w:rsid w:val="00E16F31"/>
    <w:rsid w:val="00E1797C"/>
    <w:rsid w:val="00E2005A"/>
    <w:rsid w:val="00E20BBE"/>
    <w:rsid w:val="00E20C8A"/>
    <w:rsid w:val="00E22DDA"/>
    <w:rsid w:val="00E230D4"/>
    <w:rsid w:val="00E23873"/>
    <w:rsid w:val="00E239C8"/>
    <w:rsid w:val="00E23DEB"/>
    <w:rsid w:val="00E23E4B"/>
    <w:rsid w:val="00E24C20"/>
    <w:rsid w:val="00E25063"/>
    <w:rsid w:val="00E25393"/>
    <w:rsid w:val="00E2567C"/>
    <w:rsid w:val="00E25E7C"/>
    <w:rsid w:val="00E25F6A"/>
    <w:rsid w:val="00E26761"/>
    <w:rsid w:val="00E26D41"/>
    <w:rsid w:val="00E274D1"/>
    <w:rsid w:val="00E27FD2"/>
    <w:rsid w:val="00E30E7B"/>
    <w:rsid w:val="00E30FD5"/>
    <w:rsid w:val="00E31DA9"/>
    <w:rsid w:val="00E327B1"/>
    <w:rsid w:val="00E32F6A"/>
    <w:rsid w:val="00E330D8"/>
    <w:rsid w:val="00E3321D"/>
    <w:rsid w:val="00E33328"/>
    <w:rsid w:val="00E33A85"/>
    <w:rsid w:val="00E33F4E"/>
    <w:rsid w:val="00E36FA9"/>
    <w:rsid w:val="00E37A8C"/>
    <w:rsid w:val="00E40108"/>
    <w:rsid w:val="00E405B4"/>
    <w:rsid w:val="00E437C9"/>
    <w:rsid w:val="00E43EDE"/>
    <w:rsid w:val="00E442C4"/>
    <w:rsid w:val="00E456F8"/>
    <w:rsid w:val="00E46232"/>
    <w:rsid w:val="00E46879"/>
    <w:rsid w:val="00E469B9"/>
    <w:rsid w:val="00E519BE"/>
    <w:rsid w:val="00E51CC9"/>
    <w:rsid w:val="00E51EFA"/>
    <w:rsid w:val="00E52A58"/>
    <w:rsid w:val="00E5319C"/>
    <w:rsid w:val="00E53D34"/>
    <w:rsid w:val="00E53E0D"/>
    <w:rsid w:val="00E540B1"/>
    <w:rsid w:val="00E5486E"/>
    <w:rsid w:val="00E556DB"/>
    <w:rsid w:val="00E5739B"/>
    <w:rsid w:val="00E57927"/>
    <w:rsid w:val="00E60E9D"/>
    <w:rsid w:val="00E62143"/>
    <w:rsid w:val="00E631CA"/>
    <w:rsid w:val="00E6362D"/>
    <w:rsid w:val="00E6485D"/>
    <w:rsid w:val="00E64C93"/>
    <w:rsid w:val="00E64C96"/>
    <w:rsid w:val="00E65129"/>
    <w:rsid w:val="00E6550A"/>
    <w:rsid w:val="00E65878"/>
    <w:rsid w:val="00E6789C"/>
    <w:rsid w:val="00E7078C"/>
    <w:rsid w:val="00E70F29"/>
    <w:rsid w:val="00E712FB"/>
    <w:rsid w:val="00E7163E"/>
    <w:rsid w:val="00E716CE"/>
    <w:rsid w:val="00E71B05"/>
    <w:rsid w:val="00E71CBB"/>
    <w:rsid w:val="00E73D7B"/>
    <w:rsid w:val="00E73D92"/>
    <w:rsid w:val="00E73DDA"/>
    <w:rsid w:val="00E746E4"/>
    <w:rsid w:val="00E74844"/>
    <w:rsid w:val="00E75053"/>
    <w:rsid w:val="00E751DC"/>
    <w:rsid w:val="00E758E9"/>
    <w:rsid w:val="00E767E4"/>
    <w:rsid w:val="00E76A44"/>
    <w:rsid w:val="00E77D14"/>
    <w:rsid w:val="00E77DCE"/>
    <w:rsid w:val="00E77E39"/>
    <w:rsid w:val="00E80164"/>
    <w:rsid w:val="00E8110D"/>
    <w:rsid w:val="00E813A4"/>
    <w:rsid w:val="00E82822"/>
    <w:rsid w:val="00E829AA"/>
    <w:rsid w:val="00E835D2"/>
    <w:rsid w:val="00E847F9"/>
    <w:rsid w:val="00E848C1"/>
    <w:rsid w:val="00E84ED8"/>
    <w:rsid w:val="00E84F07"/>
    <w:rsid w:val="00E85A3D"/>
    <w:rsid w:val="00E86C61"/>
    <w:rsid w:val="00E87B8A"/>
    <w:rsid w:val="00E900AF"/>
    <w:rsid w:val="00E900E2"/>
    <w:rsid w:val="00E90B1D"/>
    <w:rsid w:val="00E90CD1"/>
    <w:rsid w:val="00E90E0C"/>
    <w:rsid w:val="00E90F9F"/>
    <w:rsid w:val="00E91D33"/>
    <w:rsid w:val="00E92B70"/>
    <w:rsid w:val="00E93DA3"/>
    <w:rsid w:val="00E94B10"/>
    <w:rsid w:val="00E94D02"/>
    <w:rsid w:val="00E95308"/>
    <w:rsid w:val="00E95786"/>
    <w:rsid w:val="00E958C9"/>
    <w:rsid w:val="00E97627"/>
    <w:rsid w:val="00E97D9F"/>
    <w:rsid w:val="00EA085F"/>
    <w:rsid w:val="00EA323B"/>
    <w:rsid w:val="00EA35A2"/>
    <w:rsid w:val="00EA39D3"/>
    <w:rsid w:val="00EA4C02"/>
    <w:rsid w:val="00EA5011"/>
    <w:rsid w:val="00EA5428"/>
    <w:rsid w:val="00EA5627"/>
    <w:rsid w:val="00EA5824"/>
    <w:rsid w:val="00EA5B10"/>
    <w:rsid w:val="00EA5B14"/>
    <w:rsid w:val="00EA5B18"/>
    <w:rsid w:val="00EA5C8B"/>
    <w:rsid w:val="00EA622D"/>
    <w:rsid w:val="00EA66CF"/>
    <w:rsid w:val="00EA68CD"/>
    <w:rsid w:val="00EA6E45"/>
    <w:rsid w:val="00EA772D"/>
    <w:rsid w:val="00EB075A"/>
    <w:rsid w:val="00EB0D9D"/>
    <w:rsid w:val="00EB1BC6"/>
    <w:rsid w:val="00EB236E"/>
    <w:rsid w:val="00EB2450"/>
    <w:rsid w:val="00EB3033"/>
    <w:rsid w:val="00EB354F"/>
    <w:rsid w:val="00EB4966"/>
    <w:rsid w:val="00EB4FB7"/>
    <w:rsid w:val="00EB55E1"/>
    <w:rsid w:val="00EB58A2"/>
    <w:rsid w:val="00EB5997"/>
    <w:rsid w:val="00EB6DD2"/>
    <w:rsid w:val="00EB7889"/>
    <w:rsid w:val="00EB7B3A"/>
    <w:rsid w:val="00EB7E90"/>
    <w:rsid w:val="00EC08B8"/>
    <w:rsid w:val="00EC10FF"/>
    <w:rsid w:val="00EC2539"/>
    <w:rsid w:val="00EC25A5"/>
    <w:rsid w:val="00EC2682"/>
    <w:rsid w:val="00EC2E8E"/>
    <w:rsid w:val="00EC4426"/>
    <w:rsid w:val="00EC483D"/>
    <w:rsid w:val="00EC5717"/>
    <w:rsid w:val="00EC5FAF"/>
    <w:rsid w:val="00EC618B"/>
    <w:rsid w:val="00EC6DC4"/>
    <w:rsid w:val="00EC6EE8"/>
    <w:rsid w:val="00EC7F88"/>
    <w:rsid w:val="00ED1083"/>
    <w:rsid w:val="00ED24BD"/>
    <w:rsid w:val="00ED266D"/>
    <w:rsid w:val="00ED2D3C"/>
    <w:rsid w:val="00ED3165"/>
    <w:rsid w:val="00ED3679"/>
    <w:rsid w:val="00ED48B9"/>
    <w:rsid w:val="00ED4CB9"/>
    <w:rsid w:val="00ED4EFD"/>
    <w:rsid w:val="00ED5749"/>
    <w:rsid w:val="00ED599E"/>
    <w:rsid w:val="00ED5B3B"/>
    <w:rsid w:val="00ED5C83"/>
    <w:rsid w:val="00ED5D67"/>
    <w:rsid w:val="00ED6778"/>
    <w:rsid w:val="00ED6937"/>
    <w:rsid w:val="00ED7ABB"/>
    <w:rsid w:val="00EE0022"/>
    <w:rsid w:val="00EE07A3"/>
    <w:rsid w:val="00EE25B2"/>
    <w:rsid w:val="00EE2D83"/>
    <w:rsid w:val="00EE2F57"/>
    <w:rsid w:val="00EE3733"/>
    <w:rsid w:val="00EE38A7"/>
    <w:rsid w:val="00EE39EF"/>
    <w:rsid w:val="00EE571D"/>
    <w:rsid w:val="00EE5BF0"/>
    <w:rsid w:val="00EE6D71"/>
    <w:rsid w:val="00EE70F8"/>
    <w:rsid w:val="00EE7487"/>
    <w:rsid w:val="00EF010E"/>
    <w:rsid w:val="00EF1026"/>
    <w:rsid w:val="00EF1E59"/>
    <w:rsid w:val="00EF233E"/>
    <w:rsid w:val="00EF28DE"/>
    <w:rsid w:val="00EF2CAD"/>
    <w:rsid w:val="00EF305E"/>
    <w:rsid w:val="00EF3E3F"/>
    <w:rsid w:val="00EF41DD"/>
    <w:rsid w:val="00EF493D"/>
    <w:rsid w:val="00EF5079"/>
    <w:rsid w:val="00EF513E"/>
    <w:rsid w:val="00EF5624"/>
    <w:rsid w:val="00EF57C6"/>
    <w:rsid w:val="00EF60A8"/>
    <w:rsid w:val="00EF753B"/>
    <w:rsid w:val="00EF7702"/>
    <w:rsid w:val="00F007A7"/>
    <w:rsid w:val="00F0087E"/>
    <w:rsid w:val="00F00D00"/>
    <w:rsid w:val="00F0113D"/>
    <w:rsid w:val="00F0140C"/>
    <w:rsid w:val="00F01CDD"/>
    <w:rsid w:val="00F03C01"/>
    <w:rsid w:val="00F04C84"/>
    <w:rsid w:val="00F057D4"/>
    <w:rsid w:val="00F06050"/>
    <w:rsid w:val="00F06499"/>
    <w:rsid w:val="00F067EB"/>
    <w:rsid w:val="00F10EFD"/>
    <w:rsid w:val="00F111FB"/>
    <w:rsid w:val="00F113DF"/>
    <w:rsid w:val="00F11572"/>
    <w:rsid w:val="00F11E92"/>
    <w:rsid w:val="00F11F84"/>
    <w:rsid w:val="00F1387E"/>
    <w:rsid w:val="00F13880"/>
    <w:rsid w:val="00F13F30"/>
    <w:rsid w:val="00F1419B"/>
    <w:rsid w:val="00F1434F"/>
    <w:rsid w:val="00F1531B"/>
    <w:rsid w:val="00F157C2"/>
    <w:rsid w:val="00F1589B"/>
    <w:rsid w:val="00F1670F"/>
    <w:rsid w:val="00F2071E"/>
    <w:rsid w:val="00F20CDB"/>
    <w:rsid w:val="00F20EB6"/>
    <w:rsid w:val="00F20F3A"/>
    <w:rsid w:val="00F20F4E"/>
    <w:rsid w:val="00F2206A"/>
    <w:rsid w:val="00F22ED7"/>
    <w:rsid w:val="00F234C5"/>
    <w:rsid w:val="00F23BF8"/>
    <w:rsid w:val="00F24080"/>
    <w:rsid w:val="00F2457C"/>
    <w:rsid w:val="00F24823"/>
    <w:rsid w:val="00F256C0"/>
    <w:rsid w:val="00F25771"/>
    <w:rsid w:val="00F25A58"/>
    <w:rsid w:val="00F25E48"/>
    <w:rsid w:val="00F25EAF"/>
    <w:rsid w:val="00F2646C"/>
    <w:rsid w:val="00F27A5C"/>
    <w:rsid w:val="00F30446"/>
    <w:rsid w:val="00F31658"/>
    <w:rsid w:val="00F320A2"/>
    <w:rsid w:val="00F328D9"/>
    <w:rsid w:val="00F32EC5"/>
    <w:rsid w:val="00F3354D"/>
    <w:rsid w:val="00F337BD"/>
    <w:rsid w:val="00F339BF"/>
    <w:rsid w:val="00F34607"/>
    <w:rsid w:val="00F3479D"/>
    <w:rsid w:val="00F34EFF"/>
    <w:rsid w:val="00F3523C"/>
    <w:rsid w:val="00F35328"/>
    <w:rsid w:val="00F358BD"/>
    <w:rsid w:val="00F35A40"/>
    <w:rsid w:val="00F36CA9"/>
    <w:rsid w:val="00F36D20"/>
    <w:rsid w:val="00F37BF3"/>
    <w:rsid w:val="00F4034E"/>
    <w:rsid w:val="00F4094D"/>
    <w:rsid w:val="00F416B7"/>
    <w:rsid w:val="00F423FA"/>
    <w:rsid w:val="00F424DF"/>
    <w:rsid w:val="00F42FB9"/>
    <w:rsid w:val="00F44701"/>
    <w:rsid w:val="00F44A87"/>
    <w:rsid w:val="00F45676"/>
    <w:rsid w:val="00F45C94"/>
    <w:rsid w:val="00F47013"/>
    <w:rsid w:val="00F47298"/>
    <w:rsid w:val="00F50F5B"/>
    <w:rsid w:val="00F52117"/>
    <w:rsid w:val="00F53ABE"/>
    <w:rsid w:val="00F54213"/>
    <w:rsid w:val="00F550BA"/>
    <w:rsid w:val="00F55288"/>
    <w:rsid w:val="00F556EF"/>
    <w:rsid w:val="00F55C68"/>
    <w:rsid w:val="00F55C6A"/>
    <w:rsid w:val="00F6028D"/>
    <w:rsid w:val="00F60E1C"/>
    <w:rsid w:val="00F60E8C"/>
    <w:rsid w:val="00F62D92"/>
    <w:rsid w:val="00F63798"/>
    <w:rsid w:val="00F64EF3"/>
    <w:rsid w:val="00F650BD"/>
    <w:rsid w:val="00F656BD"/>
    <w:rsid w:val="00F65D7D"/>
    <w:rsid w:val="00F66067"/>
    <w:rsid w:val="00F6643F"/>
    <w:rsid w:val="00F66C6A"/>
    <w:rsid w:val="00F671D6"/>
    <w:rsid w:val="00F674D0"/>
    <w:rsid w:val="00F70DC8"/>
    <w:rsid w:val="00F73535"/>
    <w:rsid w:val="00F73ED8"/>
    <w:rsid w:val="00F743F7"/>
    <w:rsid w:val="00F74466"/>
    <w:rsid w:val="00F75093"/>
    <w:rsid w:val="00F75839"/>
    <w:rsid w:val="00F77459"/>
    <w:rsid w:val="00F776DA"/>
    <w:rsid w:val="00F77B6A"/>
    <w:rsid w:val="00F77C36"/>
    <w:rsid w:val="00F80C26"/>
    <w:rsid w:val="00F80F6B"/>
    <w:rsid w:val="00F814F6"/>
    <w:rsid w:val="00F8282E"/>
    <w:rsid w:val="00F83004"/>
    <w:rsid w:val="00F83153"/>
    <w:rsid w:val="00F83344"/>
    <w:rsid w:val="00F84441"/>
    <w:rsid w:val="00F85B93"/>
    <w:rsid w:val="00F8604D"/>
    <w:rsid w:val="00F86717"/>
    <w:rsid w:val="00F86874"/>
    <w:rsid w:val="00F86BB5"/>
    <w:rsid w:val="00F877CB"/>
    <w:rsid w:val="00F90657"/>
    <w:rsid w:val="00F90994"/>
    <w:rsid w:val="00F90B60"/>
    <w:rsid w:val="00F91684"/>
    <w:rsid w:val="00F93B8B"/>
    <w:rsid w:val="00F94F93"/>
    <w:rsid w:val="00F955EA"/>
    <w:rsid w:val="00F9574A"/>
    <w:rsid w:val="00F957EC"/>
    <w:rsid w:val="00F95BF6"/>
    <w:rsid w:val="00F9609C"/>
    <w:rsid w:val="00F96345"/>
    <w:rsid w:val="00F96C5B"/>
    <w:rsid w:val="00FA0890"/>
    <w:rsid w:val="00FA1E8F"/>
    <w:rsid w:val="00FA2253"/>
    <w:rsid w:val="00FA2E6B"/>
    <w:rsid w:val="00FA35F9"/>
    <w:rsid w:val="00FA4564"/>
    <w:rsid w:val="00FA4CEB"/>
    <w:rsid w:val="00FA5262"/>
    <w:rsid w:val="00FA5B2D"/>
    <w:rsid w:val="00FA5E76"/>
    <w:rsid w:val="00FA6763"/>
    <w:rsid w:val="00FA6DBE"/>
    <w:rsid w:val="00FA7487"/>
    <w:rsid w:val="00FA79D5"/>
    <w:rsid w:val="00FB0905"/>
    <w:rsid w:val="00FB0A9E"/>
    <w:rsid w:val="00FB0B96"/>
    <w:rsid w:val="00FB0D6C"/>
    <w:rsid w:val="00FB0F69"/>
    <w:rsid w:val="00FB185B"/>
    <w:rsid w:val="00FB48F0"/>
    <w:rsid w:val="00FB546F"/>
    <w:rsid w:val="00FB54A3"/>
    <w:rsid w:val="00FB6522"/>
    <w:rsid w:val="00FB776D"/>
    <w:rsid w:val="00FB79E6"/>
    <w:rsid w:val="00FC035F"/>
    <w:rsid w:val="00FC0AF1"/>
    <w:rsid w:val="00FC282B"/>
    <w:rsid w:val="00FC2D6F"/>
    <w:rsid w:val="00FC322F"/>
    <w:rsid w:val="00FC3382"/>
    <w:rsid w:val="00FC3660"/>
    <w:rsid w:val="00FC3672"/>
    <w:rsid w:val="00FC3A22"/>
    <w:rsid w:val="00FC3FE1"/>
    <w:rsid w:val="00FC4BA4"/>
    <w:rsid w:val="00FC5EDA"/>
    <w:rsid w:val="00FC6DF7"/>
    <w:rsid w:val="00FC7CD2"/>
    <w:rsid w:val="00FC7F9D"/>
    <w:rsid w:val="00FD0192"/>
    <w:rsid w:val="00FD16BD"/>
    <w:rsid w:val="00FD19AE"/>
    <w:rsid w:val="00FD3512"/>
    <w:rsid w:val="00FD364D"/>
    <w:rsid w:val="00FD3AB2"/>
    <w:rsid w:val="00FD3B81"/>
    <w:rsid w:val="00FD4E71"/>
    <w:rsid w:val="00FD5BA7"/>
    <w:rsid w:val="00FD6080"/>
    <w:rsid w:val="00FD6FC4"/>
    <w:rsid w:val="00FD74E3"/>
    <w:rsid w:val="00FD76E0"/>
    <w:rsid w:val="00FD78AF"/>
    <w:rsid w:val="00FE059A"/>
    <w:rsid w:val="00FE0FBF"/>
    <w:rsid w:val="00FE14A9"/>
    <w:rsid w:val="00FE1C21"/>
    <w:rsid w:val="00FE2071"/>
    <w:rsid w:val="00FE26D8"/>
    <w:rsid w:val="00FE3FF3"/>
    <w:rsid w:val="00FE4A3C"/>
    <w:rsid w:val="00FE548A"/>
    <w:rsid w:val="00FE579A"/>
    <w:rsid w:val="00FE64E5"/>
    <w:rsid w:val="00FE658A"/>
    <w:rsid w:val="00FE66CC"/>
    <w:rsid w:val="00FE680D"/>
    <w:rsid w:val="00FE74A3"/>
    <w:rsid w:val="00FE75B2"/>
    <w:rsid w:val="00FE7924"/>
    <w:rsid w:val="00FF022A"/>
    <w:rsid w:val="00FF0514"/>
    <w:rsid w:val="00FF128A"/>
    <w:rsid w:val="00FF1500"/>
    <w:rsid w:val="00FF1565"/>
    <w:rsid w:val="00FF16AE"/>
    <w:rsid w:val="00FF2FDF"/>
    <w:rsid w:val="00FF348A"/>
    <w:rsid w:val="00FF3A11"/>
    <w:rsid w:val="00FF3AEF"/>
    <w:rsid w:val="00FF3E70"/>
    <w:rsid w:val="00FF4320"/>
    <w:rsid w:val="00FF442F"/>
    <w:rsid w:val="00FF567B"/>
    <w:rsid w:val="00FF62A6"/>
    <w:rsid w:val="00FF7333"/>
    <w:rsid w:val="00FF75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D1C19E"/>
  <w14:defaultImageDpi w14:val="32767"/>
  <w15:docId w15:val="{254518AF-D37D-405C-93EC-DC56F6F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0B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D1C"/>
    <w:pPr>
      <w:ind w:left="720"/>
      <w:contextualSpacing/>
    </w:pPr>
    <w:rPr>
      <w:rFonts w:asciiTheme="minorHAnsi" w:eastAsiaTheme="minorHAnsi" w:hAnsiTheme="minorHAnsi" w:cstheme="minorBidi"/>
      <w:lang w:val="en-US"/>
    </w:rPr>
  </w:style>
  <w:style w:type="paragraph" w:customStyle="1" w:styleId="SingleTxtG">
    <w:name w:val="_ Single Txt_G"/>
    <w:basedOn w:val="Normal"/>
    <w:link w:val="SingleTxtGChar"/>
    <w:rsid w:val="00FE4A3C"/>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locked/>
    <w:rsid w:val="00FE4A3C"/>
    <w:rPr>
      <w:rFonts w:ascii="Times New Roman" w:eastAsia="Times New Roman" w:hAnsi="Times New Roman" w:cs="Times New Roman"/>
      <w:sz w:val="20"/>
      <w:szCs w:val="20"/>
      <w:lang w:val="x-none"/>
    </w:rPr>
  </w:style>
  <w:style w:type="paragraph" w:customStyle="1" w:styleId="HChG">
    <w:name w:val="_ H _Ch_G"/>
    <w:basedOn w:val="Normal"/>
    <w:next w:val="Normal"/>
    <w:rsid w:val="002E6CC5"/>
    <w:pPr>
      <w:keepNext/>
      <w:keepLines/>
      <w:tabs>
        <w:tab w:val="right" w:pos="851"/>
      </w:tabs>
      <w:suppressAutoHyphens/>
      <w:spacing w:before="360" w:after="240" w:line="300" w:lineRule="exact"/>
      <w:ind w:left="1134" w:right="1134" w:hanging="1134"/>
    </w:pPr>
    <w:rPr>
      <w:b/>
      <w:sz w:val="28"/>
      <w:szCs w:val="20"/>
    </w:rPr>
  </w:style>
  <w:style w:type="character" w:styleId="FootnoteReference">
    <w:name w:val="footnote reference"/>
    <w:aliases w:val="4_G"/>
    <w:rsid w:val="002E6CC5"/>
    <w:rPr>
      <w:rFonts w:ascii="Times New Roman" w:hAnsi="Times New Roman"/>
      <w:sz w:val="18"/>
      <w:vertAlign w:val="superscript"/>
    </w:rPr>
  </w:style>
  <w:style w:type="paragraph" w:styleId="FootnoteText">
    <w:name w:val="footnote text"/>
    <w:aliases w:val="5_G"/>
    <w:basedOn w:val="Normal"/>
    <w:link w:val="FootnoteTextChar"/>
    <w:rsid w:val="002E6CC5"/>
    <w:pPr>
      <w:tabs>
        <w:tab w:val="right" w:pos="1021"/>
      </w:tabs>
      <w:suppressAutoHyphens/>
      <w:spacing w:line="220" w:lineRule="exact"/>
      <w:ind w:left="1134" w:right="1134" w:hanging="1134"/>
    </w:pPr>
    <w:rPr>
      <w:sz w:val="18"/>
      <w:szCs w:val="20"/>
      <w:lang w:val="x-none"/>
    </w:rPr>
  </w:style>
  <w:style w:type="character" w:customStyle="1" w:styleId="FootnoteTextChar">
    <w:name w:val="Footnote Text Char"/>
    <w:aliases w:val="5_G Char"/>
    <w:basedOn w:val="DefaultParagraphFont"/>
    <w:link w:val="FootnoteText"/>
    <w:rsid w:val="002E6CC5"/>
    <w:rPr>
      <w:rFonts w:ascii="Times New Roman" w:eastAsia="Times New Roman" w:hAnsi="Times New Roman" w:cs="Times New Roman"/>
      <w:sz w:val="18"/>
      <w:szCs w:val="20"/>
      <w:lang w:val="x-none"/>
    </w:rPr>
  </w:style>
  <w:style w:type="paragraph" w:customStyle="1" w:styleId="H1G">
    <w:name w:val="_ H_1_G"/>
    <w:basedOn w:val="Normal"/>
    <w:next w:val="Normal"/>
    <w:rsid w:val="002E6CC5"/>
    <w:pPr>
      <w:keepNext/>
      <w:keepLines/>
      <w:tabs>
        <w:tab w:val="right" w:pos="851"/>
      </w:tabs>
      <w:suppressAutoHyphens/>
      <w:spacing w:before="360" w:after="240" w:line="270" w:lineRule="exact"/>
      <w:ind w:left="1134" w:right="1134" w:hanging="1134"/>
    </w:pPr>
    <w:rPr>
      <w:b/>
      <w:szCs w:val="20"/>
    </w:rPr>
  </w:style>
  <w:style w:type="character" w:styleId="CommentReference">
    <w:name w:val="annotation reference"/>
    <w:basedOn w:val="DefaultParagraphFont"/>
    <w:uiPriority w:val="99"/>
    <w:semiHidden/>
    <w:unhideWhenUsed/>
    <w:rsid w:val="006F1A31"/>
    <w:rPr>
      <w:sz w:val="18"/>
      <w:szCs w:val="18"/>
    </w:rPr>
  </w:style>
  <w:style w:type="paragraph" w:styleId="CommentText">
    <w:name w:val="annotation text"/>
    <w:basedOn w:val="Normal"/>
    <w:link w:val="CommentTextChar"/>
    <w:uiPriority w:val="99"/>
    <w:unhideWhenUsed/>
    <w:rsid w:val="006F1A31"/>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6F1A31"/>
  </w:style>
  <w:style w:type="paragraph" w:styleId="CommentSubject">
    <w:name w:val="annotation subject"/>
    <w:basedOn w:val="CommentText"/>
    <w:next w:val="CommentText"/>
    <w:link w:val="CommentSubjectChar"/>
    <w:uiPriority w:val="99"/>
    <w:semiHidden/>
    <w:unhideWhenUsed/>
    <w:rsid w:val="006F1A31"/>
    <w:rPr>
      <w:b/>
      <w:bCs/>
      <w:sz w:val="20"/>
      <w:szCs w:val="20"/>
    </w:rPr>
  </w:style>
  <w:style w:type="character" w:customStyle="1" w:styleId="CommentSubjectChar">
    <w:name w:val="Comment Subject Char"/>
    <w:basedOn w:val="CommentTextChar"/>
    <w:link w:val="CommentSubject"/>
    <w:uiPriority w:val="99"/>
    <w:semiHidden/>
    <w:rsid w:val="006F1A31"/>
    <w:rPr>
      <w:b/>
      <w:bCs/>
      <w:sz w:val="20"/>
      <w:szCs w:val="20"/>
    </w:rPr>
  </w:style>
  <w:style w:type="paragraph" w:styleId="BalloonText">
    <w:name w:val="Balloon Text"/>
    <w:basedOn w:val="Normal"/>
    <w:link w:val="BalloonTextChar"/>
    <w:uiPriority w:val="99"/>
    <w:semiHidden/>
    <w:unhideWhenUsed/>
    <w:rsid w:val="006F1A31"/>
    <w:rPr>
      <w:rFonts w:eastAsiaTheme="minorHAnsi"/>
      <w:sz w:val="18"/>
      <w:szCs w:val="18"/>
      <w:lang w:val="en-US"/>
    </w:rPr>
  </w:style>
  <w:style w:type="character" w:customStyle="1" w:styleId="BalloonTextChar">
    <w:name w:val="Balloon Text Char"/>
    <w:basedOn w:val="DefaultParagraphFont"/>
    <w:link w:val="BalloonText"/>
    <w:uiPriority w:val="99"/>
    <w:semiHidden/>
    <w:rsid w:val="006F1A31"/>
    <w:rPr>
      <w:rFonts w:ascii="Times New Roman" w:hAnsi="Times New Roman" w:cs="Times New Roman"/>
      <w:sz w:val="18"/>
      <w:szCs w:val="18"/>
    </w:rPr>
  </w:style>
  <w:style w:type="paragraph" w:styleId="Header">
    <w:name w:val="header"/>
    <w:aliases w:val="6_G"/>
    <w:basedOn w:val="Normal"/>
    <w:link w:val="HeaderChar"/>
    <w:rsid w:val="0095203B"/>
    <w:pPr>
      <w:pBdr>
        <w:bottom w:val="single" w:sz="4" w:space="4" w:color="auto"/>
      </w:pBdr>
      <w:suppressAutoHyphens/>
    </w:pPr>
    <w:rPr>
      <w:b/>
      <w:sz w:val="18"/>
      <w:szCs w:val="20"/>
    </w:rPr>
  </w:style>
  <w:style w:type="character" w:customStyle="1" w:styleId="HeaderChar">
    <w:name w:val="Header Char"/>
    <w:aliases w:val="6_G Char"/>
    <w:basedOn w:val="DefaultParagraphFont"/>
    <w:link w:val="Header"/>
    <w:rsid w:val="0095203B"/>
    <w:rPr>
      <w:rFonts w:ascii="Times New Roman" w:eastAsia="Times New Roman" w:hAnsi="Times New Roman" w:cs="Times New Roman"/>
      <w:b/>
      <w:sz w:val="18"/>
      <w:szCs w:val="20"/>
      <w:lang w:val="en-GB"/>
    </w:rPr>
  </w:style>
  <w:style w:type="paragraph" w:styleId="Footer">
    <w:name w:val="footer"/>
    <w:basedOn w:val="Normal"/>
    <w:link w:val="FooterChar"/>
    <w:uiPriority w:val="99"/>
    <w:unhideWhenUsed/>
    <w:rsid w:val="0095203B"/>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5203B"/>
  </w:style>
  <w:style w:type="character" w:customStyle="1" w:styleId="st">
    <w:name w:val="st"/>
    <w:rsid w:val="00E73D7B"/>
  </w:style>
  <w:style w:type="paragraph" w:styleId="NormalWeb">
    <w:name w:val="Normal (Web)"/>
    <w:basedOn w:val="Normal"/>
    <w:uiPriority w:val="99"/>
    <w:semiHidden/>
    <w:unhideWhenUsed/>
    <w:rsid w:val="000A14C9"/>
    <w:pPr>
      <w:spacing w:before="100" w:beforeAutospacing="1" w:after="100" w:afterAutospacing="1"/>
    </w:pPr>
    <w:rPr>
      <w:rFonts w:eastAsiaTheme="minorHAnsi"/>
      <w:lang w:val="en-US"/>
    </w:rPr>
  </w:style>
  <w:style w:type="paragraph" w:customStyle="1" w:styleId="Default">
    <w:name w:val="Default"/>
    <w:rsid w:val="00A0050E"/>
    <w:pPr>
      <w:autoSpaceDE w:val="0"/>
      <w:autoSpaceDN w:val="0"/>
      <w:adjustRightInd w:val="0"/>
    </w:pPr>
    <w:rPr>
      <w:rFonts w:ascii="Arial" w:hAnsi="Arial" w:cs="Arial"/>
      <w:color w:val="000000"/>
      <w:lang w:val="en-GB"/>
    </w:rPr>
  </w:style>
  <w:style w:type="paragraph" w:styleId="Revision">
    <w:name w:val="Revision"/>
    <w:hidden/>
    <w:uiPriority w:val="99"/>
    <w:semiHidden/>
    <w:rsid w:val="008A34D3"/>
  </w:style>
  <w:style w:type="character" w:customStyle="1" w:styleId="highlight">
    <w:name w:val="highlight"/>
    <w:basedOn w:val="DefaultParagraphFont"/>
    <w:rsid w:val="0088115D"/>
  </w:style>
  <w:style w:type="character" w:styleId="Hyperlink">
    <w:name w:val="Hyperlink"/>
    <w:basedOn w:val="DefaultParagraphFont"/>
    <w:uiPriority w:val="99"/>
    <w:unhideWhenUsed/>
    <w:rsid w:val="0018721E"/>
    <w:rPr>
      <w:color w:val="0563C1" w:themeColor="hyperlink"/>
      <w:u w:val="single"/>
    </w:rPr>
  </w:style>
  <w:style w:type="character" w:customStyle="1" w:styleId="UnresolvedMention1">
    <w:name w:val="Unresolved Mention1"/>
    <w:basedOn w:val="DefaultParagraphFont"/>
    <w:uiPriority w:val="99"/>
    <w:semiHidden/>
    <w:unhideWhenUsed/>
    <w:rsid w:val="0018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6077">
      <w:bodyDiv w:val="1"/>
      <w:marLeft w:val="0"/>
      <w:marRight w:val="0"/>
      <w:marTop w:val="0"/>
      <w:marBottom w:val="0"/>
      <w:divBdr>
        <w:top w:val="none" w:sz="0" w:space="0" w:color="auto"/>
        <w:left w:val="none" w:sz="0" w:space="0" w:color="auto"/>
        <w:bottom w:val="none" w:sz="0" w:space="0" w:color="auto"/>
        <w:right w:val="none" w:sz="0" w:space="0" w:color="auto"/>
      </w:divBdr>
      <w:divsChild>
        <w:div w:id="556404862">
          <w:marLeft w:val="0"/>
          <w:marRight w:val="0"/>
          <w:marTop w:val="0"/>
          <w:marBottom w:val="0"/>
          <w:divBdr>
            <w:top w:val="none" w:sz="0" w:space="0" w:color="auto"/>
            <w:left w:val="none" w:sz="0" w:space="0" w:color="auto"/>
            <w:bottom w:val="none" w:sz="0" w:space="0" w:color="auto"/>
            <w:right w:val="none" w:sz="0" w:space="0" w:color="auto"/>
          </w:divBdr>
          <w:divsChild>
            <w:div w:id="610286026">
              <w:marLeft w:val="0"/>
              <w:marRight w:val="0"/>
              <w:marTop w:val="0"/>
              <w:marBottom w:val="0"/>
              <w:divBdr>
                <w:top w:val="none" w:sz="0" w:space="0" w:color="auto"/>
                <w:left w:val="none" w:sz="0" w:space="0" w:color="auto"/>
                <w:bottom w:val="none" w:sz="0" w:space="0" w:color="auto"/>
                <w:right w:val="none" w:sz="0" w:space="0" w:color="auto"/>
              </w:divBdr>
              <w:divsChild>
                <w:div w:id="4300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4420">
          <w:marLeft w:val="0"/>
          <w:marRight w:val="0"/>
          <w:marTop w:val="0"/>
          <w:marBottom w:val="0"/>
          <w:divBdr>
            <w:top w:val="none" w:sz="0" w:space="0" w:color="auto"/>
            <w:left w:val="none" w:sz="0" w:space="0" w:color="auto"/>
            <w:bottom w:val="none" w:sz="0" w:space="0" w:color="auto"/>
            <w:right w:val="none" w:sz="0" w:space="0" w:color="auto"/>
          </w:divBdr>
          <w:divsChild>
            <w:div w:id="17512066">
              <w:marLeft w:val="0"/>
              <w:marRight w:val="0"/>
              <w:marTop w:val="0"/>
              <w:marBottom w:val="0"/>
              <w:divBdr>
                <w:top w:val="none" w:sz="0" w:space="0" w:color="auto"/>
                <w:left w:val="none" w:sz="0" w:space="0" w:color="auto"/>
                <w:bottom w:val="none" w:sz="0" w:space="0" w:color="auto"/>
                <w:right w:val="none" w:sz="0" w:space="0" w:color="auto"/>
              </w:divBdr>
              <w:divsChild>
                <w:div w:id="9131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8573">
      <w:bodyDiv w:val="1"/>
      <w:marLeft w:val="0"/>
      <w:marRight w:val="0"/>
      <w:marTop w:val="0"/>
      <w:marBottom w:val="0"/>
      <w:divBdr>
        <w:top w:val="none" w:sz="0" w:space="0" w:color="auto"/>
        <w:left w:val="none" w:sz="0" w:space="0" w:color="auto"/>
        <w:bottom w:val="none" w:sz="0" w:space="0" w:color="auto"/>
        <w:right w:val="none" w:sz="0" w:space="0" w:color="auto"/>
      </w:divBdr>
    </w:div>
    <w:div w:id="343480042">
      <w:bodyDiv w:val="1"/>
      <w:marLeft w:val="0"/>
      <w:marRight w:val="0"/>
      <w:marTop w:val="0"/>
      <w:marBottom w:val="0"/>
      <w:divBdr>
        <w:top w:val="none" w:sz="0" w:space="0" w:color="auto"/>
        <w:left w:val="none" w:sz="0" w:space="0" w:color="auto"/>
        <w:bottom w:val="none" w:sz="0" w:space="0" w:color="auto"/>
        <w:right w:val="none" w:sz="0" w:space="0" w:color="auto"/>
      </w:divBdr>
      <w:divsChild>
        <w:div w:id="1566986210">
          <w:marLeft w:val="0"/>
          <w:marRight w:val="0"/>
          <w:marTop w:val="0"/>
          <w:marBottom w:val="0"/>
          <w:divBdr>
            <w:top w:val="none" w:sz="0" w:space="0" w:color="auto"/>
            <w:left w:val="none" w:sz="0" w:space="0" w:color="auto"/>
            <w:bottom w:val="none" w:sz="0" w:space="0" w:color="auto"/>
            <w:right w:val="none" w:sz="0" w:space="0" w:color="auto"/>
          </w:divBdr>
        </w:div>
        <w:div w:id="885945204">
          <w:marLeft w:val="0"/>
          <w:marRight w:val="0"/>
          <w:marTop w:val="0"/>
          <w:marBottom w:val="0"/>
          <w:divBdr>
            <w:top w:val="none" w:sz="0" w:space="0" w:color="auto"/>
            <w:left w:val="none" w:sz="0" w:space="0" w:color="auto"/>
            <w:bottom w:val="none" w:sz="0" w:space="0" w:color="auto"/>
            <w:right w:val="none" w:sz="0" w:space="0" w:color="auto"/>
          </w:divBdr>
        </w:div>
        <w:div w:id="1506283736">
          <w:marLeft w:val="0"/>
          <w:marRight w:val="0"/>
          <w:marTop w:val="0"/>
          <w:marBottom w:val="0"/>
          <w:divBdr>
            <w:top w:val="none" w:sz="0" w:space="0" w:color="auto"/>
            <w:left w:val="none" w:sz="0" w:space="0" w:color="auto"/>
            <w:bottom w:val="none" w:sz="0" w:space="0" w:color="auto"/>
            <w:right w:val="none" w:sz="0" w:space="0" w:color="auto"/>
          </w:divBdr>
        </w:div>
        <w:div w:id="1221330631">
          <w:marLeft w:val="0"/>
          <w:marRight w:val="0"/>
          <w:marTop w:val="0"/>
          <w:marBottom w:val="0"/>
          <w:divBdr>
            <w:top w:val="none" w:sz="0" w:space="0" w:color="auto"/>
            <w:left w:val="none" w:sz="0" w:space="0" w:color="auto"/>
            <w:bottom w:val="none" w:sz="0" w:space="0" w:color="auto"/>
            <w:right w:val="none" w:sz="0" w:space="0" w:color="auto"/>
          </w:divBdr>
        </w:div>
        <w:div w:id="178590872">
          <w:marLeft w:val="0"/>
          <w:marRight w:val="0"/>
          <w:marTop w:val="0"/>
          <w:marBottom w:val="0"/>
          <w:divBdr>
            <w:top w:val="none" w:sz="0" w:space="0" w:color="auto"/>
            <w:left w:val="none" w:sz="0" w:space="0" w:color="auto"/>
            <w:bottom w:val="none" w:sz="0" w:space="0" w:color="auto"/>
            <w:right w:val="none" w:sz="0" w:space="0" w:color="auto"/>
          </w:divBdr>
        </w:div>
      </w:divsChild>
    </w:div>
    <w:div w:id="352390632">
      <w:bodyDiv w:val="1"/>
      <w:marLeft w:val="0"/>
      <w:marRight w:val="0"/>
      <w:marTop w:val="0"/>
      <w:marBottom w:val="0"/>
      <w:divBdr>
        <w:top w:val="none" w:sz="0" w:space="0" w:color="auto"/>
        <w:left w:val="none" w:sz="0" w:space="0" w:color="auto"/>
        <w:bottom w:val="none" w:sz="0" w:space="0" w:color="auto"/>
        <w:right w:val="none" w:sz="0" w:space="0" w:color="auto"/>
      </w:divBdr>
      <w:divsChild>
        <w:div w:id="1241452749">
          <w:marLeft w:val="0"/>
          <w:marRight w:val="0"/>
          <w:marTop w:val="0"/>
          <w:marBottom w:val="0"/>
          <w:divBdr>
            <w:top w:val="none" w:sz="0" w:space="0" w:color="auto"/>
            <w:left w:val="none" w:sz="0" w:space="0" w:color="auto"/>
            <w:bottom w:val="none" w:sz="0" w:space="0" w:color="auto"/>
            <w:right w:val="none" w:sz="0" w:space="0" w:color="auto"/>
          </w:divBdr>
          <w:divsChild>
            <w:div w:id="1044871095">
              <w:marLeft w:val="0"/>
              <w:marRight w:val="0"/>
              <w:marTop w:val="0"/>
              <w:marBottom w:val="0"/>
              <w:divBdr>
                <w:top w:val="none" w:sz="0" w:space="0" w:color="auto"/>
                <w:left w:val="none" w:sz="0" w:space="0" w:color="auto"/>
                <w:bottom w:val="none" w:sz="0" w:space="0" w:color="auto"/>
                <w:right w:val="none" w:sz="0" w:space="0" w:color="auto"/>
              </w:divBdr>
              <w:divsChild>
                <w:div w:id="2073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0288">
      <w:bodyDiv w:val="1"/>
      <w:marLeft w:val="0"/>
      <w:marRight w:val="0"/>
      <w:marTop w:val="0"/>
      <w:marBottom w:val="0"/>
      <w:divBdr>
        <w:top w:val="none" w:sz="0" w:space="0" w:color="auto"/>
        <w:left w:val="none" w:sz="0" w:space="0" w:color="auto"/>
        <w:bottom w:val="none" w:sz="0" w:space="0" w:color="auto"/>
        <w:right w:val="none" w:sz="0" w:space="0" w:color="auto"/>
      </w:divBdr>
      <w:divsChild>
        <w:div w:id="278294684">
          <w:marLeft w:val="0"/>
          <w:marRight w:val="0"/>
          <w:marTop w:val="0"/>
          <w:marBottom w:val="0"/>
          <w:divBdr>
            <w:top w:val="none" w:sz="0" w:space="0" w:color="auto"/>
            <w:left w:val="none" w:sz="0" w:space="0" w:color="auto"/>
            <w:bottom w:val="none" w:sz="0" w:space="0" w:color="auto"/>
            <w:right w:val="none" w:sz="0" w:space="0" w:color="auto"/>
          </w:divBdr>
        </w:div>
        <w:div w:id="1112671308">
          <w:marLeft w:val="0"/>
          <w:marRight w:val="0"/>
          <w:marTop w:val="0"/>
          <w:marBottom w:val="0"/>
          <w:divBdr>
            <w:top w:val="none" w:sz="0" w:space="0" w:color="auto"/>
            <w:left w:val="none" w:sz="0" w:space="0" w:color="auto"/>
            <w:bottom w:val="none" w:sz="0" w:space="0" w:color="auto"/>
            <w:right w:val="none" w:sz="0" w:space="0" w:color="auto"/>
          </w:divBdr>
        </w:div>
        <w:div w:id="1469975094">
          <w:marLeft w:val="0"/>
          <w:marRight w:val="0"/>
          <w:marTop w:val="0"/>
          <w:marBottom w:val="0"/>
          <w:divBdr>
            <w:top w:val="none" w:sz="0" w:space="0" w:color="auto"/>
            <w:left w:val="none" w:sz="0" w:space="0" w:color="auto"/>
            <w:bottom w:val="none" w:sz="0" w:space="0" w:color="auto"/>
            <w:right w:val="none" w:sz="0" w:space="0" w:color="auto"/>
          </w:divBdr>
        </w:div>
        <w:div w:id="976110036">
          <w:marLeft w:val="0"/>
          <w:marRight w:val="0"/>
          <w:marTop w:val="0"/>
          <w:marBottom w:val="0"/>
          <w:divBdr>
            <w:top w:val="none" w:sz="0" w:space="0" w:color="auto"/>
            <w:left w:val="none" w:sz="0" w:space="0" w:color="auto"/>
            <w:bottom w:val="none" w:sz="0" w:space="0" w:color="auto"/>
            <w:right w:val="none" w:sz="0" w:space="0" w:color="auto"/>
          </w:divBdr>
        </w:div>
        <w:div w:id="1808353717">
          <w:marLeft w:val="0"/>
          <w:marRight w:val="0"/>
          <w:marTop w:val="0"/>
          <w:marBottom w:val="0"/>
          <w:divBdr>
            <w:top w:val="none" w:sz="0" w:space="0" w:color="auto"/>
            <w:left w:val="none" w:sz="0" w:space="0" w:color="auto"/>
            <w:bottom w:val="none" w:sz="0" w:space="0" w:color="auto"/>
            <w:right w:val="none" w:sz="0" w:space="0" w:color="auto"/>
          </w:divBdr>
        </w:div>
        <w:div w:id="1136681156">
          <w:marLeft w:val="0"/>
          <w:marRight w:val="0"/>
          <w:marTop w:val="0"/>
          <w:marBottom w:val="0"/>
          <w:divBdr>
            <w:top w:val="none" w:sz="0" w:space="0" w:color="auto"/>
            <w:left w:val="none" w:sz="0" w:space="0" w:color="auto"/>
            <w:bottom w:val="none" w:sz="0" w:space="0" w:color="auto"/>
            <w:right w:val="none" w:sz="0" w:space="0" w:color="auto"/>
          </w:divBdr>
        </w:div>
        <w:div w:id="1523515464">
          <w:marLeft w:val="0"/>
          <w:marRight w:val="0"/>
          <w:marTop w:val="0"/>
          <w:marBottom w:val="0"/>
          <w:divBdr>
            <w:top w:val="none" w:sz="0" w:space="0" w:color="auto"/>
            <w:left w:val="none" w:sz="0" w:space="0" w:color="auto"/>
            <w:bottom w:val="none" w:sz="0" w:space="0" w:color="auto"/>
            <w:right w:val="none" w:sz="0" w:space="0" w:color="auto"/>
          </w:divBdr>
        </w:div>
        <w:div w:id="1505240190">
          <w:marLeft w:val="0"/>
          <w:marRight w:val="0"/>
          <w:marTop w:val="0"/>
          <w:marBottom w:val="0"/>
          <w:divBdr>
            <w:top w:val="none" w:sz="0" w:space="0" w:color="auto"/>
            <w:left w:val="none" w:sz="0" w:space="0" w:color="auto"/>
            <w:bottom w:val="none" w:sz="0" w:space="0" w:color="auto"/>
            <w:right w:val="none" w:sz="0" w:space="0" w:color="auto"/>
          </w:divBdr>
        </w:div>
      </w:divsChild>
    </w:div>
    <w:div w:id="464154677">
      <w:bodyDiv w:val="1"/>
      <w:marLeft w:val="0"/>
      <w:marRight w:val="0"/>
      <w:marTop w:val="0"/>
      <w:marBottom w:val="0"/>
      <w:divBdr>
        <w:top w:val="none" w:sz="0" w:space="0" w:color="auto"/>
        <w:left w:val="none" w:sz="0" w:space="0" w:color="auto"/>
        <w:bottom w:val="none" w:sz="0" w:space="0" w:color="auto"/>
        <w:right w:val="none" w:sz="0" w:space="0" w:color="auto"/>
      </w:divBdr>
    </w:div>
    <w:div w:id="641273077">
      <w:bodyDiv w:val="1"/>
      <w:marLeft w:val="0"/>
      <w:marRight w:val="0"/>
      <w:marTop w:val="0"/>
      <w:marBottom w:val="0"/>
      <w:divBdr>
        <w:top w:val="none" w:sz="0" w:space="0" w:color="auto"/>
        <w:left w:val="none" w:sz="0" w:space="0" w:color="auto"/>
        <w:bottom w:val="none" w:sz="0" w:space="0" w:color="auto"/>
        <w:right w:val="none" w:sz="0" w:space="0" w:color="auto"/>
      </w:divBdr>
    </w:div>
    <w:div w:id="690182620">
      <w:bodyDiv w:val="1"/>
      <w:marLeft w:val="0"/>
      <w:marRight w:val="0"/>
      <w:marTop w:val="0"/>
      <w:marBottom w:val="0"/>
      <w:divBdr>
        <w:top w:val="none" w:sz="0" w:space="0" w:color="auto"/>
        <w:left w:val="none" w:sz="0" w:space="0" w:color="auto"/>
        <w:bottom w:val="none" w:sz="0" w:space="0" w:color="auto"/>
        <w:right w:val="none" w:sz="0" w:space="0" w:color="auto"/>
      </w:divBdr>
      <w:divsChild>
        <w:div w:id="200167387">
          <w:marLeft w:val="0"/>
          <w:marRight w:val="0"/>
          <w:marTop w:val="0"/>
          <w:marBottom w:val="0"/>
          <w:divBdr>
            <w:top w:val="none" w:sz="0" w:space="0" w:color="auto"/>
            <w:left w:val="none" w:sz="0" w:space="0" w:color="auto"/>
            <w:bottom w:val="none" w:sz="0" w:space="0" w:color="auto"/>
            <w:right w:val="none" w:sz="0" w:space="0" w:color="auto"/>
          </w:divBdr>
          <w:divsChild>
            <w:div w:id="431359450">
              <w:marLeft w:val="0"/>
              <w:marRight w:val="0"/>
              <w:marTop w:val="0"/>
              <w:marBottom w:val="0"/>
              <w:divBdr>
                <w:top w:val="none" w:sz="0" w:space="0" w:color="auto"/>
                <w:left w:val="none" w:sz="0" w:space="0" w:color="auto"/>
                <w:bottom w:val="none" w:sz="0" w:space="0" w:color="auto"/>
                <w:right w:val="none" w:sz="0" w:space="0" w:color="auto"/>
              </w:divBdr>
              <w:divsChild>
                <w:div w:id="1376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59808">
      <w:bodyDiv w:val="1"/>
      <w:marLeft w:val="0"/>
      <w:marRight w:val="0"/>
      <w:marTop w:val="0"/>
      <w:marBottom w:val="0"/>
      <w:divBdr>
        <w:top w:val="none" w:sz="0" w:space="0" w:color="auto"/>
        <w:left w:val="none" w:sz="0" w:space="0" w:color="auto"/>
        <w:bottom w:val="none" w:sz="0" w:space="0" w:color="auto"/>
        <w:right w:val="none" w:sz="0" w:space="0" w:color="auto"/>
      </w:divBdr>
      <w:divsChild>
        <w:div w:id="1673877579">
          <w:marLeft w:val="0"/>
          <w:marRight w:val="0"/>
          <w:marTop w:val="0"/>
          <w:marBottom w:val="0"/>
          <w:divBdr>
            <w:top w:val="none" w:sz="0" w:space="0" w:color="auto"/>
            <w:left w:val="none" w:sz="0" w:space="0" w:color="auto"/>
            <w:bottom w:val="none" w:sz="0" w:space="0" w:color="auto"/>
            <w:right w:val="none" w:sz="0" w:space="0" w:color="auto"/>
          </w:divBdr>
          <w:divsChild>
            <w:div w:id="1042367959">
              <w:marLeft w:val="0"/>
              <w:marRight w:val="0"/>
              <w:marTop w:val="0"/>
              <w:marBottom w:val="0"/>
              <w:divBdr>
                <w:top w:val="none" w:sz="0" w:space="0" w:color="auto"/>
                <w:left w:val="none" w:sz="0" w:space="0" w:color="auto"/>
                <w:bottom w:val="none" w:sz="0" w:space="0" w:color="auto"/>
                <w:right w:val="none" w:sz="0" w:space="0" w:color="auto"/>
              </w:divBdr>
              <w:divsChild>
                <w:div w:id="2037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146">
          <w:marLeft w:val="0"/>
          <w:marRight w:val="0"/>
          <w:marTop w:val="0"/>
          <w:marBottom w:val="0"/>
          <w:divBdr>
            <w:top w:val="none" w:sz="0" w:space="0" w:color="auto"/>
            <w:left w:val="none" w:sz="0" w:space="0" w:color="auto"/>
            <w:bottom w:val="none" w:sz="0" w:space="0" w:color="auto"/>
            <w:right w:val="none" w:sz="0" w:space="0" w:color="auto"/>
          </w:divBdr>
          <w:divsChild>
            <w:div w:id="1496141710">
              <w:marLeft w:val="0"/>
              <w:marRight w:val="0"/>
              <w:marTop w:val="0"/>
              <w:marBottom w:val="0"/>
              <w:divBdr>
                <w:top w:val="none" w:sz="0" w:space="0" w:color="auto"/>
                <w:left w:val="none" w:sz="0" w:space="0" w:color="auto"/>
                <w:bottom w:val="none" w:sz="0" w:space="0" w:color="auto"/>
                <w:right w:val="none" w:sz="0" w:space="0" w:color="auto"/>
              </w:divBdr>
              <w:divsChild>
                <w:div w:id="15572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1927">
      <w:bodyDiv w:val="1"/>
      <w:marLeft w:val="0"/>
      <w:marRight w:val="0"/>
      <w:marTop w:val="0"/>
      <w:marBottom w:val="0"/>
      <w:divBdr>
        <w:top w:val="none" w:sz="0" w:space="0" w:color="auto"/>
        <w:left w:val="none" w:sz="0" w:space="0" w:color="auto"/>
        <w:bottom w:val="none" w:sz="0" w:space="0" w:color="auto"/>
        <w:right w:val="none" w:sz="0" w:space="0" w:color="auto"/>
      </w:divBdr>
    </w:div>
    <w:div w:id="901478631">
      <w:bodyDiv w:val="1"/>
      <w:marLeft w:val="0"/>
      <w:marRight w:val="0"/>
      <w:marTop w:val="0"/>
      <w:marBottom w:val="0"/>
      <w:divBdr>
        <w:top w:val="none" w:sz="0" w:space="0" w:color="auto"/>
        <w:left w:val="none" w:sz="0" w:space="0" w:color="auto"/>
        <w:bottom w:val="none" w:sz="0" w:space="0" w:color="auto"/>
        <w:right w:val="none" w:sz="0" w:space="0" w:color="auto"/>
      </w:divBdr>
      <w:divsChild>
        <w:div w:id="1246112038">
          <w:marLeft w:val="0"/>
          <w:marRight w:val="0"/>
          <w:marTop w:val="0"/>
          <w:marBottom w:val="0"/>
          <w:divBdr>
            <w:top w:val="none" w:sz="0" w:space="0" w:color="auto"/>
            <w:left w:val="none" w:sz="0" w:space="0" w:color="auto"/>
            <w:bottom w:val="none" w:sz="0" w:space="0" w:color="auto"/>
            <w:right w:val="none" w:sz="0" w:space="0" w:color="auto"/>
          </w:divBdr>
          <w:divsChild>
            <w:div w:id="1662195235">
              <w:marLeft w:val="0"/>
              <w:marRight w:val="0"/>
              <w:marTop w:val="0"/>
              <w:marBottom w:val="0"/>
              <w:divBdr>
                <w:top w:val="none" w:sz="0" w:space="0" w:color="auto"/>
                <w:left w:val="none" w:sz="0" w:space="0" w:color="auto"/>
                <w:bottom w:val="none" w:sz="0" w:space="0" w:color="auto"/>
                <w:right w:val="none" w:sz="0" w:space="0" w:color="auto"/>
              </w:divBdr>
              <w:divsChild>
                <w:div w:id="3562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720">
      <w:bodyDiv w:val="1"/>
      <w:marLeft w:val="0"/>
      <w:marRight w:val="0"/>
      <w:marTop w:val="0"/>
      <w:marBottom w:val="0"/>
      <w:divBdr>
        <w:top w:val="none" w:sz="0" w:space="0" w:color="auto"/>
        <w:left w:val="none" w:sz="0" w:space="0" w:color="auto"/>
        <w:bottom w:val="none" w:sz="0" w:space="0" w:color="auto"/>
        <w:right w:val="none" w:sz="0" w:space="0" w:color="auto"/>
      </w:divBdr>
      <w:divsChild>
        <w:div w:id="145169758">
          <w:marLeft w:val="0"/>
          <w:marRight w:val="0"/>
          <w:marTop w:val="0"/>
          <w:marBottom w:val="0"/>
          <w:divBdr>
            <w:top w:val="none" w:sz="0" w:space="0" w:color="auto"/>
            <w:left w:val="none" w:sz="0" w:space="0" w:color="auto"/>
            <w:bottom w:val="none" w:sz="0" w:space="0" w:color="auto"/>
            <w:right w:val="none" w:sz="0" w:space="0" w:color="auto"/>
          </w:divBdr>
          <w:divsChild>
            <w:div w:id="1645231188">
              <w:marLeft w:val="0"/>
              <w:marRight w:val="0"/>
              <w:marTop w:val="0"/>
              <w:marBottom w:val="0"/>
              <w:divBdr>
                <w:top w:val="none" w:sz="0" w:space="0" w:color="auto"/>
                <w:left w:val="none" w:sz="0" w:space="0" w:color="auto"/>
                <w:bottom w:val="none" w:sz="0" w:space="0" w:color="auto"/>
                <w:right w:val="none" w:sz="0" w:space="0" w:color="auto"/>
              </w:divBdr>
              <w:divsChild>
                <w:div w:id="5019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4670">
      <w:bodyDiv w:val="1"/>
      <w:marLeft w:val="0"/>
      <w:marRight w:val="0"/>
      <w:marTop w:val="0"/>
      <w:marBottom w:val="0"/>
      <w:divBdr>
        <w:top w:val="none" w:sz="0" w:space="0" w:color="auto"/>
        <w:left w:val="none" w:sz="0" w:space="0" w:color="auto"/>
        <w:bottom w:val="none" w:sz="0" w:space="0" w:color="auto"/>
        <w:right w:val="none" w:sz="0" w:space="0" w:color="auto"/>
      </w:divBdr>
    </w:div>
    <w:div w:id="1011953538">
      <w:bodyDiv w:val="1"/>
      <w:marLeft w:val="0"/>
      <w:marRight w:val="0"/>
      <w:marTop w:val="0"/>
      <w:marBottom w:val="0"/>
      <w:divBdr>
        <w:top w:val="none" w:sz="0" w:space="0" w:color="auto"/>
        <w:left w:val="none" w:sz="0" w:space="0" w:color="auto"/>
        <w:bottom w:val="none" w:sz="0" w:space="0" w:color="auto"/>
        <w:right w:val="none" w:sz="0" w:space="0" w:color="auto"/>
      </w:divBdr>
      <w:divsChild>
        <w:div w:id="294797431">
          <w:marLeft w:val="0"/>
          <w:marRight w:val="0"/>
          <w:marTop w:val="0"/>
          <w:marBottom w:val="0"/>
          <w:divBdr>
            <w:top w:val="none" w:sz="0" w:space="0" w:color="auto"/>
            <w:left w:val="none" w:sz="0" w:space="0" w:color="auto"/>
            <w:bottom w:val="none" w:sz="0" w:space="0" w:color="auto"/>
            <w:right w:val="none" w:sz="0" w:space="0" w:color="auto"/>
          </w:divBdr>
          <w:divsChild>
            <w:div w:id="446971275">
              <w:marLeft w:val="0"/>
              <w:marRight w:val="0"/>
              <w:marTop w:val="0"/>
              <w:marBottom w:val="0"/>
              <w:divBdr>
                <w:top w:val="none" w:sz="0" w:space="0" w:color="auto"/>
                <w:left w:val="none" w:sz="0" w:space="0" w:color="auto"/>
                <w:bottom w:val="none" w:sz="0" w:space="0" w:color="auto"/>
                <w:right w:val="none" w:sz="0" w:space="0" w:color="auto"/>
              </w:divBdr>
              <w:divsChild>
                <w:div w:id="16564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7441">
      <w:bodyDiv w:val="1"/>
      <w:marLeft w:val="0"/>
      <w:marRight w:val="0"/>
      <w:marTop w:val="0"/>
      <w:marBottom w:val="0"/>
      <w:divBdr>
        <w:top w:val="none" w:sz="0" w:space="0" w:color="auto"/>
        <w:left w:val="none" w:sz="0" w:space="0" w:color="auto"/>
        <w:bottom w:val="none" w:sz="0" w:space="0" w:color="auto"/>
        <w:right w:val="none" w:sz="0" w:space="0" w:color="auto"/>
      </w:divBdr>
    </w:div>
    <w:div w:id="1049382718">
      <w:bodyDiv w:val="1"/>
      <w:marLeft w:val="0"/>
      <w:marRight w:val="0"/>
      <w:marTop w:val="0"/>
      <w:marBottom w:val="0"/>
      <w:divBdr>
        <w:top w:val="none" w:sz="0" w:space="0" w:color="auto"/>
        <w:left w:val="none" w:sz="0" w:space="0" w:color="auto"/>
        <w:bottom w:val="none" w:sz="0" w:space="0" w:color="auto"/>
        <w:right w:val="none" w:sz="0" w:space="0" w:color="auto"/>
      </w:divBdr>
    </w:div>
    <w:div w:id="1271887544">
      <w:bodyDiv w:val="1"/>
      <w:marLeft w:val="0"/>
      <w:marRight w:val="0"/>
      <w:marTop w:val="0"/>
      <w:marBottom w:val="0"/>
      <w:divBdr>
        <w:top w:val="none" w:sz="0" w:space="0" w:color="auto"/>
        <w:left w:val="none" w:sz="0" w:space="0" w:color="auto"/>
        <w:bottom w:val="none" w:sz="0" w:space="0" w:color="auto"/>
        <w:right w:val="none" w:sz="0" w:space="0" w:color="auto"/>
      </w:divBdr>
      <w:divsChild>
        <w:div w:id="495339971">
          <w:marLeft w:val="0"/>
          <w:marRight w:val="0"/>
          <w:marTop w:val="0"/>
          <w:marBottom w:val="0"/>
          <w:divBdr>
            <w:top w:val="none" w:sz="0" w:space="0" w:color="auto"/>
            <w:left w:val="none" w:sz="0" w:space="0" w:color="auto"/>
            <w:bottom w:val="none" w:sz="0" w:space="0" w:color="auto"/>
            <w:right w:val="none" w:sz="0" w:space="0" w:color="auto"/>
          </w:divBdr>
          <w:divsChild>
            <w:div w:id="511382707">
              <w:marLeft w:val="0"/>
              <w:marRight w:val="0"/>
              <w:marTop w:val="0"/>
              <w:marBottom w:val="0"/>
              <w:divBdr>
                <w:top w:val="none" w:sz="0" w:space="0" w:color="auto"/>
                <w:left w:val="none" w:sz="0" w:space="0" w:color="auto"/>
                <w:bottom w:val="none" w:sz="0" w:space="0" w:color="auto"/>
                <w:right w:val="none" w:sz="0" w:space="0" w:color="auto"/>
              </w:divBdr>
              <w:divsChild>
                <w:div w:id="76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8529">
      <w:bodyDiv w:val="1"/>
      <w:marLeft w:val="0"/>
      <w:marRight w:val="0"/>
      <w:marTop w:val="0"/>
      <w:marBottom w:val="0"/>
      <w:divBdr>
        <w:top w:val="none" w:sz="0" w:space="0" w:color="auto"/>
        <w:left w:val="none" w:sz="0" w:space="0" w:color="auto"/>
        <w:bottom w:val="none" w:sz="0" w:space="0" w:color="auto"/>
        <w:right w:val="none" w:sz="0" w:space="0" w:color="auto"/>
      </w:divBdr>
    </w:div>
    <w:div w:id="1403528367">
      <w:bodyDiv w:val="1"/>
      <w:marLeft w:val="0"/>
      <w:marRight w:val="0"/>
      <w:marTop w:val="0"/>
      <w:marBottom w:val="0"/>
      <w:divBdr>
        <w:top w:val="none" w:sz="0" w:space="0" w:color="auto"/>
        <w:left w:val="none" w:sz="0" w:space="0" w:color="auto"/>
        <w:bottom w:val="none" w:sz="0" w:space="0" w:color="auto"/>
        <w:right w:val="none" w:sz="0" w:space="0" w:color="auto"/>
      </w:divBdr>
      <w:divsChild>
        <w:div w:id="1556156216">
          <w:marLeft w:val="0"/>
          <w:marRight w:val="0"/>
          <w:marTop w:val="0"/>
          <w:marBottom w:val="0"/>
          <w:divBdr>
            <w:top w:val="none" w:sz="0" w:space="0" w:color="auto"/>
            <w:left w:val="none" w:sz="0" w:space="0" w:color="auto"/>
            <w:bottom w:val="none" w:sz="0" w:space="0" w:color="auto"/>
            <w:right w:val="none" w:sz="0" w:space="0" w:color="auto"/>
          </w:divBdr>
          <w:divsChild>
            <w:div w:id="456147862">
              <w:marLeft w:val="0"/>
              <w:marRight w:val="0"/>
              <w:marTop w:val="0"/>
              <w:marBottom w:val="0"/>
              <w:divBdr>
                <w:top w:val="none" w:sz="0" w:space="0" w:color="auto"/>
                <w:left w:val="none" w:sz="0" w:space="0" w:color="auto"/>
                <w:bottom w:val="none" w:sz="0" w:space="0" w:color="auto"/>
                <w:right w:val="none" w:sz="0" w:space="0" w:color="auto"/>
              </w:divBdr>
              <w:divsChild>
                <w:div w:id="1192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907">
      <w:bodyDiv w:val="1"/>
      <w:marLeft w:val="0"/>
      <w:marRight w:val="0"/>
      <w:marTop w:val="0"/>
      <w:marBottom w:val="0"/>
      <w:divBdr>
        <w:top w:val="none" w:sz="0" w:space="0" w:color="auto"/>
        <w:left w:val="none" w:sz="0" w:space="0" w:color="auto"/>
        <w:bottom w:val="none" w:sz="0" w:space="0" w:color="auto"/>
        <w:right w:val="none" w:sz="0" w:space="0" w:color="auto"/>
      </w:divBdr>
      <w:divsChild>
        <w:div w:id="254901019">
          <w:marLeft w:val="0"/>
          <w:marRight w:val="0"/>
          <w:marTop w:val="0"/>
          <w:marBottom w:val="0"/>
          <w:divBdr>
            <w:top w:val="none" w:sz="0" w:space="0" w:color="auto"/>
            <w:left w:val="none" w:sz="0" w:space="0" w:color="auto"/>
            <w:bottom w:val="none" w:sz="0" w:space="0" w:color="auto"/>
            <w:right w:val="none" w:sz="0" w:space="0" w:color="auto"/>
          </w:divBdr>
          <w:divsChild>
            <w:div w:id="66005452">
              <w:marLeft w:val="0"/>
              <w:marRight w:val="0"/>
              <w:marTop w:val="0"/>
              <w:marBottom w:val="0"/>
              <w:divBdr>
                <w:top w:val="none" w:sz="0" w:space="0" w:color="auto"/>
                <w:left w:val="none" w:sz="0" w:space="0" w:color="auto"/>
                <w:bottom w:val="none" w:sz="0" w:space="0" w:color="auto"/>
                <w:right w:val="none" w:sz="0" w:space="0" w:color="auto"/>
              </w:divBdr>
              <w:divsChild>
                <w:div w:id="1094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6035">
      <w:bodyDiv w:val="1"/>
      <w:marLeft w:val="0"/>
      <w:marRight w:val="0"/>
      <w:marTop w:val="0"/>
      <w:marBottom w:val="0"/>
      <w:divBdr>
        <w:top w:val="none" w:sz="0" w:space="0" w:color="auto"/>
        <w:left w:val="none" w:sz="0" w:space="0" w:color="auto"/>
        <w:bottom w:val="none" w:sz="0" w:space="0" w:color="auto"/>
        <w:right w:val="none" w:sz="0" w:space="0" w:color="auto"/>
      </w:divBdr>
    </w:div>
    <w:div w:id="1618639893">
      <w:bodyDiv w:val="1"/>
      <w:marLeft w:val="0"/>
      <w:marRight w:val="0"/>
      <w:marTop w:val="0"/>
      <w:marBottom w:val="0"/>
      <w:divBdr>
        <w:top w:val="none" w:sz="0" w:space="0" w:color="auto"/>
        <w:left w:val="none" w:sz="0" w:space="0" w:color="auto"/>
        <w:bottom w:val="none" w:sz="0" w:space="0" w:color="auto"/>
        <w:right w:val="none" w:sz="0" w:space="0" w:color="auto"/>
      </w:divBdr>
      <w:divsChild>
        <w:div w:id="599408593">
          <w:marLeft w:val="0"/>
          <w:marRight w:val="0"/>
          <w:marTop w:val="0"/>
          <w:marBottom w:val="0"/>
          <w:divBdr>
            <w:top w:val="none" w:sz="0" w:space="0" w:color="auto"/>
            <w:left w:val="none" w:sz="0" w:space="0" w:color="auto"/>
            <w:bottom w:val="none" w:sz="0" w:space="0" w:color="auto"/>
            <w:right w:val="none" w:sz="0" w:space="0" w:color="auto"/>
          </w:divBdr>
          <w:divsChild>
            <w:div w:id="911155777">
              <w:marLeft w:val="0"/>
              <w:marRight w:val="0"/>
              <w:marTop w:val="0"/>
              <w:marBottom w:val="0"/>
              <w:divBdr>
                <w:top w:val="none" w:sz="0" w:space="0" w:color="auto"/>
                <w:left w:val="none" w:sz="0" w:space="0" w:color="auto"/>
                <w:bottom w:val="none" w:sz="0" w:space="0" w:color="auto"/>
                <w:right w:val="none" w:sz="0" w:space="0" w:color="auto"/>
              </w:divBdr>
              <w:divsChild>
                <w:div w:id="2043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09993">
      <w:bodyDiv w:val="1"/>
      <w:marLeft w:val="0"/>
      <w:marRight w:val="0"/>
      <w:marTop w:val="0"/>
      <w:marBottom w:val="0"/>
      <w:divBdr>
        <w:top w:val="none" w:sz="0" w:space="0" w:color="auto"/>
        <w:left w:val="none" w:sz="0" w:space="0" w:color="auto"/>
        <w:bottom w:val="none" w:sz="0" w:space="0" w:color="auto"/>
        <w:right w:val="none" w:sz="0" w:space="0" w:color="auto"/>
      </w:divBdr>
      <w:divsChild>
        <w:div w:id="2108387071">
          <w:marLeft w:val="0"/>
          <w:marRight w:val="0"/>
          <w:marTop w:val="0"/>
          <w:marBottom w:val="0"/>
          <w:divBdr>
            <w:top w:val="none" w:sz="0" w:space="0" w:color="auto"/>
            <w:left w:val="none" w:sz="0" w:space="0" w:color="auto"/>
            <w:bottom w:val="none" w:sz="0" w:space="0" w:color="auto"/>
            <w:right w:val="none" w:sz="0" w:space="0" w:color="auto"/>
          </w:divBdr>
          <w:divsChild>
            <w:div w:id="1109200256">
              <w:marLeft w:val="0"/>
              <w:marRight w:val="0"/>
              <w:marTop w:val="0"/>
              <w:marBottom w:val="0"/>
              <w:divBdr>
                <w:top w:val="none" w:sz="0" w:space="0" w:color="auto"/>
                <w:left w:val="none" w:sz="0" w:space="0" w:color="auto"/>
                <w:bottom w:val="none" w:sz="0" w:space="0" w:color="auto"/>
                <w:right w:val="none" w:sz="0" w:space="0" w:color="auto"/>
              </w:divBdr>
              <w:divsChild>
                <w:div w:id="1493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3">
      <w:bodyDiv w:val="1"/>
      <w:marLeft w:val="0"/>
      <w:marRight w:val="0"/>
      <w:marTop w:val="0"/>
      <w:marBottom w:val="0"/>
      <w:divBdr>
        <w:top w:val="none" w:sz="0" w:space="0" w:color="auto"/>
        <w:left w:val="none" w:sz="0" w:space="0" w:color="auto"/>
        <w:bottom w:val="none" w:sz="0" w:space="0" w:color="auto"/>
        <w:right w:val="none" w:sz="0" w:space="0" w:color="auto"/>
      </w:divBdr>
      <w:divsChild>
        <w:div w:id="589899547">
          <w:marLeft w:val="0"/>
          <w:marRight w:val="0"/>
          <w:marTop w:val="0"/>
          <w:marBottom w:val="0"/>
          <w:divBdr>
            <w:top w:val="none" w:sz="0" w:space="0" w:color="auto"/>
            <w:left w:val="none" w:sz="0" w:space="0" w:color="auto"/>
            <w:bottom w:val="none" w:sz="0" w:space="0" w:color="auto"/>
            <w:right w:val="none" w:sz="0" w:space="0" w:color="auto"/>
          </w:divBdr>
        </w:div>
        <w:div w:id="966012690">
          <w:marLeft w:val="0"/>
          <w:marRight w:val="0"/>
          <w:marTop w:val="0"/>
          <w:marBottom w:val="0"/>
          <w:divBdr>
            <w:top w:val="none" w:sz="0" w:space="0" w:color="auto"/>
            <w:left w:val="none" w:sz="0" w:space="0" w:color="auto"/>
            <w:bottom w:val="none" w:sz="0" w:space="0" w:color="auto"/>
            <w:right w:val="none" w:sz="0" w:space="0" w:color="auto"/>
          </w:divBdr>
        </w:div>
        <w:div w:id="1416975852">
          <w:marLeft w:val="0"/>
          <w:marRight w:val="0"/>
          <w:marTop w:val="0"/>
          <w:marBottom w:val="0"/>
          <w:divBdr>
            <w:top w:val="none" w:sz="0" w:space="0" w:color="auto"/>
            <w:left w:val="none" w:sz="0" w:space="0" w:color="auto"/>
            <w:bottom w:val="none" w:sz="0" w:space="0" w:color="auto"/>
            <w:right w:val="none" w:sz="0" w:space="0" w:color="auto"/>
          </w:divBdr>
        </w:div>
        <w:div w:id="1324971926">
          <w:marLeft w:val="0"/>
          <w:marRight w:val="0"/>
          <w:marTop w:val="0"/>
          <w:marBottom w:val="0"/>
          <w:divBdr>
            <w:top w:val="none" w:sz="0" w:space="0" w:color="auto"/>
            <w:left w:val="none" w:sz="0" w:space="0" w:color="auto"/>
            <w:bottom w:val="none" w:sz="0" w:space="0" w:color="auto"/>
            <w:right w:val="none" w:sz="0" w:space="0" w:color="auto"/>
          </w:divBdr>
        </w:div>
        <w:div w:id="1824155681">
          <w:marLeft w:val="0"/>
          <w:marRight w:val="0"/>
          <w:marTop w:val="0"/>
          <w:marBottom w:val="0"/>
          <w:divBdr>
            <w:top w:val="none" w:sz="0" w:space="0" w:color="auto"/>
            <w:left w:val="none" w:sz="0" w:space="0" w:color="auto"/>
            <w:bottom w:val="none" w:sz="0" w:space="0" w:color="auto"/>
            <w:right w:val="none" w:sz="0" w:space="0" w:color="auto"/>
          </w:divBdr>
        </w:div>
        <w:div w:id="1477842714">
          <w:marLeft w:val="0"/>
          <w:marRight w:val="0"/>
          <w:marTop w:val="0"/>
          <w:marBottom w:val="0"/>
          <w:divBdr>
            <w:top w:val="none" w:sz="0" w:space="0" w:color="auto"/>
            <w:left w:val="none" w:sz="0" w:space="0" w:color="auto"/>
            <w:bottom w:val="none" w:sz="0" w:space="0" w:color="auto"/>
            <w:right w:val="none" w:sz="0" w:space="0" w:color="auto"/>
          </w:divBdr>
        </w:div>
        <w:div w:id="1254703538">
          <w:marLeft w:val="0"/>
          <w:marRight w:val="0"/>
          <w:marTop w:val="0"/>
          <w:marBottom w:val="0"/>
          <w:divBdr>
            <w:top w:val="none" w:sz="0" w:space="0" w:color="auto"/>
            <w:left w:val="none" w:sz="0" w:space="0" w:color="auto"/>
            <w:bottom w:val="none" w:sz="0" w:space="0" w:color="auto"/>
            <w:right w:val="none" w:sz="0" w:space="0" w:color="auto"/>
          </w:divBdr>
        </w:div>
      </w:divsChild>
    </w:div>
    <w:div w:id="1994990842">
      <w:bodyDiv w:val="1"/>
      <w:marLeft w:val="0"/>
      <w:marRight w:val="0"/>
      <w:marTop w:val="0"/>
      <w:marBottom w:val="0"/>
      <w:divBdr>
        <w:top w:val="none" w:sz="0" w:space="0" w:color="auto"/>
        <w:left w:val="none" w:sz="0" w:space="0" w:color="auto"/>
        <w:bottom w:val="none" w:sz="0" w:space="0" w:color="auto"/>
        <w:right w:val="none" w:sz="0" w:space="0" w:color="auto"/>
      </w:divBdr>
      <w:divsChild>
        <w:div w:id="1760100935">
          <w:marLeft w:val="0"/>
          <w:marRight w:val="0"/>
          <w:marTop w:val="0"/>
          <w:marBottom w:val="0"/>
          <w:divBdr>
            <w:top w:val="none" w:sz="0" w:space="0" w:color="auto"/>
            <w:left w:val="none" w:sz="0" w:space="0" w:color="auto"/>
            <w:bottom w:val="none" w:sz="0" w:space="0" w:color="auto"/>
            <w:right w:val="none" w:sz="0" w:space="0" w:color="auto"/>
          </w:divBdr>
          <w:divsChild>
            <w:div w:id="1067456703">
              <w:marLeft w:val="0"/>
              <w:marRight w:val="0"/>
              <w:marTop w:val="0"/>
              <w:marBottom w:val="0"/>
              <w:divBdr>
                <w:top w:val="none" w:sz="0" w:space="0" w:color="auto"/>
                <w:left w:val="none" w:sz="0" w:space="0" w:color="auto"/>
                <w:bottom w:val="none" w:sz="0" w:space="0" w:color="auto"/>
                <w:right w:val="none" w:sz="0" w:space="0" w:color="auto"/>
              </w:divBdr>
              <w:divsChild>
                <w:div w:id="319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424">
      <w:bodyDiv w:val="1"/>
      <w:marLeft w:val="0"/>
      <w:marRight w:val="0"/>
      <w:marTop w:val="0"/>
      <w:marBottom w:val="0"/>
      <w:divBdr>
        <w:top w:val="none" w:sz="0" w:space="0" w:color="auto"/>
        <w:left w:val="none" w:sz="0" w:space="0" w:color="auto"/>
        <w:bottom w:val="none" w:sz="0" w:space="0" w:color="auto"/>
        <w:right w:val="none" w:sz="0" w:space="0" w:color="auto"/>
      </w:divBdr>
      <w:divsChild>
        <w:div w:id="446194908">
          <w:marLeft w:val="0"/>
          <w:marRight w:val="0"/>
          <w:marTop w:val="0"/>
          <w:marBottom w:val="0"/>
          <w:divBdr>
            <w:top w:val="none" w:sz="0" w:space="0" w:color="auto"/>
            <w:left w:val="none" w:sz="0" w:space="0" w:color="auto"/>
            <w:bottom w:val="none" w:sz="0" w:space="0" w:color="auto"/>
            <w:right w:val="none" w:sz="0" w:space="0" w:color="auto"/>
          </w:divBdr>
          <w:divsChild>
            <w:div w:id="65078550">
              <w:marLeft w:val="0"/>
              <w:marRight w:val="0"/>
              <w:marTop w:val="0"/>
              <w:marBottom w:val="0"/>
              <w:divBdr>
                <w:top w:val="none" w:sz="0" w:space="0" w:color="auto"/>
                <w:left w:val="none" w:sz="0" w:space="0" w:color="auto"/>
                <w:bottom w:val="none" w:sz="0" w:space="0" w:color="auto"/>
                <w:right w:val="none" w:sz="0" w:space="0" w:color="auto"/>
              </w:divBdr>
              <w:divsChild>
                <w:div w:id="973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950">
      <w:bodyDiv w:val="1"/>
      <w:marLeft w:val="0"/>
      <w:marRight w:val="0"/>
      <w:marTop w:val="0"/>
      <w:marBottom w:val="0"/>
      <w:divBdr>
        <w:top w:val="none" w:sz="0" w:space="0" w:color="auto"/>
        <w:left w:val="none" w:sz="0" w:space="0" w:color="auto"/>
        <w:bottom w:val="none" w:sz="0" w:space="0" w:color="auto"/>
        <w:right w:val="none" w:sz="0" w:space="0" w:color="auto"/>
      </w:divBdr>
      <w:divsChild>
        <w:div w:id="1945532246">
          <w:marLeft w:val="0"/>
          <w:marRight w:val="0"/>
          <w:marTop w:val="0"/>
          <w:marBottom w:val="0"/>
          <w:divBdr>
            <w:top w:val="none" w:sz="0" w:space="0" w:color="auto"/>
            <w:left w:val="none" w:sz="0" w:space="0" w:color="auto"/>
            <w:bottom w:val="none" w:sz="0" w:space="0" w:color="auto"/>
            <w:right w:val="none" w:sz="0" w:space="0" w:color="auto"/>
          </w:divBdr>
          <w:divsChild>
            <w:div w:id="1639067577">
              <w:marLeft w:val="0"/>
              <w:marRight w:val="0"/>
              <w:marTop w:val="0"/>
              <w:marBottom w:val="0"/>
              <w:divBdr>
                <w:top w:val="none" w:sz="0" w:space="0" w:color="auto"/>
                <w:left w:val="none" w:sz="0" w:space="0" w:color="auto"/>
                <w:bottom w:val="none" w:sz="0" w:space="0" w:color="auto"/>
                <w:right w:val="none" w:sz="0" w:space="0" w:color="auto"/>
              </w:divBdr>
              <w:divsChild>
                <w:div w:id="18945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488">
          <w:marLeft w:val="0"/>
          <w:marRight w:val="0"/>
          <w:marTop w:val="0"/>
          <w:marBottom w:val="0"/>
          <w:divBdr>
            <w:top w:val="none" w:sz="0" w:space="0" w:color="auto"/>
            <w:left w:val="none" w:sz="0" w:space="0" w:color="auto"/>
            <w:bottom w:val="none" w:sz="0" w:space="0" w:color="auto"/>
            <w:right w:val="none" w:sz="0" w:space="0" w:color="auto"/>
          </w:divBdr>
          <w:divsChild>
            <w:div w:id="1886527452">
              <w:marLeft w:val="0"/>
              <w:marRight w:val="0"/>
              <w:marTop w:val="0"/>
              <w:marBottom w:val="0"/>
              <w:divBdr>
                <w:top w:val="none" w:sz="0" w:space="0" w:color="auto"/>
                <w:left w:val="none" w:sz="0" w:space="0" w:color="auto"/>
                <w:bottom w:val="none" w:sz="0" w:space="0" w:color="auto"/>
                <w:right w:val="none" w:sz="0" w:space="0" w:color="auto"/>
              </w:divBdr>
              <w:divsChild>
                <w:div w:id="15469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9976-3D92-45DD-9ECA-5BEC0905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9868</Words>
  <Characters>51979</Characters>
  <Application>Microsoft Office Word</Application>
  <DocSecurity>0</DocSecurity>
  <Lines>433</Lines>
  <Paragraphs>123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DCM</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Neha Kurian</dc:creator>
  <cp:lastModifiedBy>Fiona Marshall</cp:lastModifiedBy>
  <cp:revision>5</cp:revision>
  <cp:lastPrinted>2019-07-05T14:03:00Z</cp:lastPrinted>
  <dcterms:created xsi:type="dcterms:W3CDTF">2020-08-07T15:50:00Z</dcterms:created>
  <dcterms:modified xsi:type="dcterms:W3CDTF">2020-08-07T16:46:00Z</dcterms:modified>
</cp:coreProperties>
</file>