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66F7A" w14:textId="173DF17E" w:rsidR="00DF6FB6" w:rsidRPr="003D7E9D" w:rsidRDefault="00DF6FB6" w:rsidP="000A1AA5">
      <w:pPr>
        <w:pStyle w:val="HChG"/>
        <w:jc w:val="right"/>
        <w:rPr>
          <w:lang w:val="en-US"/>
        </w:rPr>
      </w:pPr>
    </w:p>
    <w:p w14:paraId="3812A940" w14:textId="04446F0E" w:rsidR="00341C77" w:rsidRPr="00001B0D" w:rsidRDefault="0023575C" w:rsidP="00341C77">
      <w:pPr>
        <w:pStyle w:val="HChG"/>
        <w:jc w:val="both"/>
        <w:rPr>
          <w:bCs/>
        </w:rPr>
      </w:pPr>
      <w:r w:rsidRPr="00A21891">
        <w:tab/>
      </w:r>
      <w:r w:rsidRPr="00A21891">
        <w:tab/>
      </w:r>
      <w:r w:rsidR="003A14E0" w:rsidRPr="00001B0D">
        <w:rPr>
          <w:bCs/>
          <w:spacing w:val="-2"/>
        </w:rPr>
        <w:t>Draft f</w:t>
      </w:r>
      <w:r w:rsidR="00341C77" w:rsidRPr="00001B0D">
        <w:rPr>
          <w:bCs/>
          <w:spacing w:val="-2"/>
        </w:rPr>
        <w:t>indings and recommendations with regard to communication</w:t>
      </w:r>
      <w:r w:rsidR="00341C77" w:rsidRPr="00001B0D">
        <w:rPr>
          <w:bCs/>
        </w:rPr>
        <w:t xml:space="preserve"> ACCC/C/2013/98 concerning compliance by Lithuania</w:t>
      </w:r>
    </w:p>
    <w:p w14:paraId="3EF3DDBB" w14:textId="77777777" w:rsidR="00341C77" w:rsidRPr="00001B0D" w:rsidRDefault="00341C77" w:rsidP="00341C77">
      <w:pPr>
        <w:pStyle w:val="H1G"/>
        <w:jc w:val="both"/>
      </w:pPr>
      <w:r w:rsidRPr="00001B0D">
        <w:tab/>
      </w:r>
      <w:r w:rsidRPr="00001B0D">
        <w:tab/>
        <w:t>Adopted by the Compliance Committee on …</w:t>
      </w:r>
    </w:p>
    <w:p w14:paraId="2C8E34D6" w14:textId="77777777" w:rsidR="00341C77" w:rsidRPr="00001B0D" w:rsidRDefault="00341C77" w:rsidP="00341C77">
      <w:pPr>
        <w:pStyle w:val="HChG"/>
        <w:numPr>
          <w:ilvl w:val="0"/>
          <w:numId w:val="6"/>
        </w:numPr>
        <w:jc w:val="both"/>
      </w:pPr>
      <w:bookmarkStart w:id="0" w:name="_Hlk42442614"/>
      <w:r w:rsidRPr="00001B0D">
        <w:t>Introduction</w:t>
      </w:r>
    </w:p>
    <w:bookmarkEnd w:id="0"/>
    <w:p w14:paraId="668DD0C7" w14:textId="15D154ED" w:rsidR="00341C77" w:rsidRPr="00001B0D" w:rsidRDefault="00341C77" w:rsidP="0032598E">
      <w:pPr>
        <w:pStyle w:val="SingleTxtG"/>
        <w:numPr>
          <w:ilvl w:val="0"/>
          <w:numId w:val="3"/>
        </w:numPr>
        <w:suppressAutoHyphens w:val="0"/>
        <w:autoSpaceDE w:val="0"/>
        <w:autoSpaceDN w:val="0"/>
        <w:adjustRightInd w:val="0"/>
        <w:spacing w:line="240" w:lineRule="auto"/>
        <w:ind w:left="1100" w:firstLine="0"/>
        <w:rPr>
          <w:lang w:val="en-US" w:eastAsia="en-GB"/>
        </w:rPr>
      </w:pPr>
      <w:r w:rsidRPr="00001B0D">
        <w:rPr>
          <w:lang w:eastAsia="en-GB"/>
        </w:rPr>
        <w:t>On 30 December 2013, Association Rudamina Community</w:t>
      </w:r>
      <w:r w:rsidR="0032598E" w:rsidRPr="00001B0D">
        <w:rPr>
          <w:lang w:eastAsia="en-GB"/>
        </w:rPr>
        <w:t xml:space="preserve"> </w:t>
      </w:r>
      <w:r w:rsidRPr="00001B0D">
        <w:rPr>
          <w:lang w:eastAsia="en-GB"/>
        </w:rPr>
        <w:t xml:space="preserve">(the communicant), submitted a communication to the Compliance Committee </w:t>
      </w:r>
      <w:r w:rsidR="004961B8" w:rsidRPr="00001B0D">
        <w:rPr>
          <w:lang w:eastAsia="en-GB"/>
        </w:rPr>
        <w:t xml:space="preserve">of </w:t>
      </w:r>
      <w:r w:rsidRPr="00001B0D">
        <w:rPr>
          <w:lang w:eastAsia="en-GB"/>
        </w:rPr>
        <w:t>the Convention</w:t>
      </w:r>
      <w:r w:rsidR="00196165" w:rsidRPr="00001B0D">
        <w:rPr>
          <w:lang w:eastAsia="en-GB"/>
        </w:rPr>
        <w:t xml:space="preserve"> </w:t>
      </w:r>
      <w:r w:rsidR="00196165" w:rsidRPr="00001B0D">
        <w:t>on Access to Information, Public Participation in Decision-making and Access to Justice in Environmental Matters (</w:t>
      </w:r>
      <w:r w:rsidR="004961B8" w:rsidRPr="00001B0D">
        <w:t xml:space="preserve">Aarhus </w:t>
      </w:r>
      <w:r w:rsidR="00196165" w:rsidRPr="00001B0D">
        <w:t>Convention)</w:t>
      </w:r>
      <w:r w:rsidR="0032598E" w:rsidRPr="00001B0D">
        <w:rPr>
          <w:lang w:eastAsia="en-GB"/>
        </w:rPr>
        <w:t xml:space="preserve"> </w:t>
      </w:r>
      <w:r w:rsidR="004961B8" w:rsidRPr="00001B0D">
        <w:rPr>
          <w:lang w:eastAsia="en-GB"/>
        </w:rPr>
        <w:t>alleging that Lithuania had failed to comply with</w:t>
      </w:r>
      <w:r w:rsidR="004961B8" w:rsidRPr="00001B0D">
        <w:t xml:space="preserve"> </w:t>
      </w:r>
      <w:r w:rsidR="004961B8" w:rsidRPr="00001B0D">
        <w:rPr>
          <w:lang w:eastAsia="en-GB"/>
        </w:rPr>
        <w:t xml:space="preserve">articles 6, 7 and 9 of the Convention with respect to </w:t>
      </w:r>
      <w:r w:rsidRPr="00001B0D">
        <w:rPr>
          <w:lang w:eastAsia="en-GB"/>
        </w:rPr>
        <w:t>the construction of overhead power lines</w:t>
      </w:r>
      <w:r w:rsidRPr="00001B0D">
        <w:rPr>
          <w:lang w:val="en-US" w:eastAsia="en-GB"/>
        </w:rPr>
        <w:t xml:space="preserve">. </w:t>
      </w:r>
    </w:p>
    <w:p w14:paraId="698F56BB" w14:textId="66E230A9"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rPr>
          <w:lang w:eastAsia="en-GB"/>
        </w:rPr>
      </w:pPr>
      <w:r w:rsidRPr="00001B0D">
        <w:rPr>
          <w:lang w:eastAsia="en-GB"/>
        </w:rPr>
        <w:t>At its forty-fourth meeting (</w:t>
      </w:r>
      <w:r w:rsidR="00C2487A" w:rsidRPr="00001B0D">
        <w:rPr>
          <w:lang w:eastAsia="en-GB"/>
        </w:rPr>
        <w:t xml:space="preserve">Geneva, </w:t>
      </w:r>
      <w:r w:rsidRPr="00001B0D">
        <w:rPr>
          <w:lang w:eastAsia="en-GB"/>
        </w:rPr>
        <w:t xml:space="preserve">25-28 March 2014), the Committee determined on a preliminary basis that the communication was admissible in accordance with paragraph 20 of the annex to decision 1/7. Pursuant to paragraph 22 of the annex to decision I/7 of the Meeting of the Parties to the Convention, the communication was forwarded to the Party concerned on 27 June 2014. </w:t>
      </w:r>
    </w:p>
    <w:p w14:paraId="3AFF281D" w14:textId="6AE521E7"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rPr>
          <w:lang w:eastAsia="en-GB"/>
        </w:rPr>
      </w:pPr>
      <w:r w:rsidRPr="00001B0D">
        <w:rPr>
          <w:lang w:eastAsia="en-GB"/>
        </w:rPr>
        <w:t>On 26 November 2014, t</w:t>
      </w:r>
      <w:r w:rsidRPr="00001B0D">
        <w:t>he Party concerned provided its response to the communication</w:t>
      </w:r>
      <w:r w:rsidR="004961B8" w:rsidRPr="00001B0D">
        <w:t xml:space="preserve"> and on </w:t>
      </w:r>
      <w:r w:rsidRPr="00001B0D">
        <w:rPr>
          <w:lang w:eastAsia="en-GB"/>
        </w:rPr>
        <w:t>1</w:t>
      </w:r>
      <w:r w:rsidR="00605BAA" w:rsidRPr="00001B0D">
        <w:rPr>
          <w:lang w:eastAsia="en-GB"/>
        </w:rPr>
        <w:t>5</w:t>
      </w:r>
      <w:r w:rsidRPr="00001B0D">
        <w:rPr>
          <w:lang w:eastAsia="en-GB"/>
        </w:rPr>
        <w:t xml:space="preserve"> December 2014 and 25 February</w:t>
      </w:r>
      <w:r w:rsidR="0075409D" w:rsidRPr="00001B0D">
        <w:rPr>
          <w:lang w:eastAsia="en-GB"/>
        </w:rPr>
        <w:t xml:space="preserve"> </w:t>
      </w:r>
      <w:r w:rsidRPr="00001B0D">
        <w:rPr>
          <w:lang w:eastAsia="en-GB"/>
        </w:rPr>
        <w:t>2015</w:t>
      </w:r>
      <w:r w:rsidR="00605BAA" w:rsidRPr="00001B0D">
        <w:rPr>
          <w:lang w:eastAsia="en-GB"/>
        </w:rPr>
        <w:t>,</w:t>
      </w:r>
      <w:r w:rsidRPr="00001B0D">
        <w:rPr>
          <w:lang w:eastAsia="en-GB"/>
        </w:rPr>
        <w:t xml:space="preserve"> the communicant provided comments on th</w:t>
      </w:r>
      <w:r w:rsidR="004961B8" w:rsidRPr="00001B0D">
        <w:rPr>
          <w:lang w:eastAsia="en-GB"/>
        </w:rPr>
        <w:t>ereon</w:t>
      </w:r>
      <w:r w:rsidRPr="00001B0D">
        <w:rPr>
          <w:lang w:eastAsia="en-GB"/>
        </w:rPr>
        <w:t>. The Party concerned sent comments on 13 March 2015</w:t>
      </w:r>
      <w:r w:rsidR="00920D5E" w:rsidRPr="00001B0D">
        <w:rPr>
          <w:lang w:eastAsia="en-GB"/>
        </w:rPr>
        <w:t>,</w:t>
      </w:r>
      <w:r w:rsidRPr="00001B0D">
        <w:rPr>
          <w:lang w:eastAsia="en-GB"/>
        </w:rPr>
        <w:t xml:space="preserve"> and the communicant provided additional information on 20 March 2015. </w:t>
      </w:r>
    </w:p>
    <w:p w14:paraId="07CD3040" w14:textId="49844928" w:rsidR="00341C77" w:rsidRPr="003225FD" w:rsidRDefault="00341C77" w:rsidP="00341C77">
      <w:pPr>
        <w:pStyle w:val="SingleTxtG"/>
        <w:numPr>
          <w:ilvl w:val="0"/>
          <w:numId w:val="3"/>
        </w:numPr>
        <w:suppressAutoHyphens w:val="0"/>
        <w:autoSpaceDE w:val="0"/>
        <w:autoSpaceDN w:val="0"/>
        <w:adjustRightInd w:val="0"/>
        <w:spacing w:line="240" w:lineRule="auto"/>
        <w:ind w:left="1100" w:firstLine="0"/>
        <w:rPr>
          <w:lang w:eastAsia="en-GB"/>
        </w:rPr>
      </w:pPr>
      <w:r w:rsidRPr="00001B0D">
        <w:rPr>
          <w:lang w:eastAsia="en-GB"/>
        </w:rPr>
        <w:t xml:space="preserve">The Committee held a hearing to discuss the substance of the communication at its forty-eighth meeting </w:t>
      </w:r>
      <w:r w:rsidR="001D6707" w:rsidRPr="00001B0D">
        <w:rPr>
          <w:lang w:eastAsia="en-GB"/>
        </w:rPr>
        <w:t xml:space="preserve">(Geneva, 16-19 December 2014) </w:t>
      </w:r>
      <w:r w:rsidRPr="00001B0D">
        <w:rPr>
          <w:lang w:eastAsia="en-GB"/>
        </w:rPr>
        <w:t xml:space="preserve">with the participation of </w:t>
      </w:r>
      <w:r w:rsidRPr="003225FD">
        <w:rPr>
          <w:lang w:eastAsia="en-GB"/>
        </w:rPr>
        <w:t xml:space="preserve">the communicant and the Party concerned. </w:t>
      </w:r>
    </w:p>
    <w:p w14:paraId="65C0BC72" w14:textId="3384A956" w:rsidR="00341C77" w:rsidRPr="003225FD" w:rsidRDefault="00341C77" w:rsidP="00341C77">
      <w:pPr>
        <w:pStyle w:val="SingleTxtG"/>
        <w:numPr>
          <w:ilvl w:val="0"/>
          <w:numId w:val="3"/>
        </w:numPr>
        <w:suppressAutoHyphens w:val="0"/>
        <w:autoSpaceDE w:val="0"/>
        <w:autoSpaceDN w:val="0"/>
        <w:adjustRightInd w:val="0"/>
        <w:spacing w:line="240" w:lineRule="auto"/>
        <w:ind w:left="1100" w:firstLine="0"/>
        <w:rPr>
          <w:lang w:eastAsia="en-GB"/>
        </w:rPr>
      </w:pPr>
      <w:r w:rsidRPr="003225FD">
        <w:rPr>
          <w:lang w:eastAsia="en-GB"/>
        </w:rPr>
        <w:t>On 1</w:t>
      </w:r>
      <w:r w:rsidR="00E03C35" w:rsidRPr="003225FD">
        <w:rPr>
          <w:lang w:eastAsia="en-GB"/>
        </w:rPr>
        <w:t>8</w:t>
      </w:r>
      <w:r w:rsidRPr="003225FD">
        <w:rPr>
          <w:lang w:eastAsia="en-GB"/>
        </w:rPr>
        <w:t xml:space="preserve"> May 2015, the </w:t>
      </w:r>
      <w:r w:rsidR="001D6707" w:rsidRPr="003225FD">
        <w:rPr>
          <w:lang w:eastAsia="en-GB"/>
        </w:rPr>
        <w:t>Committee sent</w:t>
      </w:r>
      <w:r w:rsidRPr="003225FD">
        <w:rPr>
          <w:lang w:eastAsia="en-GB"/>
        </w:rPr>
        <w:t xml:space="preserve"> questions </w:t>
      </w:r>
      <w:r w:rsidR="001D6707" w:rsidRPr="003225FD">
        <w:rPr>
          <w:lang w:eastAsia="en-GB"/>
        </w:rPr>
        <w:t>to the parties</w:t>
      </w:r>
      <w:r w:rsidRPr="003225FD">
        <w:rPr>
          <w:lang w:eastAsia="en-GB"/>
        </w:rPr>
        <w:t xml:space="preserve">. The communicant </w:t>
      </w:r>
      <w:r w:rsidR="001D6707" w:rsidRPr="003225FD">
        <w:rPr>
          <w:lang w:eastAsia="en-GB"/>
        </w:rPr>
        <w:t xml:space="preserve">and the Party concerned </w:t>
      </w:r>
      <w:r w:rsidR="00184E90" w:rsidRPr="003225FD">
        <w:rPr>
          <w:lang w:eastAsia="en-GB"/>
        </w:rPr>
        <w:t>replied</w:t>
      </w:r>
      <w:r w:rsidRPr="003225FD">
        <w:rPr>
          <w:lang w:eastAsia="en-GB"/>
        </w:rPr>
        <w:t xml:space="preserve"> on 5 </w:t>
      </w:r>
      <w:r w:rsidR="001D6707" w:rsidRPr="003225FD">
        <w:rPr>
          <w:lang w:eastAsia="en-GB"/>
        </w:rPr>
        <w:t xml:space="preserve">and 8 </w:t>
      </w:r>
      <w:r w:rsidRPr="003225FD">
        <w:rPr>
          <w:lang w:eastAsia="en-GB"/>
        </w:rPr>
        <w:t>June 2015</w:t>
      </w:r>
      <w:r w:rsidR="00920D5E" w:rsidRPr="003225FD">
        <w:rPr>
          <w:lang w:eastAsia="en-GB"/>
        </w:rPr>
        <w:t>,</w:t>
      </w:r>
      <w:r w:rsidRPr="003225FD">
        <w:rPr>
          <w:lang w:eastAsia="en-GB"/>
        </w:rPr>
        <w:t xml:space="preserve"> </w:t>
      </w:r>
      <w:r w:rsidR="001D6707" w:rsidRPr="003225FD">
        <w:rPr>
          <w:lang w:eastAsia="en-GB"/>
        </w:rPr>
        <w:t>respectively</w:t>
      </w:r>
      <w:r w:rsidRPr="003225FD">
        <w:rPr>
          <w:lang w:eastAsia="en-GB"/>
        </w:rPr>
        <w:t>. Further comments and information were provided by the Party concerned on</w:t>
      </w:r>
      <w:r w:rsidR="00184E90" w:rsidRPr="003225FD">
        <w:rPr>
          <w:lang w:eastAsia="en-GB"/>
        </w:rPr>
        <w:t xml:space="preserve"> </w:t>
      </w:r>
      <w:r w:rsidRPr="003225FD">
        <w:rPr>
          <w:lang w:eastAsia="en-GB"/>
        </w:rPr>
        <w:t>9 and 25 June 2015</w:t>
      </w:r>
      <w:r w:rsidR="00920D5E" w:rsidRPr="003225FD">
        <w:rPr>
          <w:lang w:eastAsia="en-GB"/>
        </w:rPr>
        <w:t>,</w:t>
      </w:r>
      <w:r w:rsidRPr="003225FD">
        <w:rPr>
          <w:lang w:eastAsia="en-GB"/>
        </w:rPr>
        <w:t xml:space="preserve"> and by the communicant on 25 and 26 June </w:t>
      </w:r>
      <w:r w:rsidR="001D6707" w:rsidRPr="003225FD">
        <w:rPr>
          <w:lang w:eastAsia="en-GB"/>
        </w:rPr>
        <w:t xml:space="preserve">and </w:t>
      </w:r>
      <w:r w:rsidRPr="003225FD">
        <w:rPr>
          <w:lang w:eastAsia="en-GB"/>
        </w:rPr>
        <w:t>11 November 2015.</w:t>
      </w:r>
    </w:p>
    <w:p w14:paraId="2E0A6045" w14:textId="70D8E44B" w:rsidR="00341C77" w:rsidRPr="003225FD" w:rsidRDefault="00341C77" w:rsidP="001D6707">
      <w:pPr>
        <w:pStyle w:val="SingleTxtG"/>
        <w:numPr>
          <w:ilvl w:val="0"/>
          <w:numId w:val="3"/>
        </w:numPr>
        <w:suppressAutoHyphens w:val="0"/>
        <w:autoSpaceDE w:val="0"/>
        <w:autoSpaceDN w:val="0"/>
        <w:adjustRightInd w:val="0"/>
        <w:spacing w:line="240" w:lineRule="auto"/>
        <w:ind w:left="1100" w:firstLine="0"/>
        <w:rPr>
          <w:lang w:eastAsia="en-GB"/>
        </w:rPr>
      </w:pPr>
      <w:r w:rsidRPr="003225FD">
        <w:rPr>
          <w:lang w:eastAsia="en-GB"/>
        </w:rPr>
        <w:t xml:space="preserve">On 11 May 2016, the </w:t>
      </w:r>
      <w:r w:rsidR="001D6707" w:rsidRPr="003225FD">
        <w:rPr>
          <w:lang w:eastAsia="en-GB"/>
        </w:rPr>
        <w:t>Committee sent</w:t>
      </w:r>
      <w:r w:rsidRPr="003225FD">
        <w:rPr>
          <w:lang w:eastAsia="en-GB"/>
        </w:rPr>
        <w:t xml:space="preserve"> further questions </w:t>
      </w:r>
      <w:r w:rsidR="001D6707" w:rsidRPr="003225FD">
        <w:rPr>
          <w:lang w:eastAsia="en-GB"/>
        </w:rPr>
        <w:t xml:space="preserve">to the Party concerned, which replied </w:t>
      </w:r>
      <w:r w:rsidRPr="003225FD">
        <w:rPr>
          <w:lang w:eastAsia="en-GB"/>
        </w:rPr>
        <w:t xml:space="preserve">on 25 May 2016. On 30 May 2016, the communicant provided comments </w:t>
      </w:r>
      <w:r w:rsidR="001D6707" w:rsidRPr="003225FD">
        <w:rPr>
          <w:lang w:eastAsia="en-GB"/>
        </w:rPr>
        <w:t>thereon</w:t>
      </w:r>
      <w:r w:rsidRPr="003225FD">
        <w:rPr>
          <w:lang w:eastAsia="en-GB"/>
        </w:rPr>
        <w:t>.</w:t>
      </w:r>
    </w:p>
    <w:p w14:paraId="4FFB65E5" w14:textId="3F06A114" w:rsidR="00341C77" w:rsidRPr="003225FD" w:rsidRDefault="00341C77" w:rsidP="001D6707">
      <w:pPr>
        <w:pStyle w:val="SingleTxtG"/>
        <w:numPr>
          <w:ilvl w:val="0"/>
          <w:numId w:val="3"/>
        </w:numPr>
        <w:suppressAutoHyphens w:val="0"/>
        <w:autoSpaceDE w:val="0"/>
        <w:autoSpaceDN w:val="0"/>
        <w:adjustRightInd w:val="0"/>
        <w:spacing w:line="240" w:lineRule="auto"/>
        <w:ind w:left="1100" w:firstLine="0"/>
        <w:rPr>
          <w:lang w:eastAsia="en-GB"/>
        </w:rPr>
      </w:pPr>
      <w:r w:rsidRPr="003225FD">
        <w:rPr>
          <w:lang w:eastAsia="en-GB"/>
        </w:rPr>
        <w:t xml:space="preserve">On 15 August 2017, the </w:t>
      </w:r>
      <w:r w:rsidR="001D6707" w:rsidRPr="003225FD">
        <w:rPr>
          <w:lang w:eastAsia="en-GB"/>
        </w:rPr>
        <w:t xml:space="preserve">Committee sent further </w:t>
      </w:r>
      <w:r w:rsidRPr="003225FD">
        <w:rPr>
          <w:lang w:eastAsia="en-GB"/>
        </w:rPr>
        <w:t xml:space="preserve">questions </w:t>
      </w:r>
      <w:r w:rsidR="001D6707" w:rsidRPr="003225FD">
        <w:rPr>
          <w:lang w:eastAsia="en-GB"/>
        </w:rPr>
        <w:t>to the Party concerned</w:t>
      </w:r>
      <w:r w:rsidRPr="003225FD">
        <w:rPr>
          <w:lang w:eastAsia="en-GB"/>
        </w:rPr>
        <w:t>.</w:t>
      </w:r>
      <w:r w:rsidR="001D6707" w:rsidRPr="003225FD">
        <w:rPr>
          <w:lang w:eastAsia="en-GB"/>
        </w:rPr>
        <w:t xml:space="preserve"> On </w:t>
      </w:r>
      <w:r w:rsidRPr="003225FD">
        <w:rPr>
          <w:lang w:eastAsia="en-GB"/>
        </w:rPr>
        <w:t>31 August 2017</w:t>
      </w:r>
      <w:r w:rsidR="0027541F" w:rsidRPr="003225FD">
        <w:rPr>
          <w:lang w:eastAsia="en-GB"/>
        </w:rPr>
        <w:t>,</w:t>
      </w:r>
      <w:r w:rsidRPr="003225FD">
        <w:rPr>
          <w:lang w:eastAsia="en-GB"/>
        </w:rPr>
        <w:t xml:space="preserve"> the Party concerned </w:t>
      </w:r>
      <w:r w:rsidR="00184E90" w:rsidRPr="003225FD">
        <w:rPr>
          <w:lang w:eastAsia="en-GB"/>
        </w:rPr>
        <w:t>replied</w:t>
      </w:r>
      <w:r w:rsidRPr="003225FD">
        <w:rPr>
          <w:lang w:eastAsia="en-GB"/>
        </w:rPr>
        <w:t xml:space="preserve"> </w:t>
      </w:r>
      <w:r w:rsidR="001D6707" w:rsidRPr="003225FD">
        <w:rPr>
          <w:lang w:eastAsia="en-GB"/>
        </w:rPr>
        <w:t xml:space="preserve">to </w:t>
      </w:r>
      <w:r w:rsidR="0045228B" w:rsidRPr="003225FD">
        <w:rPr>
          <w:lang w:eastAsia="en-GB"/>
        </w:rPr>
        <w:t>some</w:t>
      </w:r>
      <w:r w:rsidRPr="003225FD">
        <w:rPr>
          <w:lang w:eastAsia="en-GB"/>
        </w:rPr>
        <w:t xml:space="preserve"> </w:t>
      </w:r>
      <w:r w:rsidR="001D6707" w:rsidRPr="003225FD">
        <w:rPr>
          <w:lang w:eastAsia="en-GB"/>
        </w:rPr>
        <w:t xml:space="preserve">of the </w:t>
      </w:r>
      <w:r w:rsidRPr="003225FD">
        <w:rPr>
          <w:lang w:eastAsia="en-GB"/>
        </w:rPr>
        <w:t xml:space="preserve">questions and on </w:t>
      </w:r>
      <w:r w:rsidR="0027541F" w:rsidRPr="003225FD">
        <w:rPr>
          <w:lang w:eastAsia="en-GB"/>
        </w:rPr>
        <w:br/>
      </w:r>
      <w:r w:rsidRPr="003225FD">
        <w:rPr>
          <w:lang w:eastAsia="en-GB"/>
        </w:rPr>
        <w:t>2 October 2017</w:t>
      </w:r>
      <w:r w:rsidR="0027541F" w:rsidRPr="003225FD">
        <w:rPr>
          <w:lang w:eastAsia="en-GB"/>
        </w:rPr>
        <w:t>,</w:t>
      </w:r>
      <w:r w:rsidRPr="003225FD">
        <w:rPr>
          <w:lang w:eastAsia="en-GB"/>
        </w:rPr>
        <w:t xml:space="preserve"> </w:t>
      </w:r>
      <w:r w:rsidR="00184E90" w:rsidRPr="003225FD">
        <w:rPr>
          <w:lang w:eastAsia="en-GB"/>
        </w:rPr>
        <w:t>answered</w:t>
      </w:r>
      <w:r w:rsidRPr="003225FD">
        <w:rPr>
          <w:lang w:eastAsia="en-GB"/>
        </w:rPr>
        <w:t xml:space="preserve"> the remaining questions. The communicant provided comments on the Party’s replies on 7 September and 9 October 201</w:t>
      </w:r>
      <w:r w:rsidR="0021202A" w:rsidRPr="003225FD">
        <w:rPr>
          <w:lang w:eastAsia="en-GB"/>
        </w:rPr>
        <w:t>7,</w:t>
      </w:r>
      <w:r w:rsidR="00DA16FC" w:rsidRPr="003225FD">
        <w:rPr>
          <w:lang w:eastAsia="en-GB"/>
        </w:rPr>
        <w:t xml:space="preserve"> respectively</w:t>
      </w:r>
      <w:r w:rsidRPr="003225FD">
        <w:rPr>
          <w:lang w:eastAsia="en-GB"/>
        </w:rPr>
        <w:t>.</w:t>
      </w:r>
    </w:p>
    <w:p w14:paraId="4000C95B" w14:textId="7C5E59B3" w:rsidR="00FD2DB3" w:rsidRPr="003225FD" w:rsidRDefault="00FD2DB3" w:rsidP="001D6707">
      <w:pPr>
        <w:pStyle w:val="SingleTxtG"/>
        <w:numPr>
          <w:ilvl w:val="0"/>
          <w:numId w:val="3"/>
        </w:numPr>
        <w:suppressAutoHyphens w:val="0"/>
        <w:autoSpaceDE w:val="0"/>
        <w:autoSpaceDN w:val="0"/>
        <w:adjustRightInd w:val="0"/>
        <w:spacing w:line="240" w:lineRule="auto"/>
        <w:ind w:left="1100" w:firstLine="0"/>
        <w:rPr>
          <w:lang w:eastAsia="en-GB"/>
        </w:rPr>
      </w:pPr>
      <w:r w:rsidRPr="003225FD">
        <w:rPr>
          <w:lang w:eastAsia="en-GB"/>
        </w:rPr>
        <w:t xml:space="preserve">On 27 September 2018, the Committee requested relevant legislation from the Party concerned, which </w:t>
      </w:r>
      <w:r w:rsidR="00184E90" w:rsidRPr="003225FD">
        <w:rPr>
          <w:lang w:eastAsia="en-GB"/>
        </w:rPr>
        <w:t>it</w:t>
      </w:r>
      <w:r w:rsidRPr="003225FD">
        <w:rPr>
          <w:lang w:eastAsia="en-GB"/>
        </w:rPr>
        <w:t xml:space="preserve"> provided on 28 September 2018.</w:t>
      </w:r>
    </w:p>
    <w:p w14:paraId="7A80F008" w14:textId="4F96DB7E" w:rsidR="00341C77" w:rsidRPr="000A1AA5" w:rsidRDefault="00341C77" w:rsidP="00341C77">
      <w:pPr>
        <w:pStyle w:val="SingleTxtG"/>
        <w:numPr>
          <w:ilvl w:val="0"/>
          <w:numId w:val="3"/>
        </w:numPr>
        <w:suppressAutoHyphens w:val="0"/>
        <w:autoSpaceDE w:val="0"/>
        <w:autoSpaceDN w:val="0"/>
        <w:adjustRightInd w:val="0"/>
        <w:spacing w:line="240" w:lineRule="auto"/>
        <w:ind w:left="1100" w:firstLine="0"/>
        <w:rPr>
          <w:iCs/>
        </w:rPr>
      </w:pPr>
      <w:r w:rsidRPr="000A1AA5">
        <w:rPr>
          <w:iCs/>
        </w:rPr>
        <w:t xml:space="preserve">The Committee </w:t>
      </w:r>
      <w:r w:rsidR="00274509" w:rsidRPr="000A1AA5">
        <w:rPr>
          <w:iCs/>
          <w:lang w:eastAsia="en-GB"/>
        </w:rPr>
        <w:t xml:space="preserve">completed its </w:t>
      </w:r>
      <w:r w:rsidRPr="000A1AA5">
        <w:rPr>
          <w:iCs/>
        </w:rPr>
        <w:t>draft findings</w:t>
      </w:r>
      <w:r w:rsidR="000A1AA5" w:rsidRPr="000A1AA5">
        <w:rPr>
          <w:iCs/>
        </w:rPr>
        <w:t xml:space="preserve"> through its electronic decision-making procedure on 25 August 2020</w:t>
      </w:r>
      <w:bookmarkStart w:id="1" w:name="_Hlk42442241"/>
      <w:r w:rsidR="000A1AA5" w:rsidRPr="000A1AA5">
        <w:rPr>
          <w:iCs/>
          <w:lang w:eastAsia="en-GB"/>
        </w:rPr>
        <w:t xml:space="preserve">. </w:t>
      </w:r>
      <w:r w:rsidR="00274509" w:rsidRPr="000A1AA5">
        <w:rPr>
          <w:iCs/>
          <w:lang w:eastAsia="en-GB"/>
        </w:rPr>
        <w:t>I</w:t>
      </w:r>
      <w:r w:rsidRPr="000A1AA5">
        <w:rPr>
          <w:iCs/>
          <w:lang w:eastAsia="en-GB"/>
        </w:rPr>
        <w:t>n</w:t>
      </w:r>
      <w:r w:rsidRPr="000A1AA5">
        <w:rPr>
          <w:iCs/>
        </w:rPr>
        <w:t xml:space="preserve"> accordance with paragraph 34 of the annex to decision I/7, the draft findings were then forwarded to the Party concerned and to the communicant on </w:t>
      </w:r>
      <w:r w:rsidR="000A1AA5" w:rsidRPr="000A1AA5">
        <w:rPr>
          <w:iCs/>
          <w:lang w:eastAsia="en-GB"/>
        </w:rPr>
        <w:t>1 September 2020</w:t>
      </w:r>
      <w:r w:rsidR="000A1AA5">
        <w:rPr>
          <w:iCs/>
          <w:lang w:eastAsia="en-GB"/>
        </w:rPr>
        <w:t xml:space="preserve"> </w:t>
      </w:r>
      <w:r w:rsidR="00907255">
        <w:rPr>
          <w:iCs/>
          <w:lang w:eastAsia="en-GB"/>
        </w:rPr>
        <w:t>for their</w:t>
      </w:r>
      <w:r w:rsidR="000A1AA5">
        <w:rPr>
          <w:iCs/>
          <w:lang w:eastAsia="en-GB"/>
        </w:rPr>
        <w:t xml:space="preserve"> comment</w:t>
      </w:r>
      <w:r w:rsidR="00907255">
        <w:rPr>
          <w:iCs/>
          <w:lang w:eastAsia="en-GB"/>
        </w:rPr>
        <w:t>s</w:t>
      </w:r>
      <w:bookmarkStart w:id="2" w:name="_GoBack"/>
      <w:bookmarkEnd w:id="2"/>
      <w:r w:rsidR="000A1AA5">
        <w:rPr>
          <w:iCs/>
          <w:lang w:eastAsia="en-GB"/>
        </w:rPr>
        <w:t xml:space="preserve"> by 13 October 2020.</w:t>
      </w:r>
    </w:p>
    <w:p w14:paraId="3F856E0C" w14:textId="3B94B426" w:rsidR="00341C77" w:rsidRPr="003225FD" w:rsidRDefault="00341C77" w:rsidP="00341C77">
      <w:pPr>
        <w:pStyle w:val="SingleTxtG"/>
        <w:numPr>
          <w:ilvl w:val="0"/>
          <w:numId w:val="3"/>
        </w:numPr>
        <w:suppressAutoHyphens w:val="0"/>
        <w:autoSpaceDE w:val="0"/>
        <w:autoSpaceDN w:val="0"/>
        <w:adjustRightInd w:val="0"/>
        <w:spacing w:line="240" w:lineRule="auto"/>
        <w:ind w:left="1100" w:firstLine="0"/>
        <w:rPr>
          <w:i/>
          <w:lang w:eastAsia="en-GB"/>
        </w:rPr>
      </w:pPr>
      <w:r w:rsidRPr="003225FD">
        <w:rPr>
          <w:i/>
          <w:lang w:eastAsia="en-GB"/>
        </w:rPr>
        <w:t xml:space="preserve">The </w:t>
      </w:r>
      <w:r w:rsidR="00274509" w:rsidRPr="003225FD">
        <w:rPr>
          <w:i/>
          <w:lang w:eastAsia="en-GB"/>
        </w:rPr>
        <w:t xml:space="preserve">communicant and the </w:t>
      </w:r>
      <w:r w:rsidRPr="003225FD">
        <w:rPr>
          <w:i/>
          <w:lang w:eastAsia="en-GB"/>
        </w:rPr>
        <w:t>Party concerned provided comments on</w:t>
      </w:r>
      <w:r w:rsidR="00274509" w:rsidRPr="003225FD">
        <w:rPr>
          <w:i/>
          <w:lang w:eastAsia="en-GB"/>
        </w:rPr>
        <w:t xml:space="preserve"> […] </w:t>
      </w:r>
      <w:r w:rsidRPr="003225FD">
        <w:rPr>
          <w:i/>
          <w:lang w:eastAsia="en-GB"/>
        </w:rPr>
        <w:t xml:space="preserve">and </w:t>
      </w:r>
      <w:r w:rsidR="00274509" w:rsidRPr="003225FD">
        <w:rPr>
          <w:i/>
          <w:lang w:eastAsia="en-GB"/>
        </w:rPr>
        <w:t>[…]</w:t>
      </w:r>
    </w:p>
    <w:p w14:paraId="7CDBA809" w14:textId="3F03B05B" w:rsidR="00341C77" w:rsidRPr="003225FD" w:rsidRDefault="00341C77" w:rsidP="00341C77">
      <w:pPr>
        <w:pStyle w:val="SingleTxtG"/>
        <w:numPr>
          <w:ilvl w:val="0"/>
          <w:numId w:val="3"/>
        </w:numPr>
        <w:suppressAutoHyphens w:val="0"/>
        <w:autoSpaceDE w:val="0"/>
        <w:autoSpaceDN w:val="0"/>
        <w:adjustRightInd w:val="0"/>
        <w:spacing w:line="240" w:lineRule="auto"/>
        <w:ind w:left="1100" w:firstLine="0"/>
        <w:rPr>
          <w:i/>
          <w:lang w:eastAsia="en-GB"/>
        </w:rPr>
      </w:pPr>
      <w:r w:rsidRPr="003225FD">
        <w:rPr>
          <w:i/>
          <w:lang w:eastAsia="en-GB"/>
        </w:rPr>
        <w:t xml:space="preserve">At its </w:t>
      </w:r>
      <w:r w:rsidR="00274509" w:rsidRPr="003225FD">
        <w:rPr>
          <w:i/>
          <w:lang w:eastAsia="en-GB"/>
        </w:rPr>
        <w:t>[…]</w:t>
      </w:r>
      <w:r w:rsidRPr="003225FD">
        <w:rPr>
          <w:i/>
          <w:lang w:eastAsia="en-GB"/>
        </w:rPr>
        <w:t xml:space="preserve"> meeting, the Committee </w:t>
      </w:r>
      <w:r w:rsidRPr="003225FD">
        <w:rPr>
          <w:i/>
        </w:rPr>
        <w:t xml:space="preserve">proceeded to finalize its findings in closed session, taking account of the comments received. The Committee then </w:t>
      </w:r>
      <w:r w:rsidRPr="003225FD">
        <w:rPr>
          <w:i/>
          <w:lang w:eastAsia="en-GB"/>
        </w:rPr>
        <w:t xml:space="preserve">adopted its findings and agreed that they should be published as </w:t>
      </w:r>
      <w:r w:rsidR="00274509" w:rsidRPr="003225FD">
        <w:rPr>
          <w:i/>
          <w:lang w:eastAsia="en-GB"/>
        </w:rPr>
        <w:t>[…]</w:t>
      </w:r>
      <w:r w:rsidRPr="003225FD">
        <w:rPr>
          <w:i/>
          <w:lang w:eastAsia="en-GB"/>
        </w:rPr>
        <w:t>. It requested the secretariat to send the findings to the Party concerned and the communicant.]</w:t>
      </w:r>
      <w:r w:rsidR="00274509" w:rsidRPr="003225FD">
        <w:rPr>
          <w:i/>
          <w:lang w:eastAsia="en-GB"/>
        </w:rPr>
        <w:t xml:space="preserve"> </w:t>
      </w:r>
    </w:p>
    <w:bookmarkEnd w:id="1"/>
    <w:p w14:paraId="11CA4DC5" w14:textId="77777777" w:rsidR="00341C77" w:rsidRPr="00001B0D" w:rsidRDefault="00341C77" w:rsidP="00341C77">
      <w:pPr>
        <w:pStyle w:val="HChG"/>
        <w:jc w:val="both"/>
      </w:pPr>
      <w:r w:rsidRPr="003225FD">
        <w:lastRenderedPageBreak/>
        <w:tab/>
        <w:t>II.</w:t>
      </w:r>
      <w:r w:rsidRPr="003225FD">
        <w:tab/>
        <w:t>Summary of facts, evidence and issues</w:t>
      </w:r>
      <w:r w:rsidRPr="00001B0D">
        <w:rPr>
          <w:rStyle w:val="FootnoteReference"/>
        </w:rPr>
        <w:footnoteReference w:id="2"/>
      </w:r>
    </w:p>
    <w:p w14:paraId="191632A5" w14:textId="77777777" w:rsidR="00341C77" w:rsidRPr="003225FD" w:rsidRDefault="00341C77" w:rsidP="00341C77">
      <w:pPr>
        <w:pStyle w:val="H1G"/>
        <w:numPr>
          <w:ilvl w:val="0"/>
          <w:numId w:val="29"/>
        </w:numPr>
        <w:jc w:val="both"/>
      </w:pPr>
      <w:r w:rsidRPr="003225FD">
        <w:t xml:space="preserve">Legal framework </w:t>
      </w:r>
    </w:p>
    <w:p w14:paraId="2C35C4E5" w14:textId="3CD957A2" w:rsidR="00D603C8" w:rsidRPr="00001B0D" w:rsidRDefault="004F3597" w:rsidP="001F31C4">
      <w:pPr>
        <w:pStyle w:val="SingleTxtG"/>
        <w:numPr>
          <w:ilvl w:val="0"/>
          <w:numId w:val="3"/>
        </w:numPr>
        <w:suppressAutoHyphens w:val="0"/>
        <w:autoSpaceDE w:val="0"/>
        <w:autoSpaceDN w:val="0"/>
        <w:adjustRightInd w:val="0"/>
        <w:spacing w:line="240" w:lineRule="auto"/>
        <w:ind w:left="1134" w:firstLine="0"/>
      </w:pPr>
      <w:bookmarkStart w:id="3" w:name="_Ref514091774"/>
      <w:r w:rsidRPr="003225FD">
        <w:t>The 1996 Law on</w:t>
      </w:r>
      <w:r w:rsidR="00D603C8" w:rsidRPr="003225FD">
        <w:t xml:space="preserve"> Environmental Impact Assessment </w:t>
      </w:r>
      <w:r w:rsidRPr="003225FD">
        <w:t>of the Proposed Economic Activity</w:t>
      </w:r>
      <w:r w:rsidR="00D603C8" w:rsidRPr="003225FD">
        <w:t xml:space="preserve"> No. I-1495</w:t>
      </w:r>
      <w:r w:rsidRPr="003225FD">
        <w:t xml:space="preserve"> (EIA Law) regulates environmental impact assessment procedure</w:t>
      </w:r>
      <w:r w:rsidR="007C3F5D" w:rsidRPr="003225FD">
        <w:t>s in the Party concerned</w:t>
      </w:r>
      <w:r w:rsidRPr="003225FD">
        <w:t>.</w:t>
      </w:r>
      <w:r w:rsidR="001F31C4" w:rsidRPr="00001B0D">
        <w:rPr>
          <w:rStyle w:val="FootnoteReference"/>
        </w:rPr>
        <w:footnoteReference w:id="3"/>
      </w:r>
      <w:r w:rsidRPr="00001B0D">
        <w:t xml:space="preserve">  </w:t>
      </w:r>
    </w:p>
    <w:p w14:paraId="3962D486" w14:textId="5706725A" w:rsidR="004F3597" w:rsidRPr="00001B0D" w:rsidRDefault="004F3597" w:rsidP="00001B0D">
      <w:pPr>
        <w:pStyle w:val="SingleTxtG"/>
        <w:numPr>
          <w:ilvl w:val="0"/>
          <w:numId w:val="3"/>
        </w:numPr>
        <w:suppressAutoHyphens w:val="0"/>
        <w:autoSpaceDE w:val="0"/>
        <w:autoSpaceDN w:val="0"/>
        <w:adjustRightInd w:val="0"/>
        <w:spacing w:line="240" w:lineRule="auto"/>
        <w:ind w:left="1134" w:firstLine="0"/>
      </w:pPr>
      <w:r w:rsidRPr="003225FD">
        <w:t>Public participation in the environmental impact assessment procedure is regulated by Order No. D1-370 of 15 July 2005 “Procedure for Public Information and Participation in the Environmental Impact Assessment Process of the Environmental Impact Assessment of the Proposed Economic Activity” (Public Participation Order).</w:t>
      </w:r>
      <w:r w:rsidR="001F31C4" w:rsidRPr="00001B0D">
        <w:rPr>
          <w:rStyle w:val="FootnoteReference"/>
        </w:rPr>
        <w:footnoteReference w:id="4"/>
      </w:r>
    </w:p>
    <w:p w14:paraId="69148563" w14:textId="564AF949" w:rsidR="004F3597" w:rsidRPr="00001B0D" w:rsidRDefault="004F3597" w:rsidP="00001B0D">
      <w:pPr>
        <w:pStyle w:val="SingleTxtG"/>
        <w:numPr>
          <w:ilvl w:val="0"/>
          <w:numId w:val="3"/>
        </w:numPr>
        <w:suppressAutoHyphens w:val="0"/>
        <w:autoSpaceDE w:val="0"/>
        <w:autoSpaceDN w:val="0"/>
        <w:adjustRightInd w:val="0"/>
        <w:spacing w:line="240" w:lineRule="auto"/>
        <w:ind w:left="1134" w:firstLine="0"/>
      </w:pPr>
      <w:bookmarkStart w:id="4" w:name="_Ref8646010"/>
      <w:r w:rsidRPr="003225FD">
        <w:t xml:space="preserve">Both the EIA Law and the Public Participation Order have been subject to multiple amendments, </w:t>
      </w:r>
      <w:r w:rsidR="001F31C4" w:rsidRPr="003225FD">
        <w:t xml:space="preserve">including during and after the </w:t>
      </w:r>
      <w:bookmarkEnd w:id="4"/>
      <w:r w:rsidR="001F31C4" w:rsidRPr="003225FD">
        <w:t>public participation procedures examined in the present case.</w:t>
      </w:r>
      <w:r w:rsidR="001F31C4" w:rsidRPr="00001B0D">
        <w:rPr>
          <w:rStyle w:val="FootnoteReference"/>
        </w:rPr>
        <w:footnoteReference w:id="5"/>
      </w:r>
    </w:p>
    <w:bookmarkEnd w:id="3"/>
    <w:p w14:paraId="4403DC8E" w14:textId="37BF0C24" w:rsidR="00341C77" w:rsidRPr="003225FD" w:rsidRDefault="00341C77" w:rsidP="00621A2A">
      <w:pPr>
        <w:pStyle w:val="H1G"/>
        <w:numPr>
          <w:ilvl w:val="0"/>
          <w:numId w:val="29"/>
        </w:numPr>
        <w:tabs>
          <w:tab w:val="clear" w:pos="851"/>
          <w:tab w:val="left" w:pos="1134"/>
        </w:tabs>
        <w:jc w:val="both"/>
      </w:pPr>
      <w:r w:rsidRPr="003225FD">
        <w:t>Facts</w:t>
      </w:r>
    </w:p>
    <w:p w14:paraId="633114C4" w14:textId="186A64D0" w:rsidR="00341C77" w:rsidRPr="003225FD" w:rsidRDefault="00341C77" w:rsidP="00C534CA">
      <w:pPr>
        <w:pStyle w:val="SingleTxtG"/>
        <w:numPr>
          <w:ilvl w:val="0"/>
          <w:numId w:val="3"/>
        </w:numPr>
        <w:suppressAutoHyphens w:val="0"/>
        <w:autoSpaceDE w:val="0"/>
        <w:autoSpaceDN w:val="0"/>
        <w:adjustRightInd w:val="0"/>
        <w:spacing w:line="240" w:lineRule="auto"/>
        <w:ind w:left="1134" w:firstLine="0"/>
      </w:pPr>
      <w:r w:rsidRPr="003225FD">
        <w:t xml:space="preserve">The communication concerns a 400kv, 1000 MW overhead power line </w:t>
      </w:r>
      <w:r w:rsidR="00C534CA" w:rsidRPr="003225FD">
        <w:t xml:space="preserve">(OHL) </w:t>
      </w:r>
      <w:r w:rsidRPr="003225FD">
        <w:t xml:space="preserve">with a length of </w:t>
      </w:r>
      <w:r w:rsidR="00B65473" w:rsidRPr="003225FD">
        <w:t>over</w:t>
      </w:r>
      <w:r w:rsidR="00A35DF8" w:rsidRPr="003225FD">
        <w:t xml:space="preserve"> </w:t>
      </w:r>
      <w:r w:rsidR="00DE75E9" w:rsidRPr="003225FD">
        <w:t xml:space="preserve">50 kilometres </w:t>
      </w:r>
      <w:r w:rsidR="00B65473" w:rsidRPr="003225FD">
        <w:t xml:space="preserve">between </w:t>
      </w:r>
      <w:r w:rsidRPr="003225FD">
        <w:t>the towns of Alytus</w:t>
      </w:r>
      <w:r w:rsidR="00FA3F0C" w:rsidRPr="003225FD">
        <w:t xml:space="preserve">, </w:t>
      </w:r>
      <w:r w:rsidRPr="003225FD">
        <w:t>Lithuania</w:t>
      </w:r>
      <w:r w:rsidR="00FA3F0C" w:rsidRPr="003225FD">
        <w:t>,</w:t>
      </w:r>
      <w:r w:rsidRPr="003225FD">
        <w:t xml:space="preserve"> and Elk</w:t>
      </w:r>
      <w:r w:rsidR="00FA3F0C" w:rsidRPr="003225FD">
        <w:t>,</w:t>
      </w:r>
      <w:r w:rsidRPr="003225FD">
        <w:t xml:space="preserve"> Poland</w:t>
      </w:r>
      <w:r w:rsidR="00FA3F0C" w:rsidRPr="003225FD">
        <w:t>,</w:t>
      </w:r>
      <w:r w:rsidRPr="003225FD">
        <w:t xml:space="preserve"> in an area </w:t>
      </w:r>
      <w:r w:rsidR="00B43673" w:rsidRPr="003225FD">
        <w:t xml:space="preserve">with </w:t>
      </w:r>
      <w:r w:rsidRPr="003225FD">
        <w:t xml:space="preserve">four Natura 2000 </w:t>
      </w:r>
      <w:r w:rsidR="00B65473" w:rsidRPr="003225FD">
        <w:t>sites</w:t>
      </w:r>
      <w:r w:rsidRPr="003225FD">
        <w:t>.</w:t>
      </w:r>
      <w:r w:rsidRPr="00001B0D">
        <w:rPr>
          <w:rStyle w:val="FootnoteReference"/>
        </w:rPr>
        <w:footnoteReference w:id="6"/>
      </w:r>
      <w:r w:rsidR="00333F76" w:rsidRPr="00001B0D">
        <w:t xml:space="preserve"> AB Lietuvos Energija, the state-controlled energy company, was the </w:t>
      </w:r>
      <w:r w:rsidR="00B65473" w:rsidRPr="003225FD">
        <w:t xml:space="preserve">project </w:t>
      </w:r>
      <w:r w:rsidR="00333F76" w:rsidRPr="003225FD">
        <w:t>developer.</w:t>
      </w:r>
    </w:p>
    <w:p w14:paraId="3A7A1763" w14:textId="0AA78827" w:rsidR="008048DF" w:rsidRPr="003225FD" w:rsidRDefault="008048DF" w:rsidP="00A72100">
      <w:pPr>
        <w:pStyle w:val="SingleTxtG"/>
        <w:suppressAutoHyphens w:val="0"/>
        <w:autoSpaceDE w:val="0"/>
        <w:autoSpaceDN w:val="0"/>
        <w:adjustRightInd w:val="0"/>
        <w:spacing w:line="240" w:lineRule="auto"/>
        <w:rPr>
          <w:b/>
        </w:rPr>
      </w:pPr>
      <w:r w:rsidRPr="003225FD">
        <w:rPr>
          <w:b/>
        </w:rPr>
        <w:t>The project</w:t>
      </w:r>
      <w:r w:rsidR="00FD5B31" w:rsidRPr="003225FD">
        <w:rPr>
          <w:b/>
        </w:rPr>
        <w:t>’</w:t>
      </w:r>
      <w:r w:rsidRPr="003225FD">
        <w:rPr>
          <w:b/>
        </w:rPr>
        <w:t>s planning</w:t>
      </w:r>
      <w:r w:rsidR="00F307BC" w:rsidRPr="003225FD">
        <w:rPr>
          <w:b/>
        </w:rPr>
        <w:t xml:space="preserve"> and permitting</w:t>
      </w:r>
      <w:r w:rsidRPr="003225FD">
        <w:rPr>
          <w:b/>
        </w:rPr>
        <w:t xml:space="preserve"> </w:t>
      </w:r>
    </w:p>
    <w:p w14:paraId="4A8919BE" w14:textId="35537FAD" w:rsidR="00341C77" w:rsidRPr="00001B0D" w:rsidRDefault="00341C77" w:rsidP="002E3F1C">
      <w:pPr>
        <w:pStyle w:val="ListParagraph"/>
        <w:numPr>
          <w:ilvl w:val="0"/>
          <w:numId w:val="3"/>
        </w:numPr>
        <w:spacing w:after="120"/>
        <w:ind w:left="1134" w:right="1134" w:firstLine="0"/>
        <w:jc w:val="both"/>
      </w:pPr>
      <w:bookmarkStart w:id="5" w:name="_Ref500145758"/>
      <w:r w:rsidRPr="003225FD">
        <w:t xml:space="preserve">On 29 October 2002, </w:t>
      </w:r>
      <w:r w:rsidR="00FA3F0C" w:rsidRPr="003225FD">
        <w:t xml:space="preserve">the Lithuanian </w:t>
      </w:r>
      <w:r w:rsidR="00776AB8" w:rsidRPr="003225FD">
        <w:t>p</w:t>
      </w:r>
      <w:r w:rsidR="00B43673" w:rsidRPr="003225FD">
        <w:t xml:space="preserve">arliament approved </w:t>
      </w:r>
      <w:r w:rsidRPr="003225FD">
        <w:t>a</w:t>
      </w:r>
      <w:r w:rsidR="00C221D4" w:rsidRPr="003225FD">
        <w:t xml:space="preserve"> national</w:t>
      </w:r>
      <w:r w:rsidRPr="003225FD">
        <w:t xml:space="preserve"> </w:t>
      </w:r>
      <w:r w:rsidR="00FA3F0C" w:rsidRPr="003225FD">
        <w:t>m</w:t>
      </w:r>
      <w:r w:rsidRPr="003225FD">
        <w:t xml:space="preserve">aster </w:t>
      </w:r>
      <w:r w:rsidR="00FA3F0C" w:rsidRPr="003225FD">
        <w:t>p</w:t>
      </w:r>
      <w:r w:rsidRPr="003225FD">
        <w:t>lan through Resolution No. IX-1154</w:t>
      </w:r>
      <w:r w:rsidR="00FA609B" w:rsidRPr="003225FD">
        <w:t xml:space="preserve"> (</w:t>
      </w:r>
      <w:r w:rsidR="00FA3F0C" w:rsidRPr="003225FD">
        <w:t xml:space="preserve">the </w:t>
      </w:r>
      <w:r w:rsidR="00FA609B" w:rsidRPr="003225FD">
        <w:t>2002 Plan)</w:t>
      </w:r>
      <w:r w:rsidRPr="003225FD">
        <w:t>.</w:t>
      </w:r>
      <w:r w:rsidR="00B3667C" w:rsidRPr="00001B0D">
        <w:rPr>
          <w:sz w:val="18"/>
          <w:vertAlign w:val="superscript"/>
        </w:rPr>
        <w:footnoteReference w:id="7"/>
      </w:r>
      <w:r w:rsidRPr="00001B0D">
        <w:t xml:space="preserve"> </w:t>
      </w:r>
      <w:r w:rsidR="009B454A" w:rsidRPr="00001B0D">
        <w:t xml:space="preserve">Its </w:t>
      </w:r>
      <w:r w:rsidR="0027541F" w:rsidRPr="003225FD">
        <w:t>a</w:t>
      </w:r>
      <w:r w:rsidRPr="003225FD">
        <w:t xml:space="preserve">nnex 8 </w:t>
      </w:r>
      <w:r w:rsidR="001C733D" w:rsidRPr="003225FD">
        <w:t xml:space="preserve">contains </w:t>
      </w:r>
      <w:r w:rsidRPr="003225FD">
        <w:t xml:space="preserve">a map showing a preliminary route </w:t>
      </w:r>
      <w:r w:rsidR="00333F76" w:rsidRPr="003225FD">
        <w:t xml:space="preserve">for the power line </w:t>
      </w:r>
      <w:r w:rsidRPr="003225FD">
        <w:t xml:space="preserve">which </w:t>
      </w:r>
      <w:r w:rsidR="001C733D" w:rsidRPr="003225FD">
        <w:t>passes</w:t>
      </w:r>
      <w:r w:rsidR="00DE75E9" w:rsidRPr="003225FD">
        <w:t xml:space="preserve"> 7 kilometres from</w:t>
      </w:r>
      <w:r w:rsidR="001C733D" w:rsidRPr="003225FD">
        <w:t xml:space="preserve"> </w:t>
      </w:r>
      <w:r w:rsidR="00F307BC" w:rsidRPr="003225FD">
        <w:t>Rudamina</w:t>
      </w:r>
      <w:r w:rsidR="00AB06F3" w:rsidRPr="003225FD">
        <w:t xml:space="preserve"> </w:t>
      </w:r>
      <w:r w:rsidR="00FA3F0C" w:rsidRPr="003225FD">
        <w:t>village</w:t>
      </w:r>
      <w:r w:rsidR="00847B75" w:rsidRPr="003225FD">
        <w:t>.</w:t>
      </w:r>
      <w:r w:rsidR="004F151E" w:rsidRPr="00001B0D">
        <w:rPr>
          <w:sz w:val="18"/>
          <w:szCs w:val="18"/>
          <w:vertAlign w:val="superscript"/>
        </w:rPr>
        <w:footnoteReference w:id="8"/>
      </w:r>
      <w:r w:rsidR="00847B75" w:rsidRPr="00001B0D">
        <w:t xml:space="preserve"> The </w:t>
      </w:r>
      <w:r w:rsidR="00A44D80" w:rsidRPr="00001B0D">
        <w:t xml:space="preserve">2002 </w:t>
      </w:r>
      <w:r w:rsidR="00847B75" w:rsidRPr="003225FD">
        <w:t xml:space="preserve">Plan </w:t>
      </w:r>
      <w:r w:rsidR="001C733D" w:rsidRPr="003225FD">
        <w:t xml:space="preserve">states </w:t>
      </w:r>
      <w:r w:rsidRPr="003225FD">
        <w:t xml:space="preserve">that the </w:t>
      </w:r>
      <w:r w:rsidR="009B454A" w:rsidRPr="003225FD">
        <w:t xml:space="preserve">power line </w:t>
      </w:r>
      <w:r w:rsidRPr="003225FD">
        <w:t>w</w:t>
      </w:r>
      <w:r w:rsidR="00847B75" w:rsidRPr="003225FD">
        <w:t>ill</w:t>
      </w:r>
      <w:r w:rsidRPr="003225FD">
        <w:t xml:space="preserve"> be overhead.</w:t>
      </w:r>
      <w:bookmarkEnd w:id="5"/>
      <w:r w:rsidRPr="00001B0D">
        <w:rPr>
          <w:sz w:val="18"/>
          <w:vertAlign w:val="superscript"/>
        </w:rPr>
        <w:footnoteReference w:id="9"/>
      </w:r>
    </w:p>
    <w:p w14:paraId="7D7C71B7" w14:textId="54DE857B" w:rsidR="00341C77" w:rsidRPr="00001B0D" w:rsidRDefault="00341C77" w:rsidP="00FA3F0C">
      <w:pPr>
        <w:pStyle w:val="SingleTxtG"/>
        <w:numPr>
          <w:ilvl w:val="0"/>
          <w:numId w:val="3"/>
        </w:numPr>
        <w:suppressAutoHyphens w:val="0"/>
        <w:autoSpaceDE w:val="0"/>
        <w:autoSpaceDN w:val="0"/>
        <w:adjustRightInd w:val="0"/>
        <w:spacing w:line="240" w:lineRule="auto"/>
        <w:ind w:left="1100" w:firstLine="0"/>
      </w:pPr>
      <w:bookmarkStart w:id="6" w:name="_Hlk524599959"/>
      <w:r w:rsidRPr="003225FD">
        <w:t>In May 2008, Litpol Link</w:t>
      </w:r>
      <w:r w:rsidR="007D39FC" w:rsidRPr="003225FD">
        <w:t xml:space="preserve"> (the project coordinator)</w:t>
      </w:r>
      <w:r w:rsidRPr="003225FD">
        <w:t xml:space="preserve">, a joint venture of </w:t>
      </w:r>
      <w:r w:rsidR="00F307BC" w:rsidRPr="003225FD">
        <w:t>Poland and Lithuania’s</w:t>
      </w:r>
      <w:r w:rsidR="00FA3F0C" w:rsidRPr="003225FD">
        <w:t xml:space="preserve"> </w:t>
      </w:r>
      <w:r w:rsidR="00074602" w:rsidRPr="003225FD">
        <w:t xml:space="preserve">electricity transmission systems </w:t>
      </w:r>
      <w:r w:rsidRPr="003225FD">
        <w:t xml:space="preserve">operators, was established to coordinate </w:t>
      </w:r>
      <w:r w:rsidR="00074602" w:rsidRPr="003225FD">
        <w:t>the project</w:t>
      </w:r>
      <w:r w:rsidR="00BD31B9" w:rsidRPr="003225FD">
        <w:t>’</w:t>
      </w:r>
      <w:r w:rsidR="00074602" w:rsidRPr="003225FD">
        <w:t xml:space="preserve">s </w:t>
      </w:r>
      <w:r w:rsidRPr="003225FD">
        <w:t>p</w:t>
      </w:r>
      <w:r w:rsidR="00FA609B" w:rsidRPr="003225FD">
        <w:t>lanning</w:t>
      </w:r>
      <w:r w:rsidRPr="003225FD">
        <w:t xml:space="preserve"> and construction. The Lithuanian electricity system operator, LITGRID AB, holds 50% of the shares in </w:t>
      </w:r>
      <w:r w:rsidR="00FA3F0C" w:rsidRPr="003225FD">
        <w:t>Litpol Link</w:t>
      </w:r>
      <w:r w:rsidRPr="003225FD">
        <w:t xml:space="preserve">. </w:t>
      </w:r>
      <w:r w:rsidR="002C05B4" w:rsidRPr="003225FD">
        <w:t xml:space="preserve">LITGRID AB was at </w:t>
      </w:r>
      <w:r w:rsidR="00B65473" w:rsidRPr="003225FD">
        <w:t xml:space="preserve">that </w:t>
      </w:r>
      <w:r w:rsidR="002C05B4" w:rsidRPr="003225FD">
        <w:t>time a subsidiary of AB Lietuvos Energija.</w:t>
      </w:r>
      <w:r w:rsidR="00274509" w:rsidRPr="00001B0D">
        <w:rPr>
          <w:rStyle w:val="FootnoteReference"/>
        </w:rPr>
        <w:footnoteReference w:id="10"/>
      </w:r>
      <w:r w:rsidR="002C05B4" w:rsidRPr="00001B0D">
        <w:t xml:space="preserve"> </w:t>
      </w:r>
    </w:p>
    <w:bookmarkEnd w:id="6"/>
    <w:p w14:paraId="2A2375A3" w14:textId="05F10C6B"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r w:rsidRPr="003225FD">
        <w:t>On 5 December 2008 and 24 March 2009</w:t>
      </w:r>
      <w:r w:rsidR="005F745F" w:rsidRPr="003225FD">
        <w:t>,</w:t>
      </w:r>
      <w:r w:rsidRPr="003225FD">
        <w:t xml:space="preserve"> respectively, the </w:t>
      </w:r>
      <w:r w:rsidR="00FA3F0C" w:rsidRPr="003225FD">
        <w:t>m</w:t>
      </w:r>
      <w:r w:rsidRPr="003225FD">
        <w:t xml:space="preserve">aster </w:t>
      </w:r>
      <w:r w:rsidR="00FA3F0C" w:rsidRPr="003225FD">
        <w:t>p</w:t>
      </w:r>
      <w:r w:rsidRPr="003225FD">
        <w:t>lans of the Lazdijai and Alytus municipalit</w:t>
      </w:r>
      <w:r w:rsidR="00C351A8" w:rsidRPr="003225FD">
        <w:t>ies</w:t>
      </w:r>
      <w:r w:rsidRPr="003225FD">
        <w:t xml:space="preserve"> were adopted. </w:t>
      </w:r>
      <w:r w:rsidR="00094123" w:rsidRPr="003225FD">
        <w:t>These</w:t>
      </w:r>
      <w:r w:rsidRPr="003225FD">
        <w:t xml:space="preserve"> </w:t>
      </w:r>
      <w:r w:rsidR="00FA3F0C" w:rsidRPr="003225FD">
        <w:t xml:space="preserve">showed </w:t>
      </w:r>
      <w:r w:rsidRPr="003225FD">
        <w:t xml:space="preserve">the </w:t>
      </w:r>
      <w:r w:rsidR="00FA3F0C" w:rsidRPr="003225FD">
        <w:t xml:space="preserve">same route for the OHL </w:t>
      </w:r>
      <w:r w:rsidRPr="003225FD">
        <w:t>as the 2002 Plan.</w:t>
      </w:r>
      <w:r w:rsidRPr="00001B0D">
        <w:rPr>
          <w:rStyle w:val="FootnoteReference"/>
        </w:rPr>
        <w:footnoteReference w:id="11"/>
      </w:r>
    </w:p>
    <w:p w14:paraId="7B64B046" w14:textId="661EE357" w:rsidR="00E52256" w:rsidRPr="00001B0D" w:rsidRDefault="00341C77" w:rsidP="00E52256">
      <w:pPr>
        <w:pStyle w:val="SingleTxtG"/>
        <w:numPr>
          <w:ilvl w:val="0"/>
          <w:numId w:val="3"/>
        </w:numPr>
        <w:suppressAutoHyphens w:val="0"/>
        <w:autoSpaceDE w:val="0"/>
        <w:autoSpaceDN w:val="0"/>
        <w:adjustRightInd w:val="0"/>
        <w:spacing w:line="240" w:lineRule="auto"/>
        <w:ind w:left="1100" w:firstLine="0"/>
      </w:pPr>
      <w:bookmarkStart w:id="7" w:name="_Ref514097855"/>
      <w:r w:rsidRPr="003225FD">
        <w:t xml:space="preserve">On 12 October 2009, the </w:t>
      </w:r>
      <w:r w:rsidR="00FA3F0C" w:rsidRPr="003225FD">
        <w:t xml:space="preserve">Lithuanian </w:t>
      </w:r>
      <w:r w:rsidRPr="003225FD">
        <w:t>Minister of Energy issued a decree “on the preparation of the special plan for the construction of the 400kV overhead power line from the Alytus transformer substation to the Polish-Lithuanian border” (</w:t>
      </w:r>
      <w:r w:rsidR="00FA3F0C" w:rsidRPr="003225FD">
        <w:t xml:space="preserve">the </w:t>
      </w:r>
      <w:r w:rsidR="00B40C94" w:rsidRPr="003225FD">
        <w:t>2009 Decree</w:t>
      </w:r>
      <w:r w:rsidRPr="003225FD">
        <w:t>) which designated AB Lietuvos Energija as the planning organi</w:t>
      </w:r>
      <w:r w:rsidR="00FD5B31" w:rsidRPr="003225FD">
        <w:t>z</w:t>
      </w:r>
      <w:r w:rsidRPr="003225FD">
        <w:t>er.</w:t>
      </w:r>
      <w:r w:rsidRPr="00001B0D">
        <w:rPr>
          <w:rStyle w:val="FootnoteReference"/>
        </w:rPr>
        <w:footnoteReference w:id="12"/>
      </w:r>
      <w:bookmarkEnd w:id="7"/>
      <w:r w:rsidR="00E52256" w:rsidRPr="00001B0D">
        <w:t xml:space="preserve"> The rights and duties of AB Lietuvos Energija were later </w:t>
      </w:r>
      <w:r w:rsidR="000452CB" w:rsidRPr="00001B0D">
        <w:t>assigned to</w:t>
      </w:r>
      <w:r w:rsidR="00E52256" w:rsidRPr="003225FD">
        <w:t xml:space="preserve"> its subsidiary LITGRID AB.</w:t>
      </w:r>
      <w:r w:rsidR="00E52256" w:rsidRPr="00001B0D">
        <w:rPr>
          <w:rStyle w:val="FootnoteReference"/>
        </w:rPr>
        <w:footnoteReference w:id="13"/>
      </w:r>
    </w:p>
    <w:p w14:paraId="0E3ED40E" w14:textId="43348A50"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r w:rsidRPr="003225FD">
        <w:lastRenderedPageBreak/>
        <w:t xml:space="preserve">On 22 October 2009, </w:t>
      </w:r>
      <w:r w:rsidR="007E0E23" w:rsidRPr="003225FD">
        <w:t xml:space="preserve">AB Lietuvos Energija </w:t>
      </w:r>
      <w:r w:rsidRPr="003225FD">
        <w:t>signed an agreement with AB SWECO International and UAB Sweco Lietuva (</w:t>
      </w:r>
      <w:r w:rsidR="00C11E0D" w:rsidRPr="003225FD">
        <w:t xml:space="preserve">the </w:t>
      </w:r>
      <w:r w:rsidRPr="003225FD">
        <w:t xml:space="preserve">consultant) </w:t>
      </w:r>
      <w:r w:rsidR="00094123" w:rsidRPr="003225FD">
        <w:t xml:space="preserve">for </w:t>
      </w:r>
      <w:r w:rsidRPr="003225FD">
        <w:t xml:space="preserve">the </w:t>
      </w:r>
      <w:r w:rsidR="00C11E0D" w:rsidRPr="003225FD">
        <w:t xml:space="preserve">OHL </w:t>
      </w:r>
      <w:r w:rsidRPr="003225FD">
        <w:t xml:space="preserve">works, including the preparation of </w:t>
      </w:r>
      <w:r w:rsidR="00C11E0D" w:rsidRPr="003225FD">
        <w:t xml:space="preserve">a strategic </w:t>
      </w:r>
      <w:r w:rsidRPr="003225FD">
        <w:t xml:space="preserve">environmental </w:t>
      </w:r>
      <w:r w:rsidR="008868D1" w:rsidRPr="003225FD">
        <w:t>assessment</w:t>
      </w:r>
      <w:r w:rsidR="00C11E0D" w:rsidRPr="003225FD">
        <w:t xml:space="preserve"> (SEA), an environmental impact assessment (EIA)</w:t>
      </w:r>
      <w:r w:rsidRPr="003225FD">
        <w:t xml:space="preserve"> and a special plan.</w:t>
      </w:r>
      <w:r w:rsidRPr="00001B0D">
        <w:rPr>
          <w:rStyle w:val="FootnoteReference"/>
        </w:rPr>
        <w:footnoteReference w:id="14"/>
      </w:r>
      <w:r w:rsidRPr="00001B0D">
        <w:t xml:space="preserve"> </w:t>
      </w:r>
    </w:p>
    <w:p w14:paraId="5FFEF1D8" w14:textId="3C9E4A58"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bookmarkStart w:id="8" w:name="_Ref514089741"/>
      <w:r w:rsidRPr="003225FD">
        <w:t xml:space="preserve">In December 2009, </w:t>
      </w:r>
      <w:r w:rsidR="008B4542" w:rsidRPr="003225FD">
        <w:t>the</w:t>
      </w:r>
      <w:r w:rsidR="000F05EA" w:rsidRPr="003225FD">
        <w:t xml:space="preserve"> </w:t>
      </w:r>
      <w:r w:rsidR="008B4542" w:rsidRPr="003225FD">
        <w:t>consultant</w:t>
      </w:r>
      <w:r w:rsidRPr="003225FD">
        <w:t xml:space="preserve"> </w:t>
      </w:r>
      <w:r w:rsidR="00BD31B9" w:rsidRPr="003225FD">
        <w:t>prepared a</w:t>
      </w:r>
      <w:r w:rsidR="005C6AE3" w:rsidRPr="003225FD">
        <w:t xml:space="preserve"> </w:t>
      </w:r>
      <w:r w:rsidR="00C43735" w:rsidRPr="003225FD">
        <w:t>special plan concept</w:t>
      </w:r>
      <w:r w:rsidR="00C11E0D" w:rsidRPr="003225FD">
        <w:t xml:space="preserve"> (</w:t>
      </w:r>
      <w:r w:rsidR="00D15B7B" w:rsidRPr="003225FD">
        <w:t xml:space="preserve">the SEA’s scoping document and </w:t>
      </w:r>
      <w:r w:rsidR="00C43735" w:rsidRPr="003225FD">
        <w:t>essentially a draft of the special plan</w:t>
      </w:r>
      <w:r w:rsidR="00C11E0D" w:rsidRPr="003225FD">
        <w:t>)</w:t>
      </w:r>
      <w:r w:rsidRPr="003225FD">
        <w:t>. On 4 December 2009</w:t>
      </w:r>
      <w:r w:rsidR="008B5531" w:rsidRPr="003225FD">
        <w:t>,</w:t>
      </w:r>
      <w:r w:rsidRPr="003225FD">
        <w:t xml:space="preserve"> information on the special plan concept was published in f</w:t>
      </w:r>
      <w:r w:rsidR="00964775" w:rsidRPr="003225FD">
        <w:t>our</w:t>
      </w:r>
      <w:r w:rsidRPr="003225FD">
        <w:t xml:space="preserve"> </w:t>
      </w:r>
      <w:r w:rsidR="00AA52FC" w:rsidRPr="003225FD">
        <w:t xml:space="preserve">local and </w:t>
      </w:r>
      <w:r w:rsidR="00964775" w:rsidRPr="003225FD">
        <w:t xml:space="preserve">one </w:t>
      </w:r>
      <w:r w:rsidR="00AA52FC" w:rsidRPr="003225FD">
        <w:t xml:space="preserve">national </w:t>
      </w:r>
      <w:r w:rsidRPr="003225FD">
        <w:t>newspaper, and on 14 December 2009</w:t>
      </w:r>
      <w:r w:rsidR="003073F3" w:rsidRPr="003225FD">
        <w:t>,</w:t>
      </w:r>
      <w:r w:rsidRPr="003225FD">
        <w:t xml:space="preserve"> it was published on </w:t>
      </w:r>
      <w:r w:rsidR="00964775" w:rsidRPr="003225FD">
        <w:t>the websites of</w:t>
      </w:r>
      <w:r w:rsidRPr="003225FD">
        <w:t xml:space="preserve"> </w:t>
      </w:r>
      <w:r w:rsidR="003073F3" w:rsidRPr="003225FD">
        <w:t xml:space="preserve">the Alytus County Governor Administration, the municipalities of the Alytus and Lazdijai districts, </w:t>
      </w:r>
      <w:r w:rsidRPr="003225FD">
        <w:t xml:space="preserve">the </w:t>
      </w:r>
      <w:r w:rsidR="007D39FC" w:rsidRPr="003225FD">
        <w:t>project coordinator</w:t>
      </w:r>
      <w:r w:rsidR="00964775" w:rsidRPr="003225FD">
        <w:t>,</w:t>
      </w:r>
      <w:r w:rsidRPr="003225FD">
        <w:t xml:space="preserve"> and the developer.</w:t>
      </w:r>
      <w:r w:rsidRPr="00001B0D">
        <w:rPr>
          <w:rStyle w:val="FootnoteReference"/>
        </w:rPr>
        <w:footnoteReference w:id="15"/>
      </w:r>
      <w:bookmarkEnd w:id="8"/>
      <w:r w:rsidRPr="00001B0D">
        <w:t xml:space="preserve"> </w:t>
      </w:r>
    </w:p>
    <w:p w14:paraId="535C217F" w14:textId="46749BE9" w:rsidR="00277D93" w:rsidRPr="00001B0D" w:rsidRDefault="00A6648A" w:rsidP="00341C77">
      <w:pPr>
        <w:pStyle w:val="SingleTxtG"/>
        <w:numPr>
          <w:ilvl w:val="0"/>
          <w:numId w:val="3"/>
        </w:numPr>
        <w:suppressAutoHyphens w:val="0"/>
        <w:autoSpaceDE w:val="0"/>
        <w:autoSpaceDN w:val="0"/>
        <w:adjustRightInd w:val="0"/>
        <w:spacing w:line="240" w:lineRule="auto"/>
        <w:ind w:left="1100" w:firstLine="0"/>
        <w:rPr>
          <w:i/>
        </w:rPr>
      </w:pPr>
      <w:bookmarkStart w:id="9" w:name="_Ref514089606"/>
      <w:r w:rsidRPr="003225FD">
        <w:t xml:space="preserve">In </w:t>
      </w:r>
      <w:r w:rsidR="008B5531" w:rsidRPr="003225FD">
        <w:t>early</w:t>
      </w:r>
      <w:r w:rsidRPr="003225FD">
        <w:t xml:space="preserve"> 2010</w:t>
      </w:r>
      <w:r w:rsidR="00152AFE" w:rsidRPr="003225FD">
        <w:t>,</w:t>
      </w:r>
      <w:r w:rsidRPr="003225FD">
        <w:t xml:space="preserve"> a project brochure was published</w:t>
      </w:r>
      <w:r w:rsidR="003073F3" w:rsidRPr="003225FD">
        <w:t>. It</w:t>
      </w:r>
      <w:r w:rsidRPr="003225FD">
        <w:t xml:space="preserve"> was</w:t>
      </w:r>
      <w:r w:rsidR="00277D93" w:rsidRPr="003225FD">
        <w:t xml:space="preserve"> distributed at hearings and provided to 13 </w:t>
      </w:r>
      <w:r w:rsidR="003B4D59" w:rsidRPr="003225FD">
        <w:t xml:space="preserve">county, municipal and subdistrict </w:t>
      </w:r>
      <w:r w:rsidR="00277D93" w:rsidRPr="003225FD">
        <w:t>authorities for dissemination.</w:t>
      </w:r>
      <w:r w:rsidR="00277D93" w:rsidRPr="00001B0D">
        <w:rPr>
          <w:rStyle w:val="FootnoteReference"/>
        </w:rPr>
        <w:footnoteReference w:id="16"/>
      </w:r>
    </w:p>
    <w:p w14:paraId="5290DA70" w14:textId="5A1B39FD"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rPr>
          <w:i/>
        </w:rPr>
      </w:pPr>
      <w:r w:rsidRPr="003225FD">
        <w:t>On 22</w:t>
      </w:r>
      <w:r w:rsidR="00964775" w:rsidRPr="003225FD">
        <w:t>-</w:t>
      </w:r>
      <w:r w:rsidRPr="003225FD">
        <w:t xml:space="preserve">23 January 2010, </w:t>
      </w:r>
      <w:r w:rsidR="00F307BC" w:rsidRPr="003225FD">
        <w:t>notice of</w:t>
      </w:r>
      <w:r w:rsidRPr="003225FD">
        <w:t xml:space="preserve"> the project’s EIA </w:t>
      </w:r>
      <w:r w:rsidR="00F307BC" w:rsidRPr="003225FD">
        <w:t>programme</w:t>
      </w:r>
      <w:r w:rsidRPr="003225FD">
        <w:t xml:space="preserve"> was </w:t>
      </w:r>
      <w:r w:rsidR="00F307BC" w:rsidRPr="003225FD">
        <w:t>published</w:t>
      </w:r>
      <w:r w:rsidRPr="003225FD">
        <w:t xml:space="preserve"> in two local newspapers, a national daily newspaper, </w:t>
      </w:r>
      <w:r w:rsidR="008B5531" w:rsidRPr="003225FD">
        <w:t xml:space="preserve">on </w:t>
      </w:r>
      <w:r w:rsidR="00892DFA" w:rsidRPr="003225FD">
        <w:t xml:space="preserve">project site </w:t>
      </w:r>
      <w:r w:rsidRPr="003225FD">
        <w:t>billboards</w:t>
      </w:r>
      <w:r w:rsidR="00892DFA" w:rsidRPr="003225FD">
        <w:t xml:space="preserve">, </w:t>
      </w:r>
      <w:r w:rsidRPr="003225FD">
        <w:t xml:space="preserve">and the websites of the developer and the </w:t>
      </w:r>
      <w:r w:rsidR="000F05EA" w:rsidRPr="003225FD">
        <w:t xml:space="preserve">competent authority, </w:t>
      </w:r>
      <w:r w:rsidR="00BA4326" w:rsidRPr="003225FD">
        <w:t xml:space="preserve">Alytus </w:t>
      </w:r>
      <w:r w:rsidRPr="003225FD">
        <w:t xml:space="preserve">Regional Environmental Protection Department (Alytus RED). On 25 January 2010, information on the EIA programme was published </w:t>
      </w:r>
      <w:r w:rsidR="009D0DE4" w:rsidRPr="003225FD">
        <w:t xml:space="preserve">on the </w:t>
      </w:r>
      <w:r w:rsidR="00A67409" w:rsidRPr="003225FD">
        <w:t xml:space="preserve">websites of the </w:t>
      </w:r>
      <w:r w:rsidR="00D15B7B" w:rsidRPr="003225FD">
        <w:t>consultant</w:t>
      </w:r>
      <w:r w:rsidR="00A67409" w:rsidRPr="003225FD">
        <w:t xml:space="preserve"> and </w:t>
      </w:r>
      <w:r w:rsidR="00BF306A" w:rsidRPr="003225FD">
        <w:t>another</w:t>
      </w:r>
      <w:r w:rsidRPr="003225FD">
        <w:t xml:space="preserve"> newspaper.</w:t>
      </w:r>
      <w:r w:rsidRPr="00001B0D">
        <w:rPr>
          <w:rStyle w:val="FootnoteReference"/>
        </w:rPr>
        <w:footnoteReference w:id="17"/>
      </w:r>
      <w:bookmarkEnd w:id="9"/>
    </w:p>
    <w:p w14:paraId="1A18D4E7" w14:textId="1C5E10BE"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bookmarkStart w:id="10" w:name="_Ref514089608"/>
      <w:r w:rsidRPr="003225FD">
        <w:t xml:space="preserve">On 26-27 February 2010, </w:t>
      </w:r>
      <w:r w:rsidR="00F307BC" w:rsidRPr="003225FD">
        <w:t>notice of the</w:t>
      </w:r>
      <w:r w:rsidRPr="003225FD">
        <w:t xml:space="preserve"> public hearings </w:t>
      </w:r>
      <w:r w:rsidR="00F307BC" w:rsidRPr="003225FD">
        <w:t>for</w:t>
      </w:r>
      <w:r w:rsidRPr="003225FD">
        <w:t xml:space="preserve"> the special plan concept was published in f</w:t>
      </w:r>
      <w:r w:rsidR="006D1E17" w:rsidRPr="003225FD">
        <w:t>our local and one national</w:t>
      </w:r>
      <w:r w:rsidRPr="003225FD">
        <w:t xml:space="preserve"> newspaper.</w:t>
      </w:r>
      <w:r w:rsidRPr="00001B0D">
        <w:rPr>
          <w:rStyle w:val="FootnoteReference"/>
        </w:rPr>
        <w:footnoteReference w:id="18"/>
      </w:r>
      <w:bookmarkEnd w:id="10"/>
      <w:r w:rsidRPr="00001B0D">
        <w:t xml:space="preserve"> </w:t>
      </w:r>
    </w:p>
    <w:p w14:paraId="0920D837" w14:textId="7003D571" w:rsidR="003073F3" w:rsidRPr="00001B0D" w:rsidRDefault="008B5531" w:rsidP="006D1E17">
      <w:pPr>
        <w:pStyle w:val="SingleTxtG"/>
        <w:numPr>
          <w:ilvl w:val="0"/>
          <w:numId w:val="3"/>
        </w:numPr>
        <w:suppressAutoHyphens w:val="0"/>
        <w:autoSpaceDE w:val="0"/>
        <w:autoSpaceDN w:val="0"/>
        <w:adjustRightInd w:val="0"/>
        <w:spacing w:line="240" w:lineRule="auto"/>
        <w:ind w:left="1100" w:firstLine="0"/>
      </w:pPr>
      <w:bookmarkStart w:id="11" w:name="_Ref8661165"/>
      <w:r w:rsidRPr="003225FD">
        <w:t>P</w:t>
      </w:r>
      <w:r w:rsidR="00341C77" w:rsidRPr="003225FD">
        <w:t xml:space="preserve">ublic hearings </w:t>
      </w:r>
      <w:r w:rsidR="00C45361" w:rsidRPr="003225FD">
        <w:t xml:space="preserve">on </w:t>
      </w:r>
      <w:r w:rsidR="00341C77" w:rsidRPr="003225FD">
        <w:t xml:space="preserve">the special plan concept were held on 30 </w:t>
      </w:r>
      <w:r w:rsidR="003073F3" w:rsidRPr="003225FD">
        <w:t xml:space="preserve">and 31 </w:t>
      </w:r>
      <w:r w:rsidR="00341C77" w:rsidRPr="003225FD">
        <w:t xml:space="preserve">March </w:t>
      </w:r>
      <w:r w:rsidR="003073F3" w:rsidRPr="003225FD">
        <w:t>2010</w:t>
      </w:r>
      <w:r w:rsidR="009E6FBB" w:rsidRPr="003225FD">
        <w:t xml:space="preserve"> in Lazdijai and Alytus, respectively</w:t>
      </w:r>
      <w:r w:rsidR="00341C77" w:rsidRPr="003225FD">
        <w:t xml:space="preserve">. </w:t>
      </w:r>
      <w:r w:rsidR="009E6FBB" w:rsidRPr="003225FD">
        <w:t>Twenty</w:t>
      </w:r>
      <w:r w:rsidR="00341C77" w:rsidRPr="003225FD">
        <w:t xml:space="preserve"> working days </w:t>
      </w:r>
      <w:r w:rsidR="009E6FBB" w:rsidRPr="003225FD">
        <w:t xml:space="preserve">were </w:t>
      </w:r>
      <w:r w:rsidR="00341C77" w:rsidRPr="003225FD">
        <w:t>set for the public to prepare comments.</w:t>
      </w:r>
      <w:r w:rsidR="008D6EA9" w:rsidRPr="00001B0D">
        <w:rPr>
          <w:rStyle w:val="FootnoteReference"/>
        </w:rPr>
        <w:footnoteReference w:id="19"/>
      </w:r>
      <w:bookmarkEnd w:id="11"/>
      <w:r w:rsidR="00341C77" w:rsidRPr="00001B0D">
        <w:t xml:space="preserve"> </w:t>
      </w:r>
      <w:bookmarkStart w:id="12" w:name="_Ref514089618"/>
    </w:p>
    <w:p w14:paraId="672D3F85" w14:textId="29DE18C0" w:rsidR="00341C77" w:rsidRPr="00001B0D" w:rsidRDefault="008B5531" w:rsidP="003073F3">
      <w:pPr>
        <w:pStyle w:val="SingleTxtG"/>
        <w:numPr>
          <w:ilvl w:val="0"/>
          <w:numId w:val="3"/>
        </w:numPr>
        <w:suppressAutoHyphens w:val="0"/>
        <w:autoSpaceDE w:val="0"/>
        <w:autoSpaceDN w:val="0"/>
        <w:adjustRightInd w:val="0"/>
        <w:spacing w:line="240" w:lineRule="auto"/>
        <w:ind w:left="1100" w:firstLine="0"/>
      </w:pPr>
      <w:bookmarkStart w:id="13" w:name="_Ref8661261"/>
      <w:r w:rsidRPr="003225FD">
        <w:t xml:space="preserve">On 16-17 April 2010, </w:t>
      </w:r>
      <w:r w:rsidR="00F307BC" w:rsidRPr="003225FD">
        <w:t>notice of</w:t>
      </w:r>
      <w:r w:rsidR="00341C77" w:rsidRPr="003225FD">
        <w:t xml:space="preserve"> the </w:t>
      </w:r>
      <w:r w:rsidR="00A33029" w:rsidRPr="003225FD">
        <w:t>SEA report</w:t>
      </w:r>
      <w:r w:rsidR="00341C77" w:rsidRPr="003225FD">
        <w:t xml:space="preserve"> and </w:t>
      </w:r>
      <w:r w:rsidR="00F307BC" w:rsidRPr="003225FD">
        <w:t xml:space="preserve">its </w:t>
      </w:r>
      <w:r w:rsidR="00341C77" w:rsidRPr="003225FD">
        <w:t>public hearings w</w:t>
      </w:r>
      <w:r w:rsidR="008E5BB5" w:rsidRPr="003225FD">
        <w:t>as</w:t>
      </w:r>
      <w:r w:rsidR="00341C77" w:rsidRPr="003225FD">
        <w:t xml:space="preserve"> published on the websites of the </w:t>
      </w:r>
      <w:r w:rsidR="00B82263" w:rsidRPr="003225FD">
        <w:t xml:space="preserve">planning organizer, </w:t>
      </w:r>
      <w:r w:rsidR="00341C77" w:rsidRPr="003225FD">
        <w:t xml:space="preserve">developer, </w:t>
      </w:r>
      <w:r w:rsidR="003073F3" w:rsidRPr="003225FD">
        <w:t xml:space="preserve">on </w:t>
      </w:r>
      <w:r w:rsidR="00341C77" w:rsidRPr="003225FD">
        <w:t xml:space="preserve">billboards of the municipalities and </w:t>
      </w:r>
      <w:r w:rsidR="00892DFA" w:rsidRPr="003225FD">
        <w:t>subdistricts</w:t>
      </w:r>
      <w:r w:rsidR="00F3023A" w:rsidRPr="003225FD">
        <w:t xml:space="preserve"> </w:t>
      </w:r>
      <w:r w:rsidR="00341C77" w:rsidRPr="003225FD">
        <w:t xml:space="preserve">concerned, and </w:t>
      </w:r>
      <w:r w:rsidR="003073F3" w:rsidRPr="003225FD">
        <w:t xml:space="preserve">in </w:t>
      </w:r>
      <w:r w:rsidR="00341C77" w:rsidRPr="003225FD">
        <w:t xml:space="preserve">two newspapers. </w:t>
      </w:r>
      <w:r w:rsidR="00A67409" w:rsidRPr="003225FD">
        <w:t xml:space="preserve">The SEA </w:t>
      </w:r>
      <w:r w:rsidR="00341C77" w:rsidRPr="003225FD">
        <w:t xml:space="preserve">report was available for </w:t>
      </w:r>
      <w:r w:rsidR="002C0020" w:rsidRPr="003225FD">
        <w:t xml:space="preserve">public </w:t>
      </w:r>
      <w:r w:rsidR="00341C77" w:rsidRPr="003225FD">
        <w:t>inspection</w:t>
      </w:r>
      <w:r w:rsidR="00A67409" w:rsidRPr="003225FD">
        <w:t xml:space="preserve"> for twenty working days</w:t>
      </w:r>
      <w:r w:rsidR="00341C77" w:rsidRPr="003225FD">
        <w:t>.</w:t>
      </w:r>
      <w:r w:rsidR="00341C77" w:rsidRPr="00001B0D">
        <w:rPr>
          <w:rStyle w:val="FootnoteReference"/>
        </w:rPr>
        <w:footnoteReference w:id="20"/>
      </w:r>
      <w:bookmarkEnd w:id="12"/>
      <w:bookmarkEnd w:id="13"/>
      <w:r w:rsidR="00341C77" w:rsidRPr="00001B0D">
        <w:t xml:space="preserve"> </w:t>
      </w:r>
    </w:p>
    <w:p w14:paraId="4DEAB27F" w14:textId="63C1B471"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bookmarkStart w:id="14" w:name="_Ref8740220"/>
      <w:bookmarkStart w:id="15" w:name="_Ref8748329"/>
      <w:r w:rsidRPr="003225FD">
        <w:t xml:space="preserve">On 20 April 2010, </w:t>
      </w:r>
      <w:r w:rsidR="008C468A" w:rsidRPr="003225FD">
        <w:t xml:space="preserve">a meeting took place between </w:t>
      </w:r>
      <w:r w:rsidRPr="003225FD">
        <w:t xml:space="preserve">Poland and </w:t>
      </w:r>
      <w:r w:rsidR="005551A0" w:rsidRPr="003225FD">
        <w:t>the Party concerned</w:t>
      </w:r>
      <w:r w:rsidR="003073F3" w:rsidRPr="003225FD">
        <w:t>,</w:t>
      </w:r>
      <w:r w:rsidR="00892DFA" w:rsidRPr="003225FD">
        <w:t xml:space="preserve"> </w:t>
      </w:r>
      <w:r w:rsidR="00A67409" w:rsidRPr="003225FD">
        <w:t>which</w:t>
      </w:r>
      <w:r w:rsidR="008C468A" w:rsidRPr="003225FD">
        <w:t xml:space="preserve"> agreed </w:t>
      </w:r>
      <w:r w:rsidRPr="003225FD">
        <w:t xml:space="preserve">that “when drawing up EIA and SEA documents as well as the special plan on the border crossing site [the consultant] will attempt to plan the border crossing point on the site indicated on the said plan [the </w:t>
      </w:r>
      <w:r w:rsidR="001150D5" w:rsidRPr="003225FD">
        <w:t xml:space="preserve">Sejny County, Poland </w:t>
      </w:r>
      <w:r w:rsidRPr="003225FD">
        <w:t>Mast</w:t>
      </w:r>
      <w:r w:rsidR="00B97E98" w:rsidRPr="003225FD">
        <w:t>er</w:t>
      </w:r>
      <w:r w:rsidRPr="003225FD">
        <w:t xml:space="preserve"> Plan], with due consideration of general master plan’s documentary solutions valid in the territory of Lithuania”</w:t>
      </w:r>
      <w:r w:rsidR="00B85BAC" w:rsidRPr="003225FD">
        <w:t xml:space="preserve"> (</w:t>
      </w:r>
      <w:r w:rsidR="00B8221C" w:rsidRPr="003225FD">
        <w:t xml:space="preserve">the </w:t>
      </w:r>
      <w:r w:rsidR="00B85BAC" w:rsidRPr="003225FD">
        <w:t>2010 Agreement)</w:t>
      </w:r>
      <w:r w:rsidRPr="003225FD">
        <w:t>.</w:t>
      </w:r>
      <w:r w:rsidRPr="00001B0D">
        <w:rPr>
          <w:sz w:val="18"/>
          <w:szCs w:val="18"/>
          <w:vertAlign w:val="superscript"/>
        </w:rPr>
        <w:footnoteReference w:id="21"/>
      </w:r>
      <w:bookmarkEnd w:id="14"/>
      <w:r w:rsidR="00B85BAC" w:rsidRPr="00001B0D">
        <w:t xml:space="preserve"> </w:t>
      </w:r>
      <w:r w:rsidR="00B2391C" w:rsidRPr="00001B0D">
        <w:t>The crossing point was “planned in the Lazdijai district, to the north-west from Lake Galadusys.”</w:t>
      </w:r>
      <w:r w:rsidR="00B2391C" w:rsidRPr="00001B0D">
        <w:rPr>
          <w:sz w:val="18"/>
          <w:szCs w:val="18"/>
          <w:vertAlign w:val="superscript"/>
        </w:rPr>
        <w:footnoteReference w:id="22"/>
      </w:r>
      <w:r w:rsidR="00B2391C" w:rsidRPr="00001B0D">
        <w:t xml:space="preserve"> </w:t>
      </w:r>
      <w:r w:rsidR="00B85BAC" w:rsidRPr="00001B0D">
        <w:t xml:space="preserve">All alternatives evaluated in the SEA and </w:t>
      </w:r>
      <w:r w:rsidR="00B85BAC" w:rsidRPr="003225FD">
        <w:t>EIA procedures complied with the 2010 agreement.</w:t>
      </w:r>
      <w:r w:rsidR="00B85BAC" w:rsidRPr="00001B0D">
        <w:rPr>
          <w:rStyle w:val="FootnoteReference"/>
          <w:szCs w:val="18"/>
          <w:lang w:eastAsia="en-GB"/>
        </w:rPr>
        <w:footnoteReference w:id="23"/>
      </w:r>
      <w:bookmarkEnd w:id="15"/>
    </w:p>
    <w:p w14:paraId="3FCEA288" w14:textId="6080A216" w:rsidR="00341C77" w:rsidRPr="00001B0D" w:rsidRDefault="00341C77" w:rsidP="0056417B">
      <w:pPr>
        <w:pStyle w:val="SingleTxtG"/>
        <w:numPr>
          <w:ilvl w:val="0"/>
          <w:numId w:val="3"/>
        </w:numPr>
        <w:suppressAutoHyphens w:val="0"/>
        <w:autoSpaceDE w:val="0"/>
        <w:autoSpaceDN w:val="0"/>
        <w:adjustRightInd w:val="0"/>
        <w:spacing w:line="240" w:lineRule="auto"/>
        <w:ind w:left="1100" w:firstLine="0"/>
      </w:pPr>
      <w:bookmarkStart w:id="16" w:name="_Ref8661270"/>
      <w:r w:rsidRPr="003225FD">
        <w:t xml:space="preserve">Hearings </w:t>
      </w:r>
      <w:r w:rsidR="00FF1005" w:rsidRPr="003225FD">
        <w:t xml:space="preserve">on </w:t>
      </w:r>
      <w:r w:rsidRPr="003225FD">
        <w:t xml:space="preserve">the </w:t>
      </w:r>
      <w:r w:rsidR="006F68CC" w:rsidRPr="003225FD">
        <w:t xml:space="preserve">SEA </w:t>
      </w:r>
      <w:r w:rsidR="002D6B3F" w:rsidRPr="003225FD">
        <w:t>and draft</w:t>
      </w:r>
      <w:r w:rsidRPr="003225FD">
        <w:t xml:space="preserve"> special plan were held </w:t>
      </w:r>
      <w:r w:rsidR="00DF4A60" w:rsidRPr="003225FD">
        <w:t>in</w:t>
      </w:r>
      <w:r w:rsidRPr="003225FD">
        <w:t xml:space="preserve"> Alytus </w:t>
      </w:r>
      <w:r w:rsidR="006F68CC" w:rsidRPr="003225FD">
        <w:t xml:space="preserve">and Lazdijai </w:t>
      </w:r>
      <w:r w:rsidRPr="003225FD">
        <w:t>on 17</w:t>
      </w:r>
      <w:r w:rsidR="006F68CC" w:rsidRPr="003225FD">
        <w:t xml:space="preserve"> and 18</w:t>
      </w:r>
      <w:r w:rsidRPr="003225FD">
        <w:t xml:space="preserve"> May 2010</w:t>
      </w:r>
      <w:r w:rsidR="006F68CC" w:rsidRPr="003225FD">
        <w:t>, respectively</w:t>
      </w:r>
      <w:r w:rsidRPr="003225FD">
        <w:t xml:space="preserve">. No </w:t>
      </w:r>
      <w:r w:rsidR="00F23666" w:rsidRPr="003225FD">
        <w:t xml:space="preserve">public </w:t>
      </w:r>
      <w:r w:rsidRPr="003225FD">
        <w:t>comments were received before the hearing</w:t>
      </w:r>
      <w:r w:rsidR="00A475AC" w:rsidRPr="003225FD">
        <w:t xml:space="preserve"> </w:t>
      </w:r>
      <w:r w:rsidR="00434F37" w:rsidRPr="003225FD">
        <w:t>on 18 May 2010</w:t>
      </w:r>
      <w:r w:rsidR="00C8470B" w:rsidRPr="003225FD">
        <w:t xml:space="preserve"> and n</w:t>
      </w:r>
      <w:r w:rsidRPr="003225FD">
        <w:t xml:space="preserve">o </w:t>
      </w:r>
      <w:r w:rsidR="00C8470B" w:rsidRPr="003225FD">
        <w:t xml:space="preserve">members </w:t>
      </w:r>
      <w:r w:rsidRPr="003225FD">
        <w:t xml:space="preserve">of the public arrived </w:t>
      </w:r>
      <w:r w:rsidR="00C8470B" w:rsidRPr="003225FD">
        <w:t>at th</w:t>
      </w:r>
      <w:r w:rsidR="00B8221C" w:rsidRPr="003225FD">
        <w:t>e</w:t>
      </w:r>
      <w:r w:rsidR="00C8470B" w:rsidRPr="003225FD">
        <w:t xml:space="preserve"> hearing </w:t>
      </w:r>
      <w:r w:rsidRPr="003225FD">
        <w:t>within an hour</w:t>
      </w:r>
      <w:r w:rsidR="00C8470B" w:rsidRPr="003225FD">
        <w:t xml:space="preserve">. </w:t>
      </w:r>
      <w:r w:rsidR="00A67409" w:rsidRPr="003225FD">
        <w:t>The</w:t>
      </w:r>
      <w:r w:rsidR="0056417B" w:rsidRPr="003225FD">
        <w:t xml:space="preserve"> planning organizer, in the </w:t>
      </w:r>
      <w:r w:rsidR="00A67409" w:rsidRPr="003225FD">
        <w:t xml:space="preserve">hearing </w:t>
      </w:r>
      <w:r w:rsidR="0056417B" w:rsidRPr="003225FD">
        <w:t xml:space="preserve">minutes, concluded </w:t>
      </w:r>
      <w:r w:rsidR="00C8470B" w:rsidRPr="003225FD">
        <w:t>that “the public is not interested in the environmental impact of the special plan.</w:t>
      </w:r>
      <w:r w:rsidR="00B8221C" w:rsidRPr="003225FD">
        <w:t>”</w:t>
      </w:r>
      <w:r w:rsidR="00F35A9F" w:rsidRPr="003225FD">
        <w:t xml:space="preserve"> O</w:t>
      </w:r>
      <w:r w:rsidR="00C8470B" w:rsidRPr="003225FD">
        <w:t>n 20 May 2010, t</w:t>
      </w:r>
      <w:r w:rsidRPr="003225FD">
        <w:t>he final SEA report was published</w:t>
      </w:r>
      <w:r w:rsidR="00C8470B" w:rsidRPr="003225FD">
        <w:t>, and information on the SEA and public hearings was published on a local newspaper’s website.</w:t>
      </w:r>
      <w:r w:rsidR="00C8470B" w:rsidRPr="00001B0D">
        <w:rPr>
          <w:rStyle w:val="FootnoteReference"/>
        </w:rPr>
        <w:footnoteReference w:id="24"/>
      </w:r>
      <w:bookmarkEnd w:id="16"/>
    </w:p>
    <w:p w14:paraId="753E0090" w14:textId="435E308A" w:rsidR="00341C77" w:rsidRPr="00001B0D" w:rsidRDefault="00341C77" w:rsidP="000B4156">
      <w:pPr>
        <w:pStyle w:val="SingleTxtG"/>
        <w:numPr>
          <w:ilvl w:val="0"/>
          <w:numId w:val="3"/>
        </w:numPr>
        <w:suppressAutoHyphens w:val="0"/>
        <w:autoSpaceDE w:val="0"/>
        <w:autoSpaceDN w:val="0"/>
        <w:adjustRightInd w:val="0"/>
        <w:spacing w:line="240" w:lineRule="auto"/>
        <w:ind w:left="1100" w:firstLine="0"/>
      </w:pPr>
      <w:bookmarkStart w:id="17" w:name="_Ref514079614"/>
      <w:r w:rsidRPr="003225FD">
        <w:lastRenderedPageBreak/>
        <w:t xml:space="preserve">On 25-29 June 2010, </w:t>
      </w:r>
      <w:r w:rsidR="000B4156" w:rsidRPr="003225FD">
        <w:t xml:space="preserve">notice of the </w:t>
      </w:r>
      <w:r w:rsidRPr="003225FD">
        <w:t>public hearings</w:t>
      </w:r>
      <w:r w:rsidR="00C8470B" w:rsidRPr="003225FD">
        <w:t xml:space="preserve"> on the </w:t>
      </w:r>
      <w:r w:rsidR="00904A9C" w:rsidRPr="003225FD">
        <w:t xml:space="preserve">EIA </w:t>
      </w:r>
      <w:r w:rsidR="00C8470B" w:rsidRPr="003225FD">
        <w:t>report</w:t>
      </w:r>
      <w:r w:rsidRPr="003225FD">
        <w:t xml:space="preserve"> was published in </w:t>
      </w:r>
      <w:r w:rsidR="001C733D" w:rsidRPr="003225FD">
        <w:t xml:space="preserve">three </w:t>
      </w:r>
      <w:r w:rsidRPr="003225FD">
        <w:t xml:space="preserve">local and one national daily newspaper, and on billboards in Alytus and Lazdijai and their </w:t>
      </w:r>
      <w:r w:rsidR="00C436BB" w:rsidRPr="003225FD">
        <w:t>subdistricts</w:t>
      </w:r>
      <w:r w:rsidRPr="003225FD">
        <w:t>.</w:t>
      </w:r>
      <w:r w:rsidRPr="00001B0D">
        <w:rPr>
          <w:rStyle w:val="FootnoteReference"/>
        </w:rPr>
        <w:footnoteReference w:id="25"/>
      </w:r>
      <w:r w:rsidRPr="00001B0D">
        <w:t xml:space="preserve"> </w:t>
      </w:r>
      <w:bookmarkEnd w:id="17"/>
    </w:p>
    <w:p w14:paraId="6E6DB002" w14:textId="306428A0" w:rsidR="000B4156" w:rsidRPr="00001B0D" w:rsidRDefault="000B4156" w:rsidP="000B4156">
      <w:pPr>
        <w:pStyle w:val="SingleTxtG"/>
        <w:numPr>
          <w:ilvl w:val="0"/>
          <w:numId w:val="3"/>
        </w:numPr>
        <w:suppressAutoHyphens w:val="0"/>
        <w:autoSpaceDE w:val="0"/>
        <w:autoSpaceDN w:val="0"/>
        <w:adjustRightInd w:val="0"/>
        <w:spacing w:line="240" w:lineRule="auto"/>
        <w:ind w:left="1100" w:firstLine="0"/>
      </w:pPr>
      <w:bookmarkStart w:id="18" w:name="_Ref8661389"/>
      <w:r w:rsidRPr="003225FD">
        <w:rPr>
          <w:lang w:val="en-US"/>
        </w:rPr>
        <w:t>The EIA report considered route alternatives A, B and B1, concluding that B1 was optimal.</w:t>
      </w:r>
      <w:r w:rsidRPr="00001B0D">
        <w:rPr>
          <w:vertAlign w:val="superscript"/>
          <w:lang w:val="en-US"/>
        </w:rPr>
        <w:footnoteReference w:id="26"/>
      </w:r>
    </w:p>
    <w:p w14:paraId="66A88740" w14:textId="10CEF3DA" w:rsidR="00341C77" w:rsidRPr="00001B0D" w:rsidRDefault="00341C77" w:rsidP="000B4156">
      <w:pPr>
        <w:pStyle w:val="SingleTxtG"/>
        <w:numPr>
          <w:ilvl w:val="0"/>
          <w:numId w:val="3"/>
        </w:numPr>
        <w:suppressAutoHyphens w:val="0"/>
        <w:autoSpaceDE w:val="0"/>
        <w:autoSpaceDN w:val="0"/>
        <w:adjustRightInd w:val="0"/>
        <w:spacing w:line="240" w:lineRule="auto"/>
        <w:ind w:left="1100" w:firstLine="0"/>
      </w:pPr>
      <w:r w:rsidRPr="003225FD">
        <w:t xml:space="preserve">On 13-19 July 2010, public hearings on the EIA report were held in </w:t>
      </w:r>
      <w:r w:rsidR="00F23666" w:rsidRPr="003225FD">
        <w:t xml:space="preserve">more than </w:t>
      </w:r>
      <w:r w:rsidRPr="003225FD">
        <w:t>ten different locations.</w:t>
      </w:r>
      <w:r w:rsidRPr="00001B0D">
        <w:rPr>
          <w:rStyle w:val="FootnoteReference"/>
        </w:rPr>
        <w:footnoteReference w:id="27"/>
      </w:r>
      <w:r w:rsidRPr="00001B0D">
        <w:t xml:space="preserve"> The communicant participated in the </w:t>
      </w:r>
      <w:r w:rsidR="00CD32FC" w:rsidRPr="00001B0D">
        <w:t xml:space="preserve">Lazdijai </w:t>
      </w:r>
      <w:r w:rsidRPr="003225FD">
        <w:t>meetin</w:t>
      </w:r>
      <w:r w:rsidR="00CD32FC" w:rsidRPr="003225FD">
        <w:t>g</w:t>
      </w:r>
      <w:r w:rsidRPr="003225FD">
        <w:t xml:space="preserve"> on 19 July 2010.</w:t>
      </w:r>
      <w:r w:rsidRPr="00001B0D">
        <w:rPr>
          <w:rStyle w:val="FootnoteReference"/>
        </w:rPr>
        <w:footnoteReference w:id="28"/>
      </w:r>
      <w:bookmarkEnd w:id="18"/>
      <w:r w:rsidRPr="00001B0D">
        <w:t xml:space="preserve"> </w:t>
      </w:r>
    </w:p>
    <w:p w14:paraId="3914A212" w14:textId="35B0A6C6" w:rsidR="00341C77" w:rsidRPr="00001B0D" w:rsidRDefault="00501F57" w:rsidP="00341C77">
      <w:pPr>
        <w:pStyle w:val="SingleTxtG"/>
        <w:numPr>
          <w:ilvl w:val="0"/>
          <w:numId w:val="3"/>
        </w:numPr>
        <w:suppressAutoHyphens w:val="0"/>
        <w:autoSpaceDE w:val="0"/>
        <w:autoSpaceDN w:val="0"/>
        <w:adjustRightInd w:val="0"/>
        <w:spacing w:line="240" w:lineRule="auto"/>
        <w:ind w:left="1100" w:firstLine="0"/>
      </w:pPr>
      <w:bookmarkStart w:id="19" w:name="_Ref500160344"/>
      <w:r w:rsidRPr="003225FD">
        <w:t xml:space="preserve">On </w:t>
      </w:r>
      <w:r w:rsidR="00341C77" w:rsidRPr="003225FD">
        <w:t>27 September 2010</w:t>
      </w:r>
      <w:r w:rsidRPr="003225FD">
        <w:t>,</w:t>
      </w:r>
      <w:r w:rsidR="00341C77" w:rsidRPr="003225FD">
        <w:t xml:space="preserve"> a meeting organized by </w:t>
      </w:r>
      <w:r w:rsidR="00A82D88" w:rsidRPr="003225FD">
        <w:t>a parliamentary</w:t>
      </w:r>
      <w:r w:rsidR="00341C77" w:rsidRPr="003225FD">
        <w:t xml:space="preserve"> </w:t>
      </w:r>
      <w:r w:rsidR="00A82D88" w:rsidRPr="003225FD">
        <w:t>c</w:t>
      </w:r>
      <w:r w:rsidR="00341C77" w:rsidRPr="003225FD">
        <w:t>ommittee was held</w:t>
      </w:r>
      <w:r w:rsidRPr="003225FD">
        <w:t>. Participants included</w:t>
      </w:r>
      <w:r w:rsidR="00341C77" w:rsidRPr="003225FD">
        <w:t xml:space="preserve"> ministr</w:t>
      </w:r>
      <w:r w:rsidR="004D400C" w:rsidRPr="003225FD">
        <w:t>y representatives</w:t>
      </w:r>
      <w:r w:rsidR="00341C77" w:rsidRPr="003225FD">
        <w:t xml:space="preserve">, the </w:t>
      </w:r>
      <w:r w:rsidRPr="003225FD">
        <w:t>developer</w:t>
      </w:r>
      <w:r w:rsidR="00B96511" w:rsidRPr="003225FD">
        <w:t>, the consultant,</w:t>
      </w:r>
      <w:r w:rsidR="00341C77" w:rsidRPr="003225FD">
        <w:t xml:space="preserve"> and local municipal authorities. </w:t>
      </w:r>
      <w:r w:rsidRPr="003225FD">
        <w:t>T</w:t>
      </w:r>
      <w:r w:rsidR="00341C77" w:rsidRPr="003225FD">
        <w:t xml:space="preserve">he developer and consultant were instructed to assess an alternative route for the OHL </w:t>
      </w:r>
      <w:r w:rsidR="00097869" w:rsidRPr="003225FD">
        <w:t xml:space="preserve">proposed by </w:t>
      </w:r>
      <w:r w:rsidR="00B96511" w:rsidRPr="003225FD">
        <w:t>Lazdijai</w:t>
      </w:r>
      <w:r w:rsidR="00A67409" w:rsidRPr="003225FD">
        <w:t xml:space="preserve"> muncipality</w:t>
      </w:r>
      <w:r w:rsidR="00341C77" w:rsidRPr="003225FD">
        <w:t>.</w:t>
      </w:r>
      <w:r w:rsidR="00341C77" w:rsidRPr="00001B0D">
        <w:rPr>
          <w:rStyle w:val="FootnoteReference"/>
        </w:rPr>
        <w:footnoteReference w:id="29"/>
      </w:r>
      <w:bookmarkEnd w:id="19"/>
    </w:p>
    <w:p w14:paraId="679A628E" w14:textId="0CA767BD"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bookmarkStart w:id="20" w:name="_Ref8820813"/>
      <w:r w:rsidRPr="003225FD">
        <w:t xml:space="preserve">On 11 October 2010, </w:t>
      </w:r>
      <w:r w:rsidR="006443A7" w:rsidRPr="003225FD">
        <w:t>Litpol Link</w:t>
      </w:r>
      <w:r w:rsidRPr="003225FD">
        <w:t xml:space="preserve"> sent </w:t>
      </w:r>
      <w:r w:rsidR="00097869" w:rsidRPr="003225FD">
        <w:t xml:space="preserve">the </w:t>
      </w:r>
      <w:r w:rsidR="000B4156" w:rsidRPr="003225FD">
        <w:t xml:space="preserve">parliamentary </w:t>
      </w:r>
      <w:r w:rsidR="00A82D88" w:rsidRPr="003225FD">
        <w:t>c</w:t>
      </w:r>
      <w:r w:rsidR="000452CB" w:rsidRPr="003225FD">
        <w:t xml:space="preserve">ommittee </w:t>
      </w:r>
      <w:r w:rsidRPr="003225FD">
        <w:t xml:space="preserve">a letter </w:t>
      </w:r>
      <w:r w:rsidR="002B3DEE" w:rsidRPr="003225FD">
        <w:t>with</w:t>
      </w:r>
      <w:r w:rsidRPr="003225FD">
        <w:t xml:space="preserve"> </w:t>
      </w:r>
      <w:r w:rsidR="000452CB" w:rsidRPr="003225FD">
        <w:t>its</w:t>
      </w:r>
      <w:r w:rsidRPr="003225FD">
        <w:t xml:space="preserve"> assessment of the changes </w:t>
      </w:r>
      <w:r w:rsidR="000B4156" w:rsidRPr="003225FD">
        <w:t xml:space="preserve">needed </w:t>
      </w:r>
      <w:r w:rsidRPr="003225FD">
        <w:t xml:space="preserve">to implement </w:t>
      </w:r>
      <w:r w:rsidR="000B4156" w:rsidRPr="003225FD">
        <w:t xml:space="preserve">Lazdijai’s proposed </w:t>
      </w:r>
      <w:r w:rsidRPr="003225FD">
        <w:t>alternative</w:t>
      </w:r>
      <w:r w:rsidR="007C3F5D" w:rsidRPr="003225FD">
        <w:t xml:space="preserve">. It stated </w:t>
      </w:r>
      <w:r w:rsidRPr="003225FD">
        <w:t xml:space="preserve">the B1 route would </w:t>
      </w:r>
      <w:r w:rsidR="003469B1" w:rsidRPr="003225FD">
        <w:t>remain,</w:t>
      </w:r>
      <w:r w:rsidRPr="003225FD">
        <w:t xml:space="preserve"> as it </w:t>
      </w:r>
      <w:r w:rsidR="001C2E00" w:rsidRPr="003225FD">
        <w:t xml:space="preserve">was </w:t>
      </w:r>
      <w:r w:rsidRPr="003225FD">
        <w:t xml:space="preserve">the “optimal and most rational alternative.” </w:t>
      </w:r>
      <w:r w:rsidR="00EF6689" w:rsidRPr="003225FD">
        <w:t xml:space="preserve">Among the reasons given for rejecting the alternative route was that </w:t>
      </w:r>
      <w:r w:rsidR="007C3F5D" w:rsidRPr="003225FD">
        <w:t>that</w:t>
      </w:r>
      <w:r w:rsidR="00EF6689" w:rsidRPr="003225FD">
        <w:t xml:space="preserve"> would require signing “agreements between the countries [Poland and the Party concerned] and transmission system operators, respectively, concerning the change of the power line route</w:t>
      </w:r>
      <w:r w:rsidR="000B4156" w:rsidRPr="003225FD">
        <w:t>”</w:t>
      </w:r>
      <w:r w:rsidR="00EF6689" w:rsidRPr="003225FD">
        <w:t>.</w:t>
      </w:r>
      <w:r w:rsidR="00EF6689" w:rsidRPr="00001B0D">
        <w:rPr>
          <w:rStyle w:val="FootnoteReference"/>
        </w:rPr>
        <w:footnoteReference w:id="30"/>
      </w:r>
      <w:bookmarkEnd w:id="20"/>
    </w:p>
    <w:p w14:paraId="28C3CF82" w14:textId="7D7BA2DB"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r w:rsidRPr="003225FD">
        <w:t xml:space="preserve">On 5 November 2010, a meeting on the EIA report took place at Alytus RED. </w:t>
      </w:r>
      <w:r w:rsidR="00A67409" w:rsidRPr="003225FD">
        <w:t>A</w:t>
      </w:r>
      <w:r w:rsidRPr="003225FD">
        <w:t xml:space="preserve">ttendees were informed </w:t>
      </w:r>
      <w:r w:rsidR="00C710FE" w:rsidRPr="003225FD">
        <w:t xml:space="preserve">about </w:t>
      </w:r>
      <w:r w:rsidR="000D3B63" w:rsidRPr="003225FD">
        <w:t>Lazdijai</w:t>
      </w:r>
      <w:r w:rsidR="0085694B" w:rsidRPr="003225FD">
        <w:t>’</w:t>
      </w:r>
      <w:r w:rsidR="000D3B63" w:rsidRPr="003225FD">
        <w:t>s</w:t>
      </w:r>
      <w:r w:rsidR="00C710FE" w:rsidRPr="003225FD">
        <w:t xml:space="preserve"> propos</w:t>
      </w:r>
      <w:r w:rsidR="003A6AB7" w:rsidRPr="003225FD">
        <w:t>ed alternative route</w:t>
      </w:r>
      <w:r w:rsidR="00030744" w:rsidRPr="003225FD">
        <w:t>.</w:t>
      </w:r>
      <w:r w:rsidRPr="00001B0D">
        <w:rPr>
          <w:rStyle w:val="FootnoteReference"/>
        </w:rPr>
        <w:footnoteReference w:id="31"/>
      </w:r>
    </w:p>
    <w:p w14:paraId="7011A294" w14:textId="746F9357" w:rsidR="00E11E8F" w:rsidRPr="00001B0D" w:rsidRDefault="00E11E8F" w:rsidP="00341C77">
      <w:pPr>
        <w:pStyle w:val="SingleTxtG"/>
        <w:numPr>
          <w:ilvl w:val="0"/>
          <w:numId w:val="3"/>
        </w:numPr>
        <w:suppressAutoHyphens w:val="0"/>
        <w:autoSpaceDE w:val="0"/>
        <w:autoSpaceDN w:val="0"/>
        <w:adjustRightInd w:val="0"/>
        <w:spacing w:line="240" w:lineRule="auto"/>
        <w:ind w:left="1100" w:firstLine="0"/>
      </w:pPr>
      <w:r w:rsidRPr="00001B0D">
        <w:t xml:space="preserve">On 8-9 November 2010, the public concerned sent comments </w:t>
      </w:r>
      <w:r w:rsidR="00A72100" w:rsidRPr="00001B0D">
        <w:t xml:space="preserve">to Alytus RED </w:t>
      </w:r>
      <w:r w:rsidR="003A6AB7" w:rsidRPr="003225FD">
        <w:t>on the EIA report</w:t>
      </w:r>
      <w:r w:rsidR="002B13D1" w:rsidRPr="003225FD">
        <w:t>; Alytus RED responded that the comments had been forwarded to the</w:t>
      </w:r>
      <w:r w:rsidR="0094440B" w:rsidRPr="003225FD">
        <w:t xml:space="preserve"> </w:t>
      </w:r>
      <w:r w:rsidR="002B13D1" w:rsidRPr="003225FD">
        <w:t>consultant</w:t>
      </w:r>
      <w:r w:rsidRPr="003225FD">
        <w:t>.</w:t>
      </w:r>
      <w:r w:rsidRPr="00001B0D">
        <w:rPr>
          <w:rStyle w:val="FootnoteReference"/>
        </w:rPr>
        <w:footnoteReference w:id="32"/>
      </w:r>
      <w:r w:rsidR="00FA3801" w:rsidRPr="00001B0D">
        <w:t xml:space="preserve"> </w:t>
      </w:r>
    </w:p>
    <w:p w14:paraId="7AFC739B" w14:textId="792F0C41" w:rsidR="00341C77" w:rsidRPr="00001B0D" w:rsidRDefault="00341C77" w:rsidP="00554057">
      <w:pPr>
        <w:pStyle w:val="SingleTxtG"/>
        <w:numPr>
          <w:ilvl w:val="0"/>
          <w:numId w:val="3"/>
        </w:numPr>
        <w:suppressAutoHyphens w:val="0"/>
        <w:autoSpaceDE w:val="0"/>
        <w:autoSpaceDN w:val="0"/>
        <w:adjustRightInd w:val="0"/>
        <w:spacing w:line="240" w:lineRule="auto"/>
        <w:ind w:left="1100" w:firstLine="0"/>
      </w:pPr>
      <w:r w:rsidRPr="003225FD">
        <w:t>On 25 November 2010</w:t>
      </w:r>
      <w:r w:rsidR="00AB06F3" w:rsidRPr="003225FD">
        <w:t>,</w:t>
      </w:r>
      <w:r w:rsidRPr="003225FD">
        <w:t xml:space="preserve"> </w:t>
      </w:r>
      <w:r w:rsidR="00E11E8F" w:rsidRPr="003225FD">
        <w:t xml:space="preserve">Alytus RED </w:t>
      </w:r>
      <w:r w:rsidR="00554057" w:rsidRPr="003225FD">
        <w:t xml:space="preserve">wrote to </w:t>
      </w:r>
      <w:r w:rsidRPr="003225FD">
        <w:t xml:space="preserve">the EIA consultant </w:t>
      </w:r>
      <w:r w:rsidR="00554057" w:rsidRPr="003225FD">
        <w:t xml:space="preserve">requesting it to </w:t>
      </w:r>
      <w:r w:rsidRPr="003225FD">
        <w:t>supplement the EIA report.</w:t>
      </w:r>
      <w:r w:rsidRPr="00001B0D">
        <w:rPr>
          <w:rStyle w:val="FootnoteReference"/>
        </w:rPr>
        <w:footnoteReference w:id="33"/>
      </w:r>
      <w:r w:rsidRPr="00001B0D" w:rsidDel="00FB07E4">
        <w:rPr>
          <w:rStyle w:val="FootnoteReference"/>
        </w:rPr>
        <w:t xml:space="preserve"> </w:t>
      </w:r>
    </w:p>
    <w:p w14:paraId="41EC0927" w14:textId="5FA5E14F"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r w:rsidRPr="003225FD">
        <w:t>On 10 December 2010</w:t>
      </w:r>
      <w:r w:rsidR="00AB06F3" w:rsidRPr="003225FD">
        <w:t>,</w:t>
      </w:r>
      <w:r w:rsidRPr="003225FD">
        <w:t xml:space="preserve"> </w:t>
      </w:r>
      <w:r w:rsidR="00E11E8F" w:rsidRPr="003225FD">
        <w:t xml:space="preserve">Alytus RED </w:t>
      </w:r>
      <w:r w:rsidRPr="003225FD">
        <w:t xml:space="preserve">invited members of the public who </w:t>
      </w:r>
      <w:r w:rsidR="003A6AB7" w:rsidRPr="003225FD">
        <w:t xml:space="preserve">had </w:t>
      </w:r>
      <w:r w:rsidRPr="003225FD">
        <w:t xml:space="preserve">submitted comments </w:t>
      </w:r>
      <w:r w:rsidR="003A6AB7" w:rsidRPr="003225FD">
        <w:t xml:space="preserve">on </w:t>
      </w:r>
      <w:r w:rsidRPr="003225FD">
        <w:t xml:space="preserve">the EIA report to a meeting on 17 December 2010 to discuss </w:t>
      </w:r>
      <w:r w:rsidR="00BD4C8E" w:rsidRPr="003225FD">
        <w:t>these</w:t>
      </w:r>
      <w:r w:rsidR="00E11E8F" w:rsidRPr="003225FD">
        <w:t xml:space="preserve"> and the supplemented EIA report</w:t>
      </w:r>
      <w:r w:rsidR="004507B1" w:rsidRPr="003225FD">
        <w:t xml:space="preserve">, which </w:t>
      </w:r>
      <w:r w:rsidR="000B526A" w:rsidRPr="003225FD">
        <w:t>was provided</w:t>
      </w:r>
      <w:r w:rsidR="004507B1" w:rsidRPr="003225FD">
        <w:t xml:space="preserve"> beforehand</w:t>
      </w:r>
      <w:r w:rsidRPr="003225FD">
        <w:t>.</w:t>
      </w:r>
      <w:r w:rsidRPr="00001B0D">
        <w:rPr>
          <w:rStyle w:val="FootnoteReference"/>
        </w:rPr>
        <w:footnoteReference w:id="34"/>
      </w:r>
      <w:r w:rsidR="00E11E8F" w:rsidRPr="00001B0D">
        <w:t xml:space="preserve"> </w:t>
      </w:r>
    </w:p>
    <w:p w14:paraId="17280326" w14:textId="4BA73216" w:rsidR="00341C77" w:rsidRPr="00001B0D" w:rsidRDefault="003A6AB7" w:rsidP="00341C77">
      <w:pPr>
        <w:pStyle w:val="SingleTxtG"/>
        <w:numPr>
          <w:ilvl w:val="0"/>
          <w:numId w:val="3"/>
        </w:numPr>
        <w:suppressAutoHyphens w:val="0"/>
        <w:autoSpaceDE w:val="0"/>
        <w:autoSpaceDN w:val="0"/>
        <w:adjustRightInd w:val="0"/>
        <w:spacing w:line="240" w:lineRule="auto"/>
        <w:ind w:left="1100" w:firstLine="0"/>
      </w:pPr>
      <w:r w:rsidRPr="003225FD">
        <w:t>On 30 December 2010</w:t>
      </w:r>
      <w:r w:rsidR="00AB06F3" w:rsidRPr="003225FD">
        <w:t>,</w:t>
      </w:r>
      <w:r w:rsidRPr="003225FD">
        <w:t xml:space="preserve"> </w:t>
      </w:r>
      <w:r w:rsidR="00BF5C21" w:rsidRPr="003225FD">
        <w:t>Alytus RED</w:t>
      </w:r>
      <w:r w:rsidR="00BF5C21" w:rsidRPr="003225FD" w:rsidDel="00BF5C21">
        <w:t xml:space="preserve"> </w:t>
      </w:r>
      <w:r w:rsidR="00341C77" w:rsidRPr="003225FD">
        <w:t xml:space="preserve">approved the EIA report and permitted the </w:t>
      </w:r>
      <w:r w:rsidR="0094440B" w:rsidRPr="003225FD">
        <w:t>OHL</w:t>
      </w:r>
      <w:r w:rsidR="00341C77" w:rsidRPr="003225FD">
        <w:t xml:space="preserve"> </w:t>
      </w:r>
      <w:r w:rsidR="00554057" w:rsidRPr="003225FD">
        <w:t xml:space="preserve">through </w:t>
      </w:r>
      <w:r w:rsidR="00341C77" w:rsidRPr="003225FD">
        <w:t>Decision No. ARV2-5-1810</w:t>
      </w:r>
      <w:r w:rsidR="00D76720" w:rsidRPr="003225FD">
        <w:t xml:space="preserve"> (the </w:t>
      </w:r>
      <w:r w:rsidR="00E7294B" w:rsidRPr="003225FD">
        <w:t>OHL</w:t>
      </w:r>
      <w:r w:rsidRPr="003225FD">
        <w:t xml:space="preserve"> d</w:t>
      </w:r>
      <w:r w:rsidR="00D76720" w:rsidRPr="003225FD">
        <w:t>ecision)</w:t>
      </w:r>
      <w:r w:rsidR="00341C77" w:rsidRPr="003225FD">
        <w:t>.</w:t>
      </w:r>
      <w:r w:rsidR="00341C77" w:rsidRPr="00001B0D">
        <w:rPr>
          <w:vertAlign w:val="superscript"/>
        </w:rPr>
        <w:footnoteReference w:id="35"/>
      </w:r>
      <w:r w:rsidR="00341C77" w:rsidRPr="00001B0D">
        <w:t xml:space="preserve"> On 3 January 2011, </w:t>
      </w:r>
      <w:r w:rsidR="00B44247" w:rsidRPr="00001B0D">
        <w:t xml:space="preserve">information on </w:t>
      </w:r>
      <w:r w:rsidR="00341C77" w:rsidRPr="003225FD">
        <w:t xml:space="preserve">the </w:t>
      </w:r>
      <w:r w:rsidR="00E7294B" w:rsidRPr="003225FD">
        <w:t>OHL</w:t>
      </w:r>
      <w:r w:rsidRPr="003225FD">
        <w:t xml:space="preserve"> decision</w:t>
      </w:r>
      <w:r w:rsidR="00341C77" w:rsidRPr="003225FD">
        <w:t xml:space="preserve"> was published on </w:t>
      </w:r>
      <w:r w:rsidR="00F91F4E" w:rsidRPr="003225FD">
        <w:t>Alytus RED’s</w:t>
      </w:r>
      <w:r w:rsidR="00F91F4E" w:rsidRPr="003225FD" w:rsidDel="00BF5C21">
        <w:t xml:space="preserve"> </w:t>
      </w:r>
      <w:r w:rsidR="00341C77" w:rsidRPr="003225FD">
        <w:t xml:space="preserve">website, and additional information </w:t>
      </w:r>
      <w:r w:rsidRPr="003225FD">
        <w:t xml:space="preserve">was </w:t>
      </w:r>
      <w:r w:rsidR="002B13D1" w:rsidRPr="003225FD">
        <w:t xml:space="preserve">released </w:t>
      </w:r>
      <w:r w:rsidR="00341C77" w:rsidRPr="003225FD">
        <w:t xml:space="preserve">on 12 January 2011. On 7 January 2011, information on the </w:t>
      </w:r>
      <w:r w:rsidR="00E7294B" w:rsidRPr="003225FD">
        <w:t>OHL</w:t>
      </w:r>
      <w:r w:rsidRPr="003225FD">
        <w:t xml:space="preserve"> d</w:t>
      </w:r>
      <w:r w:rsidR="00341C77" w:rsidRPr="003225FD">
        <w:t>ecision was published in three newspapers</w:t>
      </w:r>
      <w:r w:rsidR="00026043" w:rsidRPr="003225FD">
        <w:t xml:space="preserve"> </w:t>
      </w:r>
      <w:r w:rsidR="00341C77" w:rsidRPr="003225FD">
        <w:t>and on 11-12 January 2011 on billboards. The text</w:t>
      </w:r>
      <w:r w:rsidRPr="003225FD">
        <w:t xml:space="preserve"> of the </w:t>
      </w:r>
      <w:r w:rsidR="00E7294B" w:rsidRPr="003225FD">
        <w:t>OHL</w:t>
      </w:r>
      <w:r w:rsidRPr="003225FD">
        <w:t xml:space="preserve"> decision</w:t>
      </w:r>
      <w:r w:rsidR="00341C77" w:rsidRPr="003225FD">
        <w:t xml:space="preserve"> was provided to the communicant </w:t>
      </w:r>
      <w:r w:rsidRPr="003225FD">
        <w:t xml:space="preserve">at its </w:t>
      </w:r>
      <w:r w:rsidR="00341C77" w:rsidRPr="003225FD">
        <w:t>request on 1 February 2011.</w:t>
      </w:r>
      <w:r w:rsidR="00341C77" w:rsidRPr="00001B0D">
        <w:rPr>
          <w:rStyle w:val="FootnoteReference"/>
        </w:rPr>
        <w:footnoteReference w:id="36"/>
      </w:r>
      <w:r w:rsidR="00341C77" w:rsidRPr="00001B0D">
        <w:t xml:space="preserve"> </w:t>
      </w:r>
    </w:p>
    <w:p w14:paraId="5F61EEFA" w14:textId="692AB016"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r w:rsidRPr="003225FD">
        <w:t xml:space="preserve">Government </w:t>
      </w:r>
      <w:r w:rsidR="00056874" w:rsidRPr="003225FD">
        <w:t xml:space="preserve">Resolution </w:t>
      </w:r>
      <w:r w:rsidRPr="003225FD">
        <w:t xml:space="preserve">No. 764 of 22 June 2011 approved </w:t>
      </w:r>
      <w:r w:rsidR="00BD3274" w:rsidRPr="003225FD">
        <w:t>Alytus</w:t>
      </w:r>
      <w:r w:rsidR="0085694B" w:rsidRPr="003225FD">
        <w:t>’</w:t>
      </w:r>
      <w:r w:rsidRPr="003225FD">
        <w:t xml:space="preserve"> </w:t>
      </w:r>
      <w:r w:rsidR="00554057" w:rsidRPr="003225FD">
        <w:t>m</w:t>
      </w:r>
      <w:r w:rsidRPr="003225FD">
        <w:t xml:space="preserve">aster </w:t>
      </w:r>
      <w:r w:rsidR="00554057" w:rsidRPr="003225FD">
        <w:t>p</w:t>
      </w:r>
      <w:r w:rsidRPr="003225FD">
        <w:t xml:space="preserve">lan reflecting the same route as the </w:t>
      </w:r>
      <w:r w:rsidR="00776065" w:rsidRPr="003225FD">
        <w:t xml:space="preserve">2002 </w:t>
      </w:r>
      <w:r w:rsidR="00BD3274" w:rsidRPr="003225FD">
        <w:t>P</w:t>
      </w:r>
      <w:r w:rsidRPr="003225FD">
        <w:t>lan.</w:t>
      </w:r>
      <w:r w:rsidRPr="00001B0D">
        <w:rPr>
          <w:rStyle w:val="FootnoteReference"/>
        </w:rPr>
        <w:footnoteReference w:id="37"/>
      </w:r>
      <w:r w:rsidRPr="00001B0D">
        <w:t xml:space="preserve"> </w:t>
      </w:r>
    </w:p>
    <w:p w14:paraId="4B19DA97" w14:textId="25B218D5"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r w:rsidRPr="003225FD">
        <w:t xml:space="preserve">In August 2011, the </w:t>
      </w:r>
      <w:r w:rsidR="0016721F" w:rsidRPr="003225FD">
        <w:t xml:space="preserve">Ministry of Energy adopted the </w:t>
      </w:r>
      <w:r w:rsidR="0094440B" w:rsidRPr="003225FD">
        <w:t xml:space="preserve">OHL’s </w:t>
      </w:r>
      <w:r w:rsidRPr="003225FD">
        <w:t>special plan reflecting route alternative B1.</w:t>
      </w:r>
      <w:r w:rsidRPr="00001B0D">
        <w:rPr>
          <w:rStyle w:val="FootnoteReference"/>
        </w:rPr>
        <w:footnoteReference w:id="38"/>
      </w:r>
    </w:p>
    <w:p w14:paraId="39E3B0AB" w14:textId="5ADB4039"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r w:rsidRPr="00001B0D">
        <w:t xml:space="preserve">In November 2012, Alytus changed its </w:t>
      </w:r>
      <w:r w:rsidR="00554057" w:rsidRPr="003225FD">
        <w:t>m</w:t>
      </w:r>
      <w:r w:rsidRPr="003225FD">
        <w:t xml:space="preserve">aster </w:t>
      </w:r>
      <w:r w:rsidR="00554057" w:rsidRPr="003225FD">
        <w:t>p</w:t>
      </w:r>
      <w:r w:rsidRPr="003225FD">
        <w:t>lan to reflect route alternative B1.</w:t>
      </w:r>
      <w:r w:rsidRPr="00001B0D">
        <w:rPr>
          <w:rStyle w:val="FootnoteReference"/>
        </w:rPr>
        <w:footnoteReference w:id="39"/>
      </w:r>
      <w:r w:rsidRPr="00001B0D">
        <w:t xml:space="preserve"> </w:t>
      </w:r>
    </w:p>
    <w:p w14:paraId="7C424050" w14:textId="4D652078"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bookmarkStart w:id="21" w:name="_Ref8748352"/>
      <w:r w:rsidRPr="003225FD">
        <w:lastRenderedPageBreak/>
        <w:t>On 5 May 2014</w:t>
      </w:r>
      <w:r w:rsidR="00853822" w:rsidRPr="003225FD">
        <w:t>,</w:t>
      </w:r>
      <w:r w:rsidRPr="003225FD">
        <w:t xml:space="preserve"> the official </w:t>
      </w:r>
      <w:r w:rsidR="00554057" w:rsidRPr="003225FD">
        <w:t xml:space="preserve">commencement </w:t>
      </w:r>
      <w:r w:rsidRPr="003225FD">
        <w:t xml:space="preserve">of </w:t>
      </w:r>
      <w:r w:rsidR="00554057" w:rsidRPr="003225FD">
        <w:t xml:space="preserve">OHL </w:t>
      </w:r>
      <w:r w:rsidRPr="003225FD">
        <w:t xml:space="preserve">construction was announced. </w:t>
      </w:r>
      <w:r w:rsidR="00F94AA5" w:rsidRPr="003225FD">
        <w:t>It</w:t>
      </w:r>
      <w:r w:rsidRPr="003225FD">
        <w:t xml:space="preserve"> was expected to be </w:t>
      </w:r>
      <w:r w:rsidR="00F94AA5" w:rsidRPr="003225FD">
        <w:t>in</w:t>
      </w:r>
      <w:r w:rsidRPr="003225FD">
        <w:t xml:space="preserve"> operation at the end of December 2015.</w:t>
      </w:r>
      <w:r w:rsidRPr="00001B0D">
        <w:rPr>
          <w:rStyle w:val="FootnoteReference"/>
        </w:rPr>
        <w:footnoteReference w:id="40"/>
      </w:r>
      <w:bookmarkEnd w:id="21"/>
    </w:p>
    <w:p w14:paraId="52317BE9" w14:textId="6EC66AC1" w:rsidR="008048DF" w:rsidRPr="003225FD" w:rsidRDefault="008048DF" w:rsidP="00A72100">
      <w:pPr>
        <w:pStyle w:val="SingleTxtG"/>
        <w:suppressAutoHyphens w:val="0"/>
        <w:autoSpaceDE w:val="0"/>
        <w:autoSpaceDN w:val="0"/>
        <w:adjustRightInd w:val="0"/>
        <w:spacing w:line="240" w:lineRule="auto"/>
        <w:rPr>
          <w:b/>
        </w:rPr>
      </w:pPr>
      <w:r w:rsidRPr="003225FD">
        <w:rPr>
          <w:b/>
        </w:rPr>
        <w:t>The communicant</w:t>
      </w:r>
      <w:r w:rsidR="000D45AD" w:rsidRPr="003225FD">
        <w:rPr>
          <w:b/>
        </w:rPr>
        <w:t>’</w:t>
      </w:r>
      <w:r w:rsidRPr="003225FD">
        <w:rPr>
          <w:b/>
        </w:rPr>
        <w:t>s legal challenges</w:t>
      </w:r>
    </w:p>
    <w:p w14:paraId="2278A948" w14:textId="65346228" w:rsidR="002921DB" w:rsidRPr="00001B0D" w:rsidRDefault="008B5531" w:rsidP="002921DB">
      <w:pPr>
        <w:pStyle w:val="SingleTxtG"/>
        <w:numPr>
          <w:ilvl w:val="0"/>
          <w:numId w:val="3"/>
        </w:numPr>
        <w:tabs>
          <w:tab w:val="num" w:pos="1134"/>
        </w:tabs>
        <w:suppressAutoHyphens w:val="0"/>
        <w:autoSpaceDE w:val="0"/>
        <w:autoSpaceDN w:val="0"/>
        <w:adjustRightInd w:val="0"/>
        <w:spacing w:line="240" w:lineRule="auto"/>
        <w:ind w:left="1134" w:firstLine="0"/>
      </w:pPr>
      <w:bookmarkStart w:id="22" w:name="_Ref8748360"/>
      <w:bookmarkStart w:id="23" w:name="_Ref8124798"/>
      <w:r w:rsidRPr="003225FD">
        <w:t>On 8 February 2011, t</w:t>
      </w:r>
      <w:r w:rsidR="008048DF" w:rsidRPr="003225FD">
        <w:t xml:space="preserve">he communicant </w:t>
      </w:r>
      <w:r w:rsidR="00823028" w:rsidRPr="003225FD">
        <w:t xml:space="preserve">challenged the </w:t>
      </w:r>
      <w:r w:rsidR="00E7294B" w:rsidRPr="003225FD">
        <w:t>OHL</w:t>
      </w:r>
      <w:r w:rsidR="00823028" w:rsidRPr="003225FD">
        <w:t xml:space="preserve"> decision before</w:t>
      </w:r>
      <w:r w:rsidR="008048DF" w:rsidRPr="003225FD">
        <w:t xml:space="preserve"> the Kaunas Regional Administrative Court</w:t>
      </w:r>
      <w:r w:rsidR="00603295" w:rsidRPr="003225FD">
        <w:t xml:space="preserve">, which found the claim </w:t>
      </w:r>
      <w:r w:rsidR="008D4ABC" w:rsidRPr="003225FD">
        <w:t xml:space="preserve">unfounded on 5 July 2012. The 2010 </w:t>
      </w:r>
      <w:r w:rsidR="00B85BAC" w:rsidRPr="003225FD">
        <w:t>A</w:t>
      </w:r>
      <w:r w:rsidR="008D4ABC" w:rsidRPr="003225FD">
        <w:t>greement was among the court’s reasons for rejecting the</w:t>
      </w:r>
      <w:r w:rsidR="00C57199" w:rsidRPr="003225FD">
        <w:t xml:space="preserve"> communicant’s claim that the chosen location for the OHL was unsuitable</w:t>
      </w:r>
      <w:r w:rsidR="008D4ABC" w:rsidRPr="003225FD">
        <w:t>.</w:t>
      </w:r>
      <w:r w:rsidR="002921DB" w:rsidRPr="00001B0D">
        <w:rPr>
          <w:rStyle w:val="FootnoteReference"/>
        </w:rPr>
        <w:footnoteReference w:id="41"/>
      </w:r>
      <w:bookmarkEnd w:id="22"/>
      <w:r w:rsidR="002921DB" w:rsidRPr="00001B0D" w:rsidDel="00E83D34">
        <w:rPr>
          <w:sz w:val="18"/>
        </w:rPr>
        <w:t xml:space="preserve"> </w:t>
      </w:r>
    </w:p>
    <w:p w14:paraId="44D46021" w14:textId="4EDF7E40" w:rsidR="002921DB" w:rsidRPr="003225FD" w:rsidRDefault="00864CFE" w:rsidP="002E3F1C">
      <w:pPr>
        <w:pStyle w:val="SingleTxtG"/>
        <w:numPr>
          <w:ilvl w:val="0"/>
          <w:numId w:val="3"/>
        </w:numPr>
        <w:suppressAutoHyphens w:val="0"/>
        <w:autoSpaceDE w:val="0"/>
        <w:autoSpaceDN w:val="0"/>
        <w:adjustRightInd w:val="0"/>
        <w:spacing w:line="240" w:lineRule="auto"/>
        <w:ind w:left="1100" w:firstLine="0"/>
      </w:pPr>
      <w:r w:rsidRPr="003225FD">
        <w:t>O</w:t>
      </w:r>
      <w:r w:rsidR="008D4ABC" w:rsidRPr="003225FD">
        <w:t>n 29 May 2013</w:t>
      </w:r>
      <w:r w:rsidRPr="003225FD">
        <w:t>, the Supreme Administrative Court upheld the lower court’s ruling</w:t>
      </w:r>
      <w:r w:rsidR="008D4ABC" w:rsidRPr="003225FD">
        <w:t xml:space="preserve">. </w:t>
      </w:r>
      <w:r w:rsidR="002921DB" w:rsidRPr="003225FD">
        <w:t xml:space="preserve"> </w:t>
      </w:r>
    </w:p>
    <w:p w14:paraId="5EF07FAD" w14:textId="4D7C0F20" w:rsidR="007A43F5" w:rsidRPr="00001B0D" w:rsidRDefault="002C4EB3" w:rsidP="00A72100">
      <w:pPr>
        <w:pStyle w:val="SingleTxtG"/>
        <w:numPr>
          <w:ilvl w:val="0"/>
          <w:numId w:val="3"/>
        </w:numPr>
        <w:suppressAutoHyphens w:val="0"/>
        <w:autoSpaceDE w:val="0"/>
        <w:autoSpaceDN w:val="0"/>
        <w:adjustRightInd w:val="0"/>
        <w:spacing w:line="240" w:lineRule="auto"/>
        <w:ind w:left="1100" w:firstLine="0"/>
      </w:pPr>
      <w:bookmarkStart w:id="24" w:name="_Ref8124813"/>
      <w:bookmarkEnd w:id="23"/>
      <w:r w:rsidRPr="003225FD">
        <w:t>T</w:t>
      </w:r>
      <w:r w:rsidR="008048DF" w:rsidRPr="003225FD">
        <w:t xml:space="preserve">he communicant appealed a costs order </w:t>
      </w:r>
      <w:r w:rsidR="00603295" w:rsidRPr="003225FD">
        <w:t>ordering it pay</w:t>
      </w:r>
      <w:r w:rsidR="0057406F" w:rsidRPr="003225FD">
        <w:t xml:space="preserve"> €2766.98 </w:t>
      </w:r>
      <w:r w:rsidR="006E189C" w:rsidRPr="003225FD">
        <w:t>to Litpol Link, an intervening party</w:t>
      </w:r>
      <w:r w:rsidR="0057406F" w:rsidRPr="003225FD">
        <w:t xml:space="preserve">. </w:t>
      </w:r>
      <w:r w:rsidR="007C3F5D" w:rsidRPr="003225FD">
        <w:t>On 8 December 2014, t</w:t>
      </w:r>
      <w:r w:rsidR="0057406F" w:rsidRPr="003225FD">
        <w:t xml:space="preserve">he </w:t>
      </w:r>
      <w:r w:rsidR="008048DF" w:rsidRPr="003225FD">
        <w:t xml:space="preserve">Kaunas Regional Administrative Court dismissed </w:t>
      </w:r>
      <w:r w:rsidR="0057406F" w:rsidRPr="003225FD">
        <w:t>that appeal</w:t>
      </w:r>
      <w:r w:rsidR="008048DF" w:rsidRPr="003225FD">
        <w:t>.</w:t>
      </w:r>
      <w:r w:rsidR="008048DF" w:rsidRPr="00001B0D">
        <w:rPr>
          <w:vertAlign w:val="superscript"/>
        </w:rPr>
        <w:footnoteReference w:id="42"/>
      </w:r>
      <w:bookmarkEnd w:id="24"/>
    </w:p>
    <w:p w14:paraId="4E6BA18A" w14:textId="4B47D016" w:rsidR="00341C77" w:rsidRPr="003225FD" w:rsidRDefault="001B70F6" w:rsidP="00341C77">
      <w:pPr>
        <w:pStyle w:val="H1G"/>
        <w:ind w:left="615" w:firstLine="0"/>
        <w:jc w:val="both"/>
      </w:pPr>
      <w:r w:rsidRPr="00001B0D">
        <w:tab/>
      </w:r>
      <w:r w:rsidRPr="00001B0D">
        <w:tab/>
        <w:t>C</w:t>
      </w:r>
      <w:r w:rsidR="00341C77" w:rsidRPr="00001B0D">
        <w:t xml:space="preserve">. </w:t>
      </w:r>
      <w:r w:rsidR="00341C77" w:rsidRPr="00001B0D">
        <w:tab/>
        <w:t>Substantive issues</w:t>
      </w:r>
    </w:p>
    <w:p w14:paraId="1221135C" w14:textId="5FAA9F6E" w:rsidR="00341C77" w:rsidRPr="003225FD" w:rsidRDefault="00341C77" w:rsidP="00001B0D">
      <w:pPr>
        <w:pStyle w:val="SingleTxtG"/>
        <w:ind w:left="533" w:firstLine="567"/>
        <w:rPr>
          <w:b/>
        </w:rPr>
      </w:pPr>
      <w:r w:rsidRPr="003225FD">
        <w:rPr>
          <w:b/>
        </w:rPr>
        <w:t>Applicability of article</w:t>
      </w:r>
      <w:r w:rsidR="0042435A" w:rsidRPr="003225FD">
        <w:rPr>
          <w:b/>
        </w:rPr>
        <w:t>s</w:t>
      </w:r>
      <w:r w:rsidRPr="003225FD">
        <w:rPr>
          <w:b/>
        </w:rPr>
        <w:t xml:space="preserve"> 6 and</w:t>
      </w:r>
      <w:r w:rsidR="0042435A" w:rsidRPr="003225FD">
        <w:rPr>
          <w:b/>
        </w:rPr>
        <w:t xml:space="preserve"> </w:t>
      </w:r>
      <w:r w:rsidRPr="003225FD">
        <w:rPr>
          <w:b/>
        </w:rPr>
        <w:t>7</w:t>
      </w:r>
    </w:p>
    <w:p w14:paraId="3A03B463" w14:textId="121DFC8C" w:rsidR="00341C77" w:rsidRPr="00001B0D" w:rsidRDefault="00341C77" w:rsidP="00A72100">
      <w:pPr>
        <w:pStyle w:val="SingleTxtG"/>
        <w:numPr>
          <w:ilvl w:val="0"/>
          <w:numId w:val="3"/>
        </w:numPr>
        <w:suppressAutoHyphens w:val="0"/>
        <w:autoSpaceDE w:val="0"/>
        <w:autoSpaceDN w:val="0"/>
        <w:adjustRightInd w:val="0"/>
        <w:spacing w:line="240" w:lineRule="auto"/>
        <w:ind w:left="1100" w:firstLine="0"/>
        <w:rPr>
          <w:i/>
        </w:rPr>
      </w:pPr>
      <w:r w:rsidRPr="003225FD">
        <w:t>The communicant submits that the OHL is an activity covered by annex I</w:t>
      </w:r>
      <w:r w:rsidR="00A82D88" w:rsidRPr="003225FD">
        <w:t>,</w:t>
      </w:r>
      <w:r w:rsidRPr="003225FD">
        <w:t xml:space="preserve"> thus article 6</w:t>
      </w:r>
      <w:r w:rsidR="00BB2F89" w:rsidRPr="003225FD">
        <w:rPr>
          <w:lang w:eastAsia="en-GB"/>
        </w:rPr>
        <w:t>(</w:t>
      </w:r>
      <w:r w:rsidRPr="003225FD">
        <w:t>1</w:t>
      </w:r>
      <w:r w:rsidR="00BB2F89" w:rsidRPr="003225FD">
        <w:rPr>
          <w:lang w:eastAsia="en-GB"/>
        </w:rPr>
        <w:t>)</w:t>
      </w:r>
      <w:r w:rsidRPr="003225FD">
        <w:rPr>
          <w:lang w:eastAsia="en-GB"/>
        </w:rPr>
        <w:t>(</w:t>
      </w:r>
      <w:r w:rsidRPr="003225FD">
        <w:t>a)</w:t>
      </w:r>
      <w:r w:rsidR="00FA68F8" w:rsidRPr="003225FD">
        <w:t xml:space="preserve"> </w:t>
      </w:r>
      <w:r w:rsidRPr="003225FD">
        <w:t>applies.</w:t>
      </w:r>
      <w:r w:rsidR="008F195C" w:rsidRPr="003225FD">
        <w:t xml:space="preserve"> </w:t>
      </w:r>
      <w:r w:rsidR="00D5405F" w:rsidRPr="003225FD">
        <w:t>It</w:t>
      </w:r>
      <w:r w:rsidRPr="003225FD">
        <w:t xml:space="preserve"> further submits that </w:t>
      </w:r>
      <w:r w:rsidR="008F195C" w:rsidRPr="003225FD">
        <w:t xml:space="preserve">the 2009 Decree </w:t>
      </w:r>
      <w:r w:rsidRPr="003225FD">
        <w:t xml:space="preserve">is related to the environment and </w:t>
      </w:r>
      <w:r w:rsidR="00603295" w:rsidRPr="003225FD">
        <w:t>thus subject to article 7</w:t>
      </w:r>
      <w:r w:rsidRPr="003225FD">
        <w:t>.</w:t>
      </w:r>
      <w:r w:rsidR="00204BE0" w:rsidRPr="003225FD">
        <w:rPr>
          <w:rStyle w:val="FootnoteReference"/>
          <w:lang w:eastAsia="en-GB"/>
        </w:rPr>
        <w:t xml:space="preserve"> </w:t>
      </w:r>
      <w:r w:rsidR="00204BE0" w:rsidRPr="00001B0D">
        <w:rPr>
          <w:rStyle w:val="FootnoteReference"/>
        </w:rPr>
        <w:footnoteReference w:id="43"/>
      </w:r>
    </w:p>
    <w:p w14:paraId="5CC924FE" w14:textId="3DE65C14" w:rsidR="002333B6" w:rsidRPr="003225FD" w:rsidRDefault="002333B6" w:rsidP="00A72100">
      <w:pPr>
        <w:pStyle w:val="SingleTxtG"/>
        <w:numPr>
          <w:ilvl w:val="0"/>
          <w:numId w:val="3"/>
        </w:numPr>
        <w:suppressAutoHyphens w:val="0"/>
        <w:autoSpaceDE w:val="0"/>
        <w:autoSpaceDN w:val="0"/>
        <w:adjustRightInd w:val="0"/>
        <w:spacing w:line="240" w:lineRule="auto"/>
        <w:ind w:left="1100" w:firstLine="0"/>
        <w:rPr>
          <w:i/>
        </w:rPr>
      </w:pPr>
      <w:r w:rsidRPr="003225FD">
        <w:t xml:space="preserve">The Party concerned </w:t>
      </w:r>
      <w:r w:rsidR="007D59EE" w:rsidRPr="003225FD">
        <w:t xml:space="preserve">does not deny that the OHL </w:t>
      </w:r>
      <w:r w:rsidR="00A82D88" w:rsidRPr="003225FD">
        <w:t>falls under</w:t>
      </w:r>
      <w:r w:rsidR="007D59EE" w:rsidRPr="003225FD">
        <w:t xml:space="preserve"> article 6 of the Convention.</w:t>
      </w:r>
      <w:r w:rsidR="007D59EE" w:rsidRPr="00001B0D">
        <w:rPr>
          <w:rStyle w:val="FootnoteReference"/>
        </w:rPr>
        <w:footnoteReference w:id="44"/>
      </w:r>
      <w:r w:rsidR="007D59EE" w:rsidRPr="00001B0D">
        <w:t xml:space="preserve"> It does not comment on whether article 7 applies to the</w:t>
      </w:r>
      <w:r w:rsidR="00BA6F15" w:rsidRPr="00001B0D">
        <w:t xml:space="preserve"> 2009 </w:t>
      </w:r>
      <w:r w:rsidR="007D59EE" w:rsidRPr="003225FD">
        <w:t>Decree.</w:t>
      </w:r>
    </w:p>
    <w:p w14:paraId="3B2C0365" w14:textId="3C03653D" w:rsidR="00341C77" w:rsidRPr="003225FD" w:rsidRDefault="00341C77" w:rsidP="00341C77">
      <w:pPr>
        <w:pStyle w:val="SingleTxtG"/>
        <w:suppressAutoHyphens w:val="0"/>
        <w:autoSpaceDE w:val="0"/>
        <w:autoSpaceDN w:val="0"/>
        <w:adjustRightInd w:val="0"/>
        <w:spacing w:line="240" w:lineRule="auto"/>
        <w:ind w:left="1100"/>
        <w:rPr>
          <w:b/>
          <w:lang w:val="en-US"/>
        </w:rPr>
      </w:pPr>
      <w:r w:rsidRPr="003225FD">
        <w:rPr>
          <w:b/>
          <w:lang w:val="en-US"/>
        </w:rPr>
        <w:t>Article 6</w:t>
      </w:r>
      <w:r w:rsidR="00BB2F89" w:rsidRPr="003225FD">
        <w:rPr>
          <w:b/>
          <w:iCs/>
          <w:lang w:val="en-US"/>
        </w:rPr>
        <w:t>(</w:t>
      </w:r>
      <w:r w:rsidRPr="003225FD">
        <w:rPr>
          <w:b/>
          <w:lang w:val="en-US"/>
        </w:rPr>
        <w:t>2</w:t>
      </w:r>
      <w:r w:rsidR="00BB2F89" w:rsidRPr="003225FD">
        <w:rPr>
          <w:b/>
          <w:iCs/>
          <w:lang w:val="en-US"/>
        </w:rPr>
        <w:t>)</w:t>
      </w:r>
      <w:r w:rsidR="00D5405F" w:rsidRPr="003225FD">
        <w:rPr>
          <w:b/>
          <w:lang w:val="en-US"/>
        </w:rPr>
        <w:t xml:space="preserve"> </w:t>
      </w:r>
    </w:p>
    <w:p w14:paraId="1603F238" w14:textId="6A025C04" w:rsidR="00341C77" w:rsidRPr="00001B0D" w:rsidRDefault="00341C77" w:rsidP="0096527B">
      <w:pPr>
        <w:pStyle w:val="SingleTxtG"/>
        <w:numPr>
          <w:ilvl w:val="0"/>
          <w:numId w:val="3"/>
        </w:numPr>
        <w:suppressAutoHyphens w:val="0"/>
        <w:autoSpaceDE w:val="0"/>
        <w:autoSpaceDN w:val="0"/>
        <w:adjustRightInd w:val="0"/>
        <w:spacing w:line="240" w:lineRule="auto"/>
        <w:ind w:left="1100" w:firstLine="0"/>
      </w:pPr>
      <w:bookmarkStart w:id="26" w:name="_Ref513208757"/>
      <w:r w:rsidRPr="003225FD">
        <w:t xml:space="preserve">The communicant claims that </w:t>
      </w:r>
      <w:r w:rsidR="00D5405F" w:rsidRPr="003225FD">
        <w:t>domestic</w:t>
      </w:r>
      <w:r w:rsidRPr="003225FD">
        <w:t xml:space="preserve"> legislation does not contain a clear requirement that the public be informed in a timely, adequate and effective manner. </w:t>
      </w:r>
      <w:r w:rsidR="00853822" w:rsidRPr="003225FD">
        <w:t xml:space="preserve">It </w:t>
      </w:r>
      <w:r w:rsidR="0096527B" w:rsidRPr="003225FD">
        <w:t xml:space="preserve">claims the </w:t>
      </w:r>
      <w:r w:rsidR="0096527B" w:rsidRPr="003225FD">
        <w:rPr>
          <w:lang w:eastAsia="en-GB"/>
        </w:rPr>
        <w:t>Party concerned</w:t>
      </w:r>
      <w:r w:rsidR="0096527B" w:rsidRPr="003225FD">
        <w:t xml:space="preserve"> failed to notify the public prior to the 2009 Decree</w:t>
      </w:r>
      <w:r w:rsidR="0096527B" w:rsidRPr="00001B0D">
        <w:rPr>
          <w:sz w:val="18"/>
          <w:vertAlign w:val="superscript"/>
        </w:rPr>
        <w:footnoteReference w:id="45"/>
      </w:r>
      <w:r w:rsidR="0096527B" w:rsidRPr="00001B0D">
        <w:t xml:space="preserve"> and </w:t>
      </w:r>
      <w:r w:rsidR="00FF7286" w:rsidRPr="00001B0D">
        <w:t xml:space="preserve">questions how </w:t>
      </w:r>
      <w:r w:rsidR="00853822" w:rsidRPr="003225FD">
        <w:t>t</w:t>
      </w:r>
      <w:r w:rsidR="00885277" w:rsidRPr="003225FD">
        <w:t>he</w:t>
      </w:r>
      <w:r w:rsidR="00C93786" w:rsidRPr="003225FD">
        <w:t xml:space="preserve"> </w:t>
      </w:r>
      <w:r w:rsidRPr="003225FD">
        <w:t>publication of the first announcements</w:t>
      </w:r>
      <w:r w:rsidR="00D27A3B" w:rsidRPr="003225FD">
        <w:t xml:space="preserve"> </w:t>
      </w:r>
      <w:r w:rsidR="00262D22" w:rsidRPr="003225FD">
        <w:t xml:space="preserve">on a few websites </w:t>
      </w:r>
      <w:r w:rsidRPr="003225FD">
        <w:t xml:space="preserve">about the preparation of the </w:t>
      </w:r>
      <w:r w:rsidR="00D5405F" w:rsidRPr="003225FD">
        <w:t>EIA</w:t>
      </w:r>
      <w:r w:rsidRPr="003225FD">
        <w:t xml:space="preserve"> and </w:t>
      </w:r>
      <w:r w:rsidR="00D5405F" w:rsidRPr="003225FD">
        <w:t>SEA</w:t>
      </w:r>
      <w:r w:rsidRPr="003225FD">
        <w:t xml:space="preserve"> </w:t>
      </w:r>
      <w:r w:rsidR="00FF7286" w:rsidRPr="003225FD">
        <w:t xml:space="preserve">could be effective </w:t>
      </w:r>
      <w:r w:rsidR="00262D22" w:rsidRPr="003225FD">
        <w:t>notification</w:t>
      </w:r>
      <w:r w:rsidR="00FF7286" w:rsidRPr="003225FD">
        <w:t xml:space="preserve">, especially </w:t>
      </w:r>
      <w:r w:rsidR="00262D22" w:rsidRPr="003225FD">
        <w:t>since</w:t>
      </w:r>
      <w:r w:rsidR="00FF7286" w:rsidRPr="003225FD">
        <w:t xml:space="preserve"> the spatial planning documents then in </w:t>
      </w:r>
      <w:r w:rsidR="00262D22" w:rsidRPr="003225FD">
        <w:t>place</w:t>
      </w:r>
      <w:r w:rsidR="00FF7286" w:rsidRPr="003225FD">
        <w:t xml:space="preserve"> did not </w:t>
      </w:r>
      <w:r w:rsidR="00262D22" w:rsidRPr="003225FD">
        <w:t xml:space="preserve">foresee </w:t>
      </w:r>
      <w:r w:rsidR="00FF7286" w:rsidRPr="003225FD">
        <w:t xml:space="preserve">the </w:t>
      </w:r>
      <w:r w:rsidR="00262D22" w:rsidRPr="003225FD">
        <w:t>OHL</w:t>
      </w:r>
      <w:r w:rsidR="00FF7286" w:rsidRPr="003225FD">
        <w:t xml:space="preserve">. </w:t>
      </w:r>
      <w:r w:rsidR="00262D22" w:rsidRPr="003225FD">
        <w:t>Moreover, the</w:t>
      </w:r>
      <w:r w:rsidRPr="003225FD">
        <w:t xml:space="preserve"> local</w:t>
      </w:r>
      <w:r w:rsidR="00262D22" w:rsidRPr="003225FD">
        <w:t xml:space="preserve"> community</w:t>
      </w:r>
      <w:r w:rsidRPr="003225FD">
        <w:t>, especially the elderly, ha</w:t>
      </w:r>
      <w:r w:rsidR="00262D22" w:rsidRPr="003225FD">
        <w:t>s</w:t>
      </w:r>
      <w:r w:rsidRPr="003225FD">
        <w:t xml:space="preserve"> limited </w:t>
      </w:r>
      <w:r w:rsidR="00035740" w:rsidRPr="003225FD">
        <w:t xml:space="preserve">internet </w:t>
      </w:r>
      <w:r w:rsidRPr="003225FD">
        <w:t>access</w:t>
      </w:r>
      <w:r w:rsidR="00262D22" w:rsidRPr="003225FD">
        <w:t>.</w:t>
      </w:r>
      <w:r w:rsidR="00BA6F15" w:rsidRPr="003225FD">
        <w:t xml:space="preserve"> </w:t>
      </w:r>
      <w:r w:rsidR="009F254C" w:rsidRPr="003225FD">
        <w:t xml:space="preserve">The communicant </w:t>
      </w:r>
      <w:r w:rsidR="00885277" w:rsidRPr="003225FD">
        <w:t>also</w:t>
      </w:r>
      <w:r w:rsidRPr="003225FD">
        <w:t xml:space="preserve"> contends that informing the public via announcements in the local press was ineffective.</w:t>
      </w:r>
      <w:bookmarkEnd w:id="26"/>
      <w:r w:rsidR="00262D22" w:rsidRPr="003225FD">
        <w:t xml:space="preserve"> </w:t>
      </w:r>
      <w:bookmarkStart w:id="27" w:name="_Ref513208732"/>
      <w:r w:rsidR="00262D22" w:rsidRPr="003225FD">
        <w:t xml:space="preserve">It claims </w:t>
      </w:r>
      <w:r w:rsidRPr="003225FD">
        <w:t>that the newspaper announcement of the public hearing on the EIA report was superficial</w:t>
      </w:r>
      <w:r w:rsidR="0096527B" w:rsidRPr="003225FD">
        <w:t>,</w:t>
      </w:r>
      <w:r w:rsidR="009F254C" w:rsidRPr="003225FD">
        <w:t xml:space="preserve"> </w:t>
      </w:r>
      <w:r w:rsidR="0096527B" w:rsidRPr="003225FD">
        <w:t xml:space="preserve">without </w:t>
      </w:r>
      <w:r w:rsidRPr="003225FD">
        <w:t>maps or diagrams</w:t>
      </w:r>
      <w:r w:rsidR="0096527B" w:rsidRPr="003225FD">
        <w:t xml:space="preserve"> and </w:t>
      </w:r>
      <w:r w:rsidR="00B5477A" w:rsidRPr="003225FD">
        <w:t xml:space="preserve">local residents </w:t>
      </w:r>
      <w:r w:rsidRPr="003225FD">
        <w:t xml:space="preserve">were </w:t>
      </w:r>
      <w:r w:rsidR="00262D22" w:rsidRPr="003225FD">
        <w:t xml:space="preserve">therefore </w:t>
      </w:r>
      <w:r w:rsidRPr="003225FD">
        <w:t>not informed at an early stage that a 400 kV OHL w</w:t>
      </w:r>
      <w:r w:rsidR="00FF13F6" w:rsidRPr="003225FD">
        <w:t>ould</w:t>
      </w:r>
      <w:r w:rsidRPr="003225FD">
        <w:t xml:space="preserve"> cross their</w:t>
      </w:r>
      <w:r w:rsidR="00885277" w:rsidRPr="003225FD">
        <w:t xml:space="preserve"> </w:t>
      </w:r>
      <w:r w:rsidRPr="003225FD">
        <w:t>lands</w:t>
      </w:r>
      <w:r w:rsidR="0096527B" w:rsidRPr="003225FD">
        <w:t>.</w:t>
      </w:r>
      <w:r w:rsidR="0096527B" w:rsidRPr="00001B0D">
        <w:rPr>
          <w:rStyle w:val="FootnoteReference"/>
        </w:rPr>
        <w:footnoteReference w:id="46"/>
      </w:r>
      <w:r w:rsidR="0096527B" w:rsidRPr="00001B0D">
        <w:t xml:space="preserve"> </w:t>
      </w:r>
      <w:bookmarkEnd w:id="27"/>
    </w:p>
    <w:p w14:paraId="529E7341" w14:textId="2B2997C0" w:rsidR="00341C77" w:rsidRPr="00001B0D" w:rsidRDefault="00341C77" w:rsidP="009D24EA">
      <w:pPr>
        <w:pStyle w:val="SingleTxtG"/>
        <w:numPr>
          <w:ilvl w:val="0"/>
          <w:numId w:val="3"/>
        </w:numPr>
        <w:suppressAutoHyphens w:val="0"/>
        <w:autoSpaceDE w:val="0"/>
        <w:autoSpaceDN w:val="0"/>
        <w:adjustRightInd w:val="0"/>
        <w:spacing w:line="240" w:lineRule="auto"/>
        <w:ind w:left="1100" w:firstLine="0"/>
        <w:rPr>
          <w:i/>
        </w:rPr>
      </w:pPr>
      <w:r w:rsidRPr="003225FD">
        <w:t xml:space="preserve">The Party concerned </w:t>
      </w:r>
      <w:r w:rsidR="00EB483A" w:rsidRPr="003225FD">
        <w:t xml:space="preserve">states that its legislation sets out the information the public notice must include, limiting the discretion of those responsible for notification. It </w:t>
      </w:r>
      <w:r w:rsidRPr="003225FD">
        <w:t>submits that the public was informed in an adequate, timely and effective manner</w:t>
      </w:r>
      <w:r w:rsidR="006A210D" w:rsidRPr="003225FD">
        <w:t xml:space="preserve"> </w:t>
      </w:r>
      <w:r w:rsidR="00D36034" w:rsidRPr="003225FD">
        <w:t xml:space="preserve">of </w:t>
      </w:r>
      <w:r w:rsidR="006F5A8D" w:rsidRPr="003225FD">
        <w:t>both the SEA and EIA procedures</w:t>
      </w:r>
      <w:r w:rsidR="006A210D" w:rsidRPr="003225FD">
        <w:t>.</w:t>
      </w:r>
      <w:r w:rsidR="006A210D" w:rsidRPr="00001B0D">
        <w:rPr>
          <w:rStyle w:val="FootnoteReference"/>
        </w:rPr>
        <w:footnoteReference w:id="47"/>
      </w:r>
      <w:r w:rsidR="006A210D" w:rsidRPr="00001B0D">
        <w:t xml:space="preserve"> </w:t>
      </w:r>
      <w:r w:rsidR="008926A3" w:rsidRPr="00001B0D">
        <w:t>Regarding</w:t>
      </w:r>
      <w:r w:rsidR="00396CE2" w:rsidRPr="003225FD">
        <w:t xml:space="preserve"> the low participation of the public, it states that the public was informed but </w:t>
      </w:r>
      <w:r w:rsidR="008926A3" w:rsidRPr="003225FD">
        <w:t>bears</w:t>
      </w:r>
      <w:r w:rsidR="00396CE2" w:rsidRPr="003225FD">
        <w:t xml:space="preserve"> responsibility to take </w:t>
      </w:r>
      <w:r w:rsidR="00D81551" w:rsidRPr="003225FD">
        <w:t xml:space="preserve">an </w:t>
      </w:r>
      <w:r w:rsidR="00396CE2" w:rsidRPr="003225FD">
        <w:t>interest.</w:t>
      </w:r>
      <w:r w:rsidR="00932D55" w:rsidRPr="00001B0D">
        <w:rPr>
          <w:rStyle w:val="FootnoteReference"/>
        </w:rPr>
        <w:footnoteReference w:id="48"/>
      </w:r>
    </w:p>
    <w:p w14:paraId="23B86426" w14:textId="1A666A13" w:rsidR="00341C77" w:rsidRPr="003225FD" w:rsidRDefault="00341C77" w:rsidP="00341C77">
      <w:pPr>
        <w:pStyle w:val="SingleTxtG"/>
        <w:suppressAutoHyphens w:val="0"/>
        <w:autoSpaceDE w:val="0"/>
        <w:autoSpaceDN w:val="0"/>
        <w:adjustRightInd w:val="0"/>
        <w:spacing w:line="240" w:lineRule="auto"/>
        <w:ind w:left="1100"/>
        <w:rPr>
          <w:b/>
        </w:rPr>
      </w:pPr>
      <w:r w:rsidRPr="003225FD">
        <w:rPr>
          <w:b/>
        </w:rPr>
        <w:t>Article 6</w:t>
      </w:r>
      <w:r w:rsidR="00BB2F89" w:rsidRPr="003225FD">
        <w:rPr>
          <w:b/>
          <w:iCs/>
        </w:rPr>
        <w:t>(</w:t>
      </w:r>
      <w:r w:rsidRPr="003225FD">
        <w:rPr>
          <w:b/>
        </w:rPr>
        <w:t>3</w:t>
      </w:r>
      <w:r w:rsidR="00BB2F89" w:rsidRPr="003225FD">
        <w:rPr>
          <w:b/>
          <w:iCs/>
        </w:rPr>
        <w:t>)</w:t>
      </w:r>
    </w:p>
    <w:p w14:paraId="73E6CFFB" w14:textId="660007C8" w:rsidR="00341C77" w:rsidRPr="003225FD" w:rsidRDefault="00065CD6" w:rsidP="00341C77">
      <w:pPr>
        <w:pStyle w:val="SingleTxtG"/>
        <w:suppressAutoHyphens w:val="0"/>
        <w:autoSpaceDE w:val="0"/>
        <w:autoSpaceDN w:val="0"/>
        <w:adjustRightInd w:val="0"/>
        <w:spacing w:line="240" w:lineRule="auto"/>
        <w:ind w:left="1100"/>
        <w:rPr>
          <w:i/>
        </w:rPr>
      </w:pPr>
      <w:r w:rsidRPr="003225FD">
        <w:rPr>
          <w:i/>
        </w:rPr>
        <w:t>T</w:t>
      </w:r>
      <w:r w:rsidR="00341C77" w:rsidRPr="003225FD">
        <w:rPr>
          <w:i/>
        </w:rPr>
        <w:t xml:space="preserve">ime </w:t>
      </w:r>
      <w:r w:rsidRPr="003225FD">
        <w:rPr>
          <w:i/>
        </w:rPr>
        <w:t xml:space="preserve">frames </w:t>
      </w:r>
      <w:r w:rsidR="00E97B0D" w:rsidRPr="003225FD">
        <w:rPr>
          <w:i/>
        </w:rPr>
        <w:t>in the legal framework</w:t>
      </w:r>
    </w:p>
    <w:p w14:paraId="01B73791" w14:textId="2DA80DA8" w:rsidR="00E97B0D" w:rsidRPr="00001B0D" w:rsidRDefault="00E97B0D" w:rsidP="00341C77">
      <w:pPr>
        <w:pStyle w:val="SingleTxtG"/>
        <w:numPr>
          <w:ilvl w:val="0"/>
          <w:numId w:val="3"/>
        </w:numPr>
        <w:suppressAutoHyphens w:val="0"/>
        <w:autoSpaceDE w:val="0"/>
        <w:autoSpaceDN w:val="0"/>
        <w:adjustRightInd w:val="0"/>
        <w:spacing w:line="240" w:lineRule="auto"/>
        <w:ind w:left="1100" w:firstLine="0"/>
      </w:pPr>
      <w:r w:rsidRPr="003225FD">
        <w:lastRenderedPageBreak/>
        <w:t>The communicant states that, despite the Committee’s findings on communication ACCC/C/2006/16,</w:t>
      </w:r>
      <w:r w:rsidR="00B44247" w:rsidRPr="003225FD">
        <w:t xml:space="preserve"> </w:t>
      </w:r>
      <w:r w:rsidRPr="003225FD">
        <w:t>Lithuanian</w:t>
      </w:r>
      <w:r w:rsidR="00204E87" w:rsidRPr="003225FD">
        <w:t xml:space="preserve"> </w:t>
      </w:r>
      <w:r w:rsidRPr="003225FD">
        <w:t xml:space="preserve">legislation still provides for a </w:t>
      </w:r>
      <w:r w:rsidR="006B0381" w:rsidRPr="003225FD">
        <w:t xml:space="preserve">commenting </w:t>
      </w:r>
      <w:r w:rsidRPr="003225FD">
        <w:t>period</w:t>
      </w:r>
      <w:r w:rsidR="00C53D4A" w:rsidRPr="003225FD">
        <w:t xml:space="preserve"> of 10 working days</w:t>
      </w:r>
      <w:r w:rsidRPr="003225FD">
        <w:t>.</w:t>
      </w:r>
      <w:r w:rsidRPr="00001B0D">
        <w:rPr>
          <w:rStyle w:val="FootnoteReference"/>
        </w:rPr>
        <w:footnoteReference w:id="49"/>
      </w:r>
    </w:p>
    <w:p w14:paraId="56D5835A" w14:textId="7EADD953"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rPr>
          <w:i/>
        </w:rPr>
      </w:pPr>
      <w:r w:rsidRPr="003225FD">
        <w:t xml:space="preserve">The Party concerned states that </w:t>
      </w:r>
      <w:r w:rsidR="007C3F5D" w:rsidRPr="003225FD">
        <w:t xml:space="preserve">its legislation provides </w:t>
      </w:r>
      <w:r w:rsidRPr="003225FD">
        <w:t xml:space="preserve">10 working days </w:t>
      </w:r>
      <w:r w:rsidR="001727B1" w:rsidRPr="003225FD">
        <w:t xml:space="preserve">for the public </w:t>
      </w:r>
      <w:r w:rsidRPr="003225FD">
        <w:t xml:space="preserve">to inspect the EIA report and to submit comments prior to </w:t>
      </w:r>
      <w:r w:rsidR="001727B1" w:rsidRPr="003225FD">
        <w:t xml:space="preserve">the </w:t>
      </w:r>
      <w:r w:rsidRPr="003225FD">
        <w:t>hearing</w:t>
      </w:r>
      <w:r w:rsidR="006073EB" w:rsidRPr="003225FD">
        <w:t xml:space="preserve">, and </w:t>
      </w:r>
      <w:r w:rsidR="001727B1" w:rsidRPr="003225FD">
        <w:t xml:space="preserve">another </w:t>
      </w:r>
      <w:r w:rsidR="006073EB" w:rsidRPr="003225FD">
        <w:t xml:space="preserve">10 working days </w:t>
      </w:r>
      <w:r w:rsidR="001727B1" w:rsidRPr="003225FD">
        <w:t>to submit comments after the</w:t>
      </w:r>
      <w:r w:rsidR="00176C4B" w:rsidRPr="003225FD">
        <w:t xml:space="preserve"> hearing</w:t>
      </w:r>
      <w:r w:rsidRPr="003225FD">
        <w:t xml:space="preserve">. It submits that </w:t>
      </w:r>
      <w:r w:rsidR="00176C4B" w:rsidRPr="003225FD">
        <w:t xml:space="preserve">the </w:t>
      </w:r>
      <w:r w:rsidR="008926A3" w:rsidRPr="003225FD">
        <w:t xml:space="preserve">Committee </w:t>
      </w:r>
      <w:r w:rsidR="00712FEC" w:rsidRPr="003225FD">
        <w:t xml:space="preserve">has previously </w:t>
      </w:r>
      <w:r w:rsidR="008926A3" w:rsidRPr="003225FD">
        <w:t xml:space="preserve">found </w:t>
      </w:r>
      <w:r w:rsidRPr="003225FD">
        <w:t>timeframes</w:t>
      </w:r>
      <w:r w:rsidR="00712FEC" w:rsidRPr="003225FD">
        <w:t xml:space="preserve"> of</w:t>
      </w:r>
      <w:r w:rsidRPr="003225FD">
        <w:t xml:space="preserve"> 20 working days or 30 </w:t>
      </w:r>
      <w:r w:rsidR="00E97B0D" w:rsidRPr="003225FD">
        <w:t xml:space="preserve">calendar </w:t>
      </w:r>
      <w:r w:rsidRPr="003225FD">
        <w:t>days</w:t>
      </w:r>
      <w:r w:rsidR="008926A3" w:rsidRPr="003225FD">
        <w:t xml:space="preserve"> </w:t>
      </w:r>
      <w:r w:rsidRPr="003225FD">
        <w:t>appropriate.</w:t>
      </w:r>
      <w:r w:rsidRPr="00001B0D">
        <w:rPr>
          <w:rStyle w:val="FootnoteReference"/>
        </w:rPr>
        <w:footnoteReference w:id="50"/>
      </w:r>
      <w:r w:rsidRPr="00001B0D">
        <w:t xml:space="preserve"> </w:t>
      </w:r>
    </w:p>
    <w:p w14:paraId="581CE764" w14:textId="634BE7C0" w:rsidR="00341C77" w:rsidRPr="003225FD" w:rsidRDefault="00341C77" w:rsidP="00341C77">
      <w:pPr>
        <w:pStyle w:val="SingleTxtG"/>
        <w:suppressAutoHyphens w:val="0"/>
        <w:autoSpaceDE w:val="0"/>
        <w:autoSpaceDN w:val="0"/>
        <w:adjustRightInd w:val="0"/>
        <w:spacing w:line="240" w:lineRule="auto"/>
        <w:ind w:left="1100"/>
        <w:rPr>
          <w:i/>
        </w:rPr>
      </w:pPr>
      <w:r w:rsidRPr="003225FD">
        <w:rPr>
          <w:i/>
        </w:rPr>
        <w:t xml:space="preserve">Time </w:t>
      </w:r>
      <w:r w:rsidR="006E5DFA" w:rsidRPr="003225FD">
        <w:rPr>
          <w:i/>
        </w:rPr>
        <w:t>frames</w:t>
      </w:r>
      <w:r w:rsidR="00065CD6" w:rsidRPr="003225FD">
        <w:rPr>
          <w:i/>
        </w:rPr>
        <w:t xml:space="preserve"> </w:t>
      </w:r>
      <w:r w:rsidR="004F6B69" w:rsidRPr="003225FD">
        <w:rPr>
          <w:i/>
        </w:rPr>
        <w:t>for</w:t>
      </w:r>
      <w:r w:rsidRPr="003225FD">
        <w:rPr>
          <w:i/>
        </w:rPr>
        <w:t xml:space="preserve"> OHL </w:t>
      </w:r>
      <w:r w:rsidR="00912CEE" w:rsidRPr="003225FD">
        <w:rPr>
          <w:i/>
        </w:rPr>
        <w:t>project</w:t>
      </w:r>
    </w:p>
    <w:p w14:paraId="67E5BD0B" w14:textId="71EB9786" w:rsidR="00341C77" w:rsidRPr="00001B0D" w:rsidRDefault="00341C77" w:rsidP="00A72100">
      <w:pPr>
        <w:pStyle w:val="SingleTxtG"/>
        <w:numPr>
          <w:ilvl w:val="0"/>
          <w:numId w:val="3"/>
        </w:numPr>
        <w:suppressAutoHyphens w:val="0"/>
        <w:autoSpaceDE w:val="0"/>
        <w:autoSpaceDN w:val="0"/>
        <w:adjustRightInd w:val="0"/>
        <w:spacing w:line="240" w:lineRule="auto"/>
        <w:ind w:left="1100" w:firstLine="0"/>
        <w:rPr>
          <w:i/>
        </w:rPr>
      </w:pPr>
      <w:r w:rsidRPr="003225FD">
        <w:t xml:space="preserve">The communicant </w:t>
      </w:r>
      <w:r w:rsidR="00B95384" w:rsidRPr="003225FD">
        <w:t xml:space="preserve">submits </w:t>
      </w:r>
      <w:r w:rsidR="00B44247" w:rsidRPr="003225FD">
        <w:t>that</w:t>
      </w:r>
      <w:r w:rsidR="00B40D09" w:rsidRPr="003225FD">
        <w:t xml:space="preserve"> </w:t>
      </w:r>
      <w:r w:rsidR="00B95384" w:rsidRPr="003225FD">
        <w:t xml:space="preserve">20 working days for the SEA report was insufficient for the public concerned to acquaint themselves with </w:t>
      </w:r>
      <w:r w:rsidR="00E97B0D" w:rsidRPr="003225FD">
        <w:t xml:space="preserve">the </w:t>
      </w:r>
      <w:r w:rsidR="00B95384" w:rsidRPr="003225FD">
        <w:t xml:space="preserve">technical documentation. </w:t>
      </w:r>
      <w:r w:rsidR="002B4845" w:rsidRPr="003225FD">
        <w:t>Ten</w:t>
      </w:r>
      <w:r w:rsidRPr="003225FD">
        <w:t xml:space="preserve"> working days </w:t>
      </w:r>
      <w:r w:rsidR="00B95384" w:rsidRPr="003225FD">
        <w:t xml:space="preserve">for the public </w:t>
      </w:r>
      <w:r w:rsidRPr="003225FD">
        <w:t xml:space="preserve">to review the EIA report </w:t>
      </w:r>
      <w:r w:rsidR="00B95384" w:rsidRPr="003225FD">
        <w:t xml:space="preserve">was </w:t>
      </w:r>
      <w:r w:rsidR="002B4845" w:rsidRPr="003225FD">
        <w:t xml:space="preserve">likewise </w:t>
      </w:r>
      <w:r w:rsidR="003C5A90" w:rsidRPr="003225FD">
        <w:t xml:space="preserve">insufficient to verify the large </w:t>
      </w:r>
      <w:bookmarkStart w:id="30" w:name="_Hlk8815132"/>
      <w:r w:rsidR="003C5A90" w:rsidRPr="003225FD">
        <w:t>amounts of material and prepare comments</w:t>
      </w:r>
      <w:r w:rsidRPr="003225FD">
        <w:t>.</w:t>
      </w:r>
      <w:r w:rsidRPr="00001B0D">
        <w:rPr>
          <w:rStyle w:val="FootnoteReference"/>
        </w:rPr>
        <w:footnoteReference w:id="51"/>
      </w:r>
      <w:r w:rsidRPr="00001B0D">
        <w:t xml:space="preserve"> </w:t>
      </w:r>
    </w:p>
    <w:p w14:paraId="619F5E70" w14:textId="37F5BF7E" w:rsidR="00341C77" w:rsidRPr="00001B0D" w:rsidRDefault="008926A3" w:rsidP="00E2750B">
      <w:pPr>
        <w:pStyle w:val="SingleTxtG"/>
        <w:numPr>
          <w:ilvl w:val="0"/>
          <w:numId w:val="3"/>
        </w:numPr>
        <w:suppressAutoHyphens w:val="0"/>
        <w:autoSpaceDE w:val="0"/>
        <w:autoSpaceDN w:val="0"/>
        <w:adjustRightInd w:val="0"/>
        <w:spacing w:line="240" w:lineRule="auto"/>
        <w:ind w:left="1100" w:firstLine="0"/>
        <w:rPr>
          <w:i/>
        </w:rPr>
      </w:pPr>
      <w:r w:rsidRPr="003225FD">
        <w:t>T</w:t>
      </w:r>
      <w:r w:rsidR="00341C77" w:rsidRPr="003225FD">
        <w:t>he Party concerned submits that the public had 20 working days to prepare comments</w:t>
      </w:r>
      <w:r w:rsidRPr="003225FD">
        <w:t xml:space="preserve"> </w:t>
      </w:r>
      <w:r w:rsidR="00712FEC" w:rsidRPr="003225FD">
        <w:t xml:space="preserve">each </w:t>
      </w:r>
      <w:r w:rsidRPr="003225FD">
        <w:t>to the special plan concept</w:t>
      </w:r>
      <w:r w:rsidR="00002189" w:rsidRPr="003225FD">
        <w:t xml:space="preserve"> </w:t>
      </w:r>
      <w:r w:rsidR="00712FEC" w:rsidRPr="003225FD">
        <w:t xml:space="preserve">and </w:t>
      </w:r>
      <w:r w:rsidR="00002189" w:rsidRPr="003225FD">
        <w:t>the SEA report</w:t>
      </w:r>
      <w:r w:rsidR="00341C77" w:rsidRPr="003225FD">
        <w:t>.</w:t>
      </w:r>
      <w:r w:rsidR="00341C77" w:rsidRPr="00001B0D">
        <w:rPr>
          <w:rStyle w:val="FootnoteReference"/>
        </w:rPr>
        <w:footnoteReference w:id="52"/>
      </w:r>
      <w:r w:rsidR="00B95384" w:rsidRPr="00001B0D">
        <w:t xml:space="preserve"> </w:t>
      </w:r>
      <w:r w:rsidR="00712FEC" w:rsidRPr="00001B0D">
        <w:t>T</w:t>
      </w:r>
      <w:r w:rsidR="00341C77" w:rsidRPr="003225FD">
        <w:t>he public had 12</w:t>
      </w:r>
      <w:r w:rsidR="006278BD" w:rsidRPr="003225FD">
        <w:t>-</w:t>
      </w:r>
      <w:r w:rsidR="00341C77" w:rsidRPr="003225FD">
        <w:t>16 working days to become familiar with the EIA report</w:t>
      </w:r>
      <w:r w:rsidR="00C91FF9" w:rsidRPr="003225FD">
        <w:t xml:space="preserve"> </w:t>
      </w:r>
      <w:r w:rsidR="00E2750B" w:rsidRPr="003225FD">
        <w:t>before the hearings and</w:t>
      </w:r>
      <w:r w:rsidR="000C428E" w:rsidRPr="003225FD">
        <w:t xml:space="preserve"> </w:t>
      </w:r>
      <w:r w:rsidR="00341C77" w:rsidRPr="003225FD">
        <w:t xml:space="preserve">an additional 10 working days </w:t>
      </w:r>
      <w:r w:rsidR="00E2750B" w:rsidRPr="003225FD">
        <w:t xml:space="preserve">to submit comments </w:t>
      </w:r>
      <w:r w:rsidR="00341C77" w:rsidRPr="003225FD">
        <w:t>after the hearings</w:t>
      </w:r>
      <w:r w:rsidR="006278BD" w:rsidRPr="003225FD">
        <w:t>,</w:t>
      </w:r>
      <w:r w:rsidR="00341C77" w:rsidRPr="003225FD">
        <w:t xml:space="preserve"> </w:t>
      </w:r>
      <w:r w:rsidR="00CD297A" w:rsidRPr="003225FD">
        <w:t xml:space="preserve">making </w:t>
      </w:r>
      <w:r w:rsidR="000C428E" w:rsidRPr="003225FD">
        <w:t>a total</w:t>
      </w:r>
      <w:r w:rsidR="00341C77" w:rsidRPr="003225FD">
        <w:t xml:space="preserve"> of 22-26 working days.</w:t>
      </w:r>
      <w:r w:rsidR="00341C77" w:rsidRPr="00001B0D">
        <w:rPr>
          <w:rStyle w:val="FootnoteReference"/>
        </w:rPr>
        <w:footnoteReference w:id="53"/>
      </w:r>
    </w:p>
    <w:bookmarkEnd w:id="30"/>
    <w:p w14:paraId="6EC0A61F" w14:textId="78C9989E" w:rsidR="00B70F28" w:rsidRPr="003225FD" w:rsidRDefault="00341C77" w:rsidP="00420E85">
      <w:pPr>
        <w:pStyle w:val="SingleTxtG"/>
        <w:suppressAutoHyphens w:val="0"/>
        <w:autoSpaceDE w:val="0"/>
        <w:autoSpaceDN w:val="0"/>
        <w:adjustRightInd w:val="0"/>
        <w:spacing w:line="240" w:lineRule="auto"/>
        <w:ind w:left="1100"/>
        <w:rPr>
          <w:b/>
        </w:rPr>
      </w:pPr>
      <w:r w:rsidRPr="003225FD">
        <w:rPr>
          <w:b/>
        </w:rPr>
        <w:t>Article 6</w:t>
      </w:r>
      <w:r w:rsidR="00BB2F89" w:rsidRPr="003225FD">
        <w:rPr>
          <w:b/>
          <w:iCs/>
        </w:rPr>
        <w:t>(</w:t>
      </w:r>
      <w:r w:rsidRPr="003225FD">
        <w:rPr>
          <w:b/>
        </w:rPr>
        <w:t>4</w:t>
      </w:r>
      <w:r w:rsidR="00BB2F89" w:rsidRPr="003225FD">
        <w:rPr>
          <w:b/>
          <w:iCs/>
        </w:rPr>
        <w:t>)</w:t>
      </w:r>
    </w:p>
    <w:p w14:paraId="0739630B" w14:textId="7620DA00" w:rsidR="00341C77" w:rsidRPr="00001B0D" w:rsidRDefault="00B70F28" w:rsidP="00A72100">
      <w:pPr>
        <w:pStyle w:val="SingleTxtG"/>
        <w:numPr>
          <w:ilvl w:val="0"/>
          <w:numId w:val="3"/>
        </w:numPr>
        <w:suppressAutoHyphens w:val="0"/>
        <w:autoSpaceDE w:val="0"/>
        <w:autoSpaceDN w:val="0"/>
        <w:adjustRightInd w:val="0"/>
        <w:spacing w:line="240" w:lineRule="auto"/>
        <w:ind w:left="1100" w:firstLine="0"/>
      </w:pPr>
      <w:r w:rsidRPr="003225FD">
        <w:t>The comm</w:t>
      </w:r>
      <w:r w:rsidR="00341C77" w:rsidRPr="003225FD">
        <w:t>unicant alleges that the public</w:t>
      </w:r>
      <w:r w:rsidR="006278BD" w:rsidRPr="003225FD">
        <w:t xml:space="preserve"> </w:t>
      </w:r>
      <w:r w:rsidR="00A523F0" w:rsidRPr="003225FD">
        <w:t>could only participate</w:t>
      </w:r>
      <w:r w:rsidR="00341C77" w:rsidRPr="003225FD">
        <w:t xml:space="preserve"> after </w:t>
      </w:r>
      <w:r w:rsidR="006278BD" w:rsidRPr="003225FD">
        <w:t xml:space="preserve">the </w:t>
      </w:r>
      <w:r w:rsidR="00341C77" w:rsidRPr="003225FD">
        <w:t>technolog</w:t>
      </w:r>
      <w:r w:rsidR="006278BD" w:rsidRPr="003225FD">
        <w:t>y</w:t>
      </w:r>
      <w:r w:rsidR="00341C77" w:rsidRPr="003225FD">
        <w:t xml:space="preserve"> </w:t>
      </w:r>
      <w:r w:rsidR="006278BD" w:rsidRPr="003225FD">
        <w:t xml:space="preserve">and </w:t>
      </w:r>
      <w:r w:rsidR="00A523F0" w:rsidRPr="003225FD">
        <w:t xml:space="preserve">route </w:t>
      </w:r>
      <w:r w:rsidR="00341C77" w:rsidRPr="003225FD">
        <w:t>had been decided</w:t>
      </w:r>
      <w:r w:rsidR="00A523F0" w:rsidRPr="003225FD">
        <w:t>, meaning participation was neither early nor effective</w:t>
      </w:r>
      <w:r w:rsidR="00341C77" w:rsidRPr="003225FD">
        <w:rPr>
          <w:sz w:val="18"/>
        </w:rPr>
        <w:t xml:space="preserve">. </w:t>
      </w:r>
      <w:r w:rsidR="007020E3" w:rsidRPr="003225FD">
        <w:t xml:space="preserve">It </w:t>
      </w:r>
      <w:bookmarkStart w:id="31" w:name="_Ref514090925"/>
      <w:r w:rsidR="00C67510" w:rsidRPr="003225FD">
        <w:t>claims</w:t>
      </w:r>
      <w:r w:rsidR="00341C77" w:rsidRPr="003225FD">
        <w:t xml:space="preserve"> that </w:t>
      </w:r>
      <w:r w:rsidR="00C84EA1" w:rsidRPr="003225FD">
        <w:t>the 2009 Decree</w:t>
      </w:r>
      <w:r w:rsidR="00F43F4F" w:rsidRPr="003225FD">
        <w:t xml:space="preserve"> determined the powerline</w:t>
      </w:r>
      <w:r w:rsidR="0057029C" w:rsidRPr="003225FD">
        <w:t>’</w:t>
      </w:r>
      <w:r w:rsidR="00F43F4F" w:rsidRPr="003225FD">
        <w:t>s technology as overhead and</w:t>
      </w:r>
      <w:r w:rsidR="00473291" w:rsidRPr="003225FD">
        <w:t xml:space="preserve"> was adopted</w:t>
      </w:r>
      <w:r w:rsidR="002735A2" w:rsidRPr="003225FD">
        <w:t xml:space="preserve"> without</w:t>
      </w:r>
      <w:r w:rsidR="00341C77" w:rsidRPr="003225FD">
        <w:t xml:space="preserve"> consulting the public concerned. </w:t>
      </w:r>
      <w:r w:rsidR="0052346E" w:rsidRPr="003225FD">
        <w:t>A</w:t>
      </w:r>
      <w:r w:rsidR="00B03D09" w:rsidRPr="003225FD">
        <w:t xml:space="preserve">fter the 2009 Decree, </w:t>
      </w:r>
      <w:r w:rsidR="00C67510" w:rsidRPr="003225FD">
        <w:t xml:space="preserve">it </w:t>
      </w:r>
      <w:r w:rsidR="00341C77" w:rsidRPr="003225FD">
        <w:t>was clear</w:t>
      </w:r>
      <w:r w:rsidR="00F43F4F" w:rsidRPr="003225FD">
        <w:t xml:space="preserve"> that </w:t>
      </w:r>
      <w:r w:rsidR="00341C77" w:rsidRPr="003225FD">
        <w:t xml:space="preserve">the project would be constructed, especially considering that the project was </w:t>
      </w:r>
      <w:r w:rsidR="00B40D09" w:rsidRPr="003225FD">
        <w:t>on</w:t>
      </w:r>
      <w:r w:rsidR="00341C77" w:rsidRPr="003225FD">
        <w:t xml:space="preserve"> the </w:t>
      </w:r>
      <w:r w:rsidR="00730C7D" w:rsidRPr="003225FD">
        <w:t xml:space="preserve">European </w:t>
      </w:r>
      <w:r w:rsidR="002278EE" w:rsidRPr="003225FD">
        <w:t>Union</w:t>
      </w:r>
      <w:r w:rsidR="00730C7D" w:rsidRPr="003225FD">
        <w:t xml:space="preserve">’s 2013 </w:t>
      </w:r>
      <w:r w:rsidR="00341C77" w:rsidRPr="003225FD">
        <w:t xml:space="preserve">list of </w:t>
      </w:r>
      <w:r w:rsidR="007C3F5D" w:rsidRPr="003225FD">
        <w:t>projects of common interest (PCIs)</w:t>
      </w:r>
      <w:r w:rsidR="001F2769" w:rsidRPr="003225FD">
        <w:t xml:space="preserve"> </w:t>
      </w:r>
      <w:r w:rsidR="00341C77" w:rsidRPr="003225FD">
        <w:t xml:space="preserve">and because of the estimated </w:t>
      </w:r>
      <w:r w:rsidR="00361821" w:rsidRPr="003225FD">
        <w:t>€370 million</w:t>
      </w:r>
      <w:r w:rsidR="00341C77" w:rsidRPr="003225FD">
        <w:t xml:space="preserve"> investment</w:t>
      </w:r>
      <w:bookmarkStart w:id="32" w:name="_Ref514096430"/>
      <w:r w:rsidR="006D79B0" w:rsidRPr="003225FD">
        <w:t xml:space="preserve"> involved</w:t>
      </w:r>
      <w:r w:rsidR="00341C77" w:rsidRPr="003225FD">
        <w:t>.</w:t>
      </w:r>
      <w:r w:rsidR="00341C77" w:rsidRPr="00001B0D">
        <w:rPr>
          <w:sz w:val="18"/>
          <w:szCs w:val="18"/>
          <w:vertAlign w:val="superscript"/>
        </w:rPr>
        <w:footnoteReference w:id="54"/>
      </w:r>
      <w:bookmarkEnd w:id="31"/>
      <w:r w:rsidR="00341C77" w:rsidRPr="00001B0D">
        <w:t xml:space="preserve">  </w:t>
      </w:r>
    </w:p>
    <w:p w14:paraId="3F994FCC" w14:textId="231A8441" w:rsidR="00341C77" w:rsidRPr="00001B0D" w:rsidRDefault="00052ABD" w:rsidP="002278EE">
      <w:pPr>
        <w:pStyle w:val="SingleTxtG"/>
        <w:numPr>
          <w:ilvl w:val="0"/>
          <w:numId w:val="3"/>
        </w:numPr>
        <w:suppressAutoHyphens w:val="0"/>
        <w:autoSpaceDE w:val="0"/>
        <w:autoSpaceDN w:val="0"/>
        <w:adjustRightInd w:val="0"/>
        <w:spacing w:line="240" w:lineRule="auto"/>
        <w:ind w:left="1100" w:firstLine="0"/>
        <w:rPr>
          <w:i/>
        </w:rPr>
      </w:pPr>
      <w:r w:rsidRPr="003225FD">
        <w:t xml:space="preserve">The communicant alleges that the point at </w:t>
      </w:r>
      <w:bookmarkEnd w:id="32"/>
      <w:r w:rsidRPr="003225FD">
        <w:t>which the OHL would cross the border with Poland was decided at the April 2010 meeting between Poland and the Party concerned.</w:t>
      </w:r>
      <w:r w:rsidR="00574FE5" w:rsidRPr="003225FD">
        <w:t xml:space="preserve"> </w:t>
      </w:r>
      <w:r w:rsidR="00341C77" w:rsidRPr="003225FD">
        <w:t xml:space="preserve">The communicant submits that at the 27 September 2010 </w:t>
      </w:r>
      <w:r w:rsidR="007020E3" w:rsidRPr="003225FD">
        <w:t>meeting</w:t>
      </w:r>
      <w:r w:rsidR="00341C77" w:rsidRPr="003225FD">
        <w:t xml:space="preserve">, Lazdijai and Kalvarja </w:t>
      </w:r>
      <w:r w:rsidR="0057029C" w:rsidRPr="003225FD">
        <w:t>proposed</w:t>
      </w:r>
      <w:r w:rsidR="00341C77" w:rsidRPr="003225FD">
        <w:t xml:space="preserve"> chang</w:t>
      </w:r>
      <w:r w:rsidR="0057029C" w:rsidRPr="003225FD">
        <w:t>ing</w:t>
      </w:r>
      <w:r w:rsidR="00341C77" w:rsidRPr="003225FD">
        <w:t xml:space="preserve"> the route. </w:t>
      </w:r>
      <w:r w:rsidR="00BB3214" w:rsidRPr="003225FD">
        <w:t>While t</w:t>
      </w:r>
      <w:r w:rsidR="00341C77" w:rsidRPr="003225FD">
        <w:t>he developer and</w:t>
      </w:r>
      <w:r w:rsidR="000452CB" w:rsidRPr="003225FD">
        <w:t xml:space="preserve"> </w:t>
      </w:r>
      <w:r w:rsidR="00341C77" w:rsidRPr="003225FD">
        <w:t>consultant agreed to prepare a preliminary evaluation of th</w:t>
      </w:r>
      <w:r w:rsidR="00BB3214" w:rsidRPr="003225FD">
        <w:t xml:space="preserve">is, </w:t>
      </w:r>
      <w:r w:rsidR="00EB483A" w:rsidRPr="003225FD">
        <w:t>the</w:t>
      </w:r>
      <w:r w:rsidR="006D79B0" w:rsidRPr="003225FD">
        <w:t xml:space="preserve"> communicant </w:t>
      </w:r>
      <w:r w:rsidRPr="003225FD">
        <w:t xml:space="preserve">claims </w:t>
      </w:r>
      <w:r w:rsidR="00E46449" w:rsidRPr="003225FD">
        <w:t xml:space="preserve">the </w:t>
      </w:r>
      <w:r w:rsidRPr="003225FD">
        <w:t xml:space="preserve">developer stated </w:t>
      </w:r>
      <w:r w:rsidR="00341C77" w:rsidRPr="003225FD">
        <w:t>that any discussion on alternatives would result in los</w:t>
      </w:r>
      <w:r w:rsidR="008441E3" w:rsidRPr="003225FD">
        <w:t>t</w:t>
      </w:r>
      <w:r w:rsidR="00341C77" w:rsidRPr="003225FD">
        <w:t xml:space="preserve"> time and </w:t>
      </w:r>
      <w:r w:rsidR="006D79B0" w:rsidRPr="003225FD">
        <w:t xml:space="preserve">European Union </w:t>
      </w:r>
      <w:r w:rsidR="00341C77" w:rsidRPr="003225FD">
        <w:t>support worth €213 million.</w:t>
      </w:r>
      <w:r w:rsidR="00341C77" w:rsidRPr="00001B0D">
        <w:rPr>
          <w:rStyle w:val="FootnoteReference"/>
        </w:rPr>
        <w:footnoteReference w:id="55"/>
      </w:r>
      <w:r w:rsidR="00341C77" w:rsidRPr="00001B0D">
        <w:t xml:space="preserve"> </w:t>
      </w:r>
    </w:p>
    <w:p w14:paraId="2B66B54C" w14:textId="4B50890E" w:rsidR="00EE43D7" w:rsidRPr="00001B0D" w:rsidRDefault="00341C77" w:rsidP="00EB4714">
      <w:pPr>
        <w:pStyle w:val="SingleTxtG"/>
        <w:numPr>
          <w:ilvl w:val="0"/>
          <w:numId w:val="3"/>
        </w:numPr>
        <w:suppressAutoHyphens w:val="0"/>
        <w:autoSpaceDE w:val="0"/>
        <w:autoSpaceDN w:val="0"/>
        <w:adjustRightInd w:val="0"/>
        <w:spacing w:line="240" w:lineRule="auto"/>
        <w:ind w:left="1100" w:firstLine="0"/>
        <w:rPr>
          <w:i/>
        </w:rPr>
      </w:pPr>
      <w:r w:rsidRPr="003225FD">
        <w:t xml:space="preserve">The Party concerned </w:t>
      </w:r>
      <w:r w:rsidR="00EC5F13" w:rsidRPr="003225FD">
        <w:t>submit</w:t>
      </w:r>
      <w:r w:rsidR="00B40D09" w:rsidRPr="003225FD">
        <w:t>s</w:t>
      </w:r>
      <w:r w:rsidRPr="003225FD">
        <w:t xml:space="preserve"> that the public was involved in the decision-making</w:t>
      </w:r>
      <w:r w:rsidR="00306DE1" w:rsidRPr="003225FD">
        <w:t xml:space="preserve"> procedure from the</w:t>
      </w:r>
      <w:r w:rsidR="006E7CB7" w:rsidRPr="003225FD">
        <w:t xml:space="preserve"> </w:t>
      </w:r>
      <w:r w:rsidR="00306DE1" w:rsidRPr="003225FD">
        <w:t>start</w:t>
      </w:r>
      <w:r w:rsidR="006E7CB7" w:rsidRPr="003225FD">
        <w:t>,</w:t>
      </w:r>
      <w:r w:rsidR="00306DE1" w:rsidRPr="003225FD">
        <w:t xml:space="preserve"> </w:t>
      </w:r>
      <w:r w:rsidR="006D79B0" w:rsidRPr="003225FD">
        <w:t>citing</w:t>
      </w:r>
      <w:r w:rsidR="00306DE1" w:rsidRPr="003225FD">
        <w:t xml:space="preserve"> </w:t>
      </w:r>
      <w:r w:rsidR="0031235D" w:rsidRPr="003225FD">
        <w:t>media reports on the 2002 Plan</w:t>
      </w:r>
      <w:r w:rsidR="00306DE1" w:rsidRPr="003225FD">
        <w:t>.</w:t>
      </w:r>
      <w:r w:rsidR="0031235D" w:rsidRPr="00001B0D">
        <w:rPr>
          <w:rStyle w:val="FootnoteReference"/>
        </w:rPr>
        <w:footnoteReference w:id="56"/>
      </w:r>
      <w:r w:rsidR="0031235D" w:rsidRPr="00001B0D">
        <w:t xml:space="preserve"> </w:t>
      </w:r>
      <w:r w:rsidR="00EE43D7" w:rsidRPr="00001B0D">
        <w:t xml:space="preserve">It </w:t>
      </w:r>
      <w:r w:rsidR="00EE43D7" w:rsidRPr="003225FD">
        <w:t>states that the 2002 Plan only designat</w:t>
      </w:r>
      <w:r w:rsidR="00EB483A" w:rsidRPr="003225FD">
        <w:t>ed</w:t>
      </w:r>
      <w:r w:rsidR="00EE43D7" w:rsidRPr="003225FD">
        <w:t xml:space="preserve"> certain reservations of territory to be further specified at lower levels and that public participation preceded the adoption of the subsequent lower level documents.</w:t>
      </w:r>
      <w:r w:rsidR="00EE43D7" w:rsidRPr="00001B0D">
        <w:rPr>
          <w:rStyle w:val="FootnoteReference"/>
        </w:rPr>
        <w:footnoteReference w:id="57"/>
      </w:r>
    </w:p>
    <w:p w14:paraId="5E439276" w14:textId="5BAF2C26" w:rsidR="00EE43D7" w:rsidRPr="00001B0D" w:rsidRDefault="00EE43D7" w:rsidP="002278EE">
      <w:pPr>
        <w:pStyle w:val="SingleTxtG"/>
        <w:numPr>
          <w:ilvl w:val="0"/>
          <w:numId w:val="3"/>
        </w:numPr>
        <w:suppressAutoHyphens w:val="0"/>
        <w:autoSpaceDE w:val="0"/>
        <w:autoSpaceDN w:val="0"/>
        <w:adjustRightInd w:val="0"/>
        <w:spacing w:line="240" w:lineRule="auto"/>
        <w:ind w:left="1100" w:firstLine="0"/>
        <w:rPr>
          <w:i/>
        </w:rPr>
      </w:pPr>
      <w:r w:rsidRPr="003225FD">
        <w:t>The Party concerned submits that, if the underground alternative</w:t>
      </w:r>
      <w:r w:rsidR="00EB483A" w:rsidRPr="003225FD">
        <w:t xml:space="preserve"> had been chosen</w:t>
      </w:r>
      <w:r w:rsidRPr="003225FD">
        <w:t>, the 2009 Decree would have been changed</w:t>
      </w:r>
      <w:r w:rsidR="00EB483A" w:rsidRPr="003225FD">
        <w:t xml:space="preserve">. It claims </w:t>
      </w:r>
      <w:r w:rsidRPr="003225FD">
        <w:t>that the April 2010 agreement with Poland was not binding</w:t>
      </w:r>
      <w:r w:rsidR="00EB483A" w:rsidRPr="003225FD">
        <w:rPr>
          <w:rStyle w:val="FootnoteReference"/>
        </w:rPr>
        <w:t xml:space="preserve"> </w:t>
      </w:r>
      <w:r w:rsidR="00EB483A" w:rsidRPr="00001B0D">
        <w:rPr>
          <w:rStyle w:val="FootnoteReference"/>
        </w:rPr>
        <w:footnoteReference w:id="58"/>
      </w:r>
    </w:p>
    <w:p w14:paraId="36E34F65" w14:textId="26C0FD11" w:rsidR="00A40007" w:rsidRPr="00001B0D" w:rsidRDefault="00EE43D7" w:rsidP="00EB4714">
      <w:pPr>
        <w:pStyle w:val="SingleTxtG"/>
        <w:numPr>
          <w:ilvl w:val="0"/>
          <w:numId w:val="3"/>
        </w:numPr>
        <w:suppressAutoHyphens w:val="0"/>
        <w:autoSpaceDE w:val="0"/>
        <w:autoSpaceDN w:val="0"/>
        <w:adjustRightInd w:val="0"/>
        <w:spacing w:line="240" w:lineRule="auto"/>
        <w:ind w:left="1100" w:firstLine="0"/>
        <w:rPr>
          <w:i/>
        </w:rPr>
      </w:pPr>
      <w:r w:rsidRPr="003225FD">
        <w:t>Finally, i</w:t>
      </w:r>
      <w:r w:rsidR="00762A4C" w:rsidRPr="003225FD">
        <w:t xml:space="preserve">t </w:t>
      </w:r>
      <w:r w:rsidR="00052ABD" w:rsidRPr="003225FD">
        <w:t>asserts</w:t>
      </w:r>
      <w:r w:rsidR="0031235D" w:rsidRPr="003225FD">
        <w:t xml:space="preserve"> that</w:t>
      </w:r>
      <w:r w:rsidR="00341C77" w:rsidRPr="003225FD">
        <w:t xml:space="preserve"> public participation when all options are open does not prevent competent authorities from determining a preliminary opinion, though </w:t>
      </w:r>
      <w:r w:rsidR="0042433A" w:rsidRPr="003225FD">
        <w:t>they</w:t>
      </w:r>
      <w:r w:rsidR="00341C77" w:rsidRPr="003225FD">
        <w:t xml:space="preserve"> must still </w:t>
      </w:r>
      <w:r w:rsidR="003E66C5" w:rsidRPr="003225FD">
        <w:t>remain</w:t>
      </w:r>
      <w:r w:rsidR="00341C77" w:rsidRPr="003225FD">
        <w:t xml:space="preserve"> </w:t>
      </w:r>
      <w:r w:rsidR="00341C77" w:rsidRPr="003225FD">
        <w:lastRenderedPageBreak/>
        <w:t xml:space="preserve">open to </w:t>
      </w:r>
      <w:r w:rsidR="00762A4C" w:rsidRPr="003225FD">
        <w:t>public comments</w:t>
      </w:r>
      <w:r w:rsidR="00341C77" w:rsidRPr="003225FD">
        <w:t>.</w:t>
      </w:r>
      <w:r w:rsidR="00341C77" w:rsidRPr="00001B0D">
        <w:rPr>
          <w:rStyle w:val="FootnoteReference"/>
        </w:rPr>
        <w:footnoteReference w:id="59"/>
      </w:r>
      <w:r w:rsidR="00341C77" w:rsidRPr="00001B0D">
        <w:t xml:space="preserve"> </w:t>
      </w:r>
      <w:r w:rsidR="0031235D" w:rsidRPr="00001B0D">
        <w:t xml:space="preserve">It states that </w:t>
      </w:r>
      <w:r w:rsidR="00052ABD" w:rsidRPr="003225FD">
        <w:t xml:space="preserve">its </w:t>
      </w:r>
      <w:r w:rsidR="0031235D" w:rsidRPr="003225FD">
        <w:t>public authorities acted accordingly, providing the public with the possibility of presenting alternatives and taking comments into account.</w:t>
      </w:r>
      <w:r w:rsidR="0031235D" w:rsidRPr="00001B0D">
        <w:rPr>
          <w:rStyle w:val="FootnoteReference"/>
        </w:rPr>
        <w:footnoteReference w:id="60"/>
      </w:r>
      <w:r w:rsidR="009F4542" w:rsidRPr="00001B0D">
        <w:t xml:space="preserve"> </w:t>
      </w:r>
    </w:p>
    <w:p w14:paraId="350CD6BD" w14:textId="0B12B272" w:rsidR="00341C77" w:rsidRPr="003225FD" w:rsidRDefault="00341C77" w:rsidP="00B06E40">
      <w:pPr>
        <w:pStyle w:val="SingleTxtG"/>
        <w:suppressAutoHyphens w:val="0"/>
        <w:autoSpaceDE w:val="0"/>
        <w:autoSpaceDN w:val="0"/>
        <w:adjustRightInd w:val="0"/>
        <w:spacing w:line="240" w:lineRule="auto"/>
        <w:ind w:left="533" w:firstLine="567"/>
        <w:rPr>
          <w:b/>
          <w:lang w:val="en-US"/>
        </w:rPr>
      </w:pPr>
      <w:r w:rsidRPr="003225FD">
        <w:rPr>
          <w:b/>
          <w:lang w:val="en-US"/>
        </w:rPr>
        <w:t>Article 6</w:t>
      </w:r>
      <w:r w:rsidR="00BB2F89" w:rsidRPr="003225FD">
        <w:rPr>
          <w:b/>
          <w:iCs/>
          <w:lang w:val="en-US"/>
        </w:rPr>
        <w:t>(</w:t>
      </w:r>
      <w:r w:rsidRPr="003225FD">
        <w:rPr>
          <w:b/>
          <w:lang w:val="en-US"/>
        </w:rPr>
        <w:t>5</w:t>
      </w:r>
      <w:r w:rsidR="00BB2F89" w:rsidRPr="003225FD">
        <w:rPr>
          <w:b/>
          <w:iCs/>
          <w:lang w:val="en-US"/>
        </w:rPr>
        <w:t>)</w:t>
      </w:r>
    </w:p>
    <w:p w14:paraId="4896DC90" w14:textId="5E409526"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bookmarkStart w:id="33" w:name="_Ref513233866"/>
      <w:r w:rsidRPr="003225FD">
        <w:t xml:space="preserve">The communicant alleges that the </w:t>
      </w:r>
      <w:r w:rsidR="00762A4C" w:rsidRPr="003225FD">
        <w:t xml:space="preserve">authorities of the </w:t>
      </w:r>
      <w:r w:rsidRPr="003225FD">
        <w:t xml:space="preserve">Party </w:t>
      </w:r>
      <w:r w:rsidR="00EE6202" w:rsidRPr="003225FD">
        <w:t>concerne</w:t>
      </w:r>
      <w:r w:rsidR="00762A4C" w:rsidRPr="003225FD">
        <w:t xml:space="preserve">d </w:t>
      </w:r>
      <w:r w:rsidR="00004B28" w:rsidRPr="003225FD">
        <w:t>did not</w:t>
      </w:r>
      <w:r w:rsidRPr="003225FD">
        <w:t xml:space="preserve"> encourage the </w:t>
      </w:r>
      <w:r w:rsidR="002B6B18" w:rsidRPr="003225FD">
        <w:t>planning organizer</w:t>
      </w:r>
      <w:r w:rsidRPr="003225FD">
        <w:t xml:space="preserve"> to discuss issues with the public </w:t>
      </w:r>
      <w:r w:rsidR="00A86698" w:rsidRPr="003225FD">
        <w:t>concerned</w:t>
      </w:r>
      <w:r w:rsidRPr="003225FD">
        <w:t>.</w:t>
      </w:r>
      <w:r w:rsidRPr="00001B0D">
        <w:rPr>
          <w:sz w:val="18"/>
          <w:vertAlign w:val="superscript"/>
        </w:rPr>
        <w:footnoteReference w:id="61"/>
      </w:r>
      <w:bookmarkEnd w:id="33"/>
    </w:p>
    <w:p w14:paraId="5E985A3A" w14:textId="20FF528D" w:rsidR="00341C77" w:rsidRPr="003225FD" w:rsidRDefault="00341C77" w:rsidP="00341C77">
      <w:pPr>
        <w:pStyle w:val="SingleTxtG"/>
        <w:numPr>
          <w:ilvl w:val="0"/>
          <w:numId w:val="3"/>
        </w:numPr>
        <w:suppressAutoHyphens w:val="0"/>
        <w:autoSpaceDE w:val="0"/>
        <w:autoSpaceDN w:val="0"/>
        <w:adjustRightInd w:val="0"/>
        <w:spacing w:line="240" w:lineRule="auto"/>
        <w:ind w:left="1100" w:firstLine="0"/>
      </w:pPr>
      <w:r w:rsidRPr="003225FD">
        <w:t xml:space="preserve">The Party concerned does not address </w:t>
      </w:r>
      <w:r w:rsidR="00004B28" w:rsidRPr="003225FD">
        <w:t>this</w:t>
      </w:r>
      <w:r w:rsidRPr="003225FD">
        <w:t xml:space="preserve"> allegation. </w:t>
      </w:r>
    </w:p>
    <w:p w14:paraId="15CA3BB7" w14:textId="6C6C46FD" w:rsidR="00341C77" w:rsidRPr="003225FD" w:rsidRDefault="00341C77" w:rsidP="00341C77">
      <w:pPr>
        <w:pStyle w:val="SingleTxtG"/>
        <w:suppressAutoHyphens w:val="0"/>
        <w:autoSpaceDE w:val="0"/>
        <w:autoSpaceDN w:val="0"/>
        <w:adjustRightInd w:val="0"/>
        <w:spacing w:line="240" w:lineRule="auto"/>
        <w:ind w:left="1100"/>
        <w:rPr>
          <w:b/>
          <w:iCs/>
        </w:rPr>
      </w:pPr>
      <w:r w:rsidRPr="003225FD">
        <w:rPr>
          <w:b/>
          <w:iCs/>
        </w:rPr>
        <w:t>Article 6</w:t>
      </w:r>
      <w:r w:rsidR="00BB2F89" w:rsidRPr="003225FD">
        <w:rPr>
          <w:b/>
          <w:iCs/>
        </w:rPr>
        <w:t>(</w:t>
      </w:r>
      <w:r w:rsidRPr="003225FD">
        <w:rPr>
          <w:b/>
          <w:iCs/>
        </w:rPr>
        <w:t>6</w:t>
      </w:r>
      <w:r w:rsidR="00BB2F89" w:rsidRPr="003225FD">
        <w:rPr>
          <w:b/>
          <w:iCs/>
        </w:rPr>
        <w:t>)</w:t>
      </w:r>
    </w:p>
    <w:p w14:paraId="48845204" w14:textId="5B5ABE93" w:rsidR="00341C77" w:rsidRPr="00001B0D" w:rsidRDefault="00341C77" w:rsidP="000D5D65">
      <w:pPr>
        <w:pStyle w:val="SingleTxtG"/>
        <w:numPr>
          <w:ilvl w:val="0"/>
          <w:numId w:val="3"/>
        </w:numPr>
        <w:suppressAutoHyphens w:val="0"/>
        <w:autoSpaceDE w:val="0"/>
        <w:autoSpaceDN w:val="0"/>
        <w:adjustRightInd w:val="0"/>
        <w:spacing w:line="240" w:lineRule="auto"/>
        <w:ind w:left="1100" w:firstLine="0"/>
        <w:rPr>
          <w:i/>
        </w:rPr>
      </w:pPr>
      <w:bookmarkStart w:id="34" w:name="_Ref513234456"/>
      <w:bookmarkStart w:id="35" w:name="_Ref513234510"/>
      <w:r w:rsidRPr="003225FD">
        <w:t xml:space="preserve">The communicant </w:t>
      </w:r>
      <w:r w:rsidR="00B40D09" w:rsidRPr="003225FD">
        <w:t>claims</w:t>
      </w:r>
      <w:r w:rsidRPr="003225FD">
        <w:t xml:space="preserve"> that the EIA report was of insufficient quality and contained incorrect</w:t>
      </w:r>
      <w:r w:rsidR="00C67510" w:rsidRPr="003225FD">
        <w:t xml:space="preserve">, </w:t>
      </w:r>
      <w:r w:rsidRPr="003225FD">
        <w:t>misleading information.</w:t>
      </w:r>
      <w:r w:rsidR="0052346E" w:rsidRPr="003225FD">
        <w:t xml:space="preserve"> </w:t>
      </w:r>
      <w:r w:rsidR="00194246" w:rsidRPr="003225FD">
        <w:t>I</w:t>
      </w:r>
      <w:r w:rsidR="00941A7A" w:rsidRPr="003225FD">
        <w:t>nsufficient information was provided about</w:t>
      </w:r>
      <w:r w:rsidR="00194246" w:rsidRPr="003225FD">
        <w:t xml:space="preserve"> </w:t>
      </w:r>
      <w:r w:rsidR="00941A7A" w:rsidRPr="003225FD">
        <w:t xml:space="preserve">technological alternatives </w:t>
      </w:r>
      <w:r w:rsidR="00194246" w:rsidRPr="003225FD">
        <w:t>and</w:t>
      </w:r>
      <w:r w:rsidR="00941A7A" w:rsidRPr="003225FD">
        <w:t xml:space="preserve"> environmental impacts</w:t>
      </w:r>
      <w:r w:rsidR="0052346E" w:rsidRPr="003225FD">
        <w:t>,</w:t>
      </w:r>
      <w:r w:rsidR="00194246" w:rsidRPr="003225FD">
        <w:rPr>
          <w:sz w:val="18"/>
          <w:szCs w:val="18"/>
        </w:rPr>
        <w:t xml:space="preserve"> </w:t>
      </w:r>
      <w:r w:rsidR="0052346E" w:rsidRPr="003225FD">
        <w:t>including</w:t>
      </w:r>
      <w:r w:rsidR="0000792E" w:rsidRPr="003225FD">
        <w:t xml:space="preserve"> the existence of </w:t>
      </w:r>
      <w:r w:rsidR="008D1EDF" w:rsidRPr="003225FD">
        <w:t xml:space="preserve">protected </w:t>
      </w:r>
      <w:r w:rsidR="0000792E" w:rsidRPr="003225FD">
        <w:t>species.</w:t>
      </w:r>
      <w:r w:rsidRPr="00001B0D">
        <w:rPr>
          <w:rStyle w:val="FootnoteReference"/>
        </w:rPr>
        <w:footnoteReference w:id="62"/>
      </w:r>
      <w:bookmarkEnd w:id="34"/>
      <w:bookmarkEnd w:id="35"/>
    </w:p>
    <w:p w14:paraId="174B4636" w14:textId="42B670CC"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rPr>
          <w:i/>
        </w:rPr>
      </w:pPr>
      <w:r w:rsidRPr="00001B0D">
        <w:t xml:space="preserve">The Party concerned </w:t>
      </w:r>
      <w:r w:rsidR="009F3690" w:rsidRPr="00001B0D">
        <w:t xml:space="preserve">submits </w:t>
      </w:r>
      <w:r w:rsidR="005657A2" w:rsidRPr="003225FD">
        <w:t xml:space="preserve">that sufficient information was </w:t>
      </w:r>
      <w:r w:rsidR="009F3690" w:rsidRPr="003225FD">
        <w:t>provided and</w:t>
      </w:r>
      <w:r w:rsidR="005657A2" w:rsidRPr="003225FD">
        <w:t xml:space="preserve"> </w:t>
      </w:r>
      <w:r w:rsidR="00AA7800" w:rsidRPr="003225FD">
        <w:t>more</w:t>
      </w:r>
      <w:r w:rsidR="00396CE2" w:rsidRPr="003225FD">
        <w:t xml:space="preserve"> could have been obtained on request</w:t>
      </w:r>
      <w:r w:rsidRPr="003225FD">
        <w:t>.</w:t>
      </w:r>
      <w:r w:rsidRPr="00001B0D">
        <w:rPr>
          <w:rStyle w:val="FootnoteReference"/>
        </w:rPr>
        <w:footnoteReference w:id="63"/>
      </w:r>
      <w:r w:rsidRPr="00001B0D">
        <w:t xml:space="preserve">  </w:t>
      </w:r>
    </w:p>
    <w:p w14:paraId="3DD14887" w14:textId="4A974DB5" w:rsidR="00341C77" w:rsidRPr="003225FD" w:rsidRDefault="00341C77" w:rsidP="00341C77">
      <w:pPr>
        <w:pStyle w:val="SingleTxtG"/>
        <w:suppressAutoHyphens w:val="0"/>
        <w:autoSpaceDE w:val="0"/>
        <w:autoSpaceDN w:val="0"/>
        <w:adjustRightInd w:val="0"/>
        <w:spacing w:line="240" w:lineRule="auto"/>
        <w:ind w:left="1100"/>
        <w:rPr>
          <w:b/>
        </w:rPr>
      </w:pPr>
      <w:r w:rsidRPr="003225FD">
        <w:rPr>
          <w:b/>
        </w:rPr>
        <w:t>Article 6</w:t>
      </w:r>
      <w:r w:rsidR="00BB2F89" w:rsidRPr="003225FD">
        <w:rPr>
          <w:b/>
          <w:iCs/>
        </w:rPr>
        <w:t>(</w:t>
      </w:r>
      <w:r w:rsidRPr="003225FD">
        <w:rPr>
          <w:b/>
        </w:rPr>
        <w:t>7</w:t>
      </w:r>
      <w:r w:rsidR="00BB2F89" w:rsidRPr="003225FD">
        <w:rPr>
          <w:b/>
          <w:iCs/>
        </w:rPr>
        <w:t>)</w:t>
      </w:r>
    </w:p>
    <w:p w14:paraId="20D844C0" w14:textId="77777777" w:rsidR="00341C77" w:rsidRPr="003225FD" w:rsidRDefault="00341C77" w:rsidP="00341C77">
      <w:pPr>
        <w:pStyle w:val="SingleTxtG"/>
        <w:suppressAutoHyphens w:val="0"/>
        <w:autoSpaceDE w:val="0"/>
        <w:autoSpaceDN w:val="0"/>
        <w:adjustRightInd w:val="0"/>
        <w:spacing w:line="240" w:lineRule="auto"/>
        <w:ind w:left="1100"/>
        <w:rPr>
          <w:i/>
        </w:rPr>
      </w:pPr>
      <w:r w:rsidRPr="003225FD">
        <w:rPr>
          <w:i/>
        </w:rPr>
        <w:t>Requirement that comments be “reasoned”</w:t>
      </w:r>
    </w:p>
    <w:p w14:paraId="560EA2D6" w14:textId="02705826" w:rsidR="00341C77" w:rsidRPr="00001B0D" w:rsidRDefault="00341C77" w:rsidP="00EC1E67">
      <w:pPr>
        <w:pStyle w:val="SingleTxtG"/>
        <w:numPr>
          <w:ilvl w:val="0"/>
          <w:numId w:val="3"/>
        </w:numPr>
        <w:suppressAutoHyphens w:val="0"/>
        <w:autoSpaceDE w:val="0"/>
        <w:autoSpaceDN w:val="0"/>
        <w:adjustRightInd w:val="0"/>
        <w:spacing w:line="240" w:lineRule="auto"/>
        <w:ind w:left="1100" w:firstLine="0"/>
      </w:pPr>
      <w:r w:rsidRPr="003225FD">
        <w:t xml:space="preserve">The communicant </w:t>
      </w:r>
      <w:r w:rsidR="00B40D09" w:rsidRPr="003225FD">
        <w:t>claims that</w:t>
      </w:r>
      <w:r w:rsidRPr="003225FD">
        <w:t xml:space="preserve"> the EIA </w:t>
      </w:r>
      <w:r w:rsidR="00524193" w:rsidRPr="003225FD">
        <w:t xml:space="preserve">Law </w:t>
      </w:r>
      <w:r w:rsidR="003A6E87" w:rsidRPr="003225FD">
        <w:t>in force</w:t>
      </w:r>
      <w:r w:rsidRPr="003225FD">
        <w:t xml:space="preserve"> </w:t>
      </w:r>
      <w:r w:rsidR="00524193" w:rsidRPr="003225FD">
        <w:t xml:space="preserve">at the time of the </w:t>
      </w:r>
      <w:r w:rsidR="001C121D" w:rsidRPr="003225FD">
        <w:t xml:space="preserve">project’s </w:t>
      </w:r>
      <w:r w:rsidR="00524193" w:rsidRPr="003225FD">
        <w:t xml:space="preserve">EIA procedure </w:t>
      </w:r>
      <w:r w:rsidRPr="003225FD">
        <w:t xml:space="preserve">still required </w:t>
      </w:r>
      <w:r w:rsidR="00906D6A" w:rsidRPr="003225FD">
        <w:t>comments</w:t>
      </w:r>
      <w:r w:rsidRPr="003225FD">
        <w:t xml:space="preserve"> be motivated</w:t>
      </w:r>
      <w:r w:rsidR="00254AE1" w:rsidRPr="003225FD">
        <w:t>,</w:t>
      </w:r>
      <w:r w:rsidRPr="003225FD">
        <w:t xml:space="preserve"> </w:t>
      </w:r>
      <w:r w:rsidR="00254AE1" w:rsidRPr="003225FD">
        <w:t>the amendments</w:t>
      </w:r>
      <w:r w:rsidRPr="003225FD">
        <w:t xml:space="preserve"> </w:t>
      </w:r>
      <w:r w:rsidR="003A6E87" w:rsidRPr="003225FD">
        <w:t>following the</w:t>
      </w:r>
      <w:r w:rsidRPr="003225FD">
        <w:t xml:space="preserve"> finding</w:t>
      </w:r>
      <w:r w:rsidR="003A6E87" w:rsidRPr="003225FD">
        <w:t>s</w:t>
      </w:r>
      <w:r w:rsidRPr="003225FD">
        <w:t xml:space="preserve"> on communication ACCC/C/2006/16 </w:t>
      </w:r>
      <w:r w:rsidR="00CF4795" w:rsidRPr="003225FD">
        <w:t>(Lithuania)</w:t>
      </w:r>
      <w:r w:rsidR="00CF4795" w:rsidRPr="00001B0D">
        <w:rPr>
          <w:rStyle w:val="FootnoteReference"/>
        </w:rPr>
        <w:footnoteReference w:id="64"/>
      </w:r>
      <w:r w:rsidR="00CF4795" w:rsidRPr="00001B0D">
        <w:t xml:space="preserve"> </w:t>
      </w:r>
      <w:r w:rsidR="00254AE1" w:rsidRPr="00001B0D">
        <w:t xml:space="preserve">having been adopted </w:t>
      </w:r>
      <w:r w:rsidRPr="003225FD">
        <w:t>only on 28 September 2011.</w:t>
      </w:r>
      <w:r w:rsidR="001C121D" w:rsidRPr="003225FD">
        <w:t xml:space="preserve"> </w:t>
      </w:r>
      <w:r w:rsidRPr="003225FD">
        <w:t xml:space="preserve"> </w:t>
      </w:r>
      <w:r w:rsidR="00EC1E67" w:rsidRPr="003225FD">
        <w:t>It</w:t>
      </w:r>
      <w:bookmarkStart w:id="36" w:name="_Ref514097911"/>
      <w:r w:rsidRPr="003225FD">
        <w:t xml:space="preserve"> submits that the word </w:t>
      </w:r>
      <w:r w:rsidR="005D2FC8" w:rsidRPr="003225FD">
        <w:t>“</w:t>
      </w:r>
      <w:r w:rsidRPr="003225FD">
        <w:t>motivated</w:t>
      </w:r>
      <w:r w:rsidR="005D2FC8" w:rsidRPr="003225FD">
        <w:t>”</w:t>
      </w:r>
      <w:r w:rsidRPr="003225FD">
        <w:t xml:space="preserve"> was deleted but another </w:t>
      </w:r>
      <w:r w:rsidR="005D2FC8" w:rsidRPr="003225FD">
        <w:t xml:space="preserve">“reasoned argumentation” </w:t>
      </w:r>
      <w:r w:rsidRPr="003225FD">
        <w:t>criterion remains.</w:t>
      </w:r>
      <w:r w:rsidRPr="00001B0D">
        <w:rPr>
          <w:rStyle w:val="FootnoteReference"/>
        </w:rPr>
        <w:footnoteReference w:id="65"/>
      </w:r>
      <w:r w:rsidR="0031235D" w:rsidRPr="00001B0D">
        <w:t xml:space="preserve"> </w:t>
      </w:r>
      <w:r w:rsidR="00A81F10" w:rsidRPr="00001B0D">
        <w:t>It</w:t>
      </w:r>
      <w:r w:rsidRPr="003225FD">
        <w:t xml:space="preserve"> </w:t>
      </w:r>
      <w:r w:rsidR="003A6E87" w:rsidRPr="003225FD">
        <w:t>claims that</w:t>
      </w:r>
      <w:r w:rsidRPr="003225FD">
        <w:t xml:space="preserve"> </w:t>
      </w:r>
      <w:r w:rsidR="00F61E11" w:rsidRPr="003225FD">
        <w:t>item</w:t>
      </w:r>
      <w:r w:rsidR="002962D8" w:rsidRPr="003225FD">
        <w:t xml:space="preserve"> 11</w:t>
      </w:r>
      <w:r w:rsidR="00BB2F89" w:rsidRPr="003225FD">
        <w:rPr>
          <w:lang w:eastAsia="en-GB"/>
        </w:rPr>
        <w:t>(</w:t>
      </w:r>
      <w:r w:rsidR="002962D8" w:rsidRPr="003225FD">
        <w:t>3</w:t>
      </w:r>
      <w:r w:rsidR="00BB2F89" w:rsidRPr="003225FD">
        <w:rPr>
          <w:lang w:eastAsia="en-GB"/>
        </w:rPr>
        <w:t>)</w:t>
      </w:r>
      <w:r w:rsidR="002962D8" w:rsidRPr="003225FD">
        <w:t xml:space="preserve"> of the </w:t>
      </w:r>
      <w:r w:rsidR="002D6D60" w:rsidRPr="003225FD">
        <w:t>Public Participation Order</w:t>
      </w:r>
      <w:r w:rsidR="002962D8" w:rsidRPr="003225FD">
        <w:t xml:space="preserve"> prescribes</w:t>
      </w:r>
      <w:r w:rsidR="00B84ADB" w:rsidRPr="003225FD">
        <w:t xml:space="preserve"> “information and circumstances justifying the proposal” in writing</w:t>
      </w:r>
      <w:r w:rsidRPr="003225FD">
        <w:t>.</w:t>
      </w:r>
      <w:r w:rsidRPr="00001B0D">
        <w:rPr>
          <w:rStyle w:val="FootnoteReference"/>
        </w:rPr>
        <w:footnoteReference w:id="66"/>
      </w:r>
      <w:bookmarkEnd w:id="36"/>
    </w:p>
    <w:p w14:paraId="0A89E14F" w14:textId="7C11423F" w:rsidR="00341C77" w:rsidRPr="00001B0D" w:rsidRDefault="007339F1" w:rsidP="00341C77">
      <w:pPr>
        <w:pStyle w:val="SingleTxtG"/>
        <w:numPr>
          <w:ilvl w:val="0"/>
          <w:numId w:val="3"/>
        </w:numPr>
        <w:suppressAutoHyphens w:val="0"/>
        <w:autoSpaceDE w:val="0"/>
        <w:autoSpaceDN w:val="0"/>
        <w:adjustRightInd w:val="0"/>
        <w:spacing w:line="240" w:lineRule="auto"/>
        <w:ind w:left="1100" w:firstLine="0"/>
      </w:pPr>
      <w:bookmarkStart w:id="37" w:name="_Ref513465170"/>
      <w:r w:rsidRPr="003225FD">
        <w:t>The</w:t>
      </w:r>
      <w:r w:rsidR="00341C77" w:rsidRPr="003225FD">
        <w:t xml:space="preserve"> Party concerned states that, </w:t>
      </w:r>
      <w:r w:rsidR="00A95106" w:rsidRPr="003225FD">
        <w:t>although</w:t>
      </w:r>
      <w:r w:rsidR="00341C77" w:rsidRPr="003225FD">
        <w:t xml:space="preserve"> the wording “reasoned proposals” </w:t>
      </w:r>
      <w:r w:rsidR="00552EC7" w:rsidRPr="003225FD">
        <w:t xml:space="preserve">was </w:t>
      </w:r>
      <w:r w:rsidR="00341C77" w:rsidRPr="003225FD">
        <w:t xml:space="preserve">in the legislation </w:t>
      </w:r>
      <w:r w:rsidR="003A6E87" w:rsidRPr="003225FD">
        <w:t xml:space="preserve">at the time </w:t>
      </w:r>
      <w:r w:rsidR="00524193" w:rsidRPr="003225FD">
        <w:t>of the EIA procedure</w:t>
      </w:r>
      <w:r w:rsidR="00341C77" w:rsidRPr="003225FD">
        <w:t>, the public authorities</w:t>
      </w:r>
      <w:r w:rsidR="003A6E87" w:rsidRPr="003225FD">
        <w:t xml:space="preserve"> </w:t>
      </w:r>
      <w:r w:rsidR="00341C77" w:rsidRPr="003225FD">
        <w:t>took into account all</w:t>
      </w:r>
      <w:r w:rsidR="003A6E87" w:rsidRPr="003225FD">
        <w:t xml:space="preserve"> </w:t>
      </w:r>
      <w:r w:rsidR="00341C77" w:rsidRPr="003225FD">
        <w:t xml:space="preserve">comments. </w:t>
      </w:r>
      <w:r w:rsidR="003A6E87" w:rsidRPr="003225FD">
        <w:t>It</w:t>
      </w:r>
      <w:r w:rsidR="00341C77" w:rsidRPr="003225FD">
        <w:t xml:space="preserve"> states that the communicant fail</w:t>
      </w:r>
      <w:r w:rsidR="00A95106" w:rsidRPr="003225FD">
        <w:t>s</w:t>
      </w:r>
      <w:r w:rsidR="00341C77" w:rsidRPr="003225FD">
        <w:t xml:space="preserve"> to specify which proposals were rejected on this basis.</w:t>
      </w:r>
      <w:r w:rsidR="0071428C" w:rsidRPr="003225FD">
        <w:rPr>
          <w:rStyle w:val="FootnoteReference"/>
        </w:rPr>
        <w:t xml:space="preserve"> </w:t>
      </w:r>
      <w:r w:rsidR="0071428C" w:rsidRPr="00001B0D">
        <w:rPr>
          <w:rStyle w:val="FootnoteReference"/>
        </w:rPr>
        <w:footnoteReference w:id="67"/>
      </w:r>
      <w:r w:rsidR="00341C77" w:rsidRPr="00001B0D">
        <w:t xml:space="preserve">  </w:t>
      </w:r>
    </w:p>
    <w:bookmarkEnd w:id="37"/>
    <w:p w14:paraId="669546F3" w14:textId="497648AF"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r w:rsidRPr="003225FD">
        <w:t xml:space="preserve">The Party concerned </w:t>
      </w:r>
      <w:r w:rsidR="00822999" w:rsidRPr="003225FD">
        <w:t xml:space="preserve">denies that </w:t>
      </w:r>
      <w:r w:rsidRPr="003225FD">
        <w:t xml:space="preserve">the requirement that comments be motivated remains in </w:t>
      </w:r>
      <w:r w:rsidR="0014775D" w:rsidRPr="003225FD">
        <w:t xml:space="preserve">a </w:t>
      </w:r>
      <w:r w:rsidRPr="003225FD">
        <w:t>different form</w:t>
      </w:r>
      <w:r w:rsidR="00E365BD" w:rsidRPr="003225FD">
        <w:t>, and submits</w:t>
      </w:r>
      <w:r w:rsidRPr="003225FD">
        <w:t xml:space="preserve"> th</w:t>
      </w:r>
      <w:r w:rsidR="00E365BD" w:rsidRPr="003225FD">
        <w:t>is</w:t>
      </w:r>
      <w:r w:rsidRPr="003225FD">
        <w:t xml:space="preserve"> allegation</w:t>
      </w:r>
      <w:r w:rsidR="00F61E11" w:rsidRPr="003225FD">
        <w:t xml:space="preserve"> is unsubstantiated</w:t>
      </w:r>
      <w:r w:rsidRPr="003225FD">
        <w:t>.</w:t>
      </w:r>
      <w:r w:rsidRPr="00001B0D">
        <w:rPr>
          <w:rStyle w:val="FootnoteReference"/>
        </w:rPr>
        <w:footnoteReference w:id="68"/>
      </w:r>
      <w:r w:rsidRPr="00001B0D">
        <w:t xml:space="preserve"> </w:t>
      </w:r>
    </w:p>
    <w:p w14:paraId="07CFBB69" w14:textId="36D5DC8B" w:rsidR="00341C77" w:rsidRPr="003225FD" w:rsidRDefault="003A6E87" w:rsidP="00341C77">
      <w:pPr>
        <w:pStyle w:val="SingleTxtG"/>
        <w:suppressAutoHyphens w:val="0"/>
        <w:autoSpaceDE w:val="0"/>
        <w:autoSpaceDN w:val="0"/>
        <w:adjustRightInd w:val="0"/>
        <w:spacing w:line="240" w:lineRule="auto"/>
        <w:ind w:left="1100"/>
        <w:rPr>
          <w:i/>
        </w:rPr>
      </w:pPr>
      <w:r w:rsidRPr="003225FD">
        <w:rPr>
          <w:i/>
        </w:rPr>
        <w:t xml:space="preserve">Role </w:t>
      </w:r>
      <w:r w:rsidR="00341C77" w:rsidRPr="003225FD">
        <w:rPr>
          <w:i/>
        </w:rPr>
        <w:t>of the developer</w:t>
      </w:r>
      <w:r w:rsidR="00C67510" w:rsidRPr="003225FD">
        <w:rPr>
          <w:i/>
        </w:rPr>
        <w:t xml:space="preserve"> and </w:t>
      </w:r>
      <w:r w:rsidR="005E2071" w:rsidRPr="003225FD">
        <w:rPr>
          <w:i/>
        </w:rPr>
        <w:t>consultant</w:t>
      </w:r>
    </w:p>
    <w:p w14:paraId="47556A89" w14:textId="457A982A"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r w:rsidRPr="003225FD">
        <w:t xml:space="preserve">The communicant submits that the </w:t>
      </w:r>
      <w:r w:rsidR="003A6E87" w:rsidRPr="003225FD">
        <w:t xml:space="preserve">role </w:t>
      </w:r>
      <w:r w:rsidRPr="003225FD">
        <w:t>of the developer</w:t>
      </w:r>
      <w:r w:rsidR="00C67510" w:rsidRPr="003225FD">
        <w:t xml:space="preserve"> and </w:t>
      </w:r>
      <w:r w:rsidRPr="003225FD">
        <w:t xml:space="preserve">consultant </w:t>
      </w:r>
      <w:r w:rsidR="003A6E87" w:rsidRPr="003225FD">
        <w:t>neither</w:t>
      </w:r>
      <w:r w:rsidRPr="003225FD">
        <w:t xml:space="preserve"> ensure</w:t>
      </w:r>
      <w:r w:rsidR="003A6E87" w:rsidRPr="003225FD">
        <w:t>d</w:t>
      </w:r>
      <w:r w:rsidRPr="003225FD">
        <w:t xml:space="preserve"> </w:t>
      </w:r>
      <w:r w:rsidR="00123032" w:rsidRPr="003225FD">
        <w:t xml:space="preserve">the </w:t>
      </w:r>
      <w:r w:rsidRPr="003225FD">
        <w:t xml:space="preserve">necessary impartiality </w:t>
      </w:r>
      <w:r w:rsidR="003A6E87" w:rsidRPr="003225FD">
        <w:t xml:space="preserve">nor </w:t>
      </w:r>
      <w:r w:rsidRPr="003225FD">
        <w:t>that comments be directly submitted to the authority.</w:t>
      </w:r>
      <w:r w:rsidRPr="00001B0D">
        <w:rPr>
          <w:rStyle w:val="FootnoteReference"/>
        </w:rPr>
        <w:footnoteReference w:id="69"/>
      </w:r>
    </w:p>
    <w:p w14:paraId="1013FF55" w14:textId="0EF16078" w:rsidR="00341C77" w:rsidRPr="00001B0D" w:rsidRDefault="00341C77" w:rsidP="00A72100">
      <w:pPr>
        <w:pStyle w:val="SingleTxtG"/>
        <w:numPr>
          <w:ilvl w:val="0"/>
          <w:numId w:val="3"/>
        </w:numPr>
        <w:suppressAutoHyphens w:val="0"/>
        <w:autoSpaceDE w:val="0"/>
        <w:autoSpaceDN w:val="0"/>
        <w:adjustRightInd w:val="0"/>
        <w:spacing w:line="240" w:lineRule="auto"/>
        <w:ind w:left="1100" w:firstLine="0"/>
      </w:pPr>
      <w:r w:rsidRPr="003225FD">
        <w:t xml:space="preserve"> </w:t>
      </w:r>
      <w:bookmarkStart w:id="38" w:name="_Hlk8835750"/>
      <w:bookmarkStart w:id="39" w:name="_Ref8835862"/>
      <w:r w:rsidR="003A6E87" w:rsidRPr="003225FD">
        <w:t>T</w:t>
      </w:r>
      <w:r w:rsidRPr="003225FD">
        <w:t xml:space="preserve">he Party concerned submits </w:t>
      </w:r>
      <w:r w:rsidR="003A6E87" w:rsidRPr="003225FD">
        <w:t xml:space="preserve">that in the special plan procedure </w:t>
      </w:r>
      <w:r w:rsidRPr="003225FD">
        <w:t xml:space="preserve">the developer takes account of public participation and submits a summary of the comments to the </w:t>
      </w:r>
      <w:r w:rsidR="001B27E2" w:rsidRPr="003225FD">
        <w:t xml:space="preserve">competent </w:t>
      </w:r>
      <w:r w:rsidRPr="003225FD">
        <w:t xml:space="preserve">authority. </w:t>
      </w:r>
      <w:bookmarkEnd w:id="38"/>
      <w:r w:rsidR="003A6E87" w:rsidRPr="003225FD">
        <w:t>For</w:t>
      </w:r>
      <w:r w:rsidRPr="003225FD">
        <w:t xml:space="preserve"> the </w:t>
      </w:r>
      <w:r w:rsidR="003A6E87" w:rsidRPr="003225FD">
        <w:t>EIA</w:t>
      </w:r>
      <w:r w:rsidRPr="003225FD">
        <w:t xml:space="preserve"> procedure, </w:t>
      </w:r>
      <w:r w:rsidR="001B27E2" w:rsidRPr="003225FD">
        <w:t>competent</w:t>
      </w:r>
      <w:r w:rsidRPr="003225FD">
        <w:t xml:space="preserve"> authorities analyse how public participation was taken into consideration.</w:t>
      </w:r>
      <w:r w:rsidR="0071428C" w:rsidRPr="00001B0D">
        <w:rPr>
          <w:rStyle w:val="FootnoteReference"/>
          <w:szCs w:val="16"/>
          <w:lang w:eastAsia="en-GB"/>
        </w:rPr>
        <w:footnoteReference w:id="70"/>
      </w:r>
      <w:r w:rsidRPr="00001B0D">
        <w:t xml:space="preserve"> It further refers to article 9</w:t>
      </w:r>
      <w:r w:rsidR="00BB2F89" w:rsidRPr="00001B0D">
        <w:rPr>
          <w:lang w:eastAsia="en-GB"/>
        </w:rPr>
        <w:t>(</w:t>
      </w:r>
      <w:r w:rsidRPr="003225FD">
        <w:t>8</w:t>
      </w:r>
      <w:r w:rsidR="00BB2F89" w:rsidRPr="003225FD">
        <w:rPr>
          <w:lang w:eastAsia="en-GB"/>
        </w:rPr>
        <w:t>)</w:t>
      </w:r>
      <w:r w:rsidRPr="003225FD">
        <w:t xml:space="preserve"> of the EIA law which allows participants to send </w:t>
      </w:r>
      <w:r w:rsidR="00A95106" w:rsidRPr="003225FD">
        <w:rPr>
          <w:lang w:eastAsia="en-GB"/>
        </w:rPr>
        <w:t>information</w:t>
      </w:r>
      <w:r w:rsidRPr="003225FD">
        <w:rPr>
          <w:lang w:eastAsia="en-GB"/>
        </w:rPr>
        <w:t xml:space="preserve"> </w:t>
      </w:r>
      <w:r w:rsidR="00677BA3" w:rsidRPr="003225FD">
        <w:rPr>
          <w:lang w:eastAsia="en-GB"/>
        </w:rPr>
        <w:t>on possible violations</w:t>
      </w:r>
      <w:r w:rsidR="00677BA3" w:rsidRPr="003225FD">
        <w:t xml:space="preserve"> </w:t>
      </w:r>
      <w:r w:rsidRPr="003225FD">
        <w:t>directly to the competent authority.</w:t>
      </w:r>
      <w:r w:rsidRPr="00001B0D">
        <w:rPr>
          <w:rStyle w:val="FootnoteReference"/>
        </w:rPr>
        <w:footnoteReference w:id="71"/>
      </w:r>
      <w:bookmarkEnd w:id="39"/>
      <w:r w:rsidRPr="00001B0D">
        <w:t xml:space="preserve"> </w:t>
      </w:r>
    </w:p>
    <w:p w14:paraId="6A371CF1" w14:textId="66B0DA9A" w:rsidR="00341C77" w:rsidRPr="003225FD" w:rsidRDefault="00341C77" w:rsidP="00341C77">
      <w:pPr>
        <w:pStyle w:val="SingleTxtG"/>
        <w:suppressAutoHyphens w:val="0"/>
        <w:autoSpaceDE w:val="0"/>
        <w:autoSpaceDN w:val="0"/>
        <w:adjustRightInd w:val="0"/>
        <w:spacing w:line="240" w:lineRule="auto"/>
        <w:ind w:left="1100"/>
        <w:rPr>
          <w:lang w:val="en-US"/>
        </w:rPr>
      </w:pPr>
      <w:r w:rsidRPr="003225FD">
        <w:rPr>
          <w:b/>
          <w:lang w:val="en-US"/>
        </w:rPr>
        <w:t>Article 6</w:t>
      </w:r>
      <w:r w:rsidR="00BB2F89" w:rsidRPr="003225FD">
        <w:rPr>
          <w:b/>
          <w:iCs/>
          <w:lang w:val="en-US"/>
        </w:rPr>
        <w:t>(</w:t>
      </w:r>
      <w:r w:rsidRPr="003225FD">
        <w:rPr>
          <w:b/>
          <w:lang w:val="en-US"/>
        </w:rPr>
        <w:t>8</w:t>
      </w:r>
      <w:r w:rsidR="00BB2F89" w:rsidRPr="003225FD">
        <w:rPr>
          <w:b/>
          <w:iCs/>
          <w:lang w:val="en-US"/>
        </w:rPr>
        <w:t>)</w:t>
      </w:r>
    </w:p>
    <w:p w14:paraId="5F5E4B2D" w14:textId="44448CF0" w:rsidR="00341C77" w:rsidRPr="003225FD" w:rsidRDefault="00341C77" w:rsidP="00341C77">
      <w:pPr>
        <w:pStyle w:val="SingleTxtG"/>
        <w:suppressAutoHyphens w:val="0"/>
        <w:autoSpaceDE w:val="0"/>
        <w:autoSpaceDN w:val="0"/>
        <w:adjustRightInd w:val="0"/>
        <w:spacing w:line="240" w:lineRule="auto"/>
        <w:ind w:left="1100"/>
        <w:rPr>
          <w:i/>
          <w:lang w:val="en-US"/>
        </w:rPr>
      </w:pPr>
      <w:r w:rsidRPr="003225FD">
        <w:rPr>
          <w:i/>
          <w:lang w:val="en-US"/>
        </w:rPr>
        <w:t xml:space="preserve">Taking </w:t>
      </w:r>
      <w:r w:rsidR="00BF2E6E" w:rsidRPr="003225FD">
        <w:rPr>
          <w:i/>
          <w:lang w:val="en-US"/>
        </w:rPr>
        <w:t xml:space="preserve">due </w:t>
      </w:r>
      <w:r w:rsidRPr="003225FD">
        <w:rPr>
          <w:i/>
          <w:lang w:val="en-US"/>
        </w:rPr>
        <w:t xml:space="preserve">account </w:t>
      </w:r>
    </w:p>
    <w:p w14:paraId="1C0FA0C2" w14:textId="43C0A732" w:rsidR="000434CE" w:rsidRPr="00001B0D" w:rsidRDefault="008574D7" w:rsidP="00A72100">
      <w:pPr>
        <w:pStyle w:val="SingleTxtG"/>
        <w:numPr>
          <w:ilvl w:val="0"/>
          <w:numId w:val="3"/>
        </w:numPr>
        <w:suppressAutoHyphens w:val="0"/>
        <w:autoSpaceDE w:val="0"/>
        <w:autoSpaceDN w:val="0"/>
        <w:adjustRightInd w:val="0"/>
        <w:spacing w:line="240" w:lineRule="auto"/>
        <w:ind w:left="1100" w:firstLine="0"/>
      </w:pPr>
      <w:r w:rsidRPr="003225FD">
        <w:lastRenderedPageBreak/>
        <w:t>T</w:t>
      </w:r>
      <w:r w:rsidR="00341C77" w:rsidRPr="003225FD">
        <w:t xml:space="preserve">he communicant </w:t>
      </w:r>
      <w:r w:rsidRPr="003225FD">
        <w:t xml:space="preserve">claims that </w:t>
      </w:r>
      <w:r w:rsidR="003B04DD" w:rsidRPr="003225FD">
        <w:t xml:space="preserve">it presented comments </w:t>
      </w:r>
      <w:r w:rsidRPr="003225FD">
        <w:t xml:space="preserve">at the </w:t>
      </w:r>
      <w:r w:rsidR="00F61E11" w:rsidRPr="003225FD">
        <w:t xml:space="preserve">19 July 2010 </w:t>
      </w:r>
      <w:r w:rsidR="00524193" w:rsidRPr="003225FD">
        <w:t xml:space="preserve">hearing on the EIA report </w:t>
      </w:r>
      <w:r w:rsidR="00347B06" w:rsidRPr="003225FD">
        <w:t>which were never taken into account</w:t>
      </w:r>
      <w:r w:rsidR="00341C77" w:rsidRPr="003225FD">
        <w:t>.</w:t>
      </w:r>
      <w:r w:rsidR="00341C77" w:rsidRPr="00001B0D">
        <w:rPr>
          <w:rStyle w:val="FootnoteReference"/>
        </w:rPr>
        <w:footnoteReference w:id="72"/>
      </w:r>
      <w:r w:rsidR="00341C77" w:rsidRPr="00001B0D">
        <w:t xml:space="preserve"> </w:t>
      </w:r>
      <w:r w:rsidR="00F80676" w:rsidRPr="00001B0D">
        <w:t>It asserts the</w:t>
      </w:r>
      <w:r w:rsidR="00C606F3" w:rsidRPr="003225FD">
        <w:t xml:space="preserve"> authoritie</w:t>
      </w:r>
      <w:r w:rsidR="00341C77" w:rsidRPr="003225FD">
        <w:t xml:space="preserve">s </w:t>
      </w:r>
      <w:r w:rsidR="00FA53A3" w:rsidRPr="003225FD">
        <w:t>explained</w:t>
      </w:r>
      <w:r w:rsidR="00341C77" w:rsidRPr="003225FD">
        <w:t xml:space="preserve"> that consideration of other alternatives w</w:t>
      </w:r>
      <w:r w:rsidR="00FA53A3" w:rsidRPr="003225FD">
        <w:t>as</w:t>
      </w:r>
      <w:r w:rsidR="00341C77" w:rsidRPr="003225FD">
        <w:t xml:space="preserve"> not possible </w:t>
      </w:r>
      <w:r w:rsidR="00683419" w:rsidRPr="003225FD">
        <w:t>for reasons including</w:t>
      </w:r>
      <w:r w:rsidR="00341C77" w:rsidRPr="003225FD">
        <w:t xml:space="preserve"> tight </w:t>
      </w:r>
      <w:r w:rsidR="00C606F3" w:rsidRPr="003225FD">
        <w:t xml:space="preserve">EU financing </w:t>
      </w:r>
      <w:r w:rsidR="00341C77" w:rsidRPr="003225FD">
        <w:t xml:space="preserve">deadlines. </w:t>
      </w:r>
      <w:r w:rsidR="00C70E2B" w:rsidRPr="003225FD">
        <w:t>I</w:t>
      </w:r>
      <w:r w:rsidR="000434CE" w:rsidRPr="003225FD">
        <w:t>t</w:t>
      </w:r>
      <w:r w:rsidR="00341C77" w:rsidRPr="003225FD">
        <w:t xml:space="preserve"> alleges </w:t>
      </w:r>
      <w:r w:rsidR="00524193" w:rsidRPr="003225FD">
        <w:t xml:space="preserve">the hearings </w:t>
      </w:r>
      <w:r w:rsidR="00341C77" w:rsidRPr="003225FD">
        <w:t xml:space="preserve">were </w:t>
      </w:r>
      <w:r w:rsidR="00524193" w:rsidRPr="003225FD">
        <w:t xml:space="preserve">thus </w:t>
      </w:r>
      <w:r w:rsidR="00341C77" w:rsidRPr="003225FD">
        <w:t xml:space="preserve">a </w:t>
      </w:r>
      <w:r w:rsidR="00EC2D7B" w:rsidRPr="003225FD">
        <w:t xml:space="preserve">mere </w:t>
      </w:r>
      <w:r w:rsidR="00341C77" w:rsidRPr="003225FD">
        <w:t>formality</w:t>
      </w:r>
      <w:r w:rsidR="00251124" w:rsidRPr="003225FD">
        <w:t>.</w:t>
      </w:r>
      <w:r w:rsidR="00251124" w:rsidRPr="00001B0D">
        <w:rPr>
          <w:sz w:val="18"/>
          <w:vertAlign w:val="superscript"/>
        </w:rPr>
        <w:footnoteReference w:id="73"/>
      </w:r>
      <w:r w:rsidR="00341C77" w:rsidRPr="00001B0D">
        <w:rPr>
          <w:sz w:val="18"/>
        </w:rPr>
        <w:t xml:space="preserve"> </w:t>
      </w:r>
    </w:p>
    <w:p w14:paraId="1A8B2847" w14:textId="6905A542" w:rsidR="00341C77" w:rsidRPr="00001B0D" w:rsidRDefault="000434CE" w:rsidP="00A72100">
      <w:pPr>
        <w:pStyle w:val="SingleTxtG"/>
        <w:numPr>
          <w:ilvl w:val="0"/>
          <w:numId w:val="3"/>
        </w:numPr>
        <w:suppressAutoHyphens w:val="0"/>
        <w:autoSpaceDE w:val="0"/>
        <w:autoSpaceDN w:val="0"/>
        <w:adjustRightInd w:val="0"/>
        <w:spacing w:line="240" w:lineRule="auto"/>
        <w:ind w:left="1100" w:firstLine="0"/>
      </w:pPr>
      <w:r w:rsidRPr="003225FD">
        <w:t>The communicant</w:t>
      </w:r>
      <w:r w:rsidR="00251124" w:rsidRPr="003225FD">
        <w:t xml:space="preserve"> </w:t>
      </w:r>
      <w:r w:rsidRPr="003225FD">
        <w:t>submits</w:t>
      </w:r>
      <w:r w:rsidR="00251124" w:rsidRPr="003225FD">
        <w:t xml:space="preserve"> </w:t>
      </w:r>
      <w:r w:rsidR="00341C77" w:rsidRPr="003225FD">
        <w:t xml:space="preserve">that </w:t>
      </w:r>
      <w:r w:rsidR="00683419" w:rsidRPr="003225FD">
        <w:t xml:space="preserve">the </w:t>
      </w:r>
      <w:r w:rsidR="006D6D9D" w:rsidRPr="003225FD">
        <w:t xml:space="preserve">developer </w:t>
      </w:r>
      <w:r w:rsidR="00341C77" w:rsidRPr="003225FD">
        <w:t xml:space="preserve">published different versions of the EIA report on </w:t>
      </w:r>
      <w:r w:rsidR="0031024D" w:rsidRPr="003225FD">
        <w:t xml:space="preserve">its </w:t>
      </w:r>
      <w:r w:rsidR="00341C77" w:rsidRPr="003225FD">
        <w:t xml:space="preserve">website, and </w:t>
      </w:r>
      <w:r w:rsidR="0031024D" w:rsidRPr="003225FD">
        <w:t xml:space="preserve">the </w:t>
      </w:r>
      <w:r w:rsidR="009D24EA" w:rsidRPr="003225FD">
        <w:t>communicant</w:t>
      </w:r>
      <w:r w:rsidR="00341C77" w:rsidRPr="003225FD">
        <w:t xml:space="preserve"> was not informed which version was finally submitted</w:t>
      </w:r>
      <w:r w:rsidR="0031024D" w:rsidRPr="003225FD">
        <w:t xml:space="preserve"> to the competent authority</w:t>
      </w:r>
      <w:r w:rsidR="00341C77" w:rsidRPr="003225FD">
        <w:t>.</w:t>
      </w:r>
      <w:r w:rsidR="006D639C" w:rsidRPr="003225FD">
        <w:t xml:space="preserve"> </w:t>
      </w:r>
      <w:r w:rsidR="00BF2E6E" w:rsidRPr="003225FD">
        <w:t xml:space="preserve">Consequently, </w:t>
      </w:r>
      <w:r w:rsidR="009D24EA" w:rsidRPr="003225FD">
        <w:t>it</w:t>
      </w:r>
      <w:r w:rsidR="00341C77" w:rsidRPr="003225FD">
        <w:t xml:space="preserve"> was unable to </w:t>
      </w:r>
      <w:r w:rsidR="00251124" w:rsidRPr="003225FD">
        <w:t>ascertain how</w:t>
      </w:r>
      <w:r w:rsidR="00341C77" w:rsidRPr="003225FD">
        <w:t xml:space="preserve"> </w:t>
      </w:r>
      <w:r w:rsidR="00683419" w:rsidRPr="003225FD">
        <w:t xml:space="preserve">its </w:t>
      </w:r>
      <w:r w:rsidR="003271C0" w:rsidRPr="003225FD">
        <w:t>comments</w:t>
      </w:r>
      <w:r w:rsidR="00341C77" w:rsidRPr="003225FD">
        <w:t xml:space="preserve"> were </w:t>
      </w:r>
      <w:r w:rsidR="00251124" w:rsidRPr="003225FD">
        <w:t>treated</w:t>
      </w:r>
      <w:r w:rsidR="00341C77" w:rsidRPr="003225FD">
        <w:t>.</w:t>
      </w:r>
      <w:r w:rsidR="004549B1" w:rsidRPr="003225FD">
        <w:t xml:space="preserve"> It submits </w:t>
      </w:r>
      <w:r w:rsidR="00341C77" w:rsidRPr="003225FD">
        <w:t>that</w:t>
      </w:r>
      <w:r w:rsidR="00A95106" w:rsidRPr="003225FD">
        <w:t xml:space="preserve"> </w:t>
      </w:r>
      <w:r w:rsidR="00341C77" w:rsidRPr="003225FD">
        <w:t>the</w:t>
      </w:r>
      <w:r w:rsidR="001C15E0" w:rsidRPr="003225FD">
        <w:t xml:space="preserve"> </w:t>
      </w:r>
      <w:r w:rsidR="00E7294B" w:rsidRPr="003225FD">
        <w:t>OHL</w:t>
      </w:r>
      <w:r w:rsidR="009A7C5A" w:rsidRPr="003225FD">
        <w:t xml:space="preserve"> d</w:t>
      </w:r>
      <w:r w:rsidR="001C15E0" w:rsidRPr="003225FD">
        <w:t>ecision</w:t>
      </w:r>
      <w:r w:rsidR="00A73579" w:rsidRPr="003225FD">
        <w:t xml:space="preserve"> </w:t>
      </w:r>
      <w:r w:rsidR="00341C77" w:rsidRPr="003225FD">
        <w:t>demonstrated that none of the comments</w:t>
      </w:r>
      <w:r w:rsidR="001C15E0" w:rsidRPr="003225FD">
        <w:t xml:space="preserve"> </w:t>
      </w:r>
      <w:r w:rsidR="00341C77" w:rsidRPr="003225FD">
        <w:t>had been taken into account</w:t>
      </w:r>
      <w:r w:rsidR="00A73579" w:rsidRPr="003225FD">
        <w:t>, as it</w:t>
      </w:r>
      <w:r w:rsidR="00341C77" w:rsidRPr="003225FD">
        <w:t xml:space="preserve"> outlined the public participation procedure in a brief</w:t>
      </w:r>
      <w:r w:rsidR="00A95106" w:rsidRPr="003225FD">
        <w:t xml:space="preserve">, </w:t>
      </w:r>
      <w:r w:rsidR="00341C77" w:rsidRPr="003225FD">
        <w:t xml:space="preserve">superficial way, listing dates of announcements and meetings, but not the essence of the </w:t>
      </w:r>
      <w:r w:rsidR="004363CA" w:rsidRPr="003225FD">
        <w:t xml:space="preserve">public’s </w:t>
      </w:r>
      <w:r w:rsidR="00341C77" w:rsidRPr="003225FD">
        <w:t>concerns.</w:t>
      </w:r>
      <w:r w:rsidR="00341C77" w:rsidRPr="00001B0D">
        <w:rPr>
          <w:rStyle w:val="FootnoteReference"/>
        </w:rPr>
        <w:footnoteReference w:id="74"/>
      </w:r>
    </w:p>
    <w:p w14:paraId="7DA5728E" w14:textId="58C8FAA7" w:rsidR="00341C77" w:rsidRPr="00001B0D" w:rsidRDefault="00341C77" w:rsidP="00621A2A">
      <w:pPr>
        <w:pStyle w:val="SingleTxtG"/>
        <w:numPr>
          <w:ilvl w:val="0"/>
          <w:numId w:val="3"/>
        </w:numPr>
        <w:suppressAutoHyphens w:val="0"/>
        <w:autoSpaceDE w:val="0"/>
        <w:autoSpaceDN w:val="0"/>
        <w:adjustRightInd w:val="0"/>
        <w:spacing w:line="240" w:lineRule="auto"/>
        <w:ind w:left="1100" w:firstLine="0"/>
        <w:rPr>
          <w:i/>
        </w:rPr>
      </w:pPr>
      <w:r w:rsidRPr="00001B0D">
        <w:t xml:space="preserve">The Party concerned </w:t>
      </w:r>
      <w:r w:rsidR="0031235D" w:rsidRPr="00001B0D">
        <w:t>states</w:t>
      </w:r>
      <w:r w:rsidRPr="003225FD">
        <w:t xml:space="preserve"> that </w:t>
      </w:r>
      <w:r w:rsidR="00574FE5" w:rsidRPr="003225FD">
        <w:t>t</w:t>
      </w:r>
      <w:r w:rsidR="00E076C9" w:rsidRPr="003225FD">
        <w:t>he competent authorities reviewed all comments</w:t>
      </w:r>
      <w:r w:rsidR="00574FE5" w:rsidRPr="003225FD">
        <w:t xml:space="preserve"> submitted by the public</w:t>
      </w:r>
      <w:r w:rsidR="00C67510" w:rsidRPr="003225FD">
        <w:t xml:space="preserve">, that </w:t>
      </w:r>
      <w:r w:rsidR="00E076C9" w:rsidRPr="003225FD">
        <w:t>this review was not merely formal</w:t>
      </w:r>
      <w:r w:rsidR="00AD6327" w:rsidRPr="003225FD">
        <w:t>, and</w:t>
      </w:r>
      <w:r w:rsidR="00396CE2" w:rsidRPr="003225FD">
        <w:t xml:space="preserve"> refers to the meeting </w:t>
      </w:r>
      <w:r w:rsidR="00FF649E" w:rsidRPr="003225FD">
        <w:t xml:space="preserve">on 17 December 2010 to which members of the public, EIA entities and the drafter and developer were invited </w:t>
      </w:r>
      <w:r w:rsidR="00CD55E5" w:rsidRPr="003225FD">
        <w:t>to discuss the comments received</w:t>
      </w:r>
      <w:r w:rsidR="00396CE2" w:rsidRPr="003225FD">
        <w:t>.</w:t>
      </w:r>
      <w:r w:rsidR="00396CE2" w:rsidRPr="00001B0D">
        <w:rPr>
          <w:rStyle w:val="FootnoteReference"/>
        </w:rPr>
        <w:footnoteReference w:id="75"/>
      </w:r>
    </w:p>
    <w:p w14:paraId="4F28AD5E" w14:textId="69151137" w:rsidR="00341C77" w:rsidRPr="003225FD" w:rsidRDefault="000D6A26" w:rsidP="00341C77">
      <w:pPr>
        <w:pStyle w:val="SingleTxtG"/>
        <w:suppressAutoHyphens w:val="0"/>
        <w:autoSpaceDE w:val="0"/>
        <w:autoSpaceDN w:val="0"/>
        <w:adjustRightInd w:val="0"/>
        <w:spacing w:line="240" w:lineRule="auto"/>
        <w:ind w:left="1100"/>
        <w:rPr>
          <w:i/>
        </w:rPr>
      </w:pPr>
      <w:r w:rsidRPr="003225FD">
        <w:rPr>
          <w:i/>
        </w:rPr>
        <w:t xml:space="preserve">Role </w:t>
      </w:r>
      <w:r w:rsidR="00341C77" w:rsidRPr="003225FD">
        <w:rPr>
          <w:i/>
        </w:rPr>
        <w:t xml:space="preserve">of </w:t>
      </w:r>
      <w:r w:rsidRPr="003225FD">
        <w:rPr>
          <w:i/>
        </w:rPr>
        <w:t xml:space="preserve">the </w:t>
      </w:r>
      <w:r w:rsidR="00341C77" w:rsidRPr="003225FD">
        <w:rPr>
          <w:i/>
        </w:rPr>
        <w:t>developer</w:t>
      </w:r>
      <w:r w:rsidR="00AD6327" w:rsidRPr="003225FD">
        <w:rPr>
          <w:i/>
        </w:rPr>
        <w:t xml:space="preserve"> and consultant</w:t>
      </w:r>
    </w:p>
    <w:p w14:paraId="668FCBAF" w14:textId="4AC208A0" w:rsidR="00341C77" w:rsidRPr="00001B0D" w:rsidRDefault="00341C77" w:rsidP="00341C77">
      <w:pPr>
        <w:pStyle w:val="ListParagraph"/>
        <w:numPr>
          <w:ilvl w:val="0"/>
          <w:numId w:val="3"/>
        </w:numPr>
        <w:spacing w:after="120"/>
        <w:ind w:left="1080" w:right="994" w:firstLine="0"/>
        <w:jc w:val="both"/>
      </w:pPr>
      <w:r w:rsidRPr="003225FD">
        <w:t xml:space="preserve">The communicant submits that </w:t>
      </w:r>
      <w:r w:rsidR="00B9654A" w:rsidRPr="003225FD">
        <w:t>the identity</w:t>
      </w:r>
      <w:r w:rsidR="00A25015" w:rsidRPr="003225FD">
        <w:t xml:space="preserve"> of the entity </w:t>
      </w:r>
      <w:r w:rsidRPr="003225FD">
        <w:t xml:space="preserve">responsible for taking comments </w:t>
      </w:r>
      <w:r w:rsidR="0015765A" w:rsidRPr="003225FD">
        <w:t xml:space="preserve">in the EIA procedure </w:t>
      </w:r>
      <w:r w:rsidRPr="003225FD">
        <w:t xml:space="preserve">into account </w:t>
      </w:r>
      <w:r w:rsidR="00A25015" w:rsidRPr="003225FD">
        <w:t>is not clearly regulated</w:t>
      </w:r>
      <w:r w:rsidRPr="003225FD">
        <w:t xml:space="preserve">. </w:t>
      </w:r>
      <w:r w:rsidR="003B04DD" w:rsidRPr="003225FD">
        <w:t>T</w:t>
      </w:r>
      <w:r w:rsidRPr="003225FD">
        <w:t>he</w:t>
      </w:r>
      <w:r w:rsidR="001C121D" w:rsidRPr="003225FD">
        <w:t xml:space="preserve"> </w:t>
      </w:r>
      <w:r w:rsidR="00E076C9" w:rsidRPr="003225FD">
        <w:t xml:space="preserve">consultant </w:t>
      </w:r>
      <w:r w:rsidRPr="003225FD">
        <w:t>usually collect</w:t>
      </w:r>
      <w:r w:rsidR="00344866" w:rsidRPr="003225FD">
        <w:t>s</w:t>
      </w:r>
      <w:r w:rsidRPr="003225FD">
        <w:t xml:space="preserve"> comments and submit</w:t>
      </w:r>
      <w:r w:rsidR="0015765A" w:rsidRPr="003225FD">
        <w:t>s</w:t>
      </w:r>
      <w:r w:rsidRPr="003225FD">
        <w:t xml:space="preserve"> them to </w:t>
      </w:r>
      <w:r w:rsidR="00344866" w:rsidRPr="003225FD">
        <w:t>the public authority</w:t>
      </w:r>
      <w:r w:rsidR="00B9654A" w:rsidRPr="003225FD">
        <w:t>,</w:t>
      </w:r>
      <w:r w:rsidRPr="003225FD">
        <w:t xml:space="preserve"> </w:t>
      </w:r>
      <w:r w:rsidR="00B9654A" w:rsidRPr="003225FD">
        <w:t xml:space="preserve">and this means </w:t>
      </w:r>
      <w:r w:rsidR="00574849" w:rsidRPr="003225FD">
        <w:t xml:space="preserve">comments </w:t>
      </w:r>
      <w:r w:rsidRPr="003225FD">
        <w:t>are not adequately taken into account.</w:t>
      </w:r>
      <w:r w:rsidRPr="00001B0D">
        <w:rPr>
          <w:rStyle w:val="FootnoteReference"/>
        </w:rPr>
        <w:footnoteReference w:id="76"/>
      </w:r>
    </w:p>
    <w:p w14:paraId="3585DEED" w14:textId="32741EA3"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rPr>
          <w:i/>
        </w:rPr>
      </w:pPr>
      <w:r w:rsidRPr="003225FD">
        <w:t>The Party concerned submits that</w:t>
      </w:r>
      <w:r w:rsidR="00574849" w:rsidRPr="003225FD">
        <w:t>,</w:t>
      </w:r>
      <w:r w:rsidRPr="003225FD">
        <w:t xml:space="preserve"> </w:t>
      </w:r>
      <w:r w:rsidR="00CD7495" w:rsidRPr="003225FD">
        <w:t>under</w:t>
      </w:r>
      <w:r w:rsidRPr="003225FD">
        <w:t xml:space="preserve"> </w:t>
      </w:r>
      <w:r w:rsidR="002C221D" w:rsidRPr="003225FD">
        <w:t xml:space="preserve">item </w:t>
      </w:r>
      <w:r w:rsidRPr="003225FD">
        <w:t xml:space="preserve">33 of the </w:t>
      </w:r>
      <w:r w:rsidR="002D6D60" w:rsidRPr="003225FD">
        <w:t>Public Participation Order</w:t>
      </w:r>
      <w:r w:rsidRPr="003225FD">
        <w:t xml:space="preserve">, the developer or </w:t>
      </w:r>
      <w:r w:rsidR="00574849" w:rsidRPr="003225FD">
        <w:t xml:space="preserve">consultant </w:t>
      </w:r>
      <w:r w:rsidRPr="003225FD">
        <w:t xml:space="preserve">prepares a reasoned evaluation of </w:t>
      </w:r>
      <w:r w:rsidR="00C40BB3" w:rsidRPr="003225FD">
        <w:t xml:space="preserve">public </w:t>
      </w:r>
      <w:r w:rsidRPr="003225FD">
        <w:t xml:space="preserve">comments </w:t>
      </w:r>
      <w:r w:rsidR="00FE3994" w:rsidRPr="003225FD">
        <w:t xml:space="preserve">in the format set out in annex 4 of that Order </w:t>
      </w:r>
      <w:r w:rsidRPr="003225FD">
        <w:t xml:space="preserve">and </w:t>
      </w:r>
      <w:r w:rsidR="00FE3994" w:rsidRPr="003225FD">
        <w:t xml:space="preserve">also </w:t>
      </w:r>
      <w:r w:rsidRPr="003225FD">
        <w:t xml:space="preserve">provides written </w:t>
      </w:r>
      <w:r w:rsidR="00FE3994" w:rsidRPr="003225FD">
        <w:t>replies to members of the public regarding their comments.</w:t>
      </w:r>
      <w:r w:rsidR="003B04DD" w:rsidRPr="003225FD">
        <w:t xml:space="preserve"> P</w:t>
      </w:r>
      <w:r w:rsidR="005D0996" w:rsidRPr="003225FD">
        <w:t>rior to approval of the EIA report,</w:t>
      </w:r>
      <w:r w:rsidRPr="003225FD">
        <w:t xml:space="preserve"> the competent authority organizes a </w:t>
      </w:r>
      <w:r w:rsidR="005D0996" w:rsidRPr="003225FD">
        <w:t xml:space="preserve">meeting with the developer, </w:t>
      </w:r>
      <w:r w:rsidR="004476F1" w:rsidRPr="003225FD">
        <w:t xml:space="preserve">EIA </w:t>
      </w:r>
      <w:r w:rsidR="005D0996" w:rsidRPr="003225FD">
        <w:t xml:space="preserve">drafter, </w:t>
      </w:r>
      <w:r w:rsidR="00F81E9C" w:rsidRPr="003225FD">
        <w:t xml:space="preserve">participating </w:t>
      </w:r>
      <w:r w:rsidR="005D0996" w:rsidRPr="003225FD">
        <w:t>authorities and members of the public concerned who submitted comments</w:t>
      </w:r>
      <w:r w:rsidR="005967A9" w:rsidRPr="003225FD">
        <w:t xml:space="preserve"> to discuss the comments</w:t>
      </w:r>
      <w:r w:rsidR="00C67510" w:rsidRPr="003225FD">
        <w:t xml:space="preserve"> </w:t>
      </w:r>
      <w:r w:rsidR="005967A9" w:rsidRPr="003225FD">
        <w:t>received</w:t>
      </w:r>
      <w:r w:rsidRPr="003225FD">
        <w:rPr>
          <w:sz w:val="16"/>
        </w:rPr>
        <w:t>.</w:t>
      </w:r>
      <w:r w:rsidR="00F81E9C" w:rsidRPr="00001B0D">
        <w:rPr>
          <w:rStyle w:val="FootnoteReference"/>
        </w:rPr>
        <w:footnoteReference w:id="77"/>
      </w:r>
      <w:r w:rsidR="00F81E9C" w:rsidRPr="00001B0D">
        <w:rPr>
          <w:sz w:val="16"/>
        </w:rPr>
        <w:t xml:space="preserve"> </w:t>
      </w:r>
    </w:p>
    <w:p w14:paraId="6BC60894" w14:textId="04341933" w:rsidR="00341C77" w:rsidRPr="003225FD" w:rsidRDefault="00341C77" w:rsidP="00341C77">
      <w:pPr>
        <w:pStyle w:val="SingleTxtG"/>
        <w:suppressAutoHyphens w:val="0"/>
        <w:autoSpaceDE w:val="0"/>
        <w:autoSpaceDN w:val="0"/>
        <w:adjustRightInd w:val="0"/>
        <w:spacing w:line="240" w:lineRule="auto"/>
        <w:ind w:left="1100"/>
        <w:rPr>
          <w:b/>
          <w:iCs/>
        </w:rPr>
      </w:pPr>
      <w:r w:rsidRPr="003225FD">
        <w:rPr>
          <w:b/>
          <w:iCs/>
        </w:rPr>
        <w:t>Article 6</w:t>
      </w:r>
      <w:r w:rsidR="00BB2F89" w:rsidRPr="003225FD">
        <w:rPr>
          <w:b/>
          <w:iCs/>
        </w:rPr>
        <w:t>(</w:t>
      </w:r>
      <w:r w:rsidRPr="003225FD">
        <w:rPr>
          <w:b/>
          <w:iCs/>
        </w:rPr>
        <w:t>9</w:t>
      </w:r>
      <w:r w:rsidR="00BB2F89" w:rsidRPr="003225FD">
        <w:rPr>
          <w:b/>
          <w:iCs/>
        </w:rPr>
        <w:t>)</w:t>
      </w:r>
    </w:p>
    <w:p w14:paraId="274417D8" w14:textId="5DB75BEB" w:rsidR="00341C77" w:rsidRPr="003225FD" w:rsidRDefault="00AC2AF4" w:rsidP="00AC2AF4">
      <w:pPr>
        <w:pStyle w:val="SingleTxtG"/>
        <w:suppressAutoHyphens w:val="0"/>
        <w:autoSpaceDE w:val="0"/>
        <w:autoSpaceDN w:val="0"/>
        <w:adjustRightInd w:val="0"/>
        <w:spacing w:line="240" w:lineRule="auto"/>
        <w:ind w:left="1100"/>
        <w:rPr>
          <w:i/>
        </w:rPr>
      </w:pPr>
      <w:r w:rsidRPr="003225FD">
        <w:rPr>
          <w:i/>
        </w:rPr>
        <w:t xml:space="preserve">Notification </w:t>
      </w:r>
      <w:r w:rsidR="00E50D0B" w:rsidRPr="003225FD">
        <w:rPr>
          <w:i/>
        </w:rPr>
        <w:t xml:space="preserve">of </w:t>
      </w:r>
      <w:r w:rsidR="00341C77" w:rsidRPr="003225FD">
        <w:rPr>
          <w:i/>
        </w:rPr>
        <w:t>decision</w:t>
      </w:r>
    </w:p>
    <w:p w14:paraId="59873EA9" w14:textId="2BC8178D" w:rsidR="00341C77" w:rsidRPr="00001B0D" w:rsidRDefault="00341C77" w:rsidP="00901C10">
      <w:pPr>
        <w:pStyle w:val="SingleTxtG"/>
        <w:numPr>
          <w:ilvl w:val="0"/>
          <w:numId w:val="3"/>
        </w:numPr>
        <w:suppressAutoHyphens w:val="0"/>
        <w:autoSpaceDE w:val="0"/>
        <w:autoSpaceDN w:val="0"/>
        <w:adjustRightInd w:val="0"/>
        <w:spacing w:line="240" w:lineRule="auto"/>
        <w:ind w:left="1100" w:firstLine="0"/>
      </w:pPr>
      <w:r w:rsidRPr="003225FD">
        <w:t xml:space="preserve">The communicant alleges that the final EIA report was not </w:t>
      </w:r>
      <w:r w:rsidR="005274BB" w:rsidRPr="003225FD">
        <w:t>published</w:t>
      </w:r>
      <w:r w:rsidR="00F57B57" w:rsidRPr="003225FD">
        <w:t>,</w:t>
      </w:r>
      <w:r w:rsidRPr="003225FD">
        <w:t xml:space="preserve"> </w:t>
      </w:r>
      <w:r w:rsidR="00CD55E5" w:rsidRPr="003225FD">
        <w:t>and the public concerned</w:t>
      </w:r>
      <w:r w:rsidR="00F57B57" w:rsidRPr="003225FD">
        <w:t xml:space="preserve"> </w:t>
      </w:r>
      <w:r w:rsidR="0001004E" w:rsidRPr="003225FD">
        <w:t xml:space="preserve">was </w:t>
      </w:r>
      <w:r w:rsidR="00F57B57" w:rsidRPr="003225FD">
        <w:t xml:space="preserve">only </w:t>
      </w:r>
      <w:r w:rsidRPr="003225FD">
        <w:t>inform</w:t>
      </w:r>
      <w:r w:rsidR="00F57B57" w:rsidRPr="003225FD">
        <w:t>ed of</w:t>
      </w:r>
      <w:r w:rsidRPr="003225FD">
        <w:t xml:space="preserve"> </w:t>
      </w:r>
      <w:r w:rsidR="00A6729A" w:rsidRPr="003225FD">
        <w:t>the</w:t>
      </w:r>
      <w:r w:rsidR="0001004E" w:rsidRPr="003225FD">
        <w:t xml:space="preserve"> </w:t>
      </w:r>
      <w:r w:rsidR="00E7294B" w:rsidRPr="003225FD">
        <w:t>OHL</w:t>
      </w:r>
      <w:r w:rsidR="00CD55E5" w:rsidRPr="003225FD">
        <w:t xml:space="preserve"> d</w:t>
      </w:r>
      <w:r w:rsidRPr="003225FD">
        <w:t xml:space="preserve">ecision. </w:t>
      </w:r>
      <w:r w:rsidR="002E4821" w:rsidRPr="003225FD">
        <w:t>It</w:t>
      </w:r>
      <w:r w:rsidRPr="003225FD">
        <w:t xml:space="preserve"> also </w:t>
      </w:r>
      <w:r w:rsidR="002E4821" w:rsidRPr="003225FD">
        <w:t xml:space="preserve">claims </w:t>
      </w:r>
      <w:r w:rsidRPr="003225FD">
        <w:t xml:space="preserve">that notifications </w:t>
      </w:r>
      <w:r w:rsidR="00B7556B" w:rsidRPr="003225FD">
        <w:t>through</w:t>
      </w:r>
      <w:r w:rsidRPr="003225FD">
        <w:t xml:space="preserve"> </w:t>
      </w:r>
      <w:r w:rsidR="00273D1F" w:rsidRPr="003225FD">
        <w:t xml:space="preserve">a </w:t>
      </w:r>
      <w:r w:rsidRPr="003225FD">
        <w:t xml:space="preserve">website, newspapers and local notice boards </w:t>
      </w:r>
      <w:r w:rsidR="00F57B57" w:rsidRPr="003225FD">
        <w:t xml:space="preserve">were </w:t>
      </w:r>
      <w:r w:rsidRPr="003225FD">
        <w:t>insufficient</w:t>
      </w:r>
      <w:r w:rsidR="00F57B57" w:rsidRPr="003225FD">
        <w:t>,</w:t>
      </w:r>
      <w:r w:rsidRPr="003225FD">
        <w:t xml:space="preserve"> and the communicant should have been informed </w:t>
      </w:r>
      <w:r w:rsidR="00F57B57" w:rsidRPr="003225FD">
        <w:t>directly</w:t>
      </w:r>
      <w:r w:rsidRPr="003225FD">
        <w:t>.</w:t>
      </w:r>
      <w:r w:rsidRPr="00001B0D">
        <w:rPr>
          <w:rStyle w:val="FootnoteReference"/>
        </w:rPr>
        <w:footnoteReference w:id="78"/>
      </w:r>
      <w:r w:rsidR="008F6281" w:rsidRPr="00001B0D">
        <w:t xml:space="preserve"> </w:t>
      </w:r>
      <w:r w:rsidRPr="00001B0D">
        <w:t>It submits that information about the</w:t>
      </w:r>
      <w:r w:rsidR="00E7294B" w:rsidRPr="003225FD">
        <w:t xml:space="preserve"> OHL</w:t>
      </w:r>
      <w:r w:rsidR="008F6281" w:rsidRPr="003225FD">
        <w:t xml:space="preserve"> d</w:t>
      </w:r>
      <w:r w:rsidRPr="003225FD">
        <w:t xml:space="preserve">ecision was </w:t>
      </w:r>
      <w:r w:rsidR="00E21C04" w:rsidRPr="003225FD">
        <w:t xml:space="preserve">pro forma </w:t>
      </w:r>
      <w:r w:rsidRPr="003225FD">
        <w:t xml:space="preserve">and placed in </w:t>
      </w:r>
      <w:r w:rsidR="008D4546" w:rsidRPr="003225FD">
        <w:t xml:space="preserve">a </w:t>
      </w:r>
      <w:r w:rsidRPr="003225FD">
        <w:t>weekly newspaper</w:t>
      </w:r>
      <w:r w:rsidR="008D4546" w:rsidRPr="003225FD">
        <w:t xml:space="preserve"> on 31 December 2010,</w:t>
      </w:r>
      <w:r w:rsidRPr="003225FD">
        <w:t xml:space="preserve"> during the </w:t>
      </w:r>
      <w:r w:rsidR="008D4546" w:rsidRPr="003225FD">
        <w:t xml:space="preserve">major </w:t>
      </w:r>
      <w:r w:rsidRPr="003225FD">
        <w:t>holiday season.</w:t>
      </w:r>
      <w:r w:rsidR="00A10695" w:rsidRPr="00001B0D">
        <w:rPr>
          <w:sz w:val="18"/>
          <w:vertAlign w:val="superscript"/>
        </w:rPr>
        <w:footnoteReference w:id="79"/>
      </w:r>
    </w:p>
    <w:p w14:paraId="347BCE35" w14:textId="2AFD625C"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rPr>
          <w:i/>
        </w:rPr>
      </w:pPr>
      <w:r w:rsidRPr="003225FD">
        <w:t xml:space="preserve">The Party concerned </w:t>
      </w:r>
      <w:r w:rsidR="00F57B57" w:rsidRPr="003225FD">
        <w:t>s</w:t>
      </w:r>
      <w:r w:rsidR="008F6281" w:rsidRPr="003225FD">
        <w:t>tates</w:t>
      </w:r>
      <w:r w:rsidR="00F57B57" w:rsidRPr="003225FD">
        <w:t xml:space="preserve"> </w:t>
      </w:r>
      <w:r w:rsidRPr="003225FD">
        <w:t xml:space="preserve">that </w:t>
      </w:r>
      <w:r w:rsidR="00E21C04" w:rsidRPr="003225FD">
        <w:t xml:space="preserve">Alytus </w:t>
      </w:r>
      <w:r w:rsidR="00AC2AF4" w:rsidRPr="003225FD">
        <w:t xml:space="preserve">RED </w:t>
      </w:r>
      <w:r w:rsidR="00E21C04" w:rsidRPr="003225FD">
        <w:t xml:space="preserve">issued </w:t>
      </w:r>
      <w:r w:rsidRPr="003225FD">
        <w:t xml:space="preserve">the </w:t>
      </w:r>
      <w:r w:rsidR="00E7294B" w:rsidRPr="003225FD">
        <w:t xml:space="preserve">OHL </w:t>
      </w:r>
      <w:r w:rsidR="008F6281" w:rsidRPr="003225FD">
        <w:t>d</w:t>
      </w:r>
      <w:r w:rsidRPr="003225FD">
        <w:t xml:space="preserve">ecision on 30 December 2010 and published </w:t>
      </w:r>
      <w:r w:rsidR="00A6729A" w:rsidRPr="003225FD">
        <w:t xml:space="preserve">it </w:t>
      </w:r>
      <w:r w:rsidRPr="003225FD">
        <w:t xml:space="preserve">on </w:t>
      </w:r>
      <w:r w:rsidR="00E21C04" w:rsidRPr="003225FD">
        <w:t xml:space="preserve">its </w:t>
      </w:r>
      <w:r w:rsidRPr="003225FD">
        <w:t>website on 3 January</w:t>
      </w:r>
      <w:r w:rsidR="00F57B57" w:rsidRPr="003225FD">
        <w:t xml:space="preserve"> 2011</w:t>
      </w:r>
      <w:r w:rsidRPr="003225FD">
        <w:t xml:space="preserve">. </w:t>
      </w:r>
      <w:r w:rsidR="009953D9" w:rsidRPr="003225FD">
        <w:t>I</w:t>
      </w:r>
      <w:r w:rsidRPr="003225FD">
        <w:t xml:space="preserve">nformation on the </w:t>
      </w:r>
      <w:r w:rsidR="00E7294B" w:rsidRPr="003225FD">
        <w:t>OHL</w:t>
      </w:r>
      <w:r w:rsidR="008F6281" w:rsidRPr="003225FD">
        <w:t xml:space="preserve"> d</w:t>
      </w:r>
      <w:r w:rsidRPr="003225FD">
        <w:t>ecision was published in local and national newspapers on 7 January 2011</w:t>
      </w:r>
      <w:r w:rsidR="008D4546" w:rsidRPr="003225FD">
        <w:t xml:space="preserve"> and</w:t>
      </w:r>
      <w:r w:rsidRPr="003225FD">
        <w:t xml:space="preserve"> on the notice boards of local </w:t>
      </w:r>
      <w:r w:rsidR="00D92427" w:rsidRPr="003225FD">
        <w:t>authorities</w:t>
      </w:r>
      <w:r w:rsidR="008D4546" w:rsidRPr="003225FD">
        <w:t xml:space="preserve"> on 11-12 January 2011</w:t>
      </w:r>
      <w:r w:rsidR="00F16166" w:rsidRPr="003225FD">
        <w:t>.</w:t>
      </w:r>
      <w:r w:rsidR="00BB33B3" w:rsidRPr="003225FD">
        <w:t xml:space="preserve"> A</w:t>
      </w:r>
      <w:r w:rsidRPr="003225FD">
        <w:t xml:space="preserve">dditional information was released on 12 January 2011. </w:t>
      </w:r>
      <w:r w:rsidR="003B0193" w:rsidRPr="003225FD">
        <w:t>It</w:t>
      </w:r>
      <w:r w:rsidRPr="003225FD">
        <w:t xml:space="preserve"> </w:t>
      </w:r>
      <w:r w:rsidR="00F57B57" w:rsidRPr="003225FD">
        <w:t xml:space="preserve">submits </w:t>
      </w:r>
      <w:r w:rsidR="00E21C04" w:rsidRPr="003225FD">
        <w:t>t</w:t>
      </w:r>
      <w:r w:rsidRPr="003225FD">
        <w:t xml:space="preserve">he </w:t>
      </w:r>
      <w:r w:rsidR="008F6281" w:rsidRPr="003225FD">
        <w:t>d</w:t>
      </w:r>
      <w:r w:rsidR="002A5274" w:rsidRPr="003225FD">
        <w:t>ecision</w:t>
      </w:r>
      <w:r w:rsidR="008F6281" w:rsidRPr="003225FD">
        <w:t>’</w:t>
      </w:r>
      <w:r w:rsidR="002A5274" w:rsidRPr="003225FD">
        <w:t xml:space="preserve">s </w:t>
      </w:r>
      <w:r w:rsidRPr="003225FD">
        <w:t>publication during the holiday period is</w:t>
      </w:r>
      <w:r w:rsidR="002A5274" w:rsidRPr="003225FD">
        <w:t xml:space="preserve"> </w:t>
      </w:r>
      <w:r w:rsidRPr="003225FD">
        <w:t>n</w:t>
      </w:r>
      <w:r w:rsidR="002A5274" w:rsidRPr="003225FD">
        <w:t>ot n</w:t>
      </w:r>
      <w:r w:rsidRPr="003225FD">
        <w:t>on-</w:t>
      </w:r>
      <w:r w:rsidR="00F57B57" w:rsidRPr="003225FD">
        <w:t xml:space="preserve">compliant </w:t>
      </w:r>
      <w:r w:rsidRPr="003225FD">
        <w:t>with the Convention.</w:t>
      </w:r>
      <w:r w:rsidR="00B75464" w:rsidRPr="00001B0D">
        <w:rPr>
          <w:rStyle w:val="FootnoteReference"/>
        </w:rPr>
        <w:footnoteReference w:id="80"/>
      </w:r>
    </w:p>
    <w:p w14:paraId="0CA2A7EA" w14:textId="1DFC2920" w:rsidR="00341C77" w:rsidRPr="003225FD" w:rsidRDefault="00E50D0B" w:rsidP="00341C77">
      <w:pPr>
        <w:pStyle w:val="SingleTxtG"/>
        <w:suppressAutoHyphens w:val="0"/>
        <w:autoSpaceDE w:val="0"/>
        <w:autoSpaceDN w:val="0"/>
        <w:adjustRightInd w:val="0"/>
        <w:spacing w:line="240" w:lineRule="auto"/>
        <w:ind w:left="1100"/>
        <w:rPr>
          <w:i/>
        </w:rPr>
      </w:pPr>
      <w:r w:rsidRPr="003225FD">
        <w:rPr>
          <w:i/>
        </w:rPr>
        <w:t xml:space="preserve">Publication of </w:t>
      </w:r>
      <w:r w:rsidR="00341C77" w:rsidRPr="003225FD">
        <w:rPr>
          <w:i/>
        </w:rPr>
        <w:t xml:space="preserve">reasons on which </w:t>
      </w:r>
      <w:r w:rsidRPr="003225FD">
        <w:rPr>
          <w:i/>
        </w:rPr>
        <w:t xml:space="preserve">decision </w:t>
      </w:r>
      <w:r w:rsidR="00341C77" w:rsidRPr="003225FD">
        <w:rPr>
          <w:i/>
        </w:rPr>
        <w:t>is based</w:t>
      </w:r>
    </w:p>
    <w:p w14:paraId="57107B9F" w14:textId="6B13180F"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r w:rsidRPr="003225FD">
        <w:lastRenderedPageBreak/>
        <w:t xml:space="preserve">The communicant </w:t>
      </w:r>
      <w:r w:rsidR="008F6281" w:rsidRPr="003225FD">
        <w:t>claims</w:t>
      </w:r>
      <w:r w:rsidR="002058DA" w:rsidRPr="003225FD">
        <w:t xml:space="preserve"> </w:t>
      </w:r>
      <w:r w:rsidRPr="003225FD">
        <w:t>that the</w:t>
      </w:r>
      <w:r w:rsidR="00E7294B" w:rsidRPr="003225FD">
        <w:t xml:space="preserve"> OHL</w:t>
      </w:r>
      <w:r w:rsidR="008F6281" w:rsidRPr="003225FD">
        <w:t xml:space="preserve"> d</w:t>
      </w:r>
      <w:r w:rsidRPr="003225FD">
        <w:t xml:space="preserve">ecision </w:t>
      </w:r>
      <w:r w:rsidR="008F6281" w:rsidRPr="003225FD">
        <w:t xml:space="preserve">contained </w:t>
      </w:r>
      <w:r w:rsidRPr="003225FD">
        <w:t>no information regarding the comments from the public concerned</w:t>
      </w:r>
      <w:r w:rsidR="008F6281" w:rsidRPr="003225FD">
        <w:t xml:space="preserve"> </w:t>
      </w:r>
      <w:r w:rsidR="002E4821" w:rsidRPr="003225FD">
        <w:t>n</w:t>
      </w:r>
      <w:r w:rsidR="008F6281" w:rsidRPr="003225FD">
        <w:t>or how they were taken into account</w:t>
      </w:r>
      <w:r w:rsidRPr="003225FD">
        <w:t>.</w:t>
      </w:r>
      <w:r w:rsidRPr="00001B0D">
        <w:rPr>
          <w:rStyle w:val="FootnoteReference"/>
        </w:rPr>
        <w:footnoteReference w:id="81"/>
      </w:r>
    </w:p>
    <w:p w14:paraId="2E6364C5" w14:textId="11C934A8"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r w:rsidRPr="003225FD">
        <w:t xml:space="preserve">The Party concerned submits </w:t>
      </w:r>
      <w:r w:rsidR="008F6281" w:rsidRPr="003225FD">
        <w:t xml:space="preserve">that the </w:t>
      </w:r>
      <w:r w:rsidR="00E7294B" w:rsidRPr="003225FD">
        <w:t>OHL</w:t>
      </w:r>
      <w:r w:rsidR="008F6281" w:rsidRPr="003225FD">
        <w:t xml:space="preserve"> d</w:t>
      </w:r>
      <w:r w:rsidRPr="003225FD">
        <w:t xml:space="preserve">ecision refers to the 17 December 2010 meeting and </w:t>
      </w:r>
      <w:r w:rsidR="00437A83" w:rsidRPr="003225FD">
        <w:t xml:space="preserve">its </w:t>
      </w:r>
      <w:r w:rsidRPr="003225FD">
        <w:t xml:space="preserve">minutes, which show the </w:t>
      </w:r>
      <w:r w:rsidR="00437A83" w:rsidRPr="003225FD">
        <w:t xml:space="preserve">public </w:t>
      </w:r>
      <w:r w:rsidRPr="003225FD">
        <w:t xml:space="preserve">comments </w:t>
      </w:r>
      <w:r w:rsidR="00437A83" w:rsidRPr="003225FD">
        <w:t xml:space="preserve">and </w:t>
      </w:r>
      <w:r w:rsidRPr="003225FD">
        <w:t xml:space="preserve">responses </w:t>
      </w:r>
      <w:r w:rsidR="00437A83" w:rsidRPr="003225FD">
        <w:t>thereto</w:t>
      </w:r>
      <w:r w:rsidRPr="003225FD">
        <w:t xml:space="preserve">. It </w:t>
      </w:r>
      <w:r w:rsidR="002E4821" w:rsidRPr="003225FD">
        <w:t>states</w:t>
      </w:r>
      <w:r w:rsidRPr="003225FD">
        <w:t xml:space="preserve"> that the Convention does not require that the </w:t>
      </w:r>
      <w:r w:rsidR="008F6281" w:rsidRPr="003225FD">
        <w:t>d</w:t>
      </w:r>
      <w:r w:rsidRPr="003225FD">
        <w:t xml:space="preserve">ecision </w:t>
      </w:r>
      <w:r w:rsidR="004E7779" w:rsidRPr="003225FD">
        <w:t xml:space="preserve">describe </w:t>
      </w:r>
      <w:r w:rsidR="00B75464" w:rsidRPr="003225FD">
        <w:t>the public</w:t>
      </w:r>
      <w:r w:rsidR="008F6281" w:rsidRPr="003225FD">
        <w:t>’s comments</w:t>
      </w:r>
      <w:r w:rsidR="00B75464" w:rsidRPr="003225FD">
        <w:t xml:space="preserve"> </w:t>
      </w:r>
      <w:r w:rsidRPr="003225FD">
        <w:t xml:space="preserve">in detail, but </w:t>
      </w:r>
      <w:r w:rsidR="008F6281" w:rsidRPr="003225FD">
        <w:t xml:space="preserve">rather to </w:t>
      </w:r>
      <w:r w:rsidRPr="003225FD">
        <w:t xml:space="preserve">state the grounds and reasons for taking the </w:t>
      </w:r>
      <w:r w:rsidR="005274BB" w:rsidRPr="003225FD">
        <w:t>d</w:t>
      </w:r>
      <w:r w:rsidRPr="003225FD">
        <w:t xml:space="preserve">ecision and </w:t>
      </w:r>
      <w:r w:rsidR="008F6281" w:rsidRPr="003225FD">
        <w:t xml:space="preserve">to show </w:t>
      </w:r>
      <w:r w:rsidRPr="003225FD">
        <w:t xml:space="preserve">that due account </w:t>
      </w:r>
      <w:r w:rsidR="008F6281" w:rsidRPr="003225FD">
        <w:t xml:space="preserve">was </w:t>
      </w:r>
      <w:r w:rsidRPr="003225FD">
        <w:t xml:space="preserve">taken of the outcome of public participation. </w:t>
      </w:r>
      <w:r w:rsidR="00F16AB6" w:rsidRPr="003225FD">
        <w:t>It</w:t>
      </w:r>
      <w:r w:rsidRPr="003225FD">
        <w:t xml:space="preserve"> further </w:t>
      </w:r>
      <w:r w:rsidR="002058DA" w:rsidRPr="003225FD">
        <w:t xml:space="preserve">submits </w:t>
      </w:r>
      <w:r w:rsidRPr="003225FD">
        <w:t xml:space="preserve">that </w:t>
      </w:r>
      <w:r w:rsidR="00912A64" w:rsidRPr="003225FD">
        <w:t xml:space="preserve">it is good practice to provide </w:t>
      </w:r>
      <w:r w:rsidRPr="003225FD">
        <w:t xml:space="preserve">written </w:t>
      </w:r>
      <w:r w:rsidR="0001004E" w:rsidRPr="003225FD">
        <w:t>re</w:t>
      </w:r>
      <w:r w:rsidR="00912A64" w:rsidRPr="003225FD">
        <w:t>sponses</w:t>
      </w:r>
      <w:r w:rsidR="002058DA" w:rsidRPr="003225FD">
        <w:t>,</w:t>
      </w:r>
      <w:r w:rsidRPr="003225FD">
        <w:t xml:space="preserve"> and </w:t>
      </w:r>
      <w:r w:rsidR="009B4EEA" w:rsidRPr="003225FD">
        <w:t>this was done</w:t>
      </w:r>
      <w:r w:rsidRPr="003225FD">
        <w:t>.</w:t>
      </w:r>
      <w:r w:rsidRPr="00001B0D">
        <w:rPr>
          <w:rStyle w:val="FootnoteReference"/>
        </w:rPr>
        <w:footnoteReference w:id="82"/>
      </w:r>
    </w:p>
    <w:p w14:paraId="2A1709DF" w14:textId="0CE29D8A" w:rsidR="00341C77" w:rsidRPr="003225FD" w:rsidRDefault="00341C77" w:rsidP="00A72100">
      <w:pPr>
        <w:pStyle w:val="SingleTxtG"/>
        <w:ind w:left="615" w:firstLine="465"/>
        <w:rPr>
          <w:b/>
        </w:rPr>
      </w:pPr>
      <w:r w:rsidRPr="003225FD">
        <w:rPr>
          <w:b/>
        </w:rPr>
        <w:t>Article 9</w:t>
      </w:r>
      <w:r w:rsidR="00BB2F89" w:rsidRPr="003225FD">
        <w:rPr>
          <w:b/>
          <w:bCs/>
          <w:iCs/>
        </w:rPr>
        <w:t>(</w:t>
      </w:r>
      <w:r w:rsidRPr="003225FD">
        <w:rPr>
          <w:b/>
        </w:rPr>
        <w:t>2</w:t>
      </w:r>
      <w:r w:rsidR="00BB2F89" w:rsidRPr="003225FD">
        <w:rPr>
          <w:b/>
          <w:bCs/>
          <w:iCs/>
        </w:rPr>
        <w:t>)</w:t>
      </w:r>
    </w:p>
    <w:p w14:paraId="50E280B5" w14:textId="5D65F250"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pPr>
      <w:bookmarkStart w:id="40" w:name="_Ref414014994"/>
      <w:r w:rsidRPr="003225FD">
        <w:t>The communicant contends that article 9</w:t>
      </w:r>
      <w:r w:rsidR="00BB2F89" w:rsidRPr="003225FD">
        <w:t>(</w:t>
      </w:r>
      <w:r w:rsidRPr="003225FD">
        <w:t>2</w:t>
      </w:r>
      <w:r w:rsidR="00BB2F89" w:rsidRPr="003225FD">
        <w:t>)</w:t>
      </w:r>
      <w:r w:rsidRPr="003225FD">
        <w:t xml:space="preserve"> </w:t>
      </w:r>
      <w:r w:rsidR="00D30C19" w:rsidRPr="003225FD">
        <w:t>applies</w:t>
      </w:r>
      <w:r w:rsidRPr="003225FD">
        <w:t xml:space="preserve"> </w:t>
      </w:r>
      <w:r w:rsidR="002058DA" w:rsidRPr="003225FD">
        <w:t>because</w:t>
      </w:r>
      <w:r w:rsidRPr="003225FD">
        <w:t xml:space="preserve"> the </w:t>
      </w:r>
      <w:r w:rsidR="00E7294B" w:rsidRPr="003225FD">
        <w:t>OHL</w:t>
      </w:r>
      <w:r w:rsidR="008F6281" w:rsidRPr="003225FD">
        <w:t xml:space="preserve"> d</w:t>
      </w:r>
      <w:r w:rsidRPr="003225FD">
        <w:t>ecision concerns an activity</w:t>
      </w:r>
      <w:r w:rsidR="008F6281" w:rsidRPr="003225FD">
        <w:t xml:space="preserve"> under Annex I of the Convention</w:t>
      </w:r>
      <w:r w:rsidR="002058DA" w:rsidRPr="003225FD">
        <w:t>,</w:t>
      </w:r>
      <w:r w:rsidR="007A133F" w:rsidRPr="003225FD">
        <w:t xml:space="preserve"> </w:t>
      </w:r>
      <w:r w:rsidRPr="003225FD">
        <w:t>and that</w:t>
      </w:r>
      <w:r w:rsidR="00CE7CF6" w:rsidRPr="003225FD">
        <w:t>,</w:t>
      </w:r>
      <w:r w:rsidRPr="003225FD">
        <w:t xml:space="preserve"> </w:t>
      </w:r>
      <w:r w:rsidR="002058DA" w:rsidRPr="003225FD">
        <w:t xml:space="preserve">since </w:t>
      </w:r>
      <w:r w:rsidRPr="003225FD">
        <w:t>the communicant’s members reside in locations reserved for the OHL route or its immediate vicinity, they are persons having a sufficient interest.</w:t>
      </w:r>
      <w:r w:rsidRPr="00001B0D">
        <w:rPr>
          <w:rStyle w:val="FootnoteReference"/>
        </w:rPr>
        <w:footnoteReference w:id="83"/>
      </w:r>
      <w:bookmarkEnd w:id="40"/>
      <w:r w:rsidRPr="00001B0D">
        <w:t xml:space="preserve"> </w:t>
      </w:r>
    </w:p>
    <w:p w14:paraId="25904461" w14:textId="6EF5B91E" w:rsidR="00341C77" w:rsidRPr="00001B0D" w:rsidRDefault="00C22CF7" w:rsidP="00341C77">
      <w:pPr>
        <w:pStyle w:val="SingleTxtG"/>
        <w:numPr>
          <w:ilvl w:val="0"/>
          <w:numId w:val="3"/>
        </w:numPr>
        <w:suppressAutoHyphens w:val="0"/>
        <w:autoSpaceDE w:val="0"/>
        <w:autoSpaceDN w:val="0"/>
        <w:adjustRightInd w:val="0"/>
        <w:spacing w:line="240" w:lineRule="auto"/>
        <w:ind w:left="1100" w:firstLine="0"/>
      </w:pPr>
      <w:bookmarkStart w:id="41" w:name="_Ref8762603"/>
      <w:r w:rsidRPr="003225FD">
        <w:t xml:space="preserve">The Party concerned </w:t>
      </w:r>
      <w:r w:rsidR="00D416E7" w:rsidRPr="003225FD">
        <w:t>submits</w:t>
      </w:r>
      <w:r w:rsidRPr="003225FD">
        <w:t xml:space="preserve"> </w:t>
      </w:r>
      <w:r w:rsidR="00DA5803" w:rsidRPr="003225FD">
        <w:t xml:space="preserve">that </w:t>
      </w:r>
      <w:r w:rsidR="008F6281" w:rsidRPr="003225FD">
        <w:t xml:space="preserve">the </w:t>
      </w:r>
      <w:r w:rsidR="00561C92" w:rsidRPr="003225FD">
        <w:t xml:space="preserve">courts </w:t>
      </w:r>
      <w:r w:rsidR="008F6281" w:rsidRPr="003225FD">
        <w:t xml:space="preserve">granted </w:t>
      </w:r>
      <w:r w:rsidR="00D71383" w:rsidRPr="003225FD">
        <w:t>the communicant</w:t>
      </w:r>
      <w:r w:rsidR="008F6281" w:rsidRPr="003225FD">
        <w:t xml:space="preserve"> access to justice </w:t>
      </w:r>
      <w:r w:rsidR="00281DE6" w:rsidRPr="003225FD">
        <w:t>in accordance with</w:t>
      </w:r>
      <w:r w:rsidR="008F6281" w:rsidRPr="003225FD">
        <w:t xml:space="preserve"> article 9</w:t>
      </w:r>
      <w:r w:rsidR="00BB2F89" w:rsidRPr="003225FD">
        <w:t>(</w:t>
      </w:r>
      <w:r w:rsidR="008F6281" w:rsidRPr="003225FD">
        <w:t>2</w:t>
      </w:r>
      <w:r w:rsidR="00BB2F89" w:rsidRPr="003225FD">
        <w:t>)</w:t>
      </w:r>
      <w:r w:rsidR="00341C77" w:rsidRPr="003225FD">
        <w:t>.</w:t>
      </w:r>
      <w:r w:rsidR="00341C77" w:rsidRPr="00001B0D">
        <w:rPr>
          <w:sz w:val="18"/>
          <w:vertAlign w:val="superscript"/>
        </w:rPr>
        <w:footnoteReference w:id="84"/>
      </w:r>
      <w:bookmarkEnd w:id="41"/>
      <w:r w:rsidR="00341C77" w:rsidRPr="00001B0D">
        <w:rPr>
          <w:sz w:val="18"/>
        </w:rPr>
        <w:t xml:space="preserve"> </w:t>
      </w:r>
    </w:p>
    <w:p w14:paraId="2A9C041F" w14:textId="58312F60" w:rsidR="00341C77" w:rsidRPr="003225FD" w:rsidRDefault="00341C77" w:rsidP="00341C77">
      <w:pPr>
        <w:pStyle w:val="SingleTxtG"/>
        <w:suppressAutoHyphens w:val="0"/>
        <w:autoSpaceDE w:val="0"/>
        <w:autoSpaceDN w:val="0"/>
        <w:adjustRightInd w:val="0"/>
        <w:spacing w:line="240" w:lineRule="auto"/>
        <w:ind w:left="1100"/>
        <w:rPr>
          <w:b/>
        </w:rPr>
      </w:pPr>
      <w:r w:rsidRPr="003225FD">
        <w:rPr>
          <w:b/>
        </w:rPr>
        <w:t>Article 9</w:t>
      </w:r>
      <w:r w:rsidR="00BB2F89" w:rsidRPr="003225FD">
        <w:rPr>
          <w:b/>
          <w:iCs/>
        </w:rPr>
        <w:t>(</w:t>
      </w:r>
      <w:r w:rsidRPr="003225FD">
        <w:rPr>
          <w:b/>
        </w:rPr>
        <w:t>4</w:t>
      </w:r>
      <w:r w:rsidR="00BB2F89" w:rsidRPr="003225FD">
        <w:rPr>
          <w:b/>
          <w:iCs/>
        </w:rPr>
        <w:t>)</w:t>
      </w:r>
    </w:p>
    <w:p w14:paraId="3CCBA58E" w14:textId="13D8E0C1" w:rsidR="003A1FD4" w:rsidRPr="00001B0D" w:rsidRDefault="00341C77" w:rsidP="00A72100">
      <w:pPr>
        <w:pStyle w:val="SingleTxtG"/>
        <w:numPr>
          <w:ilvl w:val="0"/>
          <w:numId w:val="3"/>
        </w:numPr>
        <w:suppressAutoHyphens w:val="0"/>
        <w:autoSpaceDE w:val="0"/>
        <w:autoSpaceDN w:val="0"/>
        <w:adjustRightInd w:val="0"/>
        <w:spacing w:line="240" w:lineRule="auto"/>
        <w:ind w:left="1100" w:firstLine="0"/>
      </w:pPr>
      <w:bookmarkStart w:id="42" w:name="_Ref414014997"/>
      <w:r w:rsidRPr="003225FD">
        <w:t xml:space="preserve">The communicant </w:t>
      </w:r>
      <w:r w:rsidR="00D416E7" w:rsidRPr="003225FD">
        <w:t xml:space="preserve">claims </w:t>
      </w:r>
      <w:r w:rsidRPr="003225FD">
        <w:t xml:space="preserve">that the </w:t>
      </w:r>
      <w:r w:rsidR="00940ABE" w:rsidRPr="003225FD">
        <w:t xml:space="preserve">Kaunas Regional Administrative Court’s </w:t>
      </w:r>
      <w:r w:rsidRPr="003225FD">
        <w:t xml:space="preserve">refusal to </w:t>
      </w:r>
      <w:r w:rsidR="0058404B" w:rsidRPr="003225FD">
        <w:t>grant injunctive relief</w:t>
      </w:r>
      <w:r w:rsidRPr="003225FD">
        <w:t xml:space="preserve"> </w:t>
      </w:r>
      <w:r w:rsidR="001C7855" w:rsidRPr="003225FD">
        <w:t xml:space="preserve">breached </w:t>
      </w:r>
      <w:r w:rsidRPr="003225FD">
        <w:t>article 9</w:t>
      </w:r>
      <w:r w:rsidR="00BB2F89" w:rsidRPr="003225FD">
        <w:t>(</w:t>
      </w:r>
      <w:r w:rsidRPr="003225FD">
        <w:t>4</w:t>
      </w:r>
      <w:r w:rsidR="00BB2F89" w:rsidRPr="003225FD">
        <w:t>)</w:t>
      </w:r>
      <w:r w:rsidRPr="003225FD">
        <w:t>.</w:t>
      </w:r>
      <w:r w:rsidRPr="00001B0D">
        <w:rPr>
          <w:rStyle w:val="FootnoteReference"/>
        </w:rPr>
        <w:footnoteReference w:id="85"/>
      </w:r>
      <w:bookmarkEnd w:id="42"/>
      <w:r w:rsidR="0058404B" w:rsidRPr="00001B0D">
        <w:t xml:space="preserve"> </w:t>
      </w:r>
    </w:p>
    <w:p w14:paraId="27C1C93E" w14:textId="65164BFA" w:rsidR="00341C77" w:rsidRPr="00001B0D" w:rsidRDefault="004B0CED" w:rsidP="00A72100">
      <w:pPr>
        <w:pStyle w:val="SingleTxtG"/>
        <w:numPr>
          <w:ilvl w:val="0"/>
          <w:numId w:val="3"/>
        </w:numPr>
        <w:suppressAutoHyphens w:val="0"/>
        <w:autoSpaceDE w:val="0"/>
        <w:autoSpaceDN w:val="0"/>
        <w:adjustRightInd w:val="0"/>
        <w:spacing w:line="240" w:lineRule="auto"/>
        <w:ind w:left="1100" w:firstLine="0"/>
      </w:pPr>
      <w:r w:rsidRPr="003225FD">
        <w:t>The communicant</w:t>
      </w:r>
      <w:r w:rsidR="0058404B" w:rsidRPr="003225FD">
        <w:t xml:space="preserve"> also clai</w:t>
      </w:r>
      <w:bookmarkStart w:id="43" w:name="_Ref414014998"/>
      <w:r w:rsidR="006554CE" w:rsidRPr="003225FD">
        <w:t>ms</w:t>
      </w:r>
      <w:r w:rsidR="00341C77" w:rsidRPr="003225FD">
        <w:t xml:space="preserve"> </w:t>
      </w:r>
      <w:r w:rsidR="002D1D82" w:rsidRPr="003225FD">
        <w:t>the court</w:t>
      </w:r>
      <w:r w:rsidR="00BC79E2" w:rsidRPr="003225FD">
        <w:t>’s</w:t>
      </w:r>
      <w:r w:rsidR="002D1D82" w:rsidRPr="003225FD">
        <w:t xml:space="preserve"> </w:t>
      </w:r>
      <w:r w:rsidR="003A1FD4" w:rsidRPr="003225FD">
        <w:t xml:space="preserve">order </w:t>
      </w:r>
      <w:r w:rsidR="00603295" w:rsidRPr="003225FD">
        <w:t>for it to</w:t>
      </w:r>
      <w:r w:rsidR="003A1FD4" w:rsidRPr="003225FD">
        <w:t xml:space="preserve"> pay</w:t>
      </w:r>
      <w:r w:rsidR="00341C77" w:rsidRPr="003225FD">
        <w:t xml:space="preserve"> </w:t>
      </w:r>
      <w:r w:rsidR="00603295" w:rsidRPr="003225FD">
        <w:t>Litpol Link, an intervening party,</w:t>
      </w:r>
      <w:r w:rsidR="00BC79E2" w:rsidRPr="003225FD">
        <w:t xml:space="preserve"> €2766.98 in </w:t>
      </w:r>
      <w:r w:rsidR="00341C77" w:rsidRPr="003225FD">
        <w:t>costs</w:t>
      </w:r>
      <w:r w:rsidR="003A1FD4" w:rsidRPr="003225FD">
        <w:t>,</w:t>
      </w:r>
      <w:r w:rsidR="00BC79E2" w:rsidRPr="003225FD">
        <w:t xml:space="preserve"> i.e. more than the communicant’s annual budget, </w:t>
      </w:r>
      <w:r w:rsidR="00921572" w:rsidRPr="003225FD">
        <w:t>did not comply</w:t>
      </w:r>
      <w:r w:rsidR="00341C77" w:rsidRPr="003225FD">
        <w:t xml:space="preserve"> with article 9</w:t>
      </w:r>
      <w:r w:rsidR="00BB2F89" w:rsidRPr="003225FD">
        <w:t>(</w:t>
      </w:r>
      <w:r w:rsidR="0075565C" w:rsidRPr="003225FD">
        <w:t>4</w:t>
      </w:r>
      <w:r w:rsidR="00BB2F89" w:rsidRPr="003225FD">
        <w:t>)</w:t>
      </w:r>
      <w:r w:rsidR="00341C77" w:rsidRPr="003225FD">
        <w:t xml:space="preserve"> of the Convention.</w:t>
      </w:r>
      <w:r w:rsidR="00341C77" w:rsidRPr="00001B0D">
        <w:rPr>
          <w:rStyle w:val="FootnoteReference"/>
        </w:rPr>
        <w:footnoteReference w:id="86"/>
      </w:r>
      <w:bookmarkEnd w:id="43"/>
    </w:p>
    <w:p w14:paraId="50520BB1" w14:textId="14E6D835" w:rsidR="00341C77" w:rsidRPr="00001B0D" w:rsidRDefault="00341C77" w:rsidP="00341C77">
      <w:pPr>
        <w:pStyle w:val="SingleTxtG"/>
        <w:numPr>
          <w:ilvl w:val="0"/>
          <w:numId w:val="3"/>
        </w:numPr>
        <w:suppressAutoHyphens w:val="0"/>
        <w:autoSpaceDE w:val="0"/>
        <w:autoSpaceDN w:val="0"/>
        <w:adjustRightInd w:val="0"/>
        <w:spacing w:line="240" w:lineRule="auto"/>
        <w:ind w:left="1100" w:firstLine="0"/>
        <w:rPr>
          <w:sz w:val="18"/>
        </w:rPr>
      </w:pPr>
      <w:r w:rsidRPr="003225FD">
        <w:t xml:space="preserve">The Party concerned </w:t>
      </w:r>
      <w:r w:rsidR="007A43F5" w:rsidRPr="003225FD">
        <w:t xml:space="preserve">submits </w:t>
      </w:r>
      <w:r w:rsidR="0076737C" w:rsidRPr="003225FD">
        <w:t>t</w:t>
      </w:r>
      <w:r w:rsidRPr="003225FD">
        <w:t xml:space="preserve">he communicant was exempted </w:t>
      </w:r>
      <w:r w:rsidR="00914B7F" w:rsidRPr="003225FD">
        <w:t>from</w:t>
      </w:r>
      <w:r w:rsidRPr="003225FD">
        <w:t xml:space="preserve"> </w:t>
      </w:r>
      <w:r w:rsidR="0075565C" w:rsidRPr="003225FD">
        <w:t>court fees</w:t>
      </w:r>
      <w:r w:rsidRPr="003225FD">
        <w:t xml:space="preserve"> because the case was brought in the public interest </w:t>
      </w:r>
      <w:r w:rsidR="0076737C" w:rsidRPr="003225FD">
        <w:t xml:space="preserve">and </w:t>
      </w:r>
      <w:r w:rsidR="00BC79E2" w:rsidRPr="003225FD">
        <w:t xml:space="preserve">the communicant was </w:t>
      </w:r>
      <w:r w:rsidR="00334676" w:rsidRPr="003225FD">
        <w:t xml:space="preserve">only </w:t>
      </w:r>
      <w:r w:rsidRPr="003225FD">
        <w:t xml:space="preserve">ordered to </w:t>
      </w:r>
      <w:r w:rsidR="00334676" w:rsidRPr="003225FD">
        <w:t>pay</w:t>
      </w:r>
      <w:r w:rsidRPr="003225FD">
        <w:t xml:space="preserve"> </w:t>
      </w:r>
      <w:r w:rsidR="0015765A" w:rsidRPr="003225FD">
        <w:t xml:space="preserve">other </w:t>
      </w:r>
      <w:r w:rsidRPr="003225FD">
        <w:t>part</w:t>
      </w:r>
      <w:r w:rsidR="0015765A" w:rsidRPr="003225FD">
        <w:t>ie</w:t>
      </w:r>
      <w:r w:rsidR="00334676" w:rsidRPr="003225FD">
        <w:t>s</w:t>
      </w:r>
      <w:r w:rsidR="0015765A" w:rsidRPr="003225FD">
        <w:t>’</w:t>
      </w:r>
      <w:r w:rsidR="00334676" w:rsidRPr="003225FD">
        <w:t xml:space="preserve"> costs</w:t>
      </w:r>
      <w:r w:rsidRPr="003225FD">
        <w:t xml:space="preserve">. </w:t>
      </w:r>
      <w:r w:rsidR="003A1FD4" w:rsidRPr="003225FD">
        <w:t>It</w:t>
      </w:r>
      <w:r w:rsidRPr="003225FD">
        <w:t xml:space="preserve"> disagrees that </w:t>
      </w:r>
      <w:r w:rsidR="00BC79E2" w:rsidRPr="003225FD">
        <w:t xml:space="preserve">the </w:t>
      </w:r>
      <w:r w:rsidR="008F6281" w:rsidRPr="003225FD">
        <w:t>amount of the cost order contravened</w:t>
      </w:r>
      <w:r w:rsidRPr="003225FD">
        <w:t xml:space="preserve"> article 9</w:t>
      </w:r>
      <w:r w:rsidR="00BB2F89" w:rsidRPr="003225FD">
        <w:t>(</w:t>
      </w:r>
      <w:r w:rsidR="00804242" w:rsidRPr="003225FD">
        <w:t>4</w:t>
      </w:r>
      <w:r w:rsidR="00BB2F89" w:rsidRPr="003225FD">
        <w:t>)</w:t>
      </w:r>
      <w:r w:rsidR="00804242" w:rsidRPr="003225FD">
        <w:t xml:space="preserve"> </w:t>
      </w:r>
      <w:r w:rsidR="009A7DEE" w:rsidRPr="003225FD">
        <w:t xml:space="preserve">given </w:t>
      </w:r>
      <w:r w:rsidRPr="003225FD">
        <w:t xml:space="preserve">that </w:t>
      </w:r>
      <w:r w:rsidR="009A7DEE" w:rsidRPr="003225FD">
        <w:t xml:space="preserve">it </w:t>
      </w:r>
      <w:r w:rsidR="00334676" w:rsidRPr="003225FD">
        <w:t>concern</w:t>
      </w:r>
      <w:r w:rsidR="008F6281" w:rsidRPr="003225FD">
        <w:t>ed</w:t>
      </w:r>
      <w:r w:rsidRPr="003225FD">
        <w:t xml:space="preserve"> </w:t>
      </w:r>
      <w:r w:rsidR="00B443EC" w:rsidRPr="003225FD">
        <w:t xml:space="preserve">two proceedings conducted </w:t>
      </w:r>
      <w:r w:rsidRPr="003225FD">
        <w:t>over two years</w:t>
      </w:r>
      <w:r w:rsidRPr="003225FD">
        <w:rPr>
          <w:sz w:val="18"/>
        </w:rPr>
        <w:t>.</w:t>
      </w:r>
      <w:r w:rsidRPr="00001B0D">
        <w:rPr>
          <w:rStyle w:val="FootnoteReference"/>
        </w:rPr>
        <w:footnoteReference w:id="87"/>
      </w:r>
    </w:p>
    <w:p w14:paraId="164EFB4F" w14:textId="5AE11C82" w:rsidR="005C265F" w:rsidRPr="003225FD" w:rsidRDefault="005C265F" w:rsidP="003D7E9D">
      <w:pPr>
        <w:pStyle w:val="SingleTxtG"/>
        <w:suppressAutoHyphens w:val="0"/>
        <w:autoSpaceDE w:val="0"/>
        <w:autoSpaceDN w:val="0"/>
        <w:adjustRightInd w:val="0"/>
        <w:spacing w:line="240" w:lineRule="auto"/>
        <w:ind w:left="533" w:firstLine="567"/>
      </w:pPr>
      <w:r w:rsidRPr="003225FD">
        <w:rPr>
          <w:b/>
        </w:rPr>
        <w:t>Article 3</w:t>
      </w:r>
      <w:r w:rsidR="00BB2F89" w:rsidRPr="003225FD">
        <w:rPr>
          <w:b/>
          <w:bCs/>
        </w:rPr>
        <w:t>(</w:t>
      </w:r>
      <w:r w:rsidRPr="003225FD">
        <w:rPr>
          <w:b/>
        </w:rPr>
        <w:t>8</w:t>
      </w:r>
      <w:r w:rsidR="00BB2F89" w:rsidRPr="003225FD">
        <w:rPr>
          <w:b/>
          <w:bCs/>
        </w:rPr>
        <w:t>)</w:t>
      </w:r>
    </w:p>
    <w:p w14:paraId="0941BF3B" w14:textId="77012472" w:rsidR="00A7134D" w:rsidRPr="00001B0D" w:rsidRDefault="005C265F" w:rsidP="00371D90">
      <w:pPr>
        <w:pStyle w:val="FootnoteText"/>
        <w:numPr>
          <w:ilvl w:val="0"/>
          <w:numId w:val="3"/>
        </w:numPr>
        <w:tabs>
          <w:tab w:val="clear" w:pos="1021"/>
        </w:tabs>
        <w:suppressAutoHyphens w:val="0"/>
        <w:autoSpaceDE w:val="0"/>
        <w:autoSpaceDN w:val="0"/>
        <w:adjustRightInd w:val="0"/>
        <w:spacing w:after="120" w:line="240" w:lineRule="auto"/>
        <w:ind w:left="1100" w:firstLine="0"/>
        <w:jc w:val="both"/>
        <w:rPr>
          <w:sz w:val="16"/>
        </w:rPr>
      </w:pPr>
      <w:bookmarkStart w:id="44" w:name="_Ref524642211"/>
      <w:r w:rsidRPr="003225FD">
        <w:rPr>
          <w:sz w:val="20"/>
        </w:rPr>
        <w:t xml:space="preserve">The communicant alleges that the Party concerned harassed </w:t>
      </w:r>
      <w:r w:rsidR="00616979" w:rsidRPr="003225FD">
        <w:rPr>
          <w:sz w:val="20"/>
        </w:rPr>
        <w:t>its representatives and other individuals</w:t>
      </w:r>
      <w:r w:rsidRPr="003225FD">
        <w:rPr>
          <w:sz w:val="20"/>
        </w:rPr>
        <w:t xml:space="preserve"> in connection </w:t>
      </w:r>
      <w:r w:rsidR="00804716" w:rsidRPr="003225FD">
        <w:rPr>
          <w:sz w:val="20"/>
        </w:rPr>
        <w:t>with</w:t>
      </w:r>
      <w:r w:rsidRPr="003225FD">
        <w:rPr>
          <w:sz w:val="20"/>
        </w:rPr>
        <w:t xml:space="preserve"> the OHL</w:t>
      </w:r>
      <w:r w:rsidR="00B44FAF" w:rsidRPr="003225FD">
        <w:rPr>
          <w:sz w:val="20"/>
        </w:rPr>
        <w:t xml:space="preserve">, including </w:t>
      </w:r>
      <w:r w:rsidR="00544FDC" w:rsidRPr="003225FD">
        <w:rPr>
          <w:sz w:val="20"/>
        </w:rPr>
        <w:t>by</w:t>
      </w:r>
      <w:r w:rsidRPr="003225FD">
        <w:rPr>
          <w:sz w:val="20"/>
        </w:rPr>
        <w:t xml:space="preserve"> the </w:t>
      </w:r>
      <w:r w:rsidR="00AD350B" w:rsidRPr="003225FD">
        <w:rPr>
          <w:sz w:val="20"/>
        </w:rPr>
        <w:t>State Security Department</w:t>
      </w:r>
      <w:r w:rsidRPr="003225FD">
        <w:rPr>
          <w:sz w:val="20"/>
        </w:rPr>
        <w:t xml:space="preserve"> </w:t>
      </w:r>
      <w:r w:rsidR="004B0CED" w:rsidRPr="003225FD">
        <w:rPr>
          <w:sz w:val="20"/>
        </w:rPr>
        <w:t>(SSD)</w:t>
      </w:r>
      <w:r w:rsidR="00A7134D" w:rsidRPr="003225FD">
        <w:rPr>
          <w:szCs w:val="18"/>
        </w:rPr>
        <w:t>.</w:t>
      </w:r>
      <w:r w:rsidRPr="00001B0D">
        <w:rPr>
          <w:rStyle w:val="FootnoteReference"/>
          <w:rFonts w:asciiTheme="majorBidi" w:hAnsiTheme="majorBidi"/>
        </w:rPr>
        <w:footnoteReference w:id="88"/>
      </w:r>
      <w:bookmarkEnd w:id="44"/>
    </w:p>
    <w:p w14:paraId="69E1837B" w14:textId="30D7861C" w:rsidR="005C265F" w:rsidRPr="003225FD" w:rsidRDefault="005C265F" w:rsidP="00371D90">
      <w:pPr>
        <w:pStyle w:val="FootnoteText"/>
        <w:tabs>
          <w:tab w:val="clear" w:pos="1021"/>
        </w:tabs>
        <w:suppressAutoHyphens w:val="0"/>
        <w:autoSpaceDE w:val="0"/>
        <w:autoSpaceDN w:val="0"/>
        <w:adjustRightInd w:val="0"/>
        <w:spacing w:after="120" w:line="240" w:lineRule="auto"/>
        <w:ind w:left="1100" w:firstLine="0"/>
        <w:jc w:val="both"/>
        <w:rPr>
          <w:sz w:val="20"/>
        </w:rPr>
      </w:pPr>
      <w:r w:rsidRPr="003225FD">
        <w:rPr>
          <w:rFonts w:asciiTheme="majorBidi" w:hAnsiTheme="majorBidi"/>
          <w:i/>
          <w:sz w:val="20"/>
        </w:rPr>
        <w:t xml:space="preserve">Ms. </w:t>
      </w:r>
      <w:r w:rsidRPr="003225FD">
        <w:rPr>
          <w:i/>
          <w:sz w:val="20"/>
        </w:rPr>
        <w:t>Cimakauskienė</w:t>
      </w:r>
    </w:p>
    <w:p w14:paraId="0C953529" w14:textId="116382E9" w:rsidR="00A7134D" w:rsidRPr="00001B0D" w:rsidRDefault="005C265F" w:rsidP="00371D90">
      <w:pPr>
        <w:pStyle w:val="FootnoteText"/>
        <w:numPr>
          <w:ilvl w:val="0"/>
          <w:numId w:val="3"/>
        </w:numPr>
        <w:tabs>
          <w:tab w:val="clear" w:pos="1021"/>
        </w:tabs>
        <w:suppressAutoHyphens w:val="0"/>
        <w:autoSpaceDE w:val="0"/>
        <w:autoSpaceDN w:val="0"/>
        <w:adjustRightInd w:val="0"/>
        <w:spacing w:after="120" w:line="240" w:lineRule="auto"/>
        <w:ind w:left="1100" w:firstLine="0"/>
        <w:jc w:val="both"/>
      </w:pPr>
      <w:bookmarkStart w:id="45" w:name="_Ref12778895"/>
      <w:r w:rsidRPr="003225FD">
        <w:rPr>
          <w:rFonts w:asciiTheme="majorBidi" w:hAnsiTheme="majorBidi"/>
          <w:sz w:val="20"/>
        </w:rPr>
        <w:t xml:space="preserve">The communicant submits that </w:t>
      </w:r>
      <w:r w:rsidR="00760F5C" w:rsidRPr="003225FD">
        <w:rPr>
          <w:rFonts w:asciiTheme="majorBidi" w:hAnsiTheme="majorBidi"/>
          <w:sz w:val="20"/>
        </w:rPr>
        <w:t xml:space="preserve">in 2012 </w:t>
      </w:r>
      <w:r w:rsidRPr="003225FD">
        <w:rPr>
          <w:rFonts w:asciiTheme="majorBidi" w:hAnsiTheme="majorBidi" w:cstheme="majorBidi"/>
          <w:sz w:val="20"/>
        </w:rPr>
        <w:t xml:space="preserve">the SSD </w:t>
      </w:r>
      <w:r w:rsidR="00DA3487" w:rsidRPr="003225FD">
        <w:rPr>
          <w:rFonts w:asciiTheme="majorBidi" w:hAnsiTheme="majorBidi" w:cstheme="majorBidi"/>
          <w:sz w:val="20"/>
        </w:rPr>
        <w:t xml:space="preserve">made </w:t>
      </w:r>
      <w:r w:rsidR="00DA3487" w:rsidRPr="003225FD">
        <w:rPr>
          <w:rFonts w:asciiTheme="majorBidi" w:hAnsiTheme="majorBidi"/>
          <w:sz w:val="20"/>
        </w:rPr>
        <w:t xml:space="preserve">two </w:t>
      </w:r>
      <w:r w:rsidR="00DA3487" w:rsidRPr="003225FD">
        <w:rPr>
          <w:rFonts w:asciiTheme="majorBidi" w:hAnsiTheme="majorBidi" w:cstheme="majorBidi"/>
          <w:sz w:val="20"/>
        </w:rPr>
        <w:t>telephone</w:t>
      </w:r>
      <w:r w:rsidR="00DA3487" w:rsidRPr="003225FD">
        <w:rPr>
          <w:rFonts w:asciiTheme="majorBidi" w:hAnsiTheme="majorBidi"/>
          <w:sz w:val="20"/>
        </w:rPr>
        <w:t xml:space="preserve"> calls </w:t>
      </w:r>
      <w:r w:rsidR="00DA3487" w:rsidRPr="003225FD">
        <w:rPr>
          <w:rFonts w:asciiTheme="majorBidi" w:hAnsiTheme="majorBidi" w:cstheme="majorBidi"/>
          <w:sz w:val="20"/>
        </w:rPr>
        <w:t>to</w:t>
      </w:r>
      <w:r w:rsidR="00DA3487" w:rsidRPr="003225FD">
        <w:rPr>
          <w:rFonts w:asciiTheme="majorBidi" w:hAnsiTheme="majorBidi"/>
          <w:sz w:val="20"/>
        </w:rPr>
        <w:t xml:space="preserve"> the </w:t>
      </w:r>
      <w:r w:rsidRPr="003225FD">
        <w:rPr>
          <w:rFonts w:asciiTheme="majorBidi" w:hAnsiTheme="majorBidi"/>
          <w:sz w:val="20"/>
        </w:rPr>
        <w:t>communicant’s head, Ms.</w:t>
      </w:r>
      <w:r w:rsidRPr="003225FD">
        <w:rPr>
          <w:sz w:val="20"/>
        </w:rPr>
        <w:t xml:space="preserve"> Cimakauskienė, “of a harassing nature”</w:t>
      </w:r>
      <w:r w:rsidR="005A103A" w:rsidRPr="003225FD">
        <w:rPr>
          <w:sz w:val="20"/>
        </w:rPr>
        <w:t>.</w:t>
      </w:r>
      <w:r w:rsidRPr="003225FD">
        <w:rPr>
          <w:sz w:val="20"/>
        </w:rPr>
        <w:t xml:space="preserve"> It claims that the SSD officer explained that he was interested in the </w:t>
      </w:r>
      <w:r w:rsidR="00940ABE" w:rsidRPr="003225FD">
        <w:rPr>
          <w:sz w:val="20"/>
        </w:rPr>
        <w:t>OHL</w:t>
      </w:r>
      <w:r w:rsidRPr="003225FD">
        <w:rPr>
          <w:sz w:val="20"/>
        </w:rPr>
        <w:t>, questioned the communicant’s actions and suggested that she “come for a meeting without</w:t>
      </w:r>
      <w:r w:rsidR="002E4821" w:rsidRPr="003225FD">
        <w:rPr>
          <w:sz w:val="20"/>
        </w:rPr>
        <w:t>…</w:t>
      </w:r>
      <w:r w:rsidRPr="003225FD">
        <w:rPr>
          <w:sz w:val="20"/>
        </w:rPr>
        <w:t xml:space="preserve">bringing a toothbrush”. After </w:t>
      </w:r>
      <w:r w:rsidR="004B0CED" w:rsidRPr="003225FD">
        <w:rPr>
          <w:sz w:val="20"/>
        </w:rPr>
        <w:t>a</w:t>
      </w:r>
      <w:r w:rsidRPr="003225FD">
        <w:rPr>
          <w:sz w:val="20"/>
        </w:rPr>
        <w:t xml:space="preserve"> second call</w:t>
      </w:r>
      <w:r w:rsidR="00116128" w:rsidRPr="003225FD">
        <w:rPr>
          <w:sz w:val="20"/>
        </w:rPr>
        <w:t>,</w:t>
      </w:r>
      <w:r w:rsidRPr="003225FD">
        <w:rPr>
          <w:sz w:val="20"/>
        </w:rPr>
        <w:t xml:space="preserve"> Ms. Cimakauskienė contacted a journalist who interviewed her on a popular radio program</w:t>
      </w:r>
      <w:r w:rsidR="00C36B0F" w:rsidRPr="003225FD">
        <w:rPr>
          <w:sz w:val="20"/>
        </w:rPr>
        <w:t>me</w:t>
      </w:r>
      <w:r w:rsidR="001E2FF4" w:rsidRPr="003225FD">
        <w:rPr>
          <w:sz w:val="20"/>
        </w:rPr>
        <w:t xml:space="preserve"> during which these incidents were discussed</w:t>
      </w:r>
      <w:r w:rsidRPr="003225FD">
        <w:rPr>
          <w:sz w:val="20"/>
        </w:rPr>
        <w:t>. The SSD did not contact her again.</w:t>
      </w:r>
      <w:r w:rsidRPr="00001B0D">
        <w:rPr>
          <w:rStyle w:val="FootnoteReference"/>
        </w:rPr>
        <w:footnoteReference w:id="89"/>
      </w:r>
      <w:bookmarkEnd w:id="45"/>
    </w:p>
    <w:p w14:paraId="53798FDE" w14:textId="16CA0B2B" w:rsidR="005C265F" w:rsidRPr="003225FD" w:rsidRDefault="005C265F" w:rsidP="00371D90">
      <w:pPr>
        <w:pStyle w:val="FootnoteText"/>
        <w:tabs>
          <w:tab w:val="clear" w:pos="1021"/>
        </w:tabs>
        <w:suppressAutoHyphens w:val="0"/>
        <w:autoSpaceDE w:val="0"/>
        <w:autoSpaceDN w:val="0"/>
        <w:adjustRightInd w:val="0"/>
        <w:spacing w:after="120" w:line="240" w:lineRule="auto"/>
        <w:ind w:left="1100" w:firstLine="0"/>
        <w:jc w:val="both"/>
      </w:pPr>
      <w:r w:rsidRPr="003225FD">
        <w:rPr>
          <w:i/>
          <w:sz w:val="20"/>
        </w:rPr>
        <w:t xml:space="preserve">Ms. Želionienė </w:t>
      </w:r>
    </w:p>
    <w:p w14:paraId="2B3CB93E" w14:textId="086E46E3" w:rsidR="005C265F" w:rsidRPr="00001B0D" w:rsidRDefault="005C265F" w:rsidP="00371D90">
      <w:pPr>
        <w:pStyle w:val="FootnoteText"/>
        <w:numPr>
          <w:ilvl w:val="0"/>
          <w:numId w:val="3"/>
        </w:numPr>
        <w:tabs>
          <w:tab w:val="clear" w:pos="1021"/>
        </w:tabs>
        <w:suppressAutoHyphens w:val="0"/>
        <w:autoSpaceDE w:val="0"/>
        <w:autoSpaceDN w:val="0"/>
        <w:adjustRightInd w:val="0"/>
        <w:spacing w:after="120" w:line="240" w:lineRule="auto"/>
        <w:ind w:left="1100" w:firstLine="0"/>
        <w:jc w:val="both"/>
      </w:pPr>
      <w:bookmarkStart w:id="46" w:name="_Ref12779020"/>
      <w:r w:rsidRPr="003225FD">
        <w:rPr>
          <w:sz w:val="20"/>
        </w:rPr>
        <w:t>The communicant claims that an SSD officer initiated a meeting in June 2014 with Ms. Želionienė, a landlord who had been closely cooperating with the communicant</w:t>
      </w:r>
      <w:r w:rsidR="00C36B0F" w:rsidRPr="003225FD">
        <w:rPr>
          <w:sz w:val="20"/>
        </w:rPr>
        <w:t>.</w:t>
      </w:r>
      <w:r w:rsidRPr="003225FD">
        <w:rPr>
          <w:sz w:val="20"/>
        </w:rPr>
        <w:t xml:space="preserve"> Ms. Želionienė </w:t>
      </w:r>
      <w:r w:rsidR="00C36B0F" w:rsidRPr="003225FD">
        <w:rPr>
          <w:sz w:val="20"/>
        </w:rPr>
        <w:t>“</w:t>
      </w:r>
      <w:r w:rsidRPr="003225FD">
        <w:rPr>
          <w:sz w:val="20"/>
        </w:rPr>
        <w:t xml:space="preserve">got the impression that her phone calls could have been under surveillance as the </w:t>
      </w:r>
      <w:r w:rsidRPr="003225FD">
        <w:rPr>
          <w:sz w:val="20"/>
        </w:rPr>
        <w:lastRenderedPageBreak/>
        <w:t xml:space="preserve">facts touched upon in the meeting seemed to be well know[n] to the officer,” and </w:t>
      </w:r>
      <w:r w:rsidR="009B1825" w:rsidRPr="003225FD">
        <w:rPr>
          <w:sz w:val="20"/>
        </w:rPr>
        <w:t>the officer</w:t>
      </w:r>
      <w:r w:rsidRPr="003225FD">
        <w:rPr>
          <w:sz w:val="20"/>
        </w:rPr>
        <w:t xml:space="preserve"> asked questions </w:t>
      </w:r>
      <w:r w:rsidR="009B1825" w:rsidRPr="003225FD">
        <w:rPr>
          <w:sz w:val="20"/>
        </w:rPr>
        <w:t xml:space="preserve">concerning </w:t>
      </w:r>
      <w:r w:rsidRPr="003225FD">
        <w:rPr>
          <w:sz w:val="20"/>
        </w:rPr>
        <w:t>Ms. Cimakauskienė’s activities.</w:t>
      </w:r>
      <w:r w:rsidRPr="00001B0D">
        <w:rPr>
          <w:rStyle w:val="FootnoteReference"/>
        </w:rPr>
        <w:footnoteReference w:id="90"/>
      </w:r>
      <w:bookmarkEnd w:id="46"/>
      <w:r w:rsidRPr="00001B0D">
        <w:t xml:space="preserve"> </w:t>
      </w:r>
    </w:p>
    <w:p w14:paraId="7BD52BAD" w14:textId="241BFB3F" w:rsidR="005C265F" w:rsidRPr="003225FD" w:rsidRDefault="005C265F" w:rsidP="00371D90">
      <w:pPr>
        <w:pStyle w:val="FootnoteText"/>
        <w:tabs>
          <w:tab w:val="clear" w:pos="1021"/>
        </w:tabs>
        <w:suppressAutoHyphens w:val="0"/>
        <w:autoSpaceDE w:val="0"/>
        <w:autoSpaceDN w:val="0"/>
        <w:adjustRightInd w:val="0"/>
        <w:spacing w:after="120" w:line="240" w:lineRule="auto"/>
        <w:ind w:hanging="34"/>
        <w:jc w:val="both"/>
        <w:rPr>
          <w:i/>
        </w:rPr>
      </w:pPr>
      <w:r w:rsidRPr="003225FD">
        <w:rPr>
          <w:i/>
          <w:sz w:val="20"/>
        </w:rPr>
        <w:t>Dr. Valiokas</w:t>
      </w:r>
    </w:p>
    <w:p w14:paraId="35F13BA1" w14:textId="544C1AF6" w:rsidR="005C265F" w:rsidRPr="00001B0D" w:rsidRDefault="005C265F" w:rsidP="00371D90">
      <w:pPr>
        <w:pStyle w:val="FootnoteText"/>
        <w:numPr>
          <w:ilvl w:val="0"/>
          <w:numId w:val="3"/>
        </w:numPr>
        <w:tabs>
          <w:tab w:val="clear" w:pos="1021"/>
        </w:tabs>
        <w:suppressAutoHyphens w:val="0"/>
        <w:autoSpaceDE w:val="0"/>
        <w:autoSpaceDN w:val="0"/>
        <w:adjustRightInd w:val="0"/>
        <w:spacing w:after="120" w:line="240" w:lineRule="auto"/>
        <w:ind w:left="1100" w:firstLine="0"/>
        <w:jc w:val="both"/>
      </w:pPr>
      <w:bookmarkStart w:id="47" w:name="_Ref524642214"/>
      <w:bookmarkStart w:id="48" w:name="_Ref42355359"/>
      <w:r w:rsidRPr="003225FD">
        <w:rPr>
          <w:sz w:val="20"/>
        </w:rPr>
        <w:t xml:space="preserve">The communicant claims </w:t>
      </w:r>
      <w:r w:rsidR="00A81E6F" w:rsidRPr="003225FD">
        <w:rPr>
          <w:sz w:val="20"/>
        </w:rPr>
        <w:t>that</w:t>
      </w:r>
      <w:r w:rsidRPr="003225FD">
        <w:rPr>
          <w:sz w:val="20"/>
        </w:rPr>
        <w:t xml:space="preserve"> </w:t>
      </w:r>
      <w:r w:rsidR="00C36B0F" w:rsidRPr="003225FD">
        <w:rPr>
          <w:sz w:val="20"/>
        </w:rPr>
        <w:t xml:space="preserve">on </w:t>
      </w:r>
      <w:r w:rsidR="00FF31B0" w:rsidRPr="003225FD">
        <w:rPr>
          <w:sz w:val="20"/>
        </w:rPr>
        <w:t>3</w:t>
      </w:r>
      <w:r w:rsidR="00C36B0F" w:rsidRPr="003225FD">
        <w:rPr>
          <w:sz w:val="20"/>
        </w:rPr>
        <w:t>0 May 2014</w:t>
      </w:r>
      <w:r w:rsidR="00A81E6F" w:rsidRPr="003225FD">
        <w:rPr>
          <w:sz w:val="20"/>
        </w:rPr>
        <w:t xml:space="preserve">, </w:t>
      </w:r>
      <w:r w:rsidR="00C36B0F" w:rsidRPr="003225FD">
        <w:rPr>
          <w:sz w:val="20"/>
        </w:rPr>
        <w:t xml:space="preserve">its representative, </w:t>
      </w:r>
      <w:r w:rsidRPr="003225FD">
        <w:rPr>
          <w:sz w:val="20"/>
        </w:rPr>
        <w:t>Dr. Valiokas, and an expert</w:t>
      </w:r>
      <w:r w:rsidR="00136CFA" w:rsidRPr="003225FD">
        <w:rPr>
          <w:sz w:val="20"/>
        </w:rPr>
        <w:t>,</w:t>
      </w:r>
      <w:r w:rsidRPr="003225FD">
        <w:rPr>
          <w:sz w:val="20"/>
        </w:rPr>
        <w:t xml:space="preserve"> Mr. Sniečkus, </w:t>
      </w:r>
      <w:r w:rsidR="00C36B0F" w:rsidRPr="003225FD">
        <w:rPr>
          <w:sz w:val="20"/>
        </w:rPr>
        <w:t>were performing</w:t>
      </w:r>
      <w:r w:rsidRPr="003225FD">
        <w:rPr>
          <w:sz w:val="20"/>
        </w:rPr>
        <w:t xml:space="preserve"> a </w:t>
      </w:r>
      <w:r w:rsidR="009B1825" w:rsidRPr="003225FD">
        <w:rPr>
          <w:sz w:val="20"/>
        </w:rPr>
        <w:t xml:space="preserve">biodiversity </w:t>
      </w:r>
      <w:r w:rsidRPr="003225FD">
        <w:rPr>
          <w:sz w:val="20"/>
        </w:rPr>
        <w:t>field survey at the OHL’s planned construction site</w:t>
      </w:r>
      <w:r w:rsidR="009B1825" w:rsidRPr="003225FD">
        <w:rPr>
          <w:sz w:val="20"/>
        </w:rPr>
        <w:t xml:space="preserve">, when they </w:t>
      </w:r>
      <w:r w:rsidRPr="003225FD">
        <w:rPr>
          <w:sz w:val="20"/>
        </w:rPr>
        <w:t xml:space="preserve">were </w:t>
      </w:r>
      <w:r w:rsidR="002E4821" w:rsidRPr="003225FD">
        <w:rPr>
          <w:sz w:val="20"/>
        </w:rPr>
        <w:t>asked questions</w:t>
      </w:r>
      <w:r w:rsidRPr="003225FD">
        <w:rPr>
          <w:sz w:val="20"/>
        </w:rPr>
        <w:t xml:space="preserve"> by an environmental protection officer and </w:t>
      </w:r>
      <w:r w:rsidR="002E4821" w:rsidRPr="003225FD">
        <w:rPr>
          <w:sz w:val="20"/>
        </w:rPr>
        <w:t>“</w:t>
      </w:r>
      <w:r w:rsidRPr="003225FD">
        <w:rPr>
          <w:sz w:val="20"/>
        </w:rPr>
        <w:t>other persons who did not present themselves”.</w:t>
      </w:r>
      <w:r w:rsidRPr="00001B0D">
        <w:rPr>
          <w:rStyle w:val="FootnoteReference"/>
        </w:rPr>
        <w:footnoteReference w:id="91"/>
      </w:r>
      <w:bookmarkEnd w:id="47"/>
      <w:bookmarkEnd w:id="48"/>
      <w:r w:rsidRPr="00001B0D">
        <w:rPr>
          <w:sz w:val="20"/>
        </w:rPr>
        <w:t xml:space="preserve"> </w:t>
      </w:r>
    </w:p>
    <w:p w14:paraId="414578E2" w14:textId="39421645" w:rsidR="00811F5B" w:rsidRPr="003225FD" w:rsidRDefault="005C265F" w:rsidP="001E2FF4">
      <w:pPr>
        <w:pStyle w:val="FootnoteText"/>
        <w:numPr>
          <w:ilvl w:val="0"/>
          <w:numId w:val="3"/>
        </w:numPr>
        <w:tabs>
          <w:tab w:val="clear" w:pos="1021"/>
        </w:tabs>
        <w:suppressAutoHyphens w:val="0"/>
        <w:autoSpaceDE w:val="0"/>
        <w:autoSpaceDN w:val="0"/>
        <w:adjustRightInd w:val="0"/>
        <w:spacing w:after="120" w:line="240" w:lineRule="auto"/>
        <w:ind w:left="1100" w:firstLine="0"/>
        <w:jc w:val="both"/>
      </w:pPr>
      <w:bookmarkStart w:id="49" w:name="_Ref524646225"/>
      <w:r w:rsidRPr="003225FD">
        <w:rPr>
          <w:sz w:val="20"/>
        </w:rPr>
        <w:t>The Party concerned confirms that the SSD contacted Ms. Cimakauskienė. It claims it did so “to clarify the issues in the Rudamina community related to the electricity power line.”</w:t>
      </w:r>
      <w:r w:rsidR="00AD350B" w:rsidRPr="00001B0D">
        <w:rPr>
          <w:rStyle w:val="FootnoteReference"/>
        </w:rPr>
        <w:footnoteReference w:id="92"/>
      </w:r>
      <w:r w:rsidR="00AD350B" w:rsidRPr="00001B0D">
        <w:rPr>
          <w:sz w:val="20"/>
        </w:rPr>
        <w:t xml:space="preserve"> </w:t>
      </w:r>
      <w:r w:rsidRPr="00001B0D">
        <w:rPr>
          <w:sz w:val="20"/>
        </w:rPr>
        <w:t xml:space="preserve"> It submits this </w:t>
      </w:r>
      <w:r w:rsidR="00F460CA" w:rsidRPr="003225FD">
        <w:rPr>
          <w:sz w:val="20"/>
        </w:rPr>
        <w:t xml:space="preserve">was </w:t>
      </w:r>
      <w:r w:rsidRPr="003225FD">
        <w:rPr>
          <w:sz w:val="20"/>
        </w:rPr>
        <w:t xml:space="preserve">the only contact </w:t>
      </w:r>
      <w:r w:rsidR="00AD350B" w:rsidRPr="003225FD">
        <w:rPr>
          <w:sz w:val="20"/>
        </w:rPr>
        <w:t>by the SSD</w:t>
      </w:r>
      <w:r w:rsidRPr="003225FD">
        <w:rPr>
          <w:sz w:val="20"/>
        </w:rPr>
        <w:t xml:space="preserve"> </w:t>
      </w:r>
      <w:r w:rsidR="001E2FF4" w:rsidRPr="003225FD">
        <w:rPr>
          <w:sz w:val="20"/>
        </w:rPr>
        <w:t>regarding</w:t>
      </w:r>
      <w:r w:rsidRPr="003225FD">
        <w:rPr>
          <w:sz w:val="20"/>
        </w:rPr>
        <w:t xml:space="preserve"> the OHL project</w:t>
      </w:r>
      <w:r w:rsidR="00AD350B" w:rsidRPr="003225FD">
        <w:rPr>
          <w:sz w:val="20"/>
        </w:rPr>
        <w:t xml:space="preserve">, which </w:t>
      </w:r>
      <w:r w:rsidR="00A30056" w:rsidRPr="003225FD">
        <w:rPr>
          <w:sz w:val="20"/>
        </w:rPr>
        <w:t>acts in accordance with the principles set out in article 4 of the Law on Intelligence.</w:t>
      </w:r>
      <w:r w:rsidR="002356CA" w:rsidRPr="00001B0D">
        <w:rPr>
          <w:sz w:val="20"/>
        </w:rPr>
        <w:t xml:space="preserve"> It </w:t>
      </w:r>
      <w:r w:rsidR="00F460CA" w:rsidRPr="00001B0D">
        <w:rPr>
          <w:sz w:val="20"/>
        </w:rPr>
        <w:t>does not comment</w:t>
      </w:r>
      <w:r w:rsidR="002356CA" w:rsidRPr="003225FD">
        <w:rPr>
          <w:sz w:val="20"/>
        </w:rPr>
        <w:t xml:space="preserve"> on the other </w:t>
      </w:r>
      <w:r w:rsidR="00F460CA" w:rsidRPr="003225FD">
        <w:rPr>
          <w:sz w:val="20"/>
        </w:rPr>
        <w:t xml:space="preserve">alleged </w:t>
      </w:r>
      <w:r w:rsidR="002356CA" w:rsidRPr="003225FD">
        <w:rPr>
          <w:sz w:val="20"/>
        </w:rPr>
        <w:t>incidents.</w:t>
      </w:r>
      <w:bookmarkEnd w:id="49"/>
    </w:p>
    <w:p w14:paraId="769759AB" w14:textId="77777777" w:rsidR="00341C77" w:rsidRPr="003225FD" w:rsidRDefault="00341C77" w:rsidP="00341C77">
      <w:pPr>
        <w:pStyle w:val="H1G"/>
        <w:ind w:left="615" w:firstLine="0"/>
        <w:jc w:val="both"/>
      </w:pPr>
      <w:r w:rsidRPr="003225FD">
        <w:t xml:space="preserve">D. </w:t>
      </w:r>
      <w:r w:rsidRPr="003225FD">
        <w:tab/>
        <w:t>Domestic remedies</w:t>
      </w:r>
    </w:p>
    <w:p w14:paraId="2757E331" w14:textId="4A843A3B" w:rsidR="00341C77" w:rsidRPr="003225FD" w:rsidRDefault="00341C77" w:rsidP="00341C77">
      <w:pPr>
        <w:pStyle w:val="SingleTxtG"/>
        <w:numPr>
          <w:ilvl w:val="0"/>
          <w:numId w:val="3"/>
        </w:numPr>
        <w:suppressAutoHyphens w:val="0"/>
        <w:autoSpaceDE w:val="0"/>
        <w:autoSpaceDN w:val="0"/>
        <w:adjustRightInd w:val="0"/>
        <w:spacing w:line="240" w:lineRule="auto"/>
        <w:ind w:left="1100" w:firstLine="0"/>
      </w:pPr>
      <w:r w:rsidRPr="003225FD">
        <w:t xml:space="preserve"> </w:t>
      </w:r>
      <w:r w:rsidR="00343540" w:rsidRPr="003225FD">
        <w:t>The communicant</w:t>
      </w:r>
      <w:r w:rsidR="004B2D1D" w:rsidRPr="003225FD">
        <w:t>’</w:t>
      </w:r>
      <w:r w:rsidR="00343540" w:rsidRPr="003225FD">
        <w:t>s exhaustion of domestic remedies is described above (</w:t>
      </w:r>
      <w:r w:rsidR="00746E98" w:rsidRPr="003225FD">
        <w:t xml:space="preserve">see paras. </w:t>
      </w:r>
      <w:r w:rsidR="00544FDC" w:rsidRPr="003225FD">
        <w:rPr>
          <w:cs/>
        </w:rPr>
        <w:t>‎</w:t>
      </w:r>
      <w:r w:rsidR="00544FDC" w:rsidRPr="003225FD">
        <w:t>46</w:t>
      </w:r>
      <w:r w:rsidR="00343540" w:rsidRPr="003225FD">
        <w:t>-</w:t>
      </w:r>
      <w:r w:rsidR="00B44FAF" w:rsidRPr="003225FD">
        <w:rPr>
          <w:cs/>
        </w:rPr>
        <w:t>‎</w:t>
      </w:r>
      <w:r w:rsidR="00B44FAF" w:rsidRPr="003225FD">
        <w:t>49</w:t>
      </w:r>
      <w:r w:rsidR="00B97D68" w:rsidRPr="003225FD">
        <w:t xml:space="preserve"> above</w:t>
      </w:r>
      <w:r w:rsidR="00343540" w:rsidRPr="003225FD">
        <w:t>)</w:t>
      </w:r>
      <w:r w:rsidR="00B97D68" w:rsidRPr="003225FD">
        <w:t>.</w:t>
      </w:r>
      <w:r w:rsidR="00343540" w:rsidRPr="003225FD">
        <w:t xml:space="preserve"> </w:t>
      </w:r>
    </w:p>
    <w:p w14:paraId="13623860" w14:textId="1E5D91E6" w:rsidR="00341C77" w:rsidRPr="003225FD" w:rsidRDefault="00341C77" w:rsidP="00341C77">
      <w:pPr>
        <w:pStyle w:val="SingleTxtG"/>
        <w:numPr>
          <w:ilvl w:val="0"/>
          <w:numId w:val="3"/>
        </w:numPr>
        <w:suppressAutoHyphens w:val="0"/>
        <w:autoSpaceDE w:val="0"/>
        <w:autoSpaceDN w:val="0"/>
        <w:adjustRightInd w:val="0"/>
        <w:spacing w:line="240" w:lineRule="auto"/>
        <w:ind w:left="1100" w:firstLine="0"/>
      </w:pPr>
      <w:r w:rsidRPr="003225FD">
        <w:t>The Party concerned has not challenged admissibility.</w:t>
      </w:r>
    </w:p>
    <w:p w14:paraId="249A2E13" w14:textId="6D3F4487" w:rsidR="00684468" w:rsidRPr="003225FD" w:rsidRDefault="00C07248" w:rsidP="00341C77">
      <w:pPr>
        <w:pStyle w:val="HChG"/>
        <w:jc w:val="both"/>
      </w:pPr>
      <w:r w:rsidRPr="003225FD">
        <w:tab/>
      </w:r>
      <w:r w:rsidR="0023575C" w:rsidRPr="003225FD">
        <w:t>III.</w:t>
      </w:r>
      <w:r w:rsidR="0023575C" w:rsidRPr="003225FD">
        <w:tab/>
      </w:r>
      <w:r w:rsidR="00D971FB" w:rsidRPr="003225FD">
        <w:t>Consideration a</w:t>
      </w:r>
      <w:r w:rsidR="00090D28" w:rsidRPr="003225FD">
        <w:t>nd evaluation by the C</w:t>
      </w:r>
      <w:r w:rsidR="00D971FB" w:rsidRPr="003225FD">
        <w:t>ommittee</w:t>
      </w:r>
    </w:p>
    <w:p w14:paraId="0A56BCF6" w14:textId="06B2F183" w:rsidR="0042435A" w:rsidRPr="003225FD" w:rsidRDefault="00DC2192" w:rsidP="003A1B3B">
      <w:pPr>
        <w:pStyle w:val="SingleTxtG"/>
        <w:numPr>
          <w:ilvl w:val="0"/>
          <w:numId w:val="3"/>
        </w:numPr>
        <w:suppressAutoHyphens w:val="0"/>
        <w:autoSpaceDE w:val="0"/>
        <w:autoSpaceDN w:val="0"/>
        <w:adjustRightInd w:val="0"/>
        <w:spacing w:line="240" w:lineRule="auto"/>
        <w:ind w:left="1100" w:firstLine="0"/>
        <w:rPr>
          <w:rFonts w:asciiTheme="majorBidi" w:hAnsiTheme="majorBidi"/>
        </w:rPr>
      </w:pPr>
      <w:r w:rsidRPr="003225FD">
        <w:rPr>
          <w:rFonts w:asciiTheme="majorBidi" w:hAnsiTheme="majorBidi"/>
        </w:rPr>
        <w:t>Lithuania deposited its instrument of ratification of the Convention on 28 January 2002. The Convention entered into force for Lithuania on 28 April 2002</w:t>
      </w:r>
      <w:r w:rsidR="00684468" w:rsidRPr="003225FD">
        <w:rPr>
          <w:rFonts w:asciiTheme="majorBidi" w:hAnsiTheme="majorBidi"/>
        </w:rPr>
        <w:t>.</w:t>
      </w:r>
    </w:p>
    <w:p w14:paraId="2B6BACD5" w14:textId="712279B8" w:rsidR="006E6F55" w:rsidRPr="003225FD" w:rsidRDefault="003E5A99" w:rsidP="00001B0D">
      <w:pPr>
        <w:pStyle w:val="SingleTxtG"/>
        <w:suppressAutoHyphens w:val="0"/>
        <w:autoSpaceDE w:val="0"/>
        <w:autoSpaceDN w:val="0"/>
        <w:adjustRightInd w:val="0"/>
        <w:spacing w:before="240" w:line="240" w:lineRule="auto"/>
        <w:ind w:left="1100"/>
        <w:rPr>
          <w:rFonts w:asciiTheme="majorBidi" w:hAnsiTheme="majorBidi"/>
        </w:rPr>
      </w:pPr>
      <w:r w:rsidRPr="003225FD">
        <w:rPr>
          <w:rFonts w:asciiTheme="majorBidi" w:hAnsiTheme="majorBidi"/>
          <w:b/>
        </w:rPr>
        <w:t>S</w:t>
      </w:r>
      <w:r w:rsidR="00051B68" w:rsidRPr="003225FD">
        <w:rPr>
          <w:rFonts w:asciiTheme="majorBidi" w:hAnsiTheme="majorBidi"/>
          <w:b/>
        </w:rPr>
        <w:t xml:space="preserve">cope of Committee’s considerations </w:t>
      </w:r>
    </w:p>
    <w:p w14:paraId="10CDC60A" w14:textId="0801641C" w:rsidR="00DF7FB2" w:rsidRPr="003225FD" w:rsidRDefault="00DF7FB2" w:rsidP="00DF7FB2">
      <w:pPr>
        <w:pStyle w:val="SingleTxtG"/>
        <w:numPr>
          <w:ilvl w:val="0"/>
          <w:numId w:val="3"/>
        </w:numPr>
        <w:suppressAutoHyphens w:val="0"/>
        <w:autoSpaceDE w:val="0"/>
        <w:autoSpaceDN w:val="0"/>
        <w:adjustRightInd w:val="0"/>
        <w:spacing w:line="240" w:lineRule="auto"/>
        <w:ind w:left="1100" w:firstLine="0"/>
        <w:rPr>
          <w:rFonts w:asciiTheme="majorBidi" w:hAnsiTheme="majorBidi"/>
        </w:rPr>
      </w:pPr>
      <w:r w:rsidRPr="003225FD">
        <w:rPr>
          <w:rFonts w:asciiTheme="majorBidi" w:hAnsiTheme="majorBidi"/>
        </w:rPr>
        <w:t xml:space="preserve">The Committee </w:t>
      </w:r>
      <w:r w:rsidR="00A206EC" w:rsidRPr="003225FD">
        <w:rPr>
          <w:rFonts w:asciiTheme="majorBidi" w:hAnsiTheme="majorBidi"/>
        </w:rPr>
        <w:t>is mandated to examine</w:t>
      </w:r>
      <w:r w:rsidRPr="003225FD">
        <w:rPr>
          <w:rFonts w:asciiTheme="majorBidi" w:hAnsiTheme="majorBidi"/>
        </w:rPr>
        <w:t xml:space="preserve"> allegations concerning compliance with the provisions of the Convention. </w:t>
      </w:r>
      <w:r w:rsidR="00A206EC" w:rsidRPr="003225FD">
        <w:rPr>
          <w:rFonts w:asciiTheme="majorBidi" w:hAnsiTheme="majorBidi"/>
        </w:rPr>
        <w:t>Thus, i</w:t>
      </w:r>
      <w:r w:rsidRPr="003225FD">
        <w:rPr>
          <w:rFonts w:asciiTheme="majorBidi" w:hAnsiTheme="majorBidi"/>
        </w:rPr>
        <w:t xml:space="preserve">t will not </w:t>
      </w:r>
      <w:r w:rsidR="00A206EC" w:rsidRPr="003225FD">
        <w:rPr>
          <w:rFonts w:asciiTheme="majorBidi" w:hAnsiTheme="majorBidi"/>
        </w:rPr>
        <w:t>consider</w:t>
      </w:r>
      <w:r w:rsidRPr="003225FD">
        <w:rPr>
          <w:rFonts w:asciiTheme="majorBidi" w:hAnsiTheme="majorBidi"/>
        </w:rPr>
        <w:t xml:space="preserve"> allegations concerning European Union legislation or other international instruments.</w:t>
      </w:r>
    </w:p>
    <w:p w14:paraId="63BA3818" w14:textId="701882DB" w:rsidR="00FD5FBC" w:rsidRPr="003225FD" w:rsidRDefault="00FD5FBC" w:rsidP="00001B0D">
      <w:pPr>
        <w:pStyle w:val="SingleTxtG"/>
        <w:numPr>
          <w:ilvl w:val="0"/>
          <w:numId w:val="3"/>
        </w:numPr>
        <w:tabs>
          <w:tab w:val="num" w:pos="1134"/>
        </w:tabs>
        <w:suppressAutoHyphens w:val="0"/>
        <w:autoSpaceDE w:val="0"/>
        <w:autoSpaceDN w:val="0"/>
        <w:adjustRightInd w:val="0"/>
        <w:spacing w:line="240" w:lineRule="auto"/>
        <w:ind w:left="1138" w:right="1138" w:firstLine="0"/>
        <w:rPr>
          <w:rFonts w:asciiTheme="majorBidi" w:hAnsiTheme="majorBidi" w:cstheme="majorBidi"/>
        </w:rPr>
      </w:pPr>
      <w:bookmarkStart w:id="50" w:name="_Hlk9879904"/>
      <w:r w:rsidRPr="003225FD">
        <w:rPr>
          <w:rFonts w:asciiTheme="majorBidi" w:hAnsiTheme="majorBidi"/>
        </w:rPr>
        <w:t xml:space="preserve">At the outset, the Committee notes that the Party concerned </w:t>
      </w:r>
      <w:r w:rsidRPr="003225FD">
        <w:rPr>
          <w:rFonts w:asciiTheme="majorBidi" w:hAnsiTheme="majorBidi" w:cstheme="majorBidi"/>
        </w:rPr>
        <w:t>submits that</w:t>
      </w:r>
      <w:r w:rsidRPr="003225FD">
        <w:rPr>
          <w:rFonts w:asciiTheme="majorBidi" w:hAnsiTheme="majorBidi"/>
        </w:rPr>
        <w:t xml:space="preserve"> it has met the </w:t>
      </w:r>
      <w:r w:rsidR="00361C7E" w:rsidRPr="003225FD">
        <w:rPr>
          <w:rFonts w:asciiTheme="majorBidi" w:hAnsiTheme="majorBidi"/>
        </w:rPr>
        <w:t xml:space="preserve">Convention’s </w:t>
      </w:r>
      <w:r w:rsidRPr="003225FD">
        <w:rPr>
          <w:rFonts w:asciiTheme="majorBidi" w:hAnsiTheme="majorBidi"/>
        </w:rPr>
        <w:t xml:space="preserve">requirements </w:t>
      </w:r>
      <w:r w:rsidR="00361C7E" w:rsidRPr="003225FD">
        <w:rPr>
          <w:rFonts w:asciiTheme="majorBidi" w:hAnsiTheme="majorBidi"/>
        </w:rPr>
        <w:t xml:space="preserve">regarding </w:t>
      </w:r>
      <w:r w:rsidRPr="003225FD">
        <w:rPr>
          <w:rFonts w:asciiTheme="majorBidi" w:hAnsiTheme="majorBidi"/>
        </w:rPr>
        <w:t xml:space="preserve">the OHL </w:t>
      </w:r>
      <w:r w:rsidRPr="003225FD">
        <w:rPr>
          <w:rFonts w:asciiTheme="majorBidi" w:hAnsiTheme="majorBidi" w:cstheme="majorBidi"/>
        </w:rPr>
        <w:t>because it provided</w:t>
      </w:r>
      <w:r w:rsidRPr="003225FD">
        <w:rPr>
          <w:rFonts w:asciiTheme="majorBidi" w:hAnsiTheme="majorBidi"/>
        </w:rPr>
        <w:t xml:space="preserve"> for public participation on the </w:t>
      </w:r>
      <w:r w:rsidRPr="003225FD">
        <w:rPr>
          <w:rFonts w:asciiTheme="majorBidi" w:hAnsiTheme="majorBidi" w:cstheme="majorBidi"/>
        </w:rPr>
        <w:t>draft EIA</w:t>
      </w:r>
      <w:r w:rsidRPr="003225FD">
        <w:rPr>
          <w:rFonts w:asciiTheme="majorBidi" w:hAnsiTheme="majorBidi"/>
        </w:rPr>
        <w:t xml:space="preserve"> and SEA </w:t>
      </w:r>
      <w:r w:rsidRPr="003225FD">
        <w:rPr>
          <w:rFonts w:asciiTheme="majorBidi" w:hAnsiTheme="majorBidi" w:cstheme="majorBidi"/>
        </w:rPr>
        <w:t xml:space="preserve">reports. </w:t>
      </w:r>
      <w:r w:rsidRPr="003225FD">
        <w:rPr>
          <w:rFonts w:asciiTheme="majorBidi" w:hAnsiTheme="majorBidi"/>
        </w:rPr>
        <w:t xml:space="preserve"> The Committee points out that article 6 requires public participation on decisions to permit proposed activities, not just EIA </w:t>
      </w:r>
      <w:r w:rsidRPr="003225FD">
        <w:rPr>
          <w:rFonts w:asciiTheme="majorBidi" w:hAnsiTheme="majorBidi" w:cstheme="majorBidi"/>
        </w:rPr>
        <w:t>reports; similarly</w:t>
      </w:r>
      <w:r w:rsidRPr="003225FD">
        <w:rPr>
          <w:rFonts w:asciiTheme="majorBidi" w:hAnsiTheme="majorBidi"/>
        </w:rPr>
        <w:t xml:space="preserve">, article 7 requires public participation on </w:t>
      </w:r>
      <w:r w:rsidRPr="003225FD">
        <w:rPr>
          <w:rFonts w:asciiTheme="majorBidi" w:hAnsiTheme="majorBidi" w:cstheme="majorBidi"/>
        </w:rPr>
        <w:t>draft plans themselves</w:t>
      </w:r>
      <w:r w:rsidRPr="003225FD">
        <w:rPr>
          <w:rFonts w:asciiTheme="majorBidi" w:hAnsiTheme="majorBidi"/>
        </w:rPr>
        <w:t xml:space="preserve">, not just SEA </w:t>
      </w:r>
      <w:r w:rsidRPr="003225FD">
        <w:rPr>
          <w:rFonts w:asciiTheme="majorBidi" w:hAnsiTheme="majorBidi" w:cstheme="majorBidi"/>
        </w:rPr>
        <w:t>reports.</w:t>
      </w:r>
      <w:r w:rsidRPr="00001B0D">
        <w:rPr>
          <w:rFonts w:asciiTheme="majorBidi" w:hAnsiTheme="majorBidi" w:cstheme="majorBidi"/>
          <w:vertAlign w:val="superscript"/>
          <w:lang w:eastAsia="en-GB"/>
        </w:rPr>
        <w:footnoteReference w:id="93"/>
      </w:r>
      <w:r w:rsidRPr="00001B0D">
        <w:rPr>
          <w:rFonts w:asciiTheme="majorBidi" w:hAnsiTheme="majorBidi"/>
        </w:rPr>
        <w:t xml:space="preserve"> However, since the communicant has not made allegations on this point, the Committee will not examine this point further in the present case</w:t>
      </w:r>
      <w:r w:rsidRPr="00001B0D">
        <w:rPr>
          <w:rFonts w:asciiTheme="majorBidi" w:hAnsiTheme="majorBidi" w:cstheme="majorBidi"/>
        </w:rPr>
        <w:t>.</w:t>
      </w:r>
    </w:p>
    <w:bookmarkEnd w:id="50"/>
    <w:p w14:paraId="2B7CC1E9" w14:textId="1BDCBD31" w:rsidR="00721128" w:rsidRPr="003225FD" w:rsidRDefault="00721128" w:rsidP="00001B0D">
      <w:pPr>
        <w:pStyle w:val="SingleTxtG"/>
        <w:suppressAutoHyphens w:val="0"/>
        <w:autoSpaceDE w:val="0"/>
        <w:autoSpaceDN w:val="0"/>
        <w:adjustRightInd w:val="0"/>
        <w:spacing w:before="960" w:line="240" w:lineRule="auto"/>
        <w:ind w:right="1138"/>
        <w:rPr>
          <w:rFonts w:asciiTheme="majorBidi" w:hAnsiTheme="majorBidi"/>
          <w:b/>
        </w:rPr>
      </w:pPr>
      <w:r w:rsidRPr="003225FD">
        <w:rPr>
          <w:rFonts w:asciiTheme="majorBidi" w:hAnsiTheme="majorBidi"/>
          <w:b/>
        </w:rPr>
        <w:t>Applicability of article</w:t>
      </w:r>
      <w:r w:rsidR="00C674A7" w:rsidRPr="003225FD">
        <w:rPr>
          <w:rFonts w:asciiTheme="majorBidi" w:hAnsiTheme="majorBidi"/>
          <w:b/>
        </w:rPr>
        <w:t>s</w:t>
      </w:r>
      <w:r w:rsidRPr="003225FD">
        <w:rPr>
          <w:rFonts w:asciiTheme="majorBidi" w:hAnsiTheme="majorBidi"/>
          <w:b/>
        </w:rPr>
        <w:t xml:space="preserve"> 6 </w:t>
      </w:r>
      <w:r w:rsidR="00A44BD7" w:rsidRPr="003225FD">
        <w:rPr>
          <w:rFonts w:asciiTheme="majorBidi" w:hAnsiTheme="majorBidi"/>
          <w:b/>
        </w:rPr>
        <w:t xml:space="preserve">and </w:t>
      </w:r>
      <w:r w:rsidRPr="003225FD">
        <w:rPr>
          <w:rFonts w:asciiTheme="majorBidi" w:hAnsiTheme="majorBidi"/>
          <w:b/>
        </w:rPr>
        <w:t>7</w:t>
      </w:r>
    </w:p>
    <w:p w14:paraId="58EEB588" w14:textId="7E52CBE0" w:rsidR="00051B68" w:rsidRPr="003225FD" w:rsidRDefault="00DD265E" w:rsidP="00371D90">
      <w:pPr>
        <w:pStyle w:val="SingleTxtG"/>
        <w:numPr>
          <w:ilvl w:val="0"/>
          <w:numId w:val="3"/>
        </w:numPr>
        <w:tabs>
          <w:tab w:val="num" w:pos="1134"/>
        </w:tabs>
        <w:suppressAutoHyphens w:val="0"/>
        <w:autoSpaceDE w:val="0"/>
        <w:autoSpaceDN w:val="0"/>
        <w:adjustRightInd w:val="0"/>
        <w:spacing w:line="240" w:lineRule="auto"/>
        <w:ind w:left="1138" w:right="1138" w:firstLine="0"/>
        <w:rPr>
          <w:rFonts w:asciiTheme="majorBidi" w:hAnsiTheme="majorBidi"/>
        </w:rPr>
      </w:pPr>
      <w:bookmarkStart w:id="51" w:name="_Ref8396635"/>
      <w:r w:rsidRPr="003225FD">
        <w:rPr>
          <w:rFonts w:asciiTheme="majorBidi" w:hAnsiTheme="majorBidi"/>
        </w:rPr>
        <w:t>The</w:t>
      </w:r>
      <w:r w:rsidR="00051B68" w:rsidRPr="003225FD">
        <w:rPr>
          <w:rFonts w:asciiTheme="majorBidi" w:hAnsiTheme="majorBidi"/>
        </w:rPr>
        <w:t xml:space="preserve"> OHL has a voltage of 400kV and extends for over 50 kilometres in the Party concerned.</w:t>
      </w:r>
      <w:r w:rsidR="00E50D95" w:rsidRPr="00001B0D">
        <w:rPr>
          <w:rStyle w:val="FootnoteReference"/>
          <w:rFonts w:asciiTheme="majorBidi" w:hAnsiTheme="majorBidi"/>
          <w:sz w:val="20"/>
        </w:rPr>
        <w:footnoteReference w:id="94"/>
      </w:r>
      <w:r w:rsidR="00E50D95" w:rsidRPr="00001B0D">
        <w:rPr>
          <w:rFonts w:asciiTheme="majorBidi" w:hAnsiTheme="majorBidi"/>
        </w:rPr>
        <w:t xml:space="preserve"> </w:t>
      </w:r>
      <w:r w:rsidR="00051B68" w:rsidRPr="00001B0D">
        <w:rPr>
          <w:rFonts w:asciiTheme="majorBidi" w:hAnsiTheme="majorBidi"/>
          <w:vertAlign w:val="superscript"/>
        </w:rPr>
        <w:t xml:space="preserve"> </w:t>
      </w:r>
      <w:r w:rsidR="00051B68" w:rsidRPr="003225FD">
        <w:rPr>
          <w:rFonts w:asciiTheme="majorBidi" w:hAnsiTheme="majorBidi"/>
        </w:rPr>
        <w:t>It thus falls under paragraph 17 of Annex I to the Convention and, accordingly, article 6</w:t>
      </w:r>
      <w:r w:rsidR="00B06BF3" w:rsidRPr="003225FD">
        <w:rPr>
          <w:rFonts w:asciiTheme="majorBidi" w:hAnsiTheme="majorBidi"/>
        </w:rPr>
        <w:t>(</w:t>
      </w:r>
      <w:r w:rsidR="00051B68" w:rsidRPr="003225FD">
        <w:rPr>
          <w:rFonts w:asciiTheme="majorBidi" w:hAnsiTheme="majorBidi"/>
        </w:rPr>
        <w:t>1</w:t>
      </w:r>
      <w:r w:rsidR="00B06BF3" w:rsidRPr="003225FD">
        <w:rPr>
          <w:rFonts w:asciiTheme="majorBidi" w:hAnsiTheme="majorBidi"/>
        </w:rPr>
        <w:t>)</w:t>
      </w:r>
      <w:r w:rsidR="00051B68" w:rsidRPr="003225FD">
        <w:rPr>
          <w:rFonts w:asciiTheme="majorBidi" w:hAnsiTheme="majorBidi"/>
        </w:rPr>
        <w:t xml:space="preserve">(a) </w:t>
      </w:r>
      <w:r w:rsidR="00C674A7" w:rsidRPr="003225FD">
        <w:rPr>
          <w:rFonts w:asciiTheme="majorBidi" w:hAnsiTheme="majorBidi"/>
        </w:rPr>
        <w:t>applies</w:t>
      </w:r>
      <w:r w:rsidR="00051B68" w:rsidRPr="003225FD">
        <w:rPr>
          <w:rFonts w:asciiTheme="majorBidi" w:hAnsiTheme="majorBidi"/>
        </w:rPr>
        <w:t>.</w:t>
      </w:r>
      <w:bookmarkEnd w:id="51"/>
    </w:p>
    <w:p w14:paraId="41C741C3" w14:textId="153841D8" w:rsidR="000A6ED7" w:rsidRPr="003225FD" w:rsidRDefault="00DD265E" w:rsidP="000A6ED7">
      <w:pPr>
        <w:pStyle w:val="SingleTxtG"/>
        <w:numPr>
          <w:ilvl w:val="0"/>
          <w:numId w:val="3"/>
        </w:numPr>
        <w:tabs>
          <w:tab w:val="num" w:pos="1134"/>
        </w:tabs>
        <w:suppressAutoHyphens w:val="0"/>
        <w:autoSpaceDE w:val="0"/>
        <w:autoSpaceDN w:val="0"/>
        <w:adjustRightInd w:val="0"/>
        <w:spacing w:line="240" w:lineRule="auto"/>
        <w:ind w:left="1138" w:right="1138" w:firstLine="0"/>
        <w:rPr>
          <w:rFonts w:asciiTheme="majorBidi" w:hAnsiTheme="majorBidi"/>
        </w:rPr>
      </w:pPr>
      <w:bookmarkStart w:id="52" w:name="_Ref524960223"/>
      <w:r w:rsidRPr="003225FD">
        <w:rPr>
          <w:rFonts w:asciiTheme="majorBidi" w:hAnsiTheme="majorBidi"/>
        </w:rPr>
        <w:t>P</w:t>
      </w:r>
      <w:r w:rsidR="00CA74A6" w:rsidRPr="003225FD">
        <w:rPr>
          <w:rFonts w:asciiTheme="majorBidi" w:hAnsiTheme="majorBidi"/>
        </w:rPr>
        <w:t>rior to</w:t>
      </w:r>
      <w:r w:rsidR="00C674A7" w:rsidRPr="003225FD">
        <w:rPr>
          <w:rFonts w:asciiTheme="majorBidi" w:hAnsiTheme="majorBidi"/>
        </w:rPr>
        <w:t xml:space="preserve"> </w:t>
      </w:r>
      <w:r w:rsidR="00CA74A6" w:rsidRPr="003225FD">
        <w:rPr>
          <w:rFonts w:asciiTheme="majorBidi" w:hAnsiTheme="majorBidi"/>
        </w:rPr>
        <w:t>construction, the OHL was subject to several interrelated decision-making procedures. Following the 2009 Decree, a special plan concept</w:t>
      </w:r>
      <w:r w:rsidR="003E5A99" w:rsidRPr="003225FD">
        <w:rPr>
          <w:rFonts w:asciiTheme="majorBidi" w:hAnsiTheme="majorBidi"/>
        </w:rPr>
        <w:t>, SEA report, and an EIA report</w:t>
      </w:r>
      <w:r w:rsidR="00CA74A6" w:rsidRPr="003225FD">
        <w:rPr>
          <w:rFonts w:asciiTheme="majorBidi" w:hAnsiTheme="majorBidi"/>
        </w:rPr>
        <w:t xml:space="preserve"> w</w:t>
      </w:r>
      <w:r w:rsidR="003E5A99" w:rsidRPr="003225FD">
        <w:rPr>
          <w:rFonts w:asciiTheme="majorBidi" w:hAnsiTheme="majorBidi"/>
        </w:rPr>
        <w:t>ere</w:t>
      </w:r>
      <w:r w:rsidR="00CA74A6" w:rsidRPr="003225FD">
        <w:rPr>
          <w:rFonts w:asciiTheme="majorBidi" w:hAnsiTheme="majorBidi"/>
        </w:rPr>
        <w:t xml:space="preserve"> prepared</w:t>
      </w:r>
      <w:r w:rsidR="00FB68B1" w:rsidRPr="003225FD">
        <w:rPr>
          <w:rFonts w:asciiTheme="majorBidi" w:hAnsiTheme="majorBidi"/>
        </w:rPr>
        <w:t>,</w:t>
      </w:r>
      <w:r w:rsidR="00CA74A6" w:rsidRPr="003225FD">
        <w:rPr>
          <w:rFonts w:asciiTheme="majorBidi" w:hAnsiTheme="majorBidi"/>
        </w:rPr>
        <w:t xml:space="preserve"> and </w:t>
      </w:r>
      <w:r w:rsidR="00C87CC4" w:rsidRPr="003225FD">
        <w:rPr>
          <w:rFonts w:asciiTheme="majorBidi" w:hAnsiTheme="majorBidi" w:cstheme="majorBidi"/>
        </w:rPr>
        <w:t>each was subject to a hearing</w:t>
      </w:r>
      <w:r w:rsidR="00CA74A6" w:rsidRPr="003225FD">
        <w:rPr>
          <w:rFonts w:asciiTheme="majorBidi" w:hAnsiTheme="majorBidi" w:cstheme="majorBidi"/>
        </w:rPr>
        <w:t>.</w:t>
      </w:r>
      <w:r w:rsidR="00CA74A6" w:rsidRPr="003225FD">
        <w:rPr>
          <w:rFonts w:asciiTheme="majorBidi" w:hAnsiTheme="majorBidi"/>
        </w:rPr>
        <w:t xml:space="preserve"> Thereafter</w:t>
      </w:r>
      <w:r w:rsidR="00090E71" w:rsidRPr="003225FD">
        <w:rPr>
          <w:rFonts w:asciiTheme="majorBidi" w:hAnsiTheme="majorBidi"/>
        </w:rPr>
        <w:t>,</w:t>
      </w:r>
      <w:r w:rsidR="00CA74A6" w:rsidRPr="003225FD">
        <w:rPr>
          <w:rFonts w:asciiTheme="majorBidi" w:hAnsiTheme="majorBidi"/>
        </w:rPr>
        <w:t xml:space="preserve"> Ayltus </w:t>
      </w:r>
      <w:r w:rsidRPr="003225FD">
        <w:rPr>
          <w:rFonts w:asciiTheme="majorBidi" w:hAnsiTheme="majorBidi"/>
        </w:rPr>
        <w:t xml:space="preserve">RED </w:t>
      </w:r>
      <w:r w:rsidR="00CA74A6" w:rsidRPr="003225FD">
        <w:rPr>
          <w:rFonts w:asciiTheme="majorBidi" w:hAnsiTheme="majorBidi"/>
        </w:rPr>
        <w:t>adopted the</w:t>
      </w:r>
      <w:r w:rsidR="00E7294B" w:rsidRPr="003225FD">
        <w:rPr>
          <w:rFonts w:asciiTheme="majorBidi" w:hAnsiTheme="majorBidi"/>
        </w:rPr>
        <w:t xml:space="preserve"> OHL</w:t>
      </w:r>
      <w:r w:rsidR="00CA74A6" w:rsidRPr="003225FD">
        <w:rPr>
          <w:rFonts w:asciiTheme="majorBidi" w:hAnsiTheme="majorBidi"/>
        </w:rPr>
        <w:t xml:space="preserve"> decision, and a final special plan incorporating that decision was adopted. Due to the project-</w:t>
      </w:r>
      <w:r w:rsidR="00CA74A6" w:rsidRPr="003225FD">
        <w:rPr>
          <w:rFonts w:asciiTheme="majorBidi" w:hAnsiTheme="majorBidi"/>
        </w:rPr>
        <w:lastRenderedPageBreak/>
        <w:t>specific nature and temporal proximity of the</w:t>
      </w:r>
      <w:r w:rsidR="00376353" w:rsidRPr="003225FD">
        <w:rPr>
          <w:rFonts w:asciiTheme="majorBidi" w:hAnsiTheme="majorBidi"/>
        </w:rPr>
        <w:t>se</w:t>
      </w:r>
      <w:r w:rsidR="00CA74A6" w:rsidRPr="003225FD">
        <w:rPr>
          <w:rFonts w:asciiTheme="majorBidi" w:hAnsiTheme="majorBidi"/>
        </w:rPr>
        <w:t xml:space="preserve"> procedures, rather than considering them as parallel decision-making procedures, the Committee examines them as one complex decision-making procedure to permit a project subject to article 6.</w:t>
      </w:r>
      <w:bookmarkEnd w:id="52"/>
    </w:p>
    <w:p w14:paraId="282452A3" w14:textId="1432C09E" w:rsidR="00A44BD7" w:rsidRPr="003225FD" w:rsidRDefault="000A6ED7" w:rsidP="000A6ED7">
      <w:pPr>
        <w:pStyle w:val="SingleTxtG"/>
        <w:numPr>
          <w:ilvl w:val="0"/>
          <w:numId w:val="3"/>
        </w:numPr>
        <w:tabs>
          <w:tab w:val="num" w:pos="1134"/>
        </w:tabs>
        <w:suppressAutoHyphens w:val="0"/>
        <w:autoSpaceDE w:val="0"/>
        <w:autoSpaceDN w:val="0"/>
        <w:adjustRightInd w:val="0"/>
        <w:spacing w:line="240" w:lineRule="auto"/>
        <w:ind w:left="1138" w:right="1138" w:firstLine="0"/>
        <w:rPr>
          <w:rFonts w:asciiTheme="majorBidi" w:hAnsiTheme="majorBidi"/>
        </w:rPr>
      </w:pPr>
      <w:r w:rsidRPr="003225FD">
        <w:rPr>
          <w:rFonts w:asciiTheme="majorBidi" w:hAnsiTheme="majorBidi"/>
        </w:rPr>
        <w:t>T</w:t>
      </w:r>
      <w:r w:rsidR="00A44BD7" w:rsidRPr="003225FD">
        <w:rPr>
          <w:rFonts w:asciiTheme="majorBidi" w:hAnsiTheme="majorBidi"/>
        </w:rPr>
        <w:t>he communicant alleges that the 2009 Decree is subject to article 7 but does not clarify whether it is a plan, programme or policy and if so, on what grounds. Based on the evidence before it, the Committee considers the allegation that the 2009 Decree is subject to article 7 is unsubstantiated. Rather, as explained above, the Committee considers the 2009 Decree to be part of the complex decision-making procedure on the OHL under article 6 of the Convention.</w:t>
      </w:r>
    </w:p>
    <w:p w14:paraId="0EDF4DE1" w14:textId="64B04C42" w:rsidR="003C0FB0" w:rsidRPr="003225FD" w:rsidRDefault="003C0FB0" w:rsidP="00420E85">
      <w:pPr>
        <w:pStyle w:val="SingleTxtG"/>
        <w:suppressAutoHyphens w:val="0"/>
        <w:autoSpaceDE w:val="0"/>
        <w:autoSpaceDN w:val="0"/>
        <w:adjustRightInd w:val="0"/>
        <w:spacing w:line="240" w:lineRule="auto"/>
        <w:rPr>
          <w:rFonts w:asciiTheme="majorBidi" w:hAnsiTheme="majorBidi"/>
          <w:b/>
        </w:rPr>
      </w:pPr>
      <w:r w:rsidRPr="003225FD">
        <w:rPr>
          <w:rFonts w:asciiTheme="majorBidi" w:hAnsiTheme="majorBidi"/>
          <w:b/>
        </w:rPr>
        <w:t>Article 6</w:t>
      </w:r>
      <w:r w:rsidR="00B06BF3" w:rsidRPr="003225FD">
        <w:rPr>
          <w:rFonts w:asciiTheme="majorBidi" w:hAnsiTheme="majorBidi"/>
          <w:b/>
        </w:rPr>
        <w:t>(</w:t>
      </w:r>
      <w:r w:rsidRPr="003225FD">
        <w:rPr>
          <w:rFonts w:asciiTheme="majorBidi" w:hAnsiTheme="majorBidi"/>
          <w:b/>
        </w:rPr>
        <w:t>2</w:t>
      </w:r>
      <w:r w:rsidR="00B06BF3" w:rsidRPr="003225FD">
        <w:rPr>
          <w:rFonts w:asciiTheme="majorBidi" w:hAnsiTheme="majorBidi"/>
          <w:b/>
        </w:rPr>
        <w:t>)</w:t>
      </w:r>
      <w:r w:rsidR="0049030D" w:rsidRPr="003225FD">
        <w:rPr>
          <w:rFonts w:asciiTheme="majorBidi" w:hAnsiTheme="majorBidi"/>
          <w:b/>
        </w:rPr>
        <w:t xml:space="preserve"> </w:t>
      </w:r>
    </w:p>
    <w:p w14:paraId="72DE100A" w14:textId="27462D26" w:rsidR="002D66D5" w:rsidRPr="003225FD" w:rsidRDefault="000B23CB" w:rsidP="00DF7FB2">
      <w:pPr>
        <w:pStyle w:val="SingleTxtG"/>
        <w:suppressAutoHyphens w:val="0"/>
        <w:autoSpaceDE w:val="0"/>
        <w:autoSpaceDN w:val="0"/>
        <w:adjustRightInd w:val="0"/>
        <w:spacing w:line="240" w:lineRule="auto"/>
        <w:rPr>
          <w:rFonts w:asciiTheme="majorBidi" w:hAnsiTheme="majorBidi"/>
          <w:i/>
        </w:rPr>
      </w:pPr>
      <w:r w:rsidRPr="003225FD">
        <w:rPr>
          <w:rFonts w:asciiTheme="majorBidi" w:hAnsiTheme="majorBidi"/>
          <w:i/>
        </w:rPr>
        <w:t>Means of</w:t>
      </w:r>
      <w:r w:rsidR="002D66D5" w:rsidRPr="003225FD">
        <w:rPr>
          <w:rFonts w:asciiTheme="majorBidi" w:hAnsiTheme="majorBidi"/>
          <w:i/>
        </w:rPr>
        <w:t xml:space="preserve"> notification</w:t>
      </w:r>
    </w:p>
    <w:p w14:paraId="0D9538BE" w14:textId="4B34E95B" w:rsidR="007503FA" w:rsidRPr="003225FD" w:rsidRDefault="00242F84" w:rsidP="00C674A7">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The hearing on the special plan concept was notified by publications in f</w:t>
      </w:r>
      <w:r w:rsidR="00AE58BF" w:rsidRPr="003225FD">
        <w:rPr>
          <w:rFonts w:asciiTheme="majorBidi" w:hAnsiTheme="majorBidi"/>
        </w:rPr>
        <w:t>our local and one national</w:t>
      </w:r>
      <w:r w:rsidRPr="003225FD">
        <w:rPr>
          <w:rFonts w:asciiTheme="majorBidi" w:hAnsiTheme="majorBidi"/>
        </w:rPr>
        <w:t xml:space="preserve"> newspaper. </w:t>
      </w:r>
      <w:r w:rsidR="00C674A7" w:rsidRPr="003225FD">
        <w:rPr>
          <w:rFonts w:asciiTheme="majorBidi" w:hAnsiTheme="majorBidi"/>
        </w:rPr>
        <w:t>N</w:t>
      </w:r>
      <w:r w:rsidR="00B0094E" w:rsidRPr="003225FD">
        <w:rPr>
          <w:rFonts w:asciiTheme="majorBidi" w:hAnsiTheme="majorBidi"/>
        </w:rPr>
        <w:t xml:space="preserve">otification for the </w:t>
      </w:r>
      <w:r w:rsidR="00C674A7" w:rsidRPr="003225FD">
        <w:rPr>
          <w:rFonts w:asciiTheme="majorBidi" w:hAnsiTheme="majorBidi"/>
        </w:rPr>
        <w:t xml:space="preserve">SEA and special plan </w:t>
      </w:r>
      <w:r w:rsidR="00B0094E" w:rsidRPr="003225FD">
        <w:rPr>
          <w:rFonts w:asciiTheme="majorBidi" w:hAnsiTheme="majorBidi"/>
        </w:rPr>
        <w:t>hearing</w:t>
      </w:r>
      <w:r w:rsidR="00C04005" w:rsidRPr="003225FD">
        <w:rPr>
          <w:rFonts w:asciiTheme="majorBidi" w:hAnsiTheme="majorBidi"/>
        </w:rPr>
        <w:t>s</w:t>
      </w:r>
      <w:r w:rsidR="00B0094E" w:rsidRPr="003225FD">
        <w:rPr>
          <w:rFonts w:asciiTheme="majorBidi" w:hAnsiTheme="majorBidi"/>
        </w:rPr>
        <w:t xml:space="preserve"> </w:t>
      </w:r>
      <w:r w:rsidRPr="003225FD">
        <w:rPr>
          <w:rFonts w:asciiTheme="majorBidi" w:hAnsiTheme="majorBidi"/>
        </w:rPr>
        <w:t xml:space="preserve">was </w:t>
      </w:r>
      <w:r w:rsidR="00831CD7" w:rsidRPr="003225FD">
        <w:rPr>
          <w:rFonts w:asciiTheme="majorBidi" w:hAnsiTheme="majorBidi"/>
        </w:rPr>
        <w:t xml:space="preserve">published in </w:t>
      </w:r>
      <w:r w:rsidRPr="003225FD">
        <w:rPr>
          <w:rFonts w:asciiTheme="majorBidi" w:hAnsiTheme="majorBidi"/>
        </w:rPr>
        <w:t>two</w:t>
      </w:r>
      <w:r w:rsidR="00831CD7" w:rsidRPr="003225FD">
        <w:rPr>
          <w:rFonts w:asciiTheme="majorBidi" w:hAnsiTheme="majorBidi"/>
        </w:rPr>
        <w:t xml:space="preserve"> local newspapers</w:t>
      </w:r>
      <w:r w:rsidRPr="003225FD">
        <w:rPr>
          <w:rFonts w:asciiTheme="majorBidi" w:hAnsiTheme="majorBidi"/>
        </w:rPr>
        <w:t xml:space="preserve">, </w:t>
      </w:r>
      <w:r w:rsidR="00831CD7" w:rsidRPr="003225FD">
        <w:rPr>
          <w:rFonts w:asciiTheme="majorBidi" w:hAnsiTheme="majorBidi"/>
        </w:rPr>
        <w:t xml:space="preserve">on the billboards of 12 municipalities and </w:t>
      </w:r>
      <w:r w:rsidR="0090081A" w:rsidRPr="003225FD">
        <w:rPr>
          <w:rFonts w:asciiTheme="majorBidi" w:hAnsiTheme="majorBidi"/>
        </w:rPr>
        <w:t>subdistricts</w:t>
      </w:r>
      <w:r w:rsidR="0042250E" w:rsidRPr="003225FD">
        <w:rPr>
          <w:rFonts w:asciiTheme="majorBidi" w:hAnsiTheme="majorBidi"/>
        </w:rPr>
        <w:t>,</w:t>
      </w:r>
      <w:r w:rsidR="00831CD7" w:rsidRPr="003225FD">
        <w:rPr>
          <w:rFonts w:asciiTheme="majorBidi" w:hAnsiTheme="majorBidi"/>
        </w:rPr>
        <w:t xml:space="preserve"> and the </w:t>
      </w:r>
      <w:r w:rsidR="0090081A" w:rsidRPr="003225FD">
        <w:rPr>
          <w:rFonts w:asciiTheme="majorBidi" w:hAnsiTheme="majorBidi"/>
        </w:rPr>
        <w:t xml:space="preserve">developer’s </w:t>
      </w:r>
      <w:r w:rsidR="00831CD7" w:rsidRPr="003225FD">
        <w:rPr>
          <w:rFonts w:asciiTheme="majorBidi" w:hAnsiTheme="majorBidi"/>
        </w:rPr>
        <w:t>website</w:t>
      </w:r>
      <w:r w:rsidRPr="003225FD">
        <w:rPr>
          <w:rFonts w:asciiTheme="majorBidi" w:hAnsiTheme="majorBidi"/>
        </w:rPr>
        <w:t>s</w:t>
      </w:r>
      <w:r w:rsidR="00FC25F3" w:rsidRPr="003225FD">
        <w:rPr>
          <w:rFonts w:asciiTheme="majorBidi" w:hAnsiTheme="majorBidi"/>
        </w:rPr>
        <w:t>. N</w:t>
      </w:r>
      <w:r w:rsidR="00831CD7" w:rsidRPr="003225FD">
        <w:rPr>
          <w:rFonts w:asciiTheme="majorBidi" w:hAnsiTheme="majorBidi"/>
        </w:rPr>
        <w:t xml:space="preserve">otice of the hearing </w:t>
      </w:r>
      <w:r w:rsidR="00361C7E" w:rsidRPr="003225FD">
        <w:rPr>
          <w:rFonts w:asciiTheme="majorBidi" w:hAnsiTheme="majorBidi"/>
        </w:rPr>
        <w:t xml:space="preserve">on the EIA report </w:t>
      </w:r>
      <w:r w:rsidR="00831CD7" w:rsidRPr="003225FD">
        <w:rPr>
          <w:rFonts w:asciiTheme="majorBidi" w:hAnsiTheme="majorBidi"/>
        </w:rPr>
        <w:t xml:space="preserve">was published in </w:t>
      </w:r>
      <w:r w:rsidR="007503FA" w:rsidRPr="003225FD">
        <w:rPr>
          <w:rFonts w:asciiTheme="majorBidi" w:hAnsiTheme="majorBidi"/>
        </w:rPr>
        <w:t xml:space="preserve">the same two local newspapers, </w:t>
      </w:r>
      <w:r w:rsidR="00B721B8" w:rsidRPr="003225FD">
        <w:rPr>
          <w:rFonts w:asciiTheme="majorBidi" w:hAnsiTheme="majorBidi"/>
        </w:rPr>
        <w:t xml:space="preserve">in </w:t>
      </w:r>
      <w:r w:rsidR="007503FA" w:rsidRPr="003225FD">
        <w:rPr>
          <w:rFonts w:asciiTheme="majorBidi" w:hAnsiTheme="majorBidi"/>
        </w:rPr>
        <w:t xml:space="preserve">one national </w:t>
      </w:r>
      <w:r w:rsidR="00B721B8" w:rsidRPr="003225FD">
        <w:rPr>
          <w:rFonts w:asciiTheme="majorBidi" w:hAnsiTheme="majorBidi"/>
        </w:rPr>
        <w:t xml:space="preserve">and one </w:t>
      </w:r>
      <w:r w:rsidR="009E30CF" w:rsidRPr="003225FD">
        <w:rPr>
          <w:rFonts w:asciiTheme="majorBidi" w:hAnsiTheme="majorBidi"/>
        </w:rPr>
        <w:t xml:space="preserve">local </w:t>
      </w:r>
      <w:r w:rsidR="007503FA" w:rsidRPr="003225FD">
        <w:rPr>
          <w:rFonts w:asciiTheme="majorBidi" w:hAnsiTheme="majorBidi"/>
        </w:rPr>
        <w:t>newspaper</w:t>
      </w:r>
      <w:r w:rsidR="0042250E" w:rsidRPr="003225FD">
        <w:rPr>
          <w:rFonts w:asciiTheme="majorBidi" w:hAnsiTheme="majorBidi"/>
        </w:rPr>
        <w:t>,</w:t>
      </w:r>
      <w:r w:rsidR="007503FA" w:rsidRPr="003225FD">
        <w:rPr>
          <w:rFonts w:asciiTheme="majorBidi" w:hAnsiTheme="majorBidi"/>
        </w:rPr>
        <w:t xml:space="preserve"> and the same billboards as for the </w:t>
      </w:r>
      <w:r w:rsidR="00B721B8" w:rsidRPr="003225FD">
        <w:rPr>
          <w:rFonts w:asciiTheme="majorBidi" w:hAnsiTheme="majorBidi"/>
        </w:rPr>
        <w:t xml:space="preserve">18 May 2010 </w:t>
      </w:r>
      <w:r w:rsidR="007503FA" w:rsidRPr="003225FD">
        <w:rPr>
          <w:rFonts w:asciiTheme="majorBidi" w:hAnsiTheme="majorBidi"/>
        </w:rPr>
        <w:t>hearing.</w:t>
      </w:r>
      <w:r w:rsidR="00B721B8" w:rsidRPr="00001B0D">
        <w:rPr>
          <w:rStyle w:val="FootnoteReference"/>
          <w:rFonts w:asciiTheme="majorBidi" w:hAnsiTheme="majorBidi"/>
          <w:sz w:val="20"/>
        </w:rPr>
        <w:footnoteReference w:id="95"/>
      </w:r>
      <w:r w:rsidR="00AD2DA8" w:rsidRPr="00001B0D">
        <w:rPr>
          <w:rFonts w:asciiTheme="majorBidi" w:hAnsiTheme="majorBidi"/>
        </w:rPr>
        <w:t xml:space="preserve"> </w:t>
      </w:r>
      <w:r w:rsidR="0059265A" w:rsidRPr="00001B0D">
        <w:rPr>
          <w:rFonts w:asciiTheme="majorBidi" w:hAnsiTheme="majorBidi"/>
        </w:rPr>
        <w:t>No</w:t>
      </w:r>
      <w:r w:rsidR="00FC25F3" w:rsidRPr="003225FD">
        <w:rPr>
          <w:rFonts w:asciiTheme="majorBidi" w:hAnsiTheme="majorBidi"/>
        </w:rPr>
        <w:t xml:space="preserve"> </w:t>
      </w:r>
      <w:r w:rsidR="00AD2DA8" w:rsidRPr="003225FD">
        <w:rPr>
          <w:rFonts w:asciiTheme="majorBidi" w:hAnsiTheme="majorBidi"/>
        </w:rPr>
        <w:t>information</w:t>
      </w:r>
      <w:r w:rsidR="007503FA" w:rsidRPr="003225FD">
        <w:rPr>
          <w:rFonts w:asciiTheme="majorBidi" w:hAnsiTheme="majorBidi"/>
        </w:rPr>
        <w:t xml:space="preserve"> </w:t>
      </w:r>
      <w:r w:rsidR="0059265A" w:rsidRPr="003225FD">
        <w:rPr>
          <w:rFonts w:asciiTheme="majorBidi" w:hAnsiTheme="majorBidi"/>
        </w:rPr>
        <w:t xml:space="preserve">has been </w:t>
      </w:r>
      <w:r w:rsidR="007503FA" w:rsidRPr="003225FD">
        <w:rPr>
          <w:rFonts w:asciiTheme="majorBidi" w:hAnsiTheme="majorBidi"/>
        </w:rPr>
        <w:t>provided</w:t>
      </w:r>
      <w:r w:rsidR="0059265A" w:rsidRPr="003225FD">
        <w:rPr>
          <w:rFonts w:asciiTheme="majorBidi" w:hAnsiTheme="majorBidi"/>
        </w:rPr>
        <w:t xml:space="preserve"> to indicate </w:t>
      </w:r>
      <w:r w:rsidR="007503FA" w:rsidRPr="003225FD">
        <w:rPr>
          <w:rFonts w:asciiTheme="majorBidi" w:hAnsiTheme="majorBidi"/>
        </w:rPr>
        <w:t>that the</w:t>
      </w:r>
      <w:r w:rsidR="0090081A" w:rsidRPr="003225FD">
        <w:rPr>
          <w:rFonts w:asciiTheme="majorBidi" w:hAnsiTheme="majorBidi"/>
        </w:rPr>
        <w:t>se</w:t>
      </w:r>
      <w:r w:rsidR="007503FA" w:rsidRPr="003225FD">
        <w:rPr>
          <w:rFonts w:asciiTheme="majorBidi" w:hAnsiTheme="majorBidi"/>
        </w:rPr>
        <w:t xml:space="preserve"> newspapers had very low</w:t>
      </w:r>
      <w:r w:rsidR="00800714" w:rsidRPr="003225FD">
        <w:rPr>
          <w:rFonts w:asciiTheme="majorBidi" w:hAnsiTheme="majorBidi"/>
        </w:rPr>
        <w:t xml:space="preserve"> </w:t>
      </w:r>
      <w:r w:rsidR="007503FA" w:rsidRPr="003225FD">
        <w:rPr>
          <w:rFonts w:asciiTheme="majorBidi" w:hAnsiTheme="majorBidi"/>
        </w:rPr>
        <w:t>di</w:t>
      </w:r>
      <w:r w:rsidR="00BA31B0" w:rsidRPr="003225FD">
        <w:rPr>
          <w:rFonts w:asciiTheme="majorBidi" w:hAnsiTheme="majorBidi"/>
        </w:rPr>
        <w:t>stribution.</w:t>
      </w:r>
    </w:p>
    <w:p w14:paraId="62EE201E" w14:textId="47E922CC" w:rsidR="000E53C7" w:rsidRPr="003225FD" w:rsidRDefault="007503FA" w:rsidP="00CA4A21">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The</w:t>
      </w:r>
      <w:r w:rsidR="009E30CF" w:rsidRPr="003225FD">
        <w:rPr>
          <w:rFonts w:asciiTheme="majorBidi" w:hAnsiTheme="majorBidi"/>
        </w:rPr>
        <w:t xml:space="preserve">se </w:t>
      </w:r>
      <w:r w:rsidRPr="003225FD">
        <w:rPr>
          <w:rFonts w:asciiTheme="majorBidi" w:hAnsiTheme="majorBidi"/>
        </w:rPr>
        <w:t xml:space="preserve">methods of informing the public </w:t>
      </w:r>
      <w:r w:rsidR="009E30CF" w:rsidRPr="003225FD">
        <w:rPr>
          <w:rFonts w:asciiTheme="majorBidi" w:hAnsiTheme="majorBidi"/>
        </w:rPr>
        <w:t>are not</w:t>
      </w:r>
      <w:r w:rsidR="000D74CA" w:rsidRPr="003225FD">
        <w:rPr>
          <w:rFonts w:asciiTheme="majorBidi" w:hAnsiTheme="majorBidi"/>
        </w:rPr>
        <w:t xml:space="preserve"> </w:t>
      </w:r>
      <w:r w:rsidR="009C7440" w:rsidRPr="003225FD">
        <w:rPr>
          <w:rFonts w:asciiTheme="majorBidi" w:hAnsiTheme="majorBidi"/>
        </w:rPr>
        <w:t>per se</w:t>
      </w:r>
      <w:r w:rsidRPr="003225FD">
        <w:rPr>
          <w:rFonts w:asciiTheme="majorBidi" w:hAnsiTheme="majorBidi"/>
        </w:rPr>
        <w:t xml:space="preserve"> insufficient.</w:t>
      </w:r>
      <w:r w:rsidR="00BA31B0" w:rsidRPr="003225FD">
        <w:rPr>
          <w:rFonts w:asciiTheme="majorBidi" w:hAnsiTheme="majorBidi"/>
        </w:rPr>
        <w:t xml:space="preserve"> </w:t>
      </w:r>
      <w:r w:rsidR="005E70EA" w:rsidRPr="003225FD">
        <w:rPr>
          <w:rFonts w:asciiTheme="majorBidi" w:hAnsiTheme="majorBidi"/>
        </w:rPr>
        <w:t xml:space="preserve">Whilst the fact that no members of the public participated in the 18 May 2010 hearing on the SEA and special plan is significant, lack of attendance does not necessarily mean that the notice itself was ineffective. </w:t>
      </w:r>
      <w:r w:rsidR="00A0122F" w:rsidRPr="003225FD">
        <w:rPr>
          <w:rFonts w:asciiTheme="majorBidi" w:hAnsiTheme="majorBidi"/>
        </w:rPr>
        <w:t>H</w:t>
      </w:r>
      <w:r w:rsidR="00BA31B0" w:rsidRPr="003225FD">
        <w:rPr>
          <w:rFonts w:asciiTheme="majorBidi" w:hAnsiTheme="majorBidi"/>
        </w:rPr>
        <w:t xml:space="preserve">owever, </w:t>
      </w:r>
      <w:r w:rsidR="002E1ED5" w:rsidRPr="003225FD">
        <w:rPr>
          <w:rFonts w:asciiTheme="majorBidi" w:hAnsiTheme="majorBidi"/>
        </w:rPr>
        <w:t xml:space="preserve">public authorities should </w:t>
      </w:r>
      <w:r w:rsidR="00CA4A21" w:rsidRPr="003225FD">
        <w:rPr>
          <w:rFonts w:asciiTheme="majorBidi" w:hAnsiTheme="majorBidi"/>
        </w:rPr>
        <w:t xml:space="preserve">take care to </w:t>
      </w:r>
      <w:r w:rsidR="009A77A0" w:rsidRPr="003225FD">
        <w:rPr>
          <w:rFonts w:asciiTheme="majorBidi" w:hAnsiTheme="majorBidi"/>
        </w:rPr>
        <w:t>choose</w:t>
      </w:r>
      <w:r w:rsidR="002E1ED5" w:rsidRPr="003225FD">
        <w:rPr>
          <w:rFonts w:asciiTheme="majorBidi" w:hAnsiTheme="majorBidi"/>
        </w:rPr>
        <w:t xml:space="preserve"> effective methods of notification</w:t>
      </w:r>
      <w:r w:rsidR="0042250E" w:rsidRPr="003225FD">
        <w:rPr>
          <w:rFonts w:asciiTheme="majorBidi" w:hAnsiTheme="majorBidi"/>
        </w:rPr>
        <w:t>,</w:t>
      </w:r>
      <w:r w:rsidR="002E1ED5" w:rsidRPr="003225FD">
        <w:rPr>
          <w:rFonts w:asciiTheme="majorBidi" w:hAnsiTheme="majorBidi"/>
        </w:rPr>
        <w:t xml:space="preserve"> and if experience shows that the </w:t>
      </w:r>
      <w:r w:rsidR="0042250E" w:rsidRPr="003225FD">
        <w:rPr>
          <w:rFonts w:asciiTheme="majorBidi" w:hAnsiTheme="majorBidi"/>
        </w:rPr>
        <w:t xml:space="preserve">methods </w:t>
      </w:r>
      <w:r w:rsidR="00CA4A21" w:rsidRPr="003225FD">
        <w:rPr>
          <w:rFonts w:asciiTheme="majorBidi" w:hAnsiTheme="majorBidi"/>
        </w:rPr>
        <w:t xml:space="preserve">used </w:t>
      </w:r>
      <w:r w:rsidR="0042250E" w:rsidRPr="003225FD">
        <w:rPr>
          <w:rFonts w:asciiTheme="majorBidi" w:hAnsiTheme="majorBidi"/>
        </w:rPr>
        <w:t xml:space="preserve">do </w:t>
      </w:r>
      <w:r w:rsidR="002E1ED5" w:rsidRPr="003225FD">
        <w:rPr>
          <w:rFonts w:asciiTheme="majorBidi" w:hAnsiTheme="majorBidi"/>
        </w:rPr>
        <w:t xml:space="preserve">not result in </w:t>
      </w:r>
      <w:r w:rsidR="0092437D" w:rsidRPr="003225FD">
        <w:rPr>
          <w:rFonts w:asciiTheme="majorBidi" w:hAnsiTheme="majorBidi"/>
        </w:rPr>
        <w:t xml:space="preserve">the </w:t>
      </w:r>
      <w:r w:rsidR="002E1ED5" w:rsidRPr="003225FD">
        <w:rPr>
          <w:rFonts w:asciiTheme="majorBidi" w:hAnsiTheme="majorBidi"/>
        </w:rPr>
        <w:t>participation</w:t>
      </w:r>
      <w:r w:rsidR="0092437D" w:rsidRPr="003225FD">
        <w:rPr>
          <w:rFonts w:asciiTheme="majorBidi" w:hAnsiTheme="majorBidi"/>
        </w:rPr>
        <w:t xml:space="preserve"> of the public concerned</w:t>
      </w:r>
      <w:r w:rsidR="002E1ED5" w:rsidRPr="003225FD">
        <w:rPr>
          <w:rFonts w:asciiTheme="majorBidi" w:hAnsiTheme="majorBidi"/>
        </w:rPr>
        <w:t xml:space="preserve">, </w:t>
      </w:r>
      <w:r w:rsidR="0042250E" w:rsidRPr="003225FD">
        <w:rPr>
          <w:rFonts w:asciiTheme="majorBidi" w:hAnsiTheme="majorBidi"/>
        </w:rPr>
        <w:t>they</w:t>
      </w:r>
      <w:r w:rsidR="002E1ED5" w:rsidRPr="003225FD">
        <w:rPr>
          <w:rFonts w:asciiTheme="majorBidi" w:hAnsiTheme="majorBidi"/>
        </w:rPr>
        <w:t xml:space="preserve"> should be reconsidered.</w:t>
      </w:r>
      <w:r w:rsidR="00BA31B0" w:rsidRPr="003225FD">
        <w:rPr>
          <w:rFonts w:asciiTheme="majorBidi" w:hAnsiTheme="majorBidi"/>
        </w:rPr>
        <w:t xml:space="preserve"> </w:t>
      </w:r>
      <w:r w:rsidR="00252D3E" w:rsidRPr="003225FD">
        <w:rPr>
          <w:rFonts w:asciiTheme="majorBidi" w:hAnsiTheme="majorBidi"/>
        </w:rPr>
        <w:t>Lithuanian</w:t>
      </w:r>
      <w:r w:rsidR="009A77A0" w:rsidRPr="003225FD">
        <w:rPr>
          <w:rFonts w:asciiTheme="majorBidi" w:hAnsiTheme="majorBidi"/>
        </w:rPr>
        <w:t xml:space="preserve"> legislation refers to notification “if possible” in radio and television</w:t>
      </w:r>
      <w:r w:rsidR="00A0122F" w:rsidRPr="003225FD">
        <w:rPr>
          <w:rFonts w:asciiTheme="majorBidi" w:hAnsiTheme="majorBidi"/>
        </w:rPr>
        <w:t xml:space="preserve">, </w:t>
      </w:r>
      <w:r w:rsidR="00DF69F9" w:rsidRPr="003225FD">
        <w:rPr>
          <w:rFonts w:asciiTheme="majorBidi" w:hAnsiTheme="majorBidi"/>
        </w:rPr>
        <w:t>which may have been a useful method in this case</w:t>
      </w:r>
      <w:r w:rsidR="009A77A0" w:rsidRPr="003225FD">
        <w:rPr>
          <w:rFonts w:asciiTheme="majorBidi" w:hAnsiTheme="majorBidi"/>
        </w:rPr>
        <w:t>.</w:t>
      </w:r>
      <w:r w:rsidR="009A77A0" w:rsidRPr="00001B0D">
        <w:rPr>
          <w:rStyle w:val="FootnoteReference"/>
          <w:rFonts w:asciiTheme="majorBidi" w:hAnsiTheme="majorBidi"/>
          <w:sz w:val="20"/>
        </w:rPr>
        <w:footnoteReference w:id="96"/>
      </w:r>
      <w:r w:rsidR="009A77A0" w:rsidRPr="00001B0D">
        <w:rPr>
          <w:rFonts w:asciiTheme="majorBidi" w:hAnsiTheme="majorBidi"/>
        </w:rPr>
        <w:t xml:space="preserve"> </w:t>
      </w:r>
      <w:r w:rsidR="00FF314C" w:rsidRPr="00001B0D">
        <w:rPr>
          <w:rFonts w:asciiTheme="majorBidi" w:hAnsiTheme="majorBidi"/>
        </w:rPr>
        <w:t>H</w:t>
      </w:r>
      <w:r w:rsidR="009C7440" w:rsidRPr="003225FD">
        <w:rPr>
          <w:rFonts w:asciiTheme="majorBidi" w:hAnsiTheme="majorBidi"/>
        </w:rPr>
        <w:t xml:space="preserve">owever, the communicant has </w:t>
      </w:r>
      <w:r w:rsidR="00583D01" w:rsidRPr="003225FD">
        <w:rPr>
          <w:rFonts w:asciiTheme="majorBidi" w:hAnsiTheme="majorBidi"/>
        </w:rPr>
        <w:t xml:space="preserve">not </w:t>
      </w:r>
      <w:r w:rsidR="009C7440" w:rsidRPr="003225FD">
        <w:rPr>
          <w:rFonts w:asciiTheme="majorBidi" w:hAnsiTheme="majorBidi"/>
        </w:rPr>
        <w:t>provided sufficient evidence</w:t>
      </w:r>
      <w:r w:rsidR="00FF314C" w:rsidRPr="003225FD">
        <w:rPr>
          <w:rFonts w:asciiTheme="majorBidi" w:hAnsiTheme="majorBidi"/>
        </w:rPr>
        <w:t xml:space="preserve"> to </w:t>
      </w:r>
      <w:r w:rsidR="009C7440" w:rsidRPr="003225FD">
        <w:rPr>
          <w:rFonts w:asciiTheme="majorBidi" w:hAnsiTheme="majorBidi"/>
        </w:rPr>
        <w:t xml:space="preserve">show </w:t>
      </w:r>
      <w:r w:rsidR="00FF314C" w:rsidRPr="003225FD">
        <w:rPr>
          <w:rFonts w:asciiTheme="majorBidi" w:hAnsiTheme="majorBidi"/>
        </w:rPr>
        <w:t xml:space="preserve">that </w:t>
      </w:r>
      <w:r w:rsidR="009C7440" w:rsidRPr="003225FD">
        <w:rPr>
          <w:rFonts w:asciiTheme="majorBidi" w:hAnsiTheme="majorBidi"/>
        </w:rPr>
        <w:t xml:space="preserve">the methods used did not ensure effective notification </w:t>
      </w:r>
      <w:r w:rsidR="00FF314C" w:rsidRPr="003225FD">
        <w:rPr>
          <w:rFonts w:asciiTheme="majorBidi" w:hAnsiTheme="majorBidi"/>
        </w:rPr>
        <w:t xml:space="preserve">and the Committee </w:t>
      </w:r>
      <w:r w:rsidR="0092437D" w:rsidRPr="003225FD">
        <w:rPr>
          <w:rFonts w:asciiTheme="majorBidi" w:hAnsiTheme="majorBidi"/>
        </w:rPr>
        <w:t xml:space="preserve">accordingly </w:t>
      </w:r>
      <w:r w:rsidR="00CA4A21" w:rsidRPr="003225FD">
        <w:rPr>
          <w:rFonts w:asciiTheme="majorBidi" w:hAnsiTheme="majorBidi"/>
        </w:rPr>
        <w:t>does not find</w:t>
      </w:r>
      <w:r w:rsidR="007831A4" w:rsidRPr="003225FD">
        <w:rPr>
          <w:rFonts w:asciiTheme="majorBidi" w:hAnsiTheme="majorBidi"/>
        </w:rPr>
        <w:t xml:space="preserve"> </w:t>
      </w:r>
      <w:r w:rsidR="00FF314C" w:rsidRPr="003225FD">
        <w:rPr>
          <w:rFonts w:asciiTheme="majorBidi" w:hAnsiTheme="majorBidi"/>
        </w:rPr>
        <w:t>non-compliance</w:t>
      </w:r>
      <w:r w:rsidR="00CA4A21" w:rsidRPr="003225FD">
        <w:rPr>
          <w:rFonts w:asciiTheme="majorBidi" w:hAnsiTheme="majorBidi"/>
        </w:rPr>
        <w:t xml:space="preserve"> with article 6(2)</w:t>
      </w:r>
      <w:r w:rsidR="00FF314C" w:rsidRPr="003225FD">
        <w:rPr>
          <w:rFonts w:asciiTheme="majorBidi" w:hAnsiTheme="majorBidi"/>
        </w:rPr>
        <w:t xml:space="preserve"> in this regard</w:t>
      </w:r>
      <w:r w:rsidR="009C7440" w:rsidRPr="003225FD">
        <w:rPr>
          <w:rFonts w:asciiTheme="majorBidi" w:hAnsiTheme="majorBidi"/>
        </w:rPr>
        <w:t>.</w:t>
      </w:r>
    </w:p>
    <w:p w14:paraId="74283BFF" w14:textId="5DCDEF25" w:rsidR="002D66D5" w:rsidRPr="003225FD" w:rsidRDefault="000643BC" w:rsidP="00EE4AB9">
      <w:pPr>
        <w:pStyle w:val="SingleTxtG"/>
        <w:suppressAutoHyphens w:val="0"/>
        <w:autoSpaceDE w:val="0"/>
        <w:autoSpaceDN w:val="0"/>
        <w:adjustRightInd w:val="0"/>
        <w:spacing w:line="240" w:lineRule="auto"/>
        <w:rPr>
          <w:rFonts w:asciiTheme="majorBidi" w:hAnsiTheme="majorBidi"/>
          <w:i/>
        </w:rPr>
      </w:pPr>
      <w:r w:rsidRPr="003225FD">
        <w:rPr>
          <w:rFonts w:asciiTheme="majorBidi" w:hAnsiTheme="majorBidi"/>
          <w:i/>
        </w:rPr>
        <w:t xml:space="preserve">Size and format </w:t>
      </w:r>
    </w:p>
    <w:p w14:paraId="4701DEB8" w14:textId="31969DE7" w:rsidR="002D66D5" w:rsidRPr="003225FD" w:rsidRDefault="009A75EC" w:rsidP="009A75EC">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T</w:t>
      </w:r>
      <w:r w:rsidR="000B23CB" w:rsidRPr="003225FD">
        <w:rPr>
          <w:rFonts w:asciiTheme="majorBidi" w:hAnsiTheme="majorBidi"/>
        </w:rPr>
        <w:t xml:space="preserve">he </w:t>
      </w:r>
      <w:r w:rsidR="00B44FAF" w:rsidRPr="003225FD">
        <w:rPr>
          <w:rFonts w:asciiTheme="majorBidi" w:hAnsiTheme="majorBidi"/>
        </w:rPr>
        <w:t xml:space="preserve">Party concerned </w:t>
      </w:r>
      <w:r w:rsidR="00A554E9" w:rsidRPr="003225FD">
        <w:rPr>
          <w:rFonts w:asciiTheme="majorBidi" w:hAnsiTheme="majorBidi"/>
        </w:rPr>
        <w:t xml:space="preserve">has </w:t>
      </w:r>
      <w:r w:rsidR="00DA13A2" w:rsidRPr="003225FD">
        <w:rPr>
          <w:rFonts w:asciiTheme="majorBidi" w:hAnsiTheme="majorBidi"/>
        </w:rPr>
        <w:t xml:space="preserve">provided </w:t>
      </w:r>
      <w:r w:rsidR="00AD2DA8" w:rsidRPr="003225FD">
        <w:rPr>
          <w:rFonts w:asciiTheme="majorBidi" w:hAnsiTheme="majorBidi"/>
        </w:rPr>
        <w:t xml:space="preserve">copies of the </w:t>
      </w:r>
      <w:r w:rsidR="00DA13A2" w:rsidRPr="003225FD">
        <w:rPr>
          <w:rFonts w:asciiTheme="majorBidi" w:hAnsiTheme="majorBidi"/>
        </w:rPr>
        <w:t>notifications regarding</w:t>
      </w:r>
      <w:r w:rsidR="00B44FAF" w:rsidRPr="003225FD">
        <w:rPr>
          <w:rFonts w:asciiTheme="majorBidi" w:hAnsiTheme="majorBidi"/>
        </w:rPr>
        <w:t xml:space="preserve"> </w:t>
      </w:r>
      <w:r w:rsidR="00DA13A2" w:rsidRPr="003225FD">
        <w:rPr>
          <w:rFonts w:asciiTheme="majorBidi" w:hAnsiTheme="majorBidi"/>
        </w:rPr>
        <w:t>the</w:t>
      </w:r>
      <w:r w:rsidR="00F04D6B" w:rsidRPr="003225FD">
        <w:rPr>
          <w:rFonts w:asciiTheme="majorBidi" w:hAnsiTheme="majorBidi"/>
        </w:rPr>
        <w:t xml:space="preserve"> public participation procedure on the</w:t>
      </w:r>
      <w:r w:rsidR="00DA13A2" w:rsidRPr="003225FD">
        <w:rPr>
          <w:rFonts w:asciiTheme="majorBidi" w:hAnsiTheme="majorBidi"/>
        </w:rPr>
        <w:t xml:space="preserve"> EIA report, including the public hearings held between 13-19 July 2010</w:t>
      </w:r>
      <w:r w:rsidR="004B29F7" w:rsidRPr="003225FD">
        <w:rPr>
          <w:rFonts w:asciiTheme="majorBidi" w:hAnsiTheme="majorBidi"/>
        </w:rPr>
        <w:t>.</w:t>
      </w:r>
      <w:r w:rsidR="00AD2DA8" w:rsidRPr="00001B0D">
        <w:rPr>
          <w:rStyle w:val="FootnoteReference"/>
          <w:rFonts w:asciiTheme="majorBidi" w:hAnsiTheme="majorBidi"/>
          <w:sz w:val="20"/>
        </w:rPr>
        <w:footnoteReference w:id="97"/>
      </w:r>
      <w:r w:rsidR="004B29F7" w:rsidRPr="00001B0D">
        <w:rPr>
          <w:rFonts w:asciiTheme="majorBidi" w:hAnsiTheme="majorBidi"/>
        </w:rPr>
        <w:t xml:space="preserve"> </w:t>
      </w:r>
      <w:r w:rsidR="00AD2DA8" w:rsidRPr="00001B0D">
        <w:rPr>
          <w:rFonts w:asciiTheme="majorBidi" w:hAnsiTheme="majorBidi"/>
        </w:rPr>
        <w:t>Th</w:t>
      </w:r>
      <w:r w:rsidR="00DA13A2" w:rsidRPr="003225FD">
        <w:rPr>
          <w:rFonts w:asciiTheme="majorBidi" w:hAnsiTheme="majorBidi"/>
        </w:rPr>
        <w:t xml:space="preserve">e </w:t>
      </w:r>
      <w:r w:rsidR="00CD297A" w:rsidRPr="003225FD">
        <w:rPr>
          <w:rFonts w:asciiTheme="majorBidi" w:hAnsiTheme="majorBidi"/>
        </w:rPr>
        <w:t xml:space="preserve">Committee considers that the </w:t>
      </w:r>
      <w:r w:rsidR="004B29F7" w:rsidRPr="003225FD">
        <w:rPr>
          <w:rFonts w:asciiTheme="majorBidi" w:hAnsiTheme="majorBidi"/>
        </w:rPr>
        <w:t>size</w:t>
      </w:r>
      <w:r w:rsidR="000643BC" w:rsidRPr="003225FD">
        <w:rPr>
          <w:rFonts w:asciiTheme="majorBidi" w:hAnsiTheme="majorBidi"/>
        </w:rPr>
        <w:t xml:space="preserve"> and form</w:t>
      </w:r>
      <w:r w:rsidR="00AD2DA8" w:rsidRPr="003225FD">
        <w:rPr>
          <w:rFonts w:asciiTheme="majorBidi" w:hAnsiTheme="majorBidi"/>
        </w:rPr>
        <w:t xml:space="preserve"> of the</w:t>
      </w:r>
      <w:r w:rsidR="00DA13A2" w:rsidRPr="003225FD">
        <w:rPr>
          <w:rFonts w:asciiTheme="majorBidi" w:hAnsiTheme="majorBidi"/>
        </w:rPr>
        <w:t>se</w:t>
      </w:r>
      <w:r w:rsidR="00AD2DA8" w:rsidRPr="003225FD">
        <w:rPr>
          <w:rFonts w:asciiTheme="majorBidi" w:hAnsiTheme="majorBidi"/>
        </w:rPr>
        <w:t xml:space="preserve"> </w:t>
      </w:r>
      <w:r w:rsidR="0063530D" w:rsidRPr="003225FD">
        <w:rPr>
          <w:rFonts w:asciiTheme="majorBidi" w:hAnsiTheme="majorBidi"/>
        </w:rPr>
        <w:t xml:space="preserve">notices </w:t>
      </w:r>
      <w:r w:rsidR="00DA13A2" w:rsidRPr="003225FD">
        <w:rPr>
          <w:rFonts w:asciiTheme="majorBidi" w:hAnsiTheme="majorBidi"/>
        </w:rPr>
        <w:t xml:space="preserve">in general appear to </w:t>
      </w:r>
      <w:r w:rsidR="000B23CB" w:rsidRPr="003225FD">
        <w:rPr>
          <w:rFonts w:asciiTheme="majorBidi" w:hAnsiTheme="majorBidi"/>
        </w:rPr>
        <w:t>meet the criteria of article 6</w:t>
      </w:r>
      <w:r w:rsidR="00B06BF3" w:rsidRPr="003225FD">
        <w:rPr>
          <w:rFonts w:asciiTheme="majorBidi" w:hAnsiTheme="majorBidi"/>
        </w:rPr>
        <w:t>(</w:t>
      </w:r>
      <w:r w:rsidR="000B23CB" w:rsidRPr="003225FD">
        <w:rPr>
          <w:rFonts w:asciiTheme="majorBidi" w:hAnsiTheme="majorBidi"/>
        </w:rPr>
        <w:t>2</w:t>
      </w:r>
      <w:r w:rsidR="00B06BF3" w:rsidRPr="003225FD">
        <w:rPr>
          <w:rFonts w:asciiTheme="majorBidi" w:hAnsiTheme="majorBidi"/>
        </w:rPr>
        <w:t>)</w:t>
      </w:r>
      <w:r w:rsidR="00FA58AE" w:rsidRPr="003225FD">
        <w:rPr>
          <w:rFonts w:asciiTheme="majorBidi" w:hAnsiTheme="majorBidi"/>
        </w:rPr>
        <w:t xml:space="preserve"> </w:t>
      </w:r>
      <w:r w:rsidR="000B23CB" w:rsidRPr="003225FD">
        <w:rPr>
          <w:rFonts w:asciiTheme="majorBidi" w:hAnsiTheme="majorBidi"/>
        </w:rPr>
        <w:t xml:space="preserve">of the Convention. </w:t>
      </w:r>
    </w:p>
    <w:p w14:paraId="21123D46" w14:textId="7A3461CF" w:rsidR="00220653" w:rsidRPr="003225FD" w:rsidRDefault="000643BC" w:rsidP="000D5D65">
      <w:pPr>
        <w:pStyle w:val="SingleTxtG"/>
        <w:suppressAutoHyphens w:val="0"/>
        <w:autoSpaceDE w:val="0"/>
        <w:autoSpaceDN w:val="0"/>
        <w:adjustRightInd w:val="0"/>
        <w:spacing w:line="240" w:lineRule="auto"/>
        <w:rPr>
          <w:rFonts w:asciiTheme="majorBidi" w:hAnsiTheme="majorBidi"/>
          <w:i/>
        </w:rPr>
      </w:pPr>
      <w:r w:rsidRPr="003225FD">
        <w:rPr>
          <w:rFonts w:asciiTheme="majorBidi" w:hAnsiTheme="majorBidi"/>
          <w:i/>
        </w:rPr>
        <w:t xml:space="preserve">Content </w:t>
      </w:r>
    </w:p>
    <w:p w14:paraId="7AE27C5D" w14:textId="043DB035" w:rsidR="00CC0533" w:rsidRPr="003225FD" w:rsidRDefault="00B44FAF" w:rsidP="00926E37">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bookmarkStart w:id="53" w:name="_Ref514098639"/>
      <w:r w:rsidRPr="003225FD">
        <w:rPr>
          <w:rFonts w:asciiTheme="majorBidi" w:hAnsiTheme="majorBidi"/>
        </w:rPr>
        <w:t>B</w:t>
      </w:r>
      <w:r w:rsidR="004B37AD" w:rsidRPr="003225FD">
        <w:rPr>
          <w:rFonts w:asciiTheme="majorBidi" w:hAnsiTheme="majorBidi"/>
        </w:rPr>
        <w:t>ased on the dates provided</w:t>
      </w:r>
      <w:r w:rsidR="0059265A" w:rsidRPr="003225FD">
        <w:rPr>
          <w:rFonts w:asciiTheme="majorBidi" w:hAnsiTheme="majorBidi"/>
        </w:rPr>
        <w:t>,</w:t>
      </w:r>
      <w:r w:rsidR="004B37AD" w:rsidRPr="003225FD">
        <w:rPr>
          <w:rFonts w:asciiTheme="majorBidi" w:hAnsiTheme="majorBidi"/>
        </w:rPr>
        <w:t xml:space="preserve"> </w:t>
      </w:r>
      <w:r w:rsidR="003316D6" w:rsidRPr="003225FD">
        <w:rPr>
          <w:rFonts w:asciiTheme="majorBidi" w:hAnsiTheme="majorBidi"/>
        </w:rPr>
        <w:t xml:space="preserve">it appears </w:t>
      </w:r>
      <w:r w:rsidR="005C3B34" w:rsidRPr="003225FD">
        <w:rPr>
          <w:rFonts w:asciiTheme="majorBidi" w:hAnsiTheme="majorBidi"/>
        </w:rPr>
        <w:t>the public had 10-</w:t>
      </w:r>
      <w:r w:rsidR="002014D1" w:rsidRPr="003225FD">
        <w:rPr>
          <w:rFonts w:asciiTheme="majorBidi" w:hAnsiTheme="majorBidi"/>
        </w:rPr>
        <w:t>16</w:t>
      </w:r>
      <w:r w:rsidR="004B37AD" w:rsidRPr="003225FD">
        <w:rPr>
          <w:rFonts w:asciiTheme="majorBidi" w:hAnsiTheme="majorBidi"/>
        </w:rPr>
        <w:t xml:space="preserve"> working days to </w:t>
      </w:r>
      <w:r w:rsidR="00926E37" w:rsidRPr="003225FD">
        <w:rPr>
          <w:rFonts w:asciiTheme="majorBidi" w:hAnsiTheme="majorBidi"/>
        </w:rPr>
        <w:t xml:space="preserve">submit comments </w:t>
      </w:r>
      <w:r w:rsidR="0059265A" w:rsidRPr="003225FD">
        <w:rPr>
          <w:rFonts w:asciiTheme="majorBidi" w:hAnsiTheme="majorBidi"/>
        </w:rPr>
        <w:t>before</w:t>
      </w:r>
      <w:r w:rsidR="00926E37" w:rsidRPr="003225FD">
        <w:rPr>
          <w:rFonts w:asciiTheme="majorBidi" w:hAnsiTheme="majorBidi"/>
        </w:rPr>
        <w:t xml:space="preserve"> </w:t>
      </w:r>
      <w:r w:rsidR="004B37AD" w:rsidRPr="003225FD">
        <w:rPr>
          <w:rFonts w:asciiTheme="majorBidi" w:hAnsiTheme="majorBidi"/>
        </w:rPr>
        <w:t xml:space="preserve">the hearing, </w:t>
      </w:r>
      <w:r w:rsidR="00926E37" w:rsidRPr="003225FD">
        <w:rPr>
          <w:rFonts w:asciiTheme="majorBidi" w:hAnsiTheme="majorBidi"/>
        </w:rPr>
        <w:t xml:space="preserve">depending on </w:t>
      </w:r>
      <w:r w:rsidR="0059265A" w:rsidRPr="003225FD">
        <w:rPr>
          <w:rFonts w:asciiTheme="majorBidi" w:hAnsiTheme="majorBidi"/>
        </w:rPr>
        <w:t>which</w:t>
      </w:r>
      <w:r w:rsidR="00926E37" w:rsidRPr="003225FD">
        <w:rPr>
          <w:rFonts w:asciiTheme="majorBidi" w:hAnsiTheme="majorBidi"/>
        </w:rPr>
        <w:t xml:space="preserve"> hearing they attended, </w:t>
      </w:r>
      <w:r w:rsidR="004B37AD" w:rsidRPr="003225FD">
        <w:rPr>
          <w:rFonts w:asciiTheme="majorBidi" w:hAnsiTheme="majorBidi"/>
        </w:rPr>
        <w:t>and 2</w:t>
      </w:r>
      <w:r w:rsidR="002014D1" w:rsidRPr="003225FD">
        <w:rPr>
          <w:rFonts w:asciiTheme="majorBidi" w:hAnsiTheme="majorBidi"/>
        </w:rPr>
        <w:t>0</w:t>
      </w:r>
      <w:r w:rsidR="004B37AD" w:rsidRPr="003225FD">
        <w:rPr>
          <w:rFonts w:asciiTheme="majorBidi" w:hAnsiTheme="majorBidi"/>
        </w:rPr>
        <w:t>-</w:t>
      </w:r>
      <w:r w:rsidR="002014D1" w:rsidRPr="003225FD">
        <w:rPr>
          <w:rFonts w:asciiTheme="majorBidi" w:hAnsiTheme="majorBidi"/>
        </w:rPr>
        <w:t>26</w:t>
      </w:r>
      <w:r w:rsidR="004B37AD" w:rsidRPr="003225FD">
        <w:rPr>
          <w:rFonts w:asciiTheme="majorBidi" w:hAnsiTheme="majorBidi"/>
        </w:rPr>
        <w:t xml:space="preserve"> working days to inspect the report</w:t>
      </w:r>
      <w:r w:rsidR="00926E37" w:rsidRPr="003225FD">
        <w:rPr>
          <w:rFonts w:asciiTheme="majorBidi" w:hAnsiTheme="majorBidi"/>
        </w:rPr>
        <w:t xml:space="preserve"> </w:t>
      </w:r>
      <w:r w:rsidR="00852CB8" w:rsidRPr="003225FD">
        <w:rPr>
          <w:rFonts w:asciiTheme="majorBidi" w:hAnsiTheme="majorBidi"/>
        </w:rPr>
        <w:t xml:space="preserve">and </w:t>
      </w:r>
      <w:r w:rsidR="00926E37" w:rsidRPr="003225FD">
        <w:rPr>
          <w:rFonts w:asciiTheme="majorBidi" w:hAnsiTheme="majorBidi"/>
        </w:rPr>
        <w:t>submit comments in total</w:t>
      </w:r>
      <w:r w:rsidR="004B37AD" w:rsidRPr="003225FD">
        <w:rPr>
          <w:rFonts w:asciiTheme="majorBidi" w:hAnsiTheme="majorBidi"/>
        </w:rPr>
        <w:t xml:space="preserve">. </w:t>
      </w:r>
      <w:r w:rsidR="00926E37" w:rsidRPr="003225FD">
        <w:rPr>
          <w:rFonts w:asciiTheme="majorBidi" w:hAnsiTheme="majorBidi"/>
        </w:rPr>
        <w:t>T</w:t>
      </w:r>
      <w:r w:rsidR="00CC0533" w:rsidRPr="003225FD">
        <w:rPr>
          <w:rFonts w:asciiTheme="majorBidi" w:hAnsiTheme="majorBidi"/>
        </w:rPr>
        <w:t xml:space="preserve">he </w:t>
      </w:r>
      <w:r w:rsidR="002D66D5" w:rsidRPr="003225FD">
        <w:rPr>
          <w:rFonts w:asciiTheme="majorBidi" w:hAnsiTheme="majorBidi"/>
        </w:rPr>
        <w:t xml:space="preserve">notifications </w:t>
      </w:r>
      <w:r w:rsidR="00DA7758" w:rsidRPr="003225FD">
        <w:rPr>
          <w:rFonts w:asciiTheme="majorBidi" w:hAnsiTheme="majorBidi"/>
        </w:rPr>
        <w:t>for</w:t>
      </w:r>
      <w:r w:rsidR="002D66D5" w:rsidRPr="003225FD">
        <w:rPr>
          <w:rFonts w:asciiTheme="majorBidi" w:hAnsiTheme="majorBidi"/>
        </w:rPr>
        <w:t xml:space="preserve"> the EIA hearings</w:t>
      </w:r>
      <w:r w:rsidR="003C2EAE" w:rsidRPr="003225FD">
        <w:rPr>
          <w:rFonts w:asciiTheme="majorBidi" w:hAnsiTheme="majorBidi"/>
        </w:rPr>
        <w:t>, however,</w:t>
      </w:r>
      <w:r w:rsidR="00DA7758" w:rsidRPr="003225FD">
        <w:rPr>
          <w:rFonts w:asciiTheme="majorBidi" w:hAnsiTheme="majorBidi"/>
        </w:rPr>
        <w:t xml:space="preserve"> </w:t>
      </w:r>
      <w:r w:rsidR="00D82EA4" w:rsidRPr="003225FD">
        <w:rPr>
          <w:rFonts w:asciiTheme="majorBidi" w:hAnsiTheme="majorBidi"/>
        </w:rPr>
        <w:t>announce</w:t>
      </w:r>
      <w:r w:rsidR="002D66D5" w:rsidRPr="003225FD">
        <w:rPr>
          <w:rFonts w:asciiTheme="majorBidi" w:hAnsiTheme="majorBidi"/>
        </w:rPr>
        <w:t xml:space="preserve"> that the EIA report would be </w:t>
      </w:r>
      <w:r w:rsidR="004B29F7" w:rsidRPr="003225FD">
        <w:rPr>
          <w:rFonts w:asciiTheme="majorBidi" w:hAnsiTheme="majorBidi"/>
        </w:rPr>
        <w:t xml:space="preserve">available </w:t>
      </w:r>
      <w:r w:rsidR="002D66D5" w:rsidRPr="003225FD">
        <w:rPr>
          <w:rFonts w:asciiTheme="majorBidi" w:hAnsiTheme="majorBidi"/>
        </w:rPr>
        <w:t xml:space="preserve">for 10 working days and </w:t>
      </w:r>
      <w:r w:rsidR="00926E37" w:rsidRPr="003225FD">
        <w:rPr>
          <w:rFonts w:asciiTheme="majorBidi" w:hAnsiTheme="majorBidi"/>
        </w:rPr>
        <w:t xml:space="preserve">that </w:t>
      </w:r>
      <w:r w:rsidR="002D66D5" w:rsidRPr="003225FD">
        <w:rPr>
          <w:rFonts w:asciiTheme="majorBidi" w:hAnsiTheme="majorBidi"/>
        </w:rPr>
        <w:t xml:space="preserve">the public would </w:t>
      </w:r>
      <w:r w:rsidR="00914F84" w:rsidRPr="003225FD">
        <w:rPr>
          <w:rFonts w:asciiTheme="majorBidi" w:hAnsiTheme="majorBidi"/>
        </w:rPr>
        <w:t xml:space="preserve">likewise have </w:t>
      </w:r>
      <w:r w:rsidR="002D66D5" w:rsidRPr="003225FD">
        <w:rPr>
          <w:rFonts w:asciiTheme="majorBidi" w:hAnsiTheme="majorBidi"/>
        </w:rPr>
        <w:t>10 working days</w:t>
      </w:r>
      <w:r w:rsidR="00914F84" w:rsidRPr="003225FD">
        <w:rPr>
          <w:rFonts w:asciiTheme="majorBidi" w:hAnsiTheme="majorBidi"/>
        </w:rPr>
        <w:t xml:space="preserve"> from the date of the notification</w:t>
      </w:r>
      <w:r w:rsidR="002D66D5" w:rsidRPr="003225FD">
        <w:rPr>
          <w:rFonts w:asciiTheme="majorBidi" w:hAnsiTheme="majorBidi"/>
        </w:rPr>
        <w:t xml:space="preserve"> to comment.</w:t>
      </w:r>
      <w:r w:rsidR="002D66D5" w:rsidRPr="00001B0D">
        <w:rPr>
          <w:rStyle w:val="FootnoteReference"/>
          <w:rFonts w:asciiTheme="majorBidi" w:hAnsiTheme="majorBidi"/>
          <w:sz w:val="20"/>
        </w:rPr>
        <w:footnoteReference w:id="98"/>
      </w:r>
      <w:r w:rsidR="002D66D5" w:rsidRPr="00001B0D">
        <w:rPr>
          <w:rFonts w:asciiTheme="majorBidi" w:hAnsiTheme="majorBidi"/>
        </w:rPr>
        <w:t xml:space="preserve"> The public was </w:t>
      </w:r>
      <w:r w:rsidR="00FC1A0A" w:rsidRPr="00001B0D">
        <w:rPr>
          <w:rFonts w:asciiTheme="majorBidi" w:hAnsiTheme="majorBidi"/>
        </w:rPr>
        <w:t xml:space="preserve">thus </w:t>
      </w:r>
      <w:r w:rsidR="00FA6207" w:rsidRPr="003225FD">
        <w:rPr>
          <w:rFonts w:asciiTheme="majorBidi" w:hAnsiTheme="majorBidi"/>
        </w:rPr>
        <w:t xml:space="preserve">incorrectly </w:t>
      </w:r>
      <w:r w:rsidR="000B23CB" w:rsidRPr="003225FD">
        <w:rPr>
          <w:rFonts w:asciiTheme="majorBidi" w:hAnsiTheme="majorBidi"/>
        </w:rPr>
        <w:t>notified of</w:t>
      </w:r>
      <w:r w:rsidR="002D66D5" w:rsidRPr="003225FD">
        <w:rPr>
          <w:rFonts w:asciiTheme="majorBidi" w:hAnsiTheme="majorBidi"/>
        </w:rPr>
        <w:t xml:space="preserve"> the actual </w:t>
      </w:r>
      <w:r w:rsidR="000B23CB" w:rsidRPr="003225FD">
        <w:rPr>
          <w:rFonts w:asciiTheme="majorBidi" w:hAnsiTheme="majorBidi"/>
        </w:rPr>
        <w:t>timeframe</w:t>
      </w:r>
      <w:r w:rsidR="001469C6" w:rsidRPr="003225FD">
        <w:rPr>
          <w:rFonts w:asciiTheme="majorBidi" w:hAnsiTheme="majorBidi"/>
        </w:rPr>
        <w:t>s</w:t>
      </w:r>
      <w:r w:rsidR="002D66D5" w:rsidRPr="003225FD">
        <w:rPr>
          <w:rFonts w:asciiTheme="majorBidi" w:hAnsiTheme="majorBidi"/>
        </w:rPr>
        <w:t xml:space="preserve"> </w:t>
      </w:r>
      <w:r w:rsidR="00D26466" w:rsidRPr="003225FD">
        <w:rPr>
          <w:rFonts w:asciiTheme="majorBidi" w:hAnsiTheme="majorBidi"/>
        </w:rPr>
        <w:t>for commenting</w:t>
      </w:r>
      <w:r w:rsidR="00CC0533" w:rsidRPr="003225FD">
        <w:rPr>
          <w:rFonts w:asciiTheme="majorBidi" w:hAnsiTheme="majorBidi"/>
        </w:rPr>
        <w:t xml:space="preserve"> and for which documentation would be available.</w:t>
      </w:r>
      <w:bookmarkEnd w:id="53"/>
      <w:r w:rsidR="00CC0533" w:rsidRPr="003225FD">
        <w:rPr>
          <w:rFonts w:asciiTheme="majorBidi" w:hAnsiTheme="majorBidi"/>
        </w:rPr>
        <w:t xml:space="preserve"> </w:t>
      </w:r>
    </w:p>
    <w:p w14:paraId="4262F9E8" w14:textId="6CE0D601" w:rsidR="002D66D5" w:rsidRPr="003225FD" w:rsidRDefault="00891413" w:rsidP="003A1B3B">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bookmarkStart w:id="54" w:name="_Ref524647894"/>
      <w:r w:rsidRPr="003225FD">
        <w:rPr>
          <w:rFonts w:asciiTheme="majorBidi" w:hAnsiTheme="majorBidi"/>
        </w:rPr>
        <w:t xml:space="preserve">Accordingly, </w:t>
      </w:r>
      <w:bookmarkStart w:id="55" w:name="_Hlk10128966"/>
      <w:r w:rsidR="00794F12" w:rsidRPr="003225FD">
        <w:rPr>
          <w:rFonts w:asciiTheme="majorBidi" w:hAnsiTheme="majorBidi"/>
        </w:rPr>
        <w:t xml:space="preserve">the Committee finds that, </w:t>
      </w:r>
      <w:r w:rsidRPr="003225FD">
        <w:rPr>
          <w:rFonts w:asciiTheme="majorBidi" w:hAnsiTheme="majorBidi"/>
        </w:rPr>
        <w:t>b</w:t>
      </w:r>
      <w:r w:rsidR="00CC0533" w:rsidRPr="003225FD">
        <w:rPr>
          <w:rFonts w:asciiTheme="majorBidi" w:hAnsiTheme="majorBidi"/>
        </w:rPr>
        <w:t xml:space="preserve">y </w:t>
      </w:r>
      <w:r w:rsidR="000B23CB" w:rsidRPr="003225FD">
        <w:rPr>
          <w:rFonts w:asciiTheme="majorBidi" w:hAnsiTheme="majorBidi"/>
        </w:rPr>
        <w:t>not correctly notifying</w:t>
      </w:r>
      <w:r w:rsidR="00CC0533" w:rsidRPr="003225FD">
        <w:rPr>
          <w:rFonts w:asciiTheme="majorBidi" w:hAnsiTheme="majorBidi"/>
        </w:rPr>
        <w:t xml:space="preserve"> the public concerned about the </w:t>
      </w:r>
      <w:r w:rsidR="000B23CB" w:rsidRPr="003225FD">
        <w:rPr>
          <w:rFonts w:asciiTheme="majorBidi" w:hAnsiTheme="majorBidi"/>
        </w:rPr>
        <w:t>timeframes</w:t>
      </w:r>
      <w:r w:rsidR="00CC0533" w:rsidRPr="003225FD">
        <w:rPr>
          <w:rFonts w:asciiTheme="majorBidi" w:hAnsiTheme="majorBidi"/>
        </w:rPr>
        <w:t xml:space="preserve"> during which relevant documentation would be available</w:t>
      </w:r>
      <w:r w:rsidR="000B23CB" w:rsidRPr="003225FD">
        <w:rPr>
          <w:rFonts w:asciiTheme="majorBidi" w:hAnsiTheme="majorBidi"/>
        </w:rPr>
        <w:t xml:space="preserve"> </w:t>
      </w:r>
      <w:r w:rsidR="00926E37" w:rsidRPr="003225FD">
        <w:rPr>
          <w:rFonts w:asciiTheme="majorBidi" w:hAnsiTheme="majorBidi"/>
        </w:rPr>
        <w:t xml:space="preserve">and </w:t>
      </w:r>
      <w:r w:rsidR="000B23CB" w:rsidRPr="003225FD">
        <w:rPr>
          <w:rFonts w:asciiTheme="majorBidi" w:hAnsiTheme="majorBidi"/>
        </w:rPr>
        <w:t>in which comments could be submitted</w:t>
      </w:r>
      <w:r w:rsidR="00CC0533" w:rsidRPr="003225FD">
        <w:rPr>
          <w:rFonts w:asciiTheme="majorBidi" w:hAnsiTheme="majorBidi"/>
        </w:rPr>
        <w:t xml:space="preserve">, the Party concerned failed to comply with </w:t>
      </w:r>
      <w:r w:rsidR="00A46410" w:rsidRPr="003225FD">
        <w:rPr>
          <w:rFonts w:asciiTheme="majorBidi" w:hAnsiTheme="majorBidi"/>
        </w:rPr>
        <w:t xml:space="preserve">the requirements </w:t>
      </w:r>
      <w:r w:rsidR="00C26CA2" w:rsidRPr="003225FD">
        <w:rPr>
          <w:rFonts w:asciiTheme="majorBidi" w:hAnsiTheme="majorBidi"/>
        </w:rPr>
        <w:t>in</w:t>
      </w:r>
      <w:r w:rsidR="00A46410" w:rsidRPr="003225FD">
        <w:rPr>
          <w:rFonts w:asciiTheme="majorBidi" w:hAnsiTheme="majorBidi"/>
        </w:rPr>
        <w:t xml:space="preserve"> </w:t>
      </w:r>
      <w:r w:rsidR="00CC0533" w:rsidRPr="003225FD">
        <w:rPr>
          <w:rFonts w:asciiTheme="majorBidi" w:hAnsiTheme="majorBidi"/>
        </w:rPr>
        <w:t>article 6</w:t>
      </w:r>
      <w:r w:rsidR="00B06BF3" w:rsidRPr="003225FD">
        <w:rPr>
          <w:rFonts w:asciiTheme="majorBidi" w:hAnsiTheme="majorBidi"/>
        </w:rPr>
        <w:t>(2)</w:t>
      </w:r>
      <w:r w:rsidR="00CC0533" w:rsidRPr="003225FD">
        <w:rPr>
          <w:rFonts w:asciiTheme="majorBidi" w:hAnsiTheme="majorBidi"/>
        </w:rPr>
        <w:t>(d)(ii)</w:t>
      </w:r>
      <w:r w:rsidR="00901F6F" w:rsidRPr="003225FD">
        <w:rPr>
          <w:rFonts w:asciiTheme="majorBidi" w:hAnsiTheme="majorBidi"/>
        </w:rPr>
        <w:t xml:space="preserve"> </w:t>
      </w:r>
      <w:r w:rsidR="00CC0533" w:rsidRPr="003225FD">
        <w:rPr>
          <w:rFonts w:asciiTheme="majorBidi" w:hAnsiTheme="majorBidi"/>
        </w:rPr>
        <w:t>to adequately inform the public concerned about the envisaged procedure, including the opportunities for the public to participate</w:t>
      </w:r>
      <w:bookmarkEnd w:id="55"/>
      <w:r w:rsidR="002D66D5" w:rsidRPr="003225FD">
        <w:rPr>
          <w:rFonts w:asciiTheme="majorBidi" w:hAnsiTheme="majorBidi"/>
        </w:rPr>
        <w:t>.</w:t>
      </w:r>
      <w:bookmarkEnd w:id="54"/>
    </w:p>
    <w:p w14:paraId="1DAFF3BD" w14:textId="63952E41" w:rsidR="00CC264A" w:rsidRPr="003225FD" w:rsidRDefault="00CC264A" w:rsidP="003A1B3B">
      <w:pPr>
        <w:pStyle w:val="SingleTxtG"/>
        <w:suppressAutoHyphens w:val="0"/>
        <w:autoSpaceDE w:val="0"/>
        <w:autoSpaceDN w:val="0"/>
        <w:adjustRightInd w:val="0"/>
        <w:spacing w:line="240" w:lineRule="auto"/>
        <w:rPr>
          <w:rFonts w:asciiTheme="majorBidi" w:hAnsiTheme="majorBidi"/>
          <w:b/>
        </w:rPr>
      </w:pPr>
      <w:r w:rsidRPr="003225FD">
        <w:rPr>
          <w:rFonts w:asciiTheme="majorBidi" w:hAnsiTheme="majorBidi"/>
          <w:b/>
        </w:rPr>
        <w:t>Article 6</w:t>
      </w:r>
      <w:r w:rsidR="00B06BF3" w:rsidRPr="003225FD">
        <w:rPr>
          <w:rFonts w:asciiTheme="majorBidi" w:hAnsiTheme="majorBidi"/>
          <w:b/>
        </w:rPr>
        <w:t>(</w:t>
      </w:r>
      <w:r w:rsidRPr="003225FD">
        <w:rPr>
          <w:rFonts w:asciiTheme="majorBidi" w:hAnsiTheme="majorBidi"/>
          <w:b/>
        </w:rPr>
        <w:t>3</w:t>
      </w:r>
      <w:r w:rsidR="00B06BF3" w:rsidRPr="003225FD">
        <w:rPr>
          <w:rFonts w:asciiTheme="majorBidi" w:hAnsiTheme="majorBidi"/>
          <w:b/>
        </w:rPr>
        <w:t>)</w:t>
      </w:r>
    </w:p>
    <w:p w14:paraId="23CA8F57" w14:textId="480DD3EF" w:rsidR="00CC7E96" w:rsidRPr="00001B0D" w:rsidRDefault="00901F6F" w:rsidP="00ED1CBE">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bookmarkStart w:id="56" w:name="_Ref513820104"/>
      <w:r w:rsidRPr="003225FD">
        <w:rPr>
          <w:rFonts w:asciiTheme="majorBidi" w:hAnsiTheme="majorBidi"/>
        </w:rPr>
        <w:lastRenderedPageBreak/>
        <w:t>T</w:t>
      </w:r>
      <w:r w:rsidR="00C26CA2" w:rsidRPr="003225FD">
        <w:rPr>
          <w:rFonts w:asciiTheme="majorBidi" w:hAnsiTheme="majorBidi"/>
        </w:rPr>
        <w:t xml:space="preserve">he </w:t>
      </w:r>
      <w:r w:rsidR="00ED1CBE" w:rsidRPr="003225FD">
        <w:rPr>
          <w:rFonts w:asciiTheme="majorBidi" w:hAnsiTheme="majorBidi"/>
        </w:rPr>
        <w:t>Public Participation Order</w:t>
      </w:r>
      <w:r w:rsidRPr="003225FD">
        <w:rPr>
          <w:rFonts w:asciiTheme="majorBidi" w:hAnsiTheme="majorBidi"/>
        </w:rPr>
        <w:t xml:space="preserve"> provides</w:t>
      </w:r>
      <w:r w:rsidR="009A77A0" w:rsidRPr="003225FD">
        <w:rPr>
          <w:rFonts w:asciiTheme="majorBidi" w:hAnsiTheme="majorBidi"/>
        </w:rPr>
        <w:t xml:space="preserve"> </w:t>
      </w:r>
      <w:r w:rsidR="00DA13A2" w:rsidRPr="003225FD">
        <w:rPr>
          <w:rFonts w:asciiTheme="majorBidi" w:hAnsiTheme="majorBidi"/>
        </w:rPr>
        <w:t>t</w:t>
      </w:r>
      <w:r w:rsidR="00FB0FE2" w:rsidRPr="003225FD">
        <w:rPr>
          <w:rFonts w:asciiTheme="majorBidi" w:hAnsiTheme="majorBidi"/>
        </w:rPr>
        <w:t xml:space="preserve">he public </w:t>
      </w:r>
      <w:r w:rsidR="002014D1" w:rsidRPr="003225FD">
        <w:rPr>
          <w:rFonts w:asciiTheme="majorBidi" w:hAnsiTheme="majorBidi"/>
        </w:rPr>
        <w:t xml:space="preserve">a minimum of </w:t>
      </w:r>
      <w:r w:rsidR="009A77A0" w:rsidRPr="003225FD">
        <w:rPr>
          <w:rFonts w:asciiTheme="majorBidi" w:hAnsiTheme="majorBidi"/>
        </w:rPr>
        <w:t>10 working day</w:t>
      </w:r>
      <w:r w:rsidR="00101BAB" w:rsidRPr="003225FD">
        <w:rPr>
          <w:rFonts w:asciiTheme="majorBidi" w:hAnsiTheme="majorBidi"/>
        </w:rPr>
        <w:t xml:space="preserve">s to inspect the EIA report and </w:t>
      </w:r>
      <w:r w:rsidR="009A77A0" w:rsidRPr="003225FD">
        <w:rPr>
          <w:rFonts w:asciiTheme="majorBidi" w:hAnsiTheme="majorBidi"/>
        </w:rPr>
        <w:t>submit comments</w:t>
      </w:r>
      <w:r w:rsidR="00101BAB" w:rsidRPr="003225FD">
        <w:rPr>
          <w:rFonts w:asciiTheme="majorBidi" w:hAnsiTheme="majorBidi"/>
        </w:rPr>
        <w:t xml:space="preserve"> </w:t>
      </w:r>
      <w:r w:rsidR="001469C6" w:rsidRPr="003225FD">
        <w:rPr>
          <w:rFonts w:asciiTheme="majorBidi" w:hAnsiTheme="majorBidi"/>
        </w:rPr>
        <w:t>before the</w:t>
      </w:r>
      <w:r w:rsidR="00101BAB" w:rsidRPr="003225FD">
        <w:rPr>
          <w:rFonts w:asciiTheme="majorBidi" w:hAnsiTheme="majorBidi"/>
        </w:rPr>
        <w:t xml:space="preserve"> hearing</w:t>
      </w:r>
      <w:r w:rsidR="00DA13A2" w:rsidRPr="003225FD">
        <w:rPr>
          <w:rFonts w:asciiTheme="majorBidi" w:hAnsiTheme="majorBidi"/>
        </w:rPr>
        <w:t xml:space="preserve">. </w:t>
      </w:r>
      <w:r w:rsidR="00721300" w:rsidRPr="003225FD">
        <w:rPr>
          <w:rFonts w:asciiTheme="majorBidi" w:hAnsiTheme="majorBidi"/>
        </w:rPr>
        <w:t>A</w:t>
      </w:r>
      <w:r w:rsidR="00914B7F" w:rsidRPr="003225FD">
        <w:rPr>
          <w:rFonts w:asciiTheme="majorBidi" w:hAnsiTheme="majorBidi"/>
        </w:rPr>
        <w:t xml:space="preserve">fter the hearing, the public has </w:t>
      </w:r>
      <w:r w:rsidR="001469C6" w:rsidRPr="003225FD">
        <w:rPr>
          <w:rFonts w:asciiTheme="majorBidi" w:hAnsiTheme="majorBidi"/>
        </w:rPr>
        <w:t>another</w:t>
      </w:r>
      <w:r w:rsidR="00FB5341" w:rsidRPr="003225FD">
        <w:rPr>
          <w:rFonts w:asciiTheme="majorBidi" w:hAnsiTheme="majorBidi"/>
        </w:rPr>
        <w:t xml:space="preserve"> </w:t>
      </w:r>
      <w:r w:rsidR="00914B7F" w:rsidRPr="003225FD">
        <w:rPr>
          <w:rFonts w:asciiTheme="majorBidi" w:hAnsiTheme="majorBidi"/>
        </w:rPr>
        <w:t>10 working days to submit</w:t>
      </w:r>
      <w:r w:rsidR="00721300" w:rsidRPr="003225FD">
        <w:rPr>
          <w:rFonts w:asciiTheme="majorBidi" w:hAnsiTheme="majorBidi"/>
        </w:rPr>
        <w:t xml:space="preserve"> comments.</w:t>
      </w:r>
      <w:r w:rsidR="00914B7F" w:rsidRPr="003225FD">
        <w:rPr>
          <w:rFonts w:asciiTheme="majorBidi" w:hAnsiTheme="majorBidi"/>
        </w:rPr>
        <w:t xml:space="preserve"> </w:t>
      </w:r>
      <w:r w:rsidR="00DA13A2" w:rsidRPr="003225FD">
        <w:rPr>
          <w:rFonts w:asciiTheme="majorBidi" w:hAnsiTheme="majorBidi"/>
        </w:rPr>
        <w:t xml:space="preserve">Thus, the public has a total </w:t>
      </w:r>
      <w:r w:rsidR="002014D1" w:rsidRPr="003225FD">
        <w:rPr>
          <w:rFonts w:asciiTheme="majorBidi" w:hAnsiTheme="majorBidi"/>
        </w:rPr>
        <w:t xml:space="preserve">minimum </w:t>
      </w:r>
      <w:r w:rsidR="001469C6" w:rsidRPr="003225FD">
        <w:rPr>
          <w:rFonts w:asciiTheme="majorBidi" w:hAnsiTheme="majorBidi"/>
        </w:rPr>
        <w:t xml:space="preserve">of </w:t>
      </w:r>
      <w:r w:rsidR="00DA13A2" w:rsidRPr="003225FD">
        <w:rPr>
          <w:rFonts w:asciiTheme="majorBidi" w:hAnsiTheme="majorBidi"/>
        </w:rPr>
        <w:t>20 working days to inspect the EIA report and submit comments</w:t>
      </w:r>
      <w:r w:rsidR="00B6324C" w:rsidRPr="003225FD">
        <w:rPr>
          <w:rFonts w:asciiTheme="majorBidi" w:hAnsiTheme="majorBidi"/>
        </w:rPr>
        <w:t>.</w:t>
      </w:r>
      <w:r w:rsidR="00B6324C" w:rsidRPr="00001B0D">
        <w:rPr>
          <w:rStyle w:val="FootnoteReference"/>
          <w:rFonts w:asciiTheme="majorBidi" w:hAnsiTheme="majorBidi"/>
          <w:sz w:val="20"/>
        </w:rPr>
        <w:footnoteReference w:id="99"/>
      </w:r>
      <w:r w:rsidR="00B6324C" w:rsidRPr="00001B0D">
        <w:rPr>
          <w:rFonts w:asciiTheme="majorBidi" w:hAnsiTheme="majorBidi"/>
        </w:rPr>
        <w:t xml:space="preserve">  </w:t>
      </w:r>
      <w:bookmarkEnd w:id="56"/>
    </w:p>
    <w:p w14:paraId="4D98B307" w14:textId="2B3BD67D" w:rsidR="00B007CF" w:rsidRPr="00001B0D" w:rsidRDefault="00EC6044" w:rsidP="00ED1CBE">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bookmarkStart w:id="57" w:name="_Ref514096369"/>
      <w:bookmarkStart w:id="58" w:name="_Ref513820107"/>
      <w:r w:rsidRPr="003225FD">
        <w:t>T</w:t>
      </w:r>
      <w:r w:rsidR="006A6866" w:rsidRPr="003225FD">
        <w:t xml:space="preserve">he Committee </w:t>
      </w:r>
      <w:r w:rsidR="00F04D6B" w:rsidRPr="003225FD">
        <w:rPr>
          <w:rFonts w:asciiTheme="majorBidi" w:hAnsiTheme="majorBidi" w:cstheme="majorBidi"/>
        </w:rPr>
        <w:t>emphasises</w:t>
      </w:r>
      <w:r w:rsidR="00F04D6B" w:rsidRPr="003225FD">
        <w:rPr>
          <w:rFonts w:asciiTheme="majorBidi" w:hAnsiTheme="majorBidi"/>
        </w:rPr>
        <w:t xml:space="preserve"> that</w:t>
      </w:r>
      <w:r w:rsidR="006A6866" w:rsidRPr="003225FD">
        <w:t xml:space="preserve"> any accompanying guidance</w:t>
      </w:r>
      <w:r w:rsidRPr="003225FD">
        <w:t xml:space="preserve"> to the Public Participation Order</w:t>
      </w:r>
      <w:r w:rsidR="006A6866" w:rsidRPr="003225FD">
        <w:t xml:space="preserve"> </w:t>
      </w:r>
      <w:r w:rsidR="00740F2D" w:rsidRPr="003225FD">
        <w:t>should</w:t>
      </w:r>
      <w:r w:rsidR="00F04D6B" w:rsidRPr="003225FD">
        <w:t xml:space="preserve"> </w:t>
      </w:r>
      <w:r w:rsidR="006A6866" w:rsidRPr="003225FD">
        <w:t xml:space="preserve">make clear </w:t>
      </w:r>
      <w:r w:rsidRPr="003225FD">
        <w:t xml:space="preserve">to competent public authorities </w:t>
      </w:r>
      <w:r w:rsidR="006A6866" w:rsidRPr="003225FD">
        <w:t xml:space="preserve">that </w:t>
      </w:r>
      <w:r w:rsidRPr="003225FD">
        <w:t>these</w:t>
      </w:r>
      <w:r w:rsidR="006A6866" w:rsidRPr="003225FD">
        <w:t xml:space="preserve"> should be genuinely minimum time frame</w:t>
      </w:r>
      <w:r w:rsidRPr="003225FD">
        <w:t>s</w:t>
      </w:r>
      <w:r w:rsidR="006A6866" w:rsidRPr="003225FD">
        <w:t xml:space="preserve"> from which the setting of longer time frames is not only possible but in fact recommended for proposed activities with more significant environmental impacts or those affecting a large number of people.</w:t>
      </w:r>
      <w:r w:rsidR="006A6866" w:rsidRPr="00001B0D">
        <w:rPr>
          <w:rStyle w:val="FootnoteReference"/>
        </w:rPr>
        <w:footnoteReference w:id="100"/>
      </w:r>
    </w:p>
    <w:p w14:paraId="17B60A5B" w14:textId="1E4550ED" w:rsidR="0001435C" w:rsidRPr="003225FD" w:rsidRDefault="00B007CF" w:rsidP="00ED1CBE">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cstheme="majorBidi"/>
        </w:rPr>
        <w:t xml:space="preserve"> </w:t>
      </w:r>
      <w:r w:rsidR="00FB0FE2" w:rsidRPr="003225FD">
        <w:rPr>
          <w:rFonts w:asciiTheme="majorBidi" w:hAnsiTheme="majorBidi"/>
        </w:rPr>
        <w:t>In this case,</w:t>
      </w:r>
      <w:r w:rsidR="00ED1CBE" w:rsidRPr="003225FD">
        <w:rPr>
          <w:rFonts w:asciiTheme="majorBidi" w:hAnsiTheme="majorBidi"/>
        </w:rPr>
        <w:t xml:space="preserve"> </w:t>
      </w:r>
      <w:r w:rsidR="00FB0FE2" w:rsidRPr="003225FD">
        <w:rPr>
          <w:rFonts w:asciiTheme="majorBidi" w:hAnsiTheme="majorBidi"/>
        </w:rPr>
        <w:t>n</w:t>
      </w:r>
      <w:r w:rsidR="009A77A0" w:rsidRPr="003225FD">
        <w:rPr>
          <w:rFonts w:asciiTheme="majorBidi" w:hAnsiTheme="majorBidi"/>
        </w:rPr>
        <w:t xml:space="preserve">otifications were posted </w:t>
      </w:r>
      <w:r w:rsidR="00D77D05" w:rsidRPr="003225FD">
        <w:rPr>
          <w:rFonts w:asciiTheme="majorBidi" w:hAnsiTheme="majorBidi"/>
        </w:rPr>
        <w:t xml:space="preserve">from </w:t>
      </w:r>
      <w:r w:rsidR="009A77A0" w:rsidRPr="003225FD">
        <w:rPr>
          <w:rFonts w:asciiTheme="majorBidi" w:hAnsiTheme="majorBidi"/>
        </w:rPr>
        <w:t xml:space="preserve">25-29 June 2010 and the hearings on the EIA report held between 13-19 July 2010, meaning the public had </w:t>
      </w:r>
      <w:r w:rsidR="002014D1" w:rsidRPr="003225FD">
        <w:rPr>
          <w:rFonts w:asciiTheme="majorBidi" w:hAnsiTheme="majorBidi"/>
        </w:rPr>
        <w:t>10</w:t>
      </w:r>
      <w:r w:rsidR="009A77A0" w:rsidRPr="003225FD">
        <w:rPr>
          <w:rFonts w:asciiTheme="majorBidi" w:hAnsiTheme="majorBidi"/>
        </w:rPr>
        <w:t>-16 working days to prepare for the hearing</w:t>
      </w:r>
      <w:r w:rsidR="00F752A9" w:rsidRPr="003225FD">
        <w:rPr>
          <w:rFonts w:asciiTheme="majorBidi" w:hAnsiTheme="majorBidi"/>
        </w:rPr>
        <w:t xml:space="preserve">, </w:t>
      </w:r>
      <w:r w:rsidR="00FE5DAD" w:rsidRPr="003225FD">
        <w:rPr>
          <w:rFonts w:asciiTheme="majorBidi" w:hAnsiTheme="majorBidi"/>
        </w:rPr>
        <w:t xml:space="preserve">depending on which </w:t>
      </w:r>
      <w:r w:rsidR="009A77A0" w:rsidRPr="003225FD">
        <w:rPr>
          <w:rFonts w:asciiTheme="majorBidi" w:hAnsiTheme="majorBidi"/>
        </w:rPr>
        <w:t xml:space="preserve">notification </w:t>
      </w:r>
      <w:r w:rsidR="00FE66DB" w:rsidRPr="003225FD">
        <w:rPr>
          <w:rFonts w:asciiTheme="majorBidi" w:hAnsiTheme="majorBidi"/>
        </w:rPr>
        <w:t>they</w:t>
      </w:r>
      <w:r w:rsidR="00CF47CB" w:rsidRPr="003225FD">
        <w:rPr>
          <w:rFonts w:asciiTheme="majorBidi" w:hAnsiTheme="majorBidi"/>
        </w:rPr>
        <w:t xml:space="preserve"> </w:t>
      </w:r>
      <w:r w:rsidR="00FE5DAD" w:rsidRPr="003225FD">
        <w:rPr>
          <w:rFonts w:asciiTheme="majorBidi" w:hAnsiTheme="majorBidi"/>
        </w:rPr>
        <w:t xml:space="preserve">received and which </w:t>
      </w:r>
      <w:r w:rsidR="009A77A0" w:rsidRPr="003225FD">
        <w:rPr>
          <w:rFonts w:asciiTheme="majorBidi" w:hAnsiTheme="majorBidi"/>
        </w:rPr>
        <w:t xml:space="preserve">hearing </w:t>
      </w:r>
      <w:r w:rsidR="00D77D05" w:rsidRPr="003225FD">
        <w:rPr>
          <w:rFonts w:asciiTheme="majorBidi" w:hAnsiTheme="majorBidi"/>
        </w:rPr>
        <w:t xml:space="preserve">they </w:t>
      </w:r>
      <w:r w:rsidR="009A77A0" w:rsidRPr="003225FD">
        <w:rPr>
          <w:rFonts w:asciiTheme="majorBidi" w:hAnsiTheme="majorBidi"/>
        </w:rPr>
        <w:t>attended.</w:t>
      </w:r>
      <w:r w:rsidR="00232893" w:rsidRPr="003225FD">
        <w:rPr>
          <w:rFonts w:asciiTheme="majorBidi" w:hAnsiTheme="majorBidi"/>
        </w:rPr>
        <w:t xml:space="preserve"> </w:t>
      </w:r>
      <w:r w:rsidR="00CC7E96" w:rsidRPr="003225FD">
        <w:rPr>
          <w:rFonts w:asciiTheme="majorBidi" w:hAnsiTheme="majorBidi"/>
        </w:rPr>
        <w:t xml:space="preserve">Taken together with the time of 10 working days </w:t>
      </w:r>
      <w:r w:rsidR="00FE66DB" w:rsidRPr="003225FD">
        <w:rPr>
          <w:rFonts w:asciiTheme="majorBidi" w:hAnsiTheme="majorBidi"/>
        </w:rPr>
        <w:t xml:space="preserve">to submit comments </w:t>
      </w:r>
      <w:r w:rsidR="00CC7E96" w:rsidRPr="003225FD">
        <w:rPr>
          <w:rFonts w:asciiTheme="majorBidi" w:hAnsiTheme="majorBidi"/>
        </w:rPr>
        <w:t xml:space="preserve">after the hearing, the public had </w:t>
      </w:r>
      <w:r w:rsidR="002014D1" w:rsidRPr="003225FD">
        <w:rPr>
          <w:rFonts w:asciiTheme="majorBidi" w:hAnsiTheme="majorBidi"/>
        </w:rPr>
        <w:t>20</w:t>
      </w:r>
      <w:r w:rsidR="00CC7E96" w:rsidRPr="003225FD">
        <w:rPr>
          <w:rFonts w:asciiTheme="majorBidi" w:hAnsiTheme="majorBidi"/>
        </w:rPr>
        <w:t xml:space="preserve">-26 working days to </w:t>
      </w:r>
      <w:r w:rsidR="00FE5DAD" w:rsidRPr="003225FD">
        <w:rPr>
          <w:rFonts w:asciiTheme="majorBidi" w:hAnsiTheme="majorBidi"/>
        </w:rPr>
        <w:t xml:space="preserve">prepare and </w:t>
      </w:r>
      <w:r w:rsidR="00CC7E96" w:rsidRPr="003225FD">
        <w:rPr>
          <w:rFonts w:asciiTheme="majorBidi" w:hAnsiTheme="majorBidi"/>
        </w:rPr>
        <w:t>provide comments.</w:t>
      </w:r>
      <w:bookmarkEnd w:id="57"/>
      <w:r w:rsidR="00232893" w:rsidRPr="003225FD">
        <w:rPr>
          <w:rFonts w:asciiTheme="majorBidi" w:hAnsiTheme="majorBidi"/>
        </w:rPr>
        <w:t xml:space="preserve"> </w:t>
      </w:r>
    </w:p>
    <w:p w14:paraId="4A287A74" w14:textId="2412C728" w:rsidR="00812FBB" w:rsidRPr="003225FD" w:rsidRDefault="00D77D05" w:rsidP="00812FBB">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t xml:space="preserve">The Committee considers that </w:t>
      </w:r>
      <w:r w:rsidR="00813929" w:rsidRPr="003225FD">
        <w:rPr>
          <w:rFonts w:asciiTheme="majorBidi" w:hAnsiTheme="majorBidi"/>
        </w:rPr>
        <w:t>a</w:t>
      </w:r>
      <w:r w:rsidR="00220F57" w:rsidRPr="003225FD">
        <w:rPr>
          <w:rFonts w:asciiTheme="majorBidi" w:hAnsiTheme="majorBidi"/>
        </w:rPr>
        <w:t xml:space="preserve"> timeframe of </w:t>
      </w:r>
      <w:r w:rsidR="002014D1" w:rsidRPr="003225FD">
        <w:rPr>
          <w:rFonts w:asciiTheme="majorBidi" w:hAnsiTheme="majorBidi"/>
        </w:rPr>
        <w:t>20</w:t>
      </w:r>
      <w:r w:rsidR="00220F57" w:rsidRPr="003225FD">
        <w:rPr>
          <w:rFonts w:asciiTheme="majorBidi" w:hAnsiTheme="majorBidi"/>
        </w:rPr>
        <w:t>-26 working days to prepare and provide comments on the EIA report was reasonable</w:t>
      </w:r>
      <w:r w:rsidR="00384E91" w:rsidRPr="003225FD">
        <w:t xml:space="preserve"> in the present case</w:t>
      </w:r>
      <w:r w:rsidR="00220F57" w:rsidRPr="003225FD">
        <w:rPr>
          <w:rFonts w:asciiTheme="majorBidi" w:hAnsiTheme="majorBidi"/>
        </w:rPr>
        <w:t xml:space="preserve">. </w:t>
      </w:r>
      <w:bookmarkEnd w:id="58"/>
      <w:r w:rsidR="00812FBB" w:rsidRPr="003225FD">
        <w:rPr>
          <w:rFonts w:asciiTheme="majorBidi" w:hAnsiTheme="majorBidi"/>
        </w:rPr>
        <w:t xml:space="preserve">Likewise, the timeframes of 20 </w:t>
      </w:r>
      <w:r w:rsidR="00E365EB" w:rsidRPr="003225FD">
        <w:rPr>
          <w:rFonts w:asciiTheme="majorBidi" w:hAnsiTheme="majorBidi"/>
        </w:rPr>
        <w:t xml:space="preserve">working </w:t>
      </w:r>
      <w:r w:rsidR="00812FBB" w:rsidRPr="003225FD">
        <w:rPr>
          <w:rFonts w:asciiTheme="majorBidi" w:hAnsiTheme="majorBidi"/>
        </w:rPr>
        <w:t xml:space="preserve">days </w:t>
      </w:r>
      <w:r w:rsidR="006F47E5" w:rsidRPr="003225FD">
        <w:rPr>
          <w:rFonts w:asciiTheme="majorBidi" w:hAnsiTheme="majorBidi"/>
        </w:rPr>
        <w:t xml:space="preserve">each </w:t>
      </w:r>
      <w:r w:rsidR="00812FBB" w:rsidRPr="003225FD">
        <w:rPr>
          <w:rFonts w:asciiTheme="majorBidi" w:hAnsiTheme="majorBidi"/>
        </w:rPr>
        <w:t xml:space="preserve">for the public to submit comments on the special plan concept and the SEA </w:t>
      </w:r>
      <w:r w:rsidR="00571522" w:rsidRPr="003225FD">
        <w:rPr>
          <w:rFonts w:asciiTheme="majorBidi" w:hAnsiTheme="majorBidi" w:cstheme="majorBidi"/>
        </w:rPr>
        <w:t xml:space="preserve">report </w:t>
      </w:r>
      <w:r w:rsidR="00812FBB" w:rsidRPr="003225FD">
        <w:rPr>
          <w:rFonts w:asciiTheme="majorBidi" w:hAnsiTheme="majorBidi"/>
        </w:rPr>
        <w:t>was sufficien</w:t>
      </w:r>
      <w:r w:rsidR="00CA4102" w:rsidRPr="003225FD">
        <w:rPr>
          <w:rFonts w:asciiTheme="majorBidi" w:hAnsiTheme="majorBidi"/>
        </w:rPr>
        <w:t>t</w:t>
      </w:r>
      <w:r w:rsidR="00EA7797" w:rsidRPr="003225FD">
        <w:rPr>
          <w:rFonts w:asciiTheme="majorBidi" w:hAnsiTheme="majorBidi"/>
        </w:rPr>
        <w:t>.</w:t>
      </w:r>
      <w:r w:rsidR="00812FBB" w:rsidRPr="003225FD">
        <w:rPr>
          <w:rFonts w:asciiTheme="majorBidi" w:hAnsiTheme="majorBidi"/>
        </w:rPr>
        <w:t xml:space="preserve"> Accordingly, the Committee finds that the Party concerned did not fail to comply with article 6</w:t>
      </w:r>
      <w:r w:rsidR="00B06BF3" w:rsidRPr="003225FD">
        <w:rPr>
          <w:rFonts w:asciiTheme="majorBidi" w:hAnsiTheme="majorBidi"/>
        </w:rPr>
        <w:t>(</w:t>
      </w:r>
      <w:r w:rsidR="00812FBB" w:rsidRPr="003225FD">
        <w:rPr>
          <w:rFonts w:asciiTheme="majorBidi" w:hAnsiTheme="majorBidi"/>
        </w:rPr>
        <w:t>3</w:t>
      </w:r>
      <w:r w:rsidR="00B06BF3" w:rsidRPr="003225FD">
        <w:rPr>
          <w:rFonts w:asciiTheme="majorBidi" w:hAnsiTheme="majorBidi"/>
        </w:rPr>
        <w:t>)</w:t>
      </w:r>
      <w:r w:rsidR="00812FBB" w:rsidRPr="003225FD">
        <w:rPr>
          <w:rFonts w:asciiTheme="majorBidi" w:hAnsiTheme="majorBidi"/>
        </w:rPr>
        <w:t xml:space="preserve"> </w:t>
      </w:r>
      <w:r w:rsidR="00052ABD" w:rsidRPr="003225FD">
        <w:rPr>
          <w:rFonts w:asciiTheme="majorBidi" w:hAnsiTheme="majorBidi"/>
        </w:rPr>
        <w:t>concerning</w:t>
      </w:r>
      <w:r w:rsidR="00812FBB" w:rsidRPr="003225FD">
        <w:rPr>
          <w:rFonts w:asciiTheme="majorBidi" w:hAnsiTheme="majorBidi"/>
        </w:rPr>
        <w:t xml:space="preserve"> the timeframes for public participation in the present case.</w:t>
      </w:r>
    </w:p>
    <w:p w14:paraId="1652D55B" w14:textId="43BEFA59" w:rsidR="00232893" w:rsidRPr="003225FD" w:rsidRDefault="00B675BC" w:rsidP="00A72100">
      <w:pPr>
        <w:pStyle w:val="SingleTxtG"/>
        <w:tabs>
          <w:tab w:val="num" w:pos="1134"/>
        </w:tabs>
        <w:suppressAutoHyphens w:val="0"/>
        <w:autoSpaceDE w:val="0"/>
        <w:autoSpaceDN w:val="0"/>
        <w:adjustRightInd w:val="0"/>
        <w:spacing w:line="240" w:lineRule="auto"/>
        <w:rPr>
          <w:rFonts w:asciiTheme="majorBidi" w:hAnsiTheme="majorBidi"/>
        </w:rPr>
      </w:pPr>
      <w:r w:rsidRPr="003225FD">
        <w:rPr>
          <w:rFonts w:asciiTheme="majorBidi" w:hAnsiTheme="majorBidi"/>
          <w:b/>
        </w:rPr>
        <w:t>Article 6</w:t>
      </w:r>
      <w:r w:rsidR="00B06BF3" w:rsidRPr="003225FD">
        <w:rPr>
          <w:rFonts w:asciiTheme="majorBidi" w:hAnsiTheme="majorBidi"/>
          <w:b/>
        </w:rPr>
        <w:t>(</w:t>
      </w:r>
      <w:r w:rsidRPr="003225FD">
        <w:rPr>
          <w:rFonts w:asciiTheme="majorBidi" w:hAnsiTheme="majorBidi"/>
          <w:b/>
        </w:rPr>
        <w:t>4</w:t>
      </w:r>
      <w:r w:rsidR="00B06BF3" w:rsidRPr="003225FD">
        <w:rPr>
          <w:rFonts w:asciiTheme="majorBidi" w:hAnsiTheme="majorBidi"/>
          <w:b/>
        </w:rPr>
        <w:t>)</w:t>
      </w:r>
      <w:r w:rsidRPr="003225FD">
        <w:rPr>
          <w:rFonts w:asciiTheme="majorBidi" w:hAnsiTheme="majorBidi"/>
          <w:b/>
        </w:rPr>
        <w:t xml:space="preserve"> </w:t>
      </w:r>
    </w:p>
    <w:p w14:paraId="7161CB32" w14:textId="7B059F28" w:rsidR="0053642F" w:rsidRPr="003225FD" w:rsidRDefault="0053642F" w:rsidP="00EE4AB9">
      <w:pPr>
        <w:pStyle w:val="SingleTxtG"/>
        <w:suppressAutoHyphens w:val="0"/>
        <w:autoSpaceDE w:val="0"/>
        <w:autoSpaceDN w:val="0"/>
        <w:adjustRightInd w:val="0"/>
        <w:spacing w:line="240" w:lineRule="auto"/>
        <w:rPr>
          <w:rFonts w:asciiTheme="majorBidi" w:hAnsiTheme="majorBidi"/>
          <w:i/>
        </w:rPr>
      </w:pPr>
      <w:r w:rsidRPr="003225FD">
        <w:rPr>
          <w:rFonts w:asciiTheme="majorBidi" w:hAnsiTheme="majorBidi"/>
          <w:i/>
        </w:rPr>
        <w:t>Routing</w:t>
      </w:r>
    </w:p>
    <w:p w14:paraId="3617EDB1" w14:textId="0813BB5B" w:rsidR="00232893" w:rsidRPr="003225FD" w:rsidRDefault="00797BE3" w:rsidP="0096793D">
      <w:pPr>
        <w:pStyle w:val="SingleTxtG"/>
        <w:suppressAutoHyphens w:val="0"/>
        <w:autoSpaceDE w:val="0"/>
        <w:autoSpaceDN w:val="0"/>
        <w:adjustRightInd w:val="0"/>
        <w:spacing w:line="240" w:lineRule="auto"/>
        <w:rPr>
          <w:rFonts w:asciiTheme="majorBidi" w:hAnsiTheme="majorBidi"/>
          <w:u w:val="single"/>
        </w:rPr>
      </w:pPr>
      <w:r w:rsidRPr="003225FD">
        <w:rPr>
          <w:rFonts w:asciiTheme="majorBidi" w:hAnsiTheme="majorBidi"/>
          <w:u w:val="single"/>
        </w:rPr>
        <w:t>2002 Plan</w:t>
      </w:r>
    </w:p>
    <w:p w14:paraId="6D72EC0C" w14:textId="57D4594B" w:rsidR="00BB4461" w:rsidRPr="003225FD" w:rsidRDefault="001B2FA1" w:rsidP="00EE4AB9">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bookmarkStart w:id="59" w:name="_Ref524594848"/>
      <w:r w:rsidRPr="003225FD">
        <w:rPr>
          <w:rFonts w:asciiTheme="majorBidi" w:hAnsiTheme="majorBidi"/>
        </w:rPr>
        <w:t>T</w:t>
      </w:r>
      <w:r w:rsidR="00BB4461" w:rsidRPr="003225FD">
        <w:rPr>
          <w:rFonts w:asciiTheme="majorBidi" w:hAnsiTheme="majorBidi"/>
        </w:rPr>
        <w:t xml:space="preserve">he Party concerned </w:t>
      </w:r>
      <w:r w:rsidR="00B44FAF" w:rsidRPr="003225FD">
        <w:rPr>
          <w:rFonts w:asciiTheme="majorBidi" w:hAnsiTheme="majorBidi"/>
        </w:rPr>
        <w:t>submits</w:t>
      </w:r>
      <w:r w:rsidR="00D77D05" w:rsidRPr="003225FD">
        <w:rPr>
          <w:rFonts w:asciiTheme="majorBidi" w:hAnsiTheme="majorBidi"/>
        </w:rPr>
        <w:t>,</w:t>
      </w:r>
      <w:r w:rsidR="00B44FAF" w:rsidRPr="003225FD">
        <w:rPr>
          <w:rFonts w:asciiTheme="majorBidi" w:hAnsiTheme="majorBidi"/>
        </w:rPr>
        <w:t xml:space="preserve"> </w:t>
      </w:r>
      <w:r w:rsidR="00BB4461" w:rsidRPr="003225FD">
        <w:rPr>
          <w:rFonts w:asciiTheme="majorBidi" w:hAnsiTheme="majorBidi"/>
        </w:rPr>
        <w:t xml:space="preserve">and </w:t>
      </w:r>
      <w:r w:rsidR="00B61E75" w:rsidRPr="003225FD">
        <w:rPr>
          <w:rFonts w:asciiTheme="majorBidi" w:hAnsiTheme="majorBidi"/>
        </w:rPr>
        <w:t xml:space="preserve">court </w:t>
      </w:r>
      <w:r w:rsidR="00BB4461" w:rsidRPr="003225FD">
        <w:rPr>
          <w:rFonts w:asciiTheme="majorBidi" w:hAnsiTheme="majorBidi"/>
        </w:rPr>
        <w:t xml:space="preserve">decisions </w:t>
      </w:r>
      <w:r w:rsidRPr="003225FD">
        <w:rPr>
          <w:rFonts w:asciiTheme="majorBidi" w:hAnsiTheme="majorBidi"/>
        </w:rPr>
        <w:t>indicate</w:t>
      </w:r>
      <w:r w:rsidR="00D77D05" w:rsidRPr="003225FD">
        <w:rPr>
          <w:rFonts w:asciiTheme="majorBidi" w:hAnsiTheme="majorBidi"/>
        </w:rPr>
        <w:t>,</w:t>
      </w:r>
      <w:r w:rsidR="00BB4461" w:rsidRPr="003225FD">
        <w:rPr>
          <w:rFonts w:asciiTheme="majorBidi" w:hAnsiTheme="majorBidi"/>
        </w:rPr>
        <w:t xml:space="preserve"> </w:t>
      </w:r>
      <w:r w:rsidR="00B61E75" w:rsidRPr="003225FD">
        <w:rPr>
          <w:rFonts w:asciiTheme="majorBidi" w:hAnsiTheme="majorBidi"/>
        </w:rPr>
        <w:t xml:space="preserve">that </w:t>
      </w:r>
      <w:r w:rsidRPr="003225FD">
        <w:rPr>
          <w:rFonts w:asciiTheme="majorBidi" w:hAnsiTheme="majorBidi"/>
        </w:rPr>
        <w:t>th</w:t>
      </w:r>
      <w:r w:rsidR="00A2668A" w:rsidRPr="003225FD">
        <w:rPr>
          <w:rFonts w:asciiTheme="majorBidi" w:hAnsiTheme="majorBidi"/>
        </w:rPr>
        <w:t xml:space="preserve">e </w:t>
      </w:r>
      <w:r w:rsidR="00797BE3" w:rsidRPr="003225FD">
        <w:rPr>
          <w:rFonts w:asciiTheme="majorBidi" w:hAnsiTheme="majorBidi"/>
        </w:rPr>
        <w:t xml:space="preserve">2002 </w:t>
      </w:r>
      <w:r w:rsidRPr="003225FD">
        <w:rPr>
          <w:rFonts w:asciiTheme="majorBidi" w:hAnsiTheme="majorBidi"/>
        </w:rPr>
        <w:t>Plan</w:t>
      </w:r>
      <w:r w:rsidR="00BB4461" w:rsidRPr="003225FD">
        <w:rPr>
          <w:rFonts w:asciiTheme="majorBidi" w:hAnsiTheme="majorBidi"/>
        </w:rPr>
        <w:t xml:space="preserve"> set a preliminary route, </w:t>
      </w:r>
      <w:r w:rsidR="00797BE3" w:rsidRPr="003225FD">
        <w:rPr>
          <w:rFonts w:asciiTheme="majorBidi" w:hAnsiTheme="majorBidi"/>
        </w:rPr>
        <w:t xml:space="preserve">subsequently </w:t>
      </w:r>
      <w:r w:rsidR="000D1EC8" w:rsidRPr="003225FD">
        <w:rPr>
          <w:rFonts w:asciiTheme="majorBidi" w:hAnsiTheme="majorBidi"/>
        </w:rPr>
        <w:t>made specific</w:t>
      </w:r>
      <w:r w:rsidR="00BB4461" w:rsidRPr="003225FD">
        <w:rPr>
          <w:rFonts w:asciiTheme="majorBidi" w:hAnsiTheme="majorBidi"/>
        </w:rPr>
        <w:t xml:space="preserve"> in </w:t>
      </w:r>
      <w:r w:rsidR="00797BE3" w:rsidRPr="003225FD">
        <w:rPr>
          <w:rFonts w:asciiTheme="majorBidi" w:hAnsiTheme="majorBidi"/>
        </w:rPr>
        <w:t xml:space="preserve">the </w:t>
      </w:r>
      <w:r w:rsidR="00BB4461" w:rsidRPr="003225FD">
        <w:rPr>
          <w:rFonts w:asciiTheme="majorBidi" w:hAnsiTheme="majorBidi"/>
        </w:rPr>
        <w:t xml:space="preserve">county and municipal </w:t>
      </w:r>
      <w:r w:rsidR="00FA1569" w:rsidRPr="003225FD">
        <w:rPr>
          <w:rFonts w:asciiTheme="majorBidi" w:hAnsiTheme="majorBidi"/>
        </w:rPr>
        <w:t>master p</w:t>
      </w:r>
      <w:r w:rsidR="00BB4461" w:rsidRPr="003225FD">
        <w:rPr>
          <w:rFonts w:asciiTheme="majorBidi" w:hAnsiTheme="majorBidi"/>
        </w:rPr>
        <w:t>lans.</w:t>
      </w:r>
      <w:r w:rsidR="00BB4461" w:rsidRPr="00001B0D">
        <w:rPr>
          <w:rStyle w:val="FootnoteReference"/>
          <w:rFonts w:asciiTheme="majorBidi" w:hAnsiTheme="majorBidi"/>
          <w:sz w:val="20"/>
        </w:rPr>
        <w:footnoteReference w:id="101"/>
      </w:r>
      <w:r w:rsidR="00BB4461" w:rsidRPr="00001B0D">
        <w:rPr>
          <w:rFonts w:asciiTheme="majorBidi" w:hAnsiTheme="majorBidi"/>
        </w:rPr>
        <w:t xml:space="preserve"> </w:t>
      </w:r>
      <w:r w:rsidR="003A5852" w:rsidRPr="003225FD">
        <w:rPr>
          <w:rFonts w:asciiTheme="majorBidi" w:hAnsiTheme="majorBidi"/>
        </w:rPr>
        <w:t>P</w:t>
      </w:r>
      <w:r w:rsidR="00BB4461" w:rsidRPr="003225FD">
        <w:rPr>
          <w:rFonts w:asciiTheme="majorBidi" w:hAnsiTheme="majorBidi"/>
        </w:rPr>
        <w:t xml:space="preserve">rior to the 2002 Plan, some form of public participation was conducted, and the communicant has not alleged that </w:t>
      </w:r>
      <w:r w:rsidR="000D1EC8" w:rsidRPr="003225FD">
        <w:rPr>
          <w:rFonts w:asciiTheme="majorBidi" w:hAnsiTheme="majorBidi"/>
        </w:rPr>
        <w:t>it</w:t>
      </w:r>
      <w:r w:rsidR="00BB4461" w:rsidRPr="003225FD">
        <w:rPr>
          <w:rFonts w:asciiTheme="majorBidi" w:hAnsiTheme="majorBidi"/>
        </w:rPr>
        <w:t xml:space="preserve"> was</w:t>
      </w:r>
      <w:r w:rsidR="005C7174" w:rsidRPr="003225FD">
        <w:rPr>
          <w:rFonts w:asciiTheme="majorBidi" w:hAnsiTheme="majorBidi"/>
        </w:rPr>
        <w:t xml:space="preserve"> </w:t>
      </w:r>
      <w:r w:rsidR="00BB4461" w:rsidRPr="003225FD">
        <w:rPr>
          <w:rFonts w:asciiTheme="majorBidi" w:hAnsiTheme="majorBidi"/>
        </w:rPr>
        <w:t xml:space="preserve">defective. </w:t>
      </w:r>
      <w:r w:rsidR="000D1EC8" w:rsidRPr="003225FD">
        <w:rPr>
          <w:rFonts w:asciiTheme="majorBidi" w:hAnsiTheme="majorBidi"/>
        </w:rPr>
        <w:t>T</w:t>
      </w:r>
      <w:r w:rsidR="00BB4461" w:rsidRPr="003225FD">
        <w:rPr>
          <w:rFonts w:asciiTheme="majorBidi" w:hAnsiTheme="majorBidi"/>
        </w:rPr>
        <w:t xml:space="preserve">he </w:t>
      </w:r>
      <w:r w:rsidR="00797BE3" w:rsidRPr="003225FD">
        <w:rPr>
          <w:rFonts w:asciiTheme="majorBidi" w:hAnsiTheme="majorBidi"/>
        </w:rPr>
        <w:t xml:space="preserve">Committee </w:t>
      </w:r>
      <w:r w:rsidR="00827DBC" w:rsidRPr="003225FD">
        <w:rPr>
          <w:rFonts w:asciiTheme="majorBidi" w:hAnsiTheme="majorBidi"/>
        </w:rPr>
        <w:t xml:space="preserve">accordingly </w:t>
      </w:r>
      <w:r w:rsidR="00797BE3" w:rsidRPr="003225FD">
        <w:rPr>
          <w:rFonts w:asciiTheme="majorBidi" w:hAnsiTheme="majorBidi"/>
        </w:rPr>
        <w:t xml:space="preserve">considers that </w:t>
      </w:r>
      <w:r w:rsidR="00A80268" w:rsidRPr="003225FD">
        <w:rPr>
          <w:rFonts w:asciiTheme="majorBidi" w:hAnsiTheme="majorBidi"/>
        </w:rPr>
        <w:t xml:space="preserve">it has not been established that </w:t>
      </w:r>
      <w:r w:rsidR="00797BE3" w:rsidRPr="003225FD">
        <w:rPr>
          <w:rFonts w:asciiTheme="majorBidi" w:hAnsiTheme="majorBidi"/>
        </w:rPr>
        <w:t xml:space="preserve">the </w:t>
      </w:r>
      <w:r w:rsidR="00BB4461" w:rsidRPr="003225FD">
        <w:rPr>
          <w:rFonts w:asciiTheme="majorBidi" w:hAnsiTheme="majorBidi"/>
        </w:rPr>
        <w:t>adoption of the 2002 Plan foreclose</w:t>
      </w:r>
      <w:r w:rsidR="00A80268" w:rsidRPr="003225FD">
        <w:rPr>
          <w:rFonts w:asciiTheme="majorBidi" w:hAnsiTheme="majorBidi"/>
        </w:rPr>
        <w:t>d</w:t>
      </w:r>
      <w:r w:rsidR="00BB4461" w:rsidRPr="003225FD">
        <w:rPr>
          <w:rFonts w:asciiTheme="majorBidi" w:hAnsiTheme="majorBidi"/>
        </w:rPr>
        <w:t xml:space="preserve"> </w:t>
      </w:r>
      <w:r w:rsidR="00790A29" w:rsidRPr="003225FD">
        <w:rPr>
          <w:rFonts w:asciiTheme="majorBidi" w:hAnsiTheme="majorBidi"/>
        </w:rPr>
        <w:t xml:space="preserve">routing </w:t>
      </w:r>
      <w:r w:rsidR="00BB4461" w:rsidRPr="003225FD">
        <w:rPr>
          <w:rFonts w:asciiTheme="majorBidi" w:hAnsiTheme="majorBidi"/>
        </w:rPr>
        <w:t>options in a manner that would contravene article 6</w:t>
      </w:r>
      <w:r w:rsidR="00B06BF3" w:rsidRPr="003225FD">
        <w:rPr>
          <w:rFonts w:asciiTheme="majorBidi" w:hAnsiTheme="majorBidi"/>
        </w:rPr>
        <w:t>(</w:t>
      </w:r>
      <w:r w:rsidR="00BB4461" w:rsidRPr="003225FD">
        <w:rPr>
          <w:rFonts w:asciiTheme="majorBidi" w:hAnsiTheme="majorBidi"/>
        </w:rPr>
        <w:t>4</w:t>
      </w:r>
      <w:r w:rsidR="00B06BF3" w:rsidRPr="003225FD">
        <w:rPr>
          <w:rFonts w:asciiTheme="majorBidi" w:hAnsiTheme="majorBidi"/>
        </w:rPr>
        <w:t>)</w:t>
      </w:r>
      <w:r w:rsidR="00BB4461" w:rsidRPr="003225FD">
        <w:rPr>
          <w:rFonts w:asciiTheme="majorBidi" w:hAnsiTheme="majorBidi"/>
        </w:rPr>
        <w:t>.</w:t>
      </w:r>
      <w:bookmarkEnd w:id="59"/>
    </w:p>
    <w:p w14:paraId="795E5E14" w14:textId="18705377" w:rsidR="00191BEB" w:rsidRPr="003225FD" w:rsidRDefault="00333B72" w:rsidP="0096793D">
      <w:pPr>
        <w:pStyle w:val="SingleTxtG"/>
        <w:suppressAutoHyphens w:val="0"/>
        <w:autoSpaceDE w:val="0"/>
        <w:autoSpaceDN w:val="0"/>
        <w:adjustRightInd w:val="0"/>
        <w:spacing w:line="240" w:lineRule="auto"/>
        <w:rPr>
          <w:rFonts w:asciiTheme="majorBidi" w:hAnsiTheme="majorBidi"/>
          <w:u w:val="single"/>
        </w:rPr>
      </w:pPr>
      <w:r w:rsidRPr="003225FD">
        <w:rPr>
          <w:rFonts w:asciiTheme="majorBidi" w:hAnsiTheme="majorBidi"/>
          <w:u w:val="single"/>
        </w:rPr>
        <w:t xml:space="preserve">2010 </w:t>
      </w:r>
      <w:r w:rsidR="007E4048" w:rsidRPr="003225FD">
        <w:rPr>
          <w:rFonts w:asciiTheme="majorBidi" w:hAnsiTheme="majorBidi"/>
          <w:u w:val="single"/>
        </w:rPr>
        <w:t>Agreement</w:t>
      </w:r>
    </w:p>
    <w:p w14:paraId="5DA42237" w14:textId="4862F55E" w:rsidR="00DD168B" w:rsidRPr="003225FD" w:rsidRDefault="00D93BB7" w:rsidP="00DD168B">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 xml:space="preserve">The 2010 Agreement </w:t>
      </w:r>
      <w:r w:rsidR="0076784E" w:rsidRPr="003225FD">
        <w:rPr>
          <w:rFonts w:asciiTheme="majorBidi" w:hAnsiTheme="majorBidi"/>
        </w:rPr>
        <w:t>states that</w:t>
      </w:r>
      <w:r w:rsidR="000965E2" w:rsidRPr="003225FD">
        <w:rPr>
          <w:rFonts w:asciiTheme="majorBidi" w:hAnsiTheme="majorBidi"/>
        </w:rPr>
        <w:t xml:space="preserve"> the</w:t>
      </w:r>
      <w:r w:rsidR="00F512C5" w:rsidRPr="003225FD">
        <w:rPr>
          <w:rFonts w:asciiTheme="majorBidi" w:hAnsiTheme="majorBidi"/>
        </w:rPr>
        <w:t xml:space="preserve"> consultant “will attempt to plan the border crossing point on the site indicated</w:t>
      </w:r>
      <w:r w:rsidR="00FD3283" w:rsidRPr="003225FD">
        <w:rPr>
          <w:rFonts w:asciiTheme="majorBidi" w:hAnsiTheme="majorBidi"/>
        </w:rPr>
        <w:t xml:space="preserve"> in the said plan</w:t>
      </w:r>
      <w:r w:rsidR="00F512C5" w:rsidRPr="003225FD">
        <w:rPr>
          <w:rFonts w:asciiTheme="majorBidi" w:hAnsiTheme="majorBidi"/>
        </w:rPr>
        <w:t xml:space="preserve"> </w:t>
      </w:r>
      <w:r w:rsidR="00FD3283" w:rsidRPr="003225FD">
        <w:rPr>
          <w:rFonts w:asciiTheme="majorBidi" w:hAnsiTheme="majorBidi"/>
        </w:rPr>
        <w:t>[</w:t>
      </w:r>
      <w:r w:rsidR="00F512C5" w:rsidRPr="003225FD">
        <w:rPr>
          <w:rFonts w:asciiTheme="majorBidi" w:hAnsiTheme="majorBidi"/>
        </w:rPr>
        <w:t>the</w:t>
      </w:r>
      <w:r w:rsidR="001150D5" w:rsidRPr="003225FD">
        <w:rPr>
          <w:rFonts w:asciiTheme="majorBidi" w:hAnsiTheme="majorBidi"/>
        </w:rPr>
        <w:t xml:space="preserve"> </w:t>
      </w:r>
      <w:r w:rsidR="002A7377" w:rsidRPr="003225FD">
        <w:rPr>
          <w:rFonts w:asciiTheme="majorBidi" w:hAnsiTheme="majorBidi"/>
        </w:rPr>
        <w:t xml:space="preserve">master plan of </w:t>
      </w:r>
      <w:r w:rsidR="001150D5" w:rsidRPr="003225FD">
        <w:rPr>
          <w:rFonts w:asciiTheme="majorBidi" w:hAnsiTheme="majorBidi"/>
        </w:rPr>
        <w:t>Sejny County, Poland</w:t>
      </w:r>
      <w:r w:rsidR="00FD3283" w:rsidRPr="003225FD">
        <w:rPr>
          <w:rFonts w:asciiTheme="majorBidi" w:hAnsiTheme="majorBidi"/>
        </w:rPr>
        <w:t>]”</w:t>
      </w:r>
      <w:r w:rsidR="0076784E" w:rsidRPr="003225FD">
        <w:rPr>
          <w:rFonts w:asciiTheme="majorBidi" w:hAnsiTheme="majorBidi"/>
        </w:rPr>
        <w:t xml:space="preserve">.  </w:t>
      </w:r>
      <w:r w:rsidR="00DD2094" w:rsidRPr="003225FD">
        <w:rPr>
          <w:rFonts w:asciiTheme="majorBidi" w:hAnsiTheme="majorBidi"/>
        </w:rPr>
        <w:t>The site indicated</w:t>
      </w:r>
      <w:r w:rsidR="002A7377" w:rsidRPr="003225FD">
        <w:rPr>
          <w:rFonts w:asciiTheme="majorBidi" w:hAnsiTheme="majorBidi"/>
        </w:rPr>
        <w:t xml:space="preserve"> </w:t>
      </w:r>
      <w:r w:rsidR="0076784E" w:rsidRPr="003225FD">
        <w:rPr>
          <w:rFonts w:asciiTheme="majorBidi" w:hAnsiTheme="majorBidi"/>
        </w:rPr>
        <w:t>was “</w:t>
      </w:r>
      <w:r w:rsidR="00B2391C" w:rsidRPr="003225FD">
        <w:rPr>
          <w:rFonts w:asciiTheme="majorBidi" w:hAnsiTheme="majorBidi"/>
        </w:rPr>
        <w:t>in Lazdijai district, to the north-west from Lake Galadusys”</w:t>
      </w:r>
      <w:r w:rsidR="001150D5" w:rsidRPr="003225FD">
        <w:rPr>
          <w:rFonts w:asciiTheme="majorBidi" w:hAnsiTheme="majorBidi"/>
        </w:rPr>
        <w:t xml:space="preserve"> (see para. </w:t>
      </w:r>
      <w:r w:rsidR="00CD28A0" w:rsidRPr="003225FD">
        <w:rPr>
          <w:rFonts w:asciiTheme="majorBidi" w:hAnsiTheme="majorBidi" w:cstheme="majorBidi"/>
          <w:cs/>
        </w:rPr>
        <w:t>‎</w:t>
      </w:r>
      <w:r w:rsidR="00F92E97" w:rsidRPr="003225FD">
        <w:rPr>
          <w:rFonts w:asciiTheme="majorBidi" w:hAnsiTheme="majorBidi"/>
        </w:rPr>
        <w:t>28</w:t>
      </w:r>
      <w:r w:rsidR="001150D5" w:rsidRPr="003225FD">
        <w:rPr>
          <w:rFonts w:asciiTheme="majorBidi" w:hAnsiTheme="majorBidi"/>
        </w:rPr>
        <w:t xml:space="preserve"> above</w:t>
      </w:r>
      <w:r w:rsidR="000965E2" w:rsidRPr="003225FD">
        <w:rPr>
          <w:rFonts w:asciiTheme="majorBidi" w:hAnsiTheme="majorBidi"/>
        </w:rPr>
        <w:t>)</w:t>
      </w:r>
      <w:r w:rsidR="00DD168B" w:rsidRPr="003225FD">
        <w:rPr>
          <w:rFonts w:asciiTheme="majorBidi" w:hAnsiTheme="majorBidi"/>
        </w:rPr>
        <w:t xml:space="preserve">, which </w:t>
      </w:r>
      <w:r w:rsidR="00C545B5" w:rsidRPr="003225FD">
        <w:rPr>
          <w:rFonts w:asciiTheme="majorBidi" w:hAnsiTheme="majorBidi"/>
        </w:rPr>
        <w:t xml:space="preserve">was also the crossing point shown in the 2002 Master Plan. </w:t>
      </w:r>
      <w:r w:rsidR="00DD168B" w:rsidRPr="003225FD">
        <w:rPr>
          <w:rFonts w:asciiTheme="majorBidi" w:hAnsiTheme="majorBidi"/>
        </w:rPr>
        <w:t xml:space="preserve">The Committee considers that the 2010 Agreement accordingly </w:t>
      </w:r>
      <w:r w:rsidR="003B2C73" w:rsidRPr="003225FD">
        <w:rPr>
          <w:rFonts w:asciiTheme="majorBidi" w:hAnsiTheme="majorBidi"/>
        </w:rPr>
        <w:t>fixed</w:t>
      </w:r>
      <w:r w:rsidR="00DD168B" w:rsidRPr="003225FD">
        <w:rPr>
          <w:rFonts w:asciiTheme="majorBidi" w:hAnsiTheme="majorBidi"/>
        </w:rPr>
        <w:t xml:space="preserve"> the general location, at least, </w:t>
      </w:r>
      <w:r w:rsidR="003B2C73" w:rsidRPr="003225FD">
        <w:rPr>
          <w:rFonts w:asciiTheme="majorBidi" w:hAnsiTheme="majorBidi"/>
        </w:rPr>
        <w:t xml:space="preserve">of </w:t>
      </w:r>
      <w:r w:rsidR="00DD168B" w:rsidRPr="003225FD">
        <w:rPr>
          <w:rFonts w:asciiTheme="majorBidi" w:hAnsiTheme="majorBidi"/>
        </w:rPr>
        <w:t>the OHL’s border crossing point.</w:t>
      </w:r>
    </w:p>
    <w:p w14:paraId="35E22C9E" w14:textId="3E0824F8" w:rsidR="00913BA9" w:rsidRPr="00001B0D" w:rsidRDefault="00C545B5" w:rsidP="003D7E9D">
      <w:pPr>
        <w:pStyle w:val="SingleTxtG"/>
        <w:numPr>
          <w:ilvl w:val="0"/>
          <w:numId w:val="3"/>
        </w:numPr>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To this end</w:t>
      </w:r>
      <w:r w:rsidR="00F95E8A" w:rsidRPr="003225FD">
        <w:rPr>
          <w:rFonts w:asciiTheme="majorBidi" w:hAnsiTheme="majorBidi"/>
        </w:rPr>
        <w:t>,</w:t>
      </w:r>
      <w:r w:rsidR="00551FCC" w:rsidRPr="003225FD">
        <w:rPr>
          <w:rFonts w:asciiTheme="majorBidi" w:hAnsiTheme="majorBidi"/>
        </w:rPr>
        <w:t xml:space="preserve"> Alytus RED</w:t>
      </w:r>
      <w:r w:rsidR="00133B2B" w:rsidRPr="003225FD">
        <w:rPr>
          <w:rFonts w:asciiTheme="majorBidi" w:hAnsiTheme="majorBidi"/>
        </w:rPr>
        <w:t xml:space="preserve">, in </w:t>
      </w:r>
      <w:r w:rsidR="00145C50" w:rsidRPr="003225FD">
        <w:rPr>
          <w:rFonts w:asciiTheme="majorBidi" w:hAnsiTheme="majorBidi"/>
        </w:rPr>
        <w:t xml:space="preserve">its pleadings </w:t>
      </w:r>
      <w:r w:rsidR="00551FCC" w:rsidRPr="003225FD">
        <w:rPr>
          <w:rFonts w:asciiTheme="majorBidi" w:hAnsiTheme="majorBidi"/>
        </w:rPr>
        <w:t xml:space="preserve">before </w:t>
      </w:r>
      <w:r w:rsidR="00145C50" w:rsidRPr="003225FD">
        <w:rPr>
          <w:rFonts w:asciiTheme="majorBidi" w:hAnsiTheme="majorBidi"/>
        </w:rPr>
        <w:t xml:space="preserve">the Supreme Administrative Court, </w:t>
      </w:r>
      <w:r w:rsidR="0029097B" w:rsidRPr="003225FD">
        <w:rPr>
          <w:rFonts w:asciiTheme="majorBidi" w:hAnsiTheme="majorBidi"/>
        </w:rPr>
        <w:t xml:space="preserve">stated </w:t>
      </w:r>
      <w:r w:rsidR="00145C50" w:rsidRPr="003225FD">
        <w:rPr>
          <w:rFonts w:asciiTheme="majorBidi" w:hAnsiTheme="majorBidi"/>
        </w:rPr>
        <w:t>that</w:t>
      </w:r>
      <w:r w:rsidR="00EC49AE" w:rsidRPr="003225FD">
        <w:rPr>
          <w:rFonts w:asciiTheme="majorBidi" w:hAnsiTheme="majorBidi"/>
        </w:rPr>
        <w:t xml:space="preserve"> </w:t>
      </w:r>
      <w:r w:rsidR="00145C50" w:rsidRPr="003225FD">
        <w:rPr>
          <w:rFonts w:asciiTheme="majorBidi" w:hAnsiTheme="majorBidi"/>
        </w:rPr>
        <w:t>all alternatives analysed by the consultant in the SEA and EIA procedures “were compliant with” the 2010 Agreement and that the process stipulated in the Agreement “was exactly how it was done.”</w:t>
      </w:r>
      <w:r w:rsidR="00145C50" w:rsidRPr="00001B0D">
        <w:rPr>
          <w:rStyle w:val="FootnoteReference"/>
          <w:rFonts w:asciiTheme="majorBidi" w:hAnsiTheme="majorBidi"/>
          <w:sz w:val="20"/>
        </w:rPr>
        <w:footnoteReference w:id="102"/>
      </w:r>
      <w:r w:rsidR="00913BA9" w:rsidRPr="00001B0D">
        <w:rPr>
          <w:rFonts w:asciiTheme="majorBidi" w:hAnsiTheme="majorBidi"/>
        </w:rPr>
        <w:t xml:space="preserve"> </w:t>
      </w:r>
    </w:p>
    <w:p w14:paraId="0A93920C" w14:textId="4CE49614" w:rsidR="0029097B" w:rsidRPr="003225FD" w:rsidRDefault="00913BA9" w:rsidP="003D7E9D">
      <w:pPr>
        <w:pStyle w:val="SingleTxtG"/>
        <w:numPr>
          <w:ilvl w:val="0"/>
          <w:numId w:val="3"/>
        </w:numPr>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 xml:space="preserve">Likewise, </w:t>
      </w:r>
      <w:r w:rsidR="00AE57B2" w:rsidRPr="003225FD">
        <w:rPr>
          <w:rFonts w:asciiTheme="majorBidi" w:hAnsiTheme="majorBidi"/>
        </w:rPr>
        <w:t>Litpol Link</w:t>
      </w:r>
      <w:r w:rsidR="00133B2B" w:rsidRPr="003225FD">
        <w:rPr>
          <w:rFonts w:asciiTheme="majorBidi" w:hAnsiTheme="majorBidi"/>
        </w:rPr>
        <w:t xml:space="preserve">, in its letter </w:t>
      </w:r>
      <w:r w:rsidR="00551FCC" w:rsidRPr="003225FD">
        <w:rPr>
          <w:rFonts w:asciiTheme="majorBidi" w:hAnsiTheme="majorBidi"/>
        </w:rPr>
        <w:t xml:space="preserve">to parliament </w:t>
      </w:r>
      <w:r w:rsidR="00133B2B" w:rsidRPr="003225FD">
        <w:rPr>
          <w:rFonts w:asciiTheme="majorBidi" w:hAnsiTheme="majorBidi"/>
        </w:rPr>
        <w:t>o</w:t>
      </w:r>
      <w:r w:rsidR="00551FCC" w:rsidRPr="003225FD">
        <w:rPr>
          <w:rFonts w:asciiTheme="majorBidi" w:hAnsiTheme="majorBidi"/>
        </w:rPr>
        <w:t>f</w:t>
      </w:r>
      <w:r w:rsidR="00133B2B" w:rsidRPr="003225FD">
        <w:rPr>
          <w:rFonts w:asciiTheme="majorBidi" w:hAnsiTheme="majorBidi"/>
        </w:rPr>
        <w:t xml:space="preserve"> 11 October 2010, </w:t>
      </w:r>
      <w:r w:rsidR="009125DF" w:rsidRPr="003225FD">
        <w:rPr>
          <w:rFonts w:asciiTheme="majorBidi" w:hAnsiTheme="majorBidi"/>
        </w:rPr>
        <w:t>state</w:t>
      </w:r>
      <w:r w:rsidR="00EB73A0" w:rsidRPr="003225FD">
        <w:rPr>
          <w:rFonts w:asciiTheme="majorBidi" w:hAnsiTheme="majorBidi"/>
        </w:rPr>
        <w:t>d</w:t>
      </w:r>
      <w:r w:rsidR="009125DF" w:rsidRPr="003225FD">
        <w:rPr>
          <w:rFonts w:asciiTheme="majorBidi" w:hAnsiTheme="majorBidi"/>
        </w:rPr>
        <w:t xml:space="preserve"> that </w:t>
      </w:r>
      <w:r w:rsidR="00133B2B" w:rsidRPr="003225FD">
        <w:rPr>
          <w:rFonts w:asciiTheme="majorBidi" w:hAnsiTheme="majorBidi"/>
        </w:rPr>
        <w:t xml:space="preserve">Lazdijai’s </w:t>
      </w:r>
      <w:r w:rsidR="009125DF" w:rsidRPr="003225FD">
        <w:rPr>
          <w:rFonts w:asciiTheme="majorBidi" w:hAnsiTheme="majorBidi"/>
        </w:rPr>
        <w:t xml:space="preserve">alternative would require signing </w:t>
      </w:r>
      <w:r w:rsidR="00551FCC" w:rsidRPr="003225FD">
        <w:rPr>
          <w:rFonts w:asciiTheme="majorBidi" w:hAnsiTheme="majorBidi"/>
        </w:rPr>
        <w:t>“</w:t>
      </w:r>
      <w:r w:rsidR="009125DF" w:rsidRPr="003225FD">
        <w:rPr>
          <w:rFonts w:asciiTheme="majorBidi" w:hAnsiTheme="majorBidi"/>
        </w:rPr>
        <w:t xml:space="preserve">agreements between </w:t>
      </w:r>
      <w:r w:rsidR="00551FCC" w:rsidRPr="003225FD">
        <w:rPr>
          <w:rFonts w:asciiTheme="majorBidi" w:hAnsiTheme="majorBidi"/>
        </w:rPr>
        <w:t xml:space="preserve">the countries and transmission system operators, respectively, </w:t>
      </w:r>
      <w:r w:rsidR="009125DF" w:rsidRPr="003225FD">
        <w:rPr>
          <w:rFonts w:asciiTheme="majorBidi" w:hAnsiTheme="majorBidi"/>
        </w:rPr>
        <w:t>concerning the change of the power line route</w:t>
      </w:r>
      <w:r w:rsidR="00551FCC" w:rsidRPr="003225FD">
        <w:rPr>
          <w:rFonts w:asciiTheme="majorBidi" w:hAnsiTheme="majorBidi"/>
        </w:rPr>
        <w:t>”</w:t>
      </w:r>
      <w:r w:rsidR="00EB73A0" w:rsidRPr="003225FD">
        <w:rPr>
          <w:rFonts w:asciiTheme="majorBidi" w:hAnsiTheme="majorBidi"/>
        </w:rPr>
        <w:t xml:space="preserve"> (see para. </w:t>
      </w:r>
      <w:r w:rsidR="00CD28A0" w:rsidRPr="003225FD">
        <w:rPr>
          <w:rFonts w:asciiTheme="majorBidi" w:hAnsiTheme="majorBidi" w:cstheme="majorBidi"/>
          <w:cs/>
        </w:rPr>
        <w:t>‎</w:t>
      </w:r>
      <w:r w:rsidR="00CD28A0" w:rsidRPr="003225FD">
        <w:rPr>
          <w:rFonts w:asciiTheme="majorBidi" w:hAnsiTheme="majorBidi"/>
        </w:rPr>
        <w:t>3</w:t>
      </w:r>
      <w:r w:rsidRPr="003225FD">
        <w:rPr>
          <w:rFonts w:asciiTheme="majorBidi" w:hAnsiTheme="majorBidi"/>
        </w:rPr>
        <w:t>4</w:t>
      </w:r>
      <w:r w:rsidR="00EB73A0" w:rsidRPr="003225FD">
        <w:rPr>
          <w:rFonts w:asciiTheme="majorBidi" w:hAnsiTheme="majorBidi"/>
        </w:rPr>
        <w:t xml:space="preserve"> above)</w:t>
      </w:r>
      <w:r w:rsidR="009125DF" w:rsidRPr="003225FD">
        <w:rPr>
          <w:rFonts w:asciiTheme="majorBidi" w:hAnsiTheme="majorBidi"/>
        </w:rPr>
        <w:t xml:space="preserve">. </w:t>
      </w:r>
    </w:p>
    <w:p w14:paraId="5380EE06" w14:textId="289D0201" w:rsidR="00F95E8A" w:rsidRPr="003225FD" w:rsidRDefault="00913BA9" w:rsidP="00133B2B">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T</w:t>
      </w:r>
      <w:r w:rsidR="00AE57B2" w:rsidRPr="003225FD">
        <w:rPr>
          <w:rFonts w:asciiTheme="majorBidi" w:hAnsiTheme="majorBidi"/>
        </w:rPr>
        <w:t xml:space="preserve">he fact </w:t>
      </w:r>
      <w:r w:rsidR="00F95E8A" w:rsidRPr="003225FD">
        <w:rPr>
          <w:rFonts w:asciiTheme="majorBidi" w:hAnsiTheme="majorBidi"/>
        </w:rPr>
        <w:t xml:space="preserve">that the only alternatives studied in the SEA and EIA procedures “were compliant with” the crossing point established by the </w:t>
      </w:r>
      <w:r w:rsidRPr="003225FD">
        <w:rPr>
          <w:rFonts w:asciiTheme="majorBidi" w:hAnsiTheme="majorBidi"/>
        </w:rPr>
        <w:t xml:space="preserve">2010 </w:t>
      </w:r>
      <w:r w:rsidR="00F95E8A" w:rsidRPr="003225FD">
        <w:rPr>
          <w:rFonts w:asciiTheme="majorBidi" w:hAnsiTheme="majorBidi"/>
        </w:rPr>
        <w:t xml:space="preserve">Agreement demonstrates that the 2010 Agreement foreclosed other options in practice. </w:t>
      </w:r>
    </w:p>
    <w:p w14:paraId="6E8CF2CB" w14:textId="5956F4EA" w:rsidR="00BF21E3" w:rsidRPr="00001B0D" w:rsidRDefault="00BF21E3" w:rsidP="00BF21E3">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lastRenderedPageBreak/>
        <w:t xml:space="preserve">Based on the above, regardless of whether or not it </w:t>
      </w:r>
      <w:r w:rsidRPr="003225FD">
        <w:rPr>
          <w:rFonts w:asciiTheme="majorBidi" w:hAnsiTheme="majorBidi" w:cstheme="majorBidi"/>
        </w:rPr>
        <w:t>amount</w:t>
      </w:r>
      <w:r w:rsidR="00C545B5" w:rsidRPr="003225FD">
        <w:rPr>
          <w:rFonts w:asciiTheme="majorBidi" w:hAnsiTheme="majorBidi" w:cstheme="majorBidi"/>
        </w:rPr>
        <w:t>ed</w:t>
      </w:r>
      <w:r w:rsidRPr="003225FD">
        <w:rPr>
          <w:rFonts w:asciiTheme="majorBidi" w:hAnsiTheme="majorBidi"/>
        </w:rPr>
        <w:t xml:space="preserve"> to a treaty under the Vienna Convention on the Law of Treaties, </w:t>
      </w:r>
      <w:r w:rsidR="00C545B5" w:rsidRPr="003225FD">
        <w:rPr>
          <w:rFonts w:asciiTheme="majorBidi" w:hAnsiTheme="majorBidi"/>
        </w:rPr>
        <w:t xml:space="preserve">the 2010 Agreement </w:t>
      </w:r>
      <w:r w:rsidR="005B057E" w:rsidRPr="003225FD">
        <w:rPr>
          <w:rFonts w:asciiTheme="majorBidi" w:hAnsiTheme="majorBidi"/>
        </w:rPr>
        <w:t xml:space="preserve">was </w:t>
      </w:r>
      <w:r w:rsidRPr="003225FD">
        <w:rPr>
          <w:rFonts w:asciiTheme="majorBidi" w:hAnsiTheme="majorBidi"/>
        </w:rPr>
        <w:t>related to the decision-making concerning the OHL and in practice foreclosed options for the border crossing point prior to the public having an opportunity to participate thereon.</w:t>
      </w:r>
      <w:r w:rsidR="005B057E" w:rsidRPr="00001B0D">
        <w:rPr>
          <w:rStyle w:val="FootnoteReference"/>
          <w:rFonts w:asciiTheme="majorBidi" w:hAnsiTheme="majorBidi"/>
          <w:sz w:val="20"/>
        </w:rPr>
        <w:footnoteReference w:id="103"/>
      </w:r>
    </w:p>
    <w:p w14:paraId="7FB5152D" w14:textId="76F3E857" w:rsidR="0025672F" w:rsidRPr="003225FD" w:rsidRDefault="00793FD1" w:rsidP="002E3F1C">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001B0D">
        <w:rPr>
          <w:rFonts w:asciiTheme="majorBidi" w:hAnsiTheme="majorBidi"/>
        </w:rPr>
        <w:t>Cross-border projects clearly require coordination between the States involved, particularly on aspects such as border-crossing points</w:t>
      </w:r>
      <w:r w:rsidR="0025672F" w:rsidRPr="003225FD">
        <w:rPr>
          <w:rFonts w:asciiTheme="majorBidi" w:hAnsiTheme="majorBidi"/>
        </w:rPr>
        <w:t xml:space="preserve">. However, </w:t>
      </w:r>
      <w:r w:rsidR="00C948C0" w:rsidRPr="003225FD">
        <w:rPr>
          <w:rFonts w:asciiTheme="majorBidi" w:hAnsiTheme="majorBidi"/>
        </w:rPr>
        <w:t xml:space="preserve">in this case, </w:t>
      </w:r>
      <w:r w:rsidRPr="003225FD">
        <w:rPr>
          <w:rFonts w:asciiTheme="majorBidi" w:hAnsiTheme="majorBidi"/>
        </w:rPr>
        <w:t>the</w:t>
      </w:r>
      <w:r w:rsidR="0025672F" w:rsidRPr="003225FD">
        <w:rPr>
          <w:rFonts w:asciiTheme="majorBidi" w:hAnsiTheme="majorBidi"/>
        </w:rPr>
        <w:t xml:space="preserve"> </w:t>
      </w:r>
      <w:r w:rsidR="00E0743E" w:rsidRPr="003225FD">
        <w:rPr>
          <w:rFonts w:asciiTheme="majorBidi" w:hAnsiTheme="majorBidi"/>
        </w:rPr>
        <w:t xml:space="preserve">2010 Agreement </w:t>
      </w:r>
      <w:r w:rsidR="0025672F" w:rsidRPr="003225FD">
        <w:rPr>
          <w:rFonts w:asciiTheme="majorBidi" w:hAnsiTheme="majorBidi"/>
        </w:rPr>
        <w:t xml:space="preserve">was concluded during </w:t>
      </w:r>
      <w:r w:rsidR="00B80D85" w:rsidRPr="003225FD">
        <w:rPr>
          <w:rFonts w:asciiTheme="majorBidi" w:hAnsiTheme="majorBidi"/>
        </w:rPr>
        <w:t xml:space="preserve">the </w:t>
      </w:r>
      <w:r w:rsidRPr="003225FD">
        <w:rPr>
          <w:rFonts w:asciiTheme="majorBidi" w:hAnsiTheme="majorBidi"/>
        </w:rPr>
        <w:t xml:space="preserve">publication of the </w:t>
      </w:r>
      <w:r w:rsidR="0025672F" w:rsidRPr="003225FD">
        <w:rPr>
          <w:rFonts w:asciiTheme="majorBidi" w:hAnsiTheme="majorBidi"/>
        </w:rPr>
        <w:t>SEA report</w:t>
      </w:r>
      <w:r w:rsidR="008971AC" w:rsidRPr="003225FD">
        <w:rPr>
          <w:rFonts w:asciiTheme="majorBidi" w:hAnsiTheme="majorBidi"/>
        </w:rPr>
        <w:t xml:space="preserve"> and</w:t>
      </w:r>
      <w:r w:rsidR="00C948C0" w:rsidRPr="003225FD">
        <w:rPr>
          <w:rFonts w:asciiTheme="majorBidi" w:hAnsiTheme="majorBidi"/>
        </w:rPr>
        <w:t xml:space="preserve"> </w:t>
      </w:r>
      <w:r w:rsidR="0025672F" w:rsidRPr="003225FD">
        <w:rPr>
          <w:rFonts w:asciiTheme="majorBidi" w:hAnsiTheme="majorBidi"/>
        </w:rPr>
        <w:t xml:space="preserve">shortly </w:t>
      </w:r>
      <w:r w:rsidRPr="003225FD">
        <w:rPr>
          <w:rFonts w:asciiTheme="majorBidi" w:hAnsiTheme="majorBidi"/>
        </w:rPr>
        <w:t xml:space="preserve">before </w:t>
      </w:r>
      <w:r w:rsidR="0025672F" w:rsidRPr="003225FD">
        <w:rPr>
          <w:rFonts w:asciiTheme="majorBidi" w:hAnsiTheme="majorBidi"/>
        </w:rPr>
        <w:t xml:space="preserve">the public participation </w:t>
      </w:r>
      <w:r w:rsidR="002B1B04" w:rsidRPr="003225FD">
        <w:rPr>
          <w:rFonts w:asciiTheme="majorBidi" w:hAnsiTheme="majorBidi"/>
        </w:rPr>
        <w:t>on</w:t>
      </w:r>
      <w:r w:rsidR="0025672F" w:rsidRPr="003225FD">
        <w:rPr>
          <w:rFonts w:asciiTheme="majorBidi" w:hAnsiTheme="majorBidi"/>
        </w:rPr>
        <w:t xml:space="preserve"> the</w:t>
      </w:r>
      <w:r w:rsidR="00A07744" w:rsidRPr="003225FD">
        <w:rPr>
          <w:rFonts w:asciiTheme="majorBidi" w:hAnsiTheme="majorBidi"/>
        </w:rPr>
        <w:t xml:space="preserve"> SEA and draft special plan</w:t>
      </w:r>
      <w:r w:rsidR="002B2B07" w:rsidRPr="003225FD">
        <w:rPr>
          <w:rFonts w:asciiTheme="majorBidi" w:hAnsiTheme="majorBidi"/>
        </w:rPr>
        <w:t xml:space="preserve">. </w:t>
      </w:r>
    </w:p>
    <w:p w14:paraId="796C5532" w14:textId="2D290D53" w:rsidR="0025672F" w:rsidRPr="003225FD" w:rsidRDefault="00C948C0" w:rsidP="00FD3283">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bookmarkStart w:id="60" w:name="_Ref524647941"/>
      <w:r w:rsidRPr="003225FD">
        <w:rPr>
          <w:rFonts w:asciiTheme="majorBidi" w:hAnsiTheme="majorBidi"/>
        </w:rPr>
        <w:t>The Committee finds that</w:t>
      </w:r>
      <w:r w:rsidR="00475D47" w:rsidRPr="003225FD">
        <w:rPr>
          <w:rFonts w:asciiTheme="majorBidi" w:hAnsiTheme="majorBidi"/>
        </w:rPr>
        <w:t>,</w:t>
      </w:r>
      <w:r w:rsidR="00AB688F" w:rsidRPr="003225FD">
        <w:rPr>
          <w:rFonts w:asciiTheme="majorBidi" w:hAnsiTheme="majorBidi"/>
        </w:rPr>
        <w:t xml:space="preserve"> </w:t>
      </w:r>
      <w:bookmarkStart w:id="61" w:name="_Hlk10128899"/>
      <w:r w:rsidR="001808B7" w:rsidRPr="003225FD">
        <w:rPr>
          <w:rFonts w:asciiTheme="majorBidi" w:hAnsiTheme="majorBidi"/>
        </w:rPr>
        <w:t>by</w:t>
      </w:r>
      <w:r w:rsidR="00FA64FC" w:rsidRPr="003225FD">
        <w:rPr>
          <w:rFonts w:asciiTheme="majorBidi" w:hAnsiTheme="majorBidi"/>
        </w:rPr>
        <w:t xml:space="preserve"> </w:t>
      </w:r>
      <w:r w:rsidR="0025672F" w:rsidRPr="003225FD">
        <w:rPr>
          <w:rFonts w:asciiTheme="majorBidi" w:hAnsiTheme="majorBidi"/>
        </w:rPr>
        <w:t xml:space="preserve">fixing the </w:t>
      </w:r>
      <w:r w:rsidR="00E82F72" w:rsidRPr="003225FD">
        <w:rPr>
          <w:rFonts w:asciiTheme="majorBidi" w:hAnsiTheme="majorBidi"/>
        </w:rPr>
        <w:t xml:space="preserve">location of the </w:t>
      </w:r>
      <w:r w:rsidR="0025672F" w:rsidRPr="003225FD">
        <w:rPr>
          <w:rFonts w:asciiTheme="majorBidi" w:hAnsiTheme="majorBidi"/>
        </w:rPr>
        <w:t>border crossing point</w:t>
      </w:r>
      <w:r w:rsidR="00FA64FC" w:rsidRPr="003225FD">
        <w:rPr>
          <w:rFonts w:asciiTheme="majorBidi" w:hAnsiTheme="majorBidi"/>
        </w:rPr>
        <w:t xml:space="preserve"> </w:t>
      </w:r>
      <w:r w:rsidRPr="003225FD">
        <w:rPr>
          <w:rFonts w:asciiTheme="majorBidi" w:hAnsiTheme="majorBidi"/>
        </w:rPr>
        <w:t xml:space="preserve">through an interstate agreement </w:t>
      </w:r>
      <w:r w:rsidR="008971AC" w:rsidRPr="003225FD">
        <w:rPr>
          <w:rFonts w:asciiTheme="majorBidi" w:hAnsiTheme="majorBidi"/>
        </w:rPr>
        <w:t xml:space="preserve">without regard to </w:t>
      </w:r>
      <w:r w:rsidR="00E82F72" w:rsidRPr="003225FD">
        <w:rPr>
          <w:rFonts w:asciiTheme="majorBidi" w:hAnsiTheme="majorBidi"/>
        </w:rPr>
        <w:t xml:space="preserve">the </w:t>
      </w:r>
      <w:r w:rsidR="008971AC" w:rsidRPr="003225FD">
        <w:rPr>
          <w:rFonts w:asciiTheme="majorBidi" w:hAnsiTheme="majorBidi"/>
        </w:rPr>
        <w:t>pending</w:t>
      </w:r>
      <w:r w:rsidR="00823028" w:rsidRPr="003225FD">
        <w:rPr>
          <w:rFonts w:asciiTheme="majorBidi" w:hAnsiTheme="majorBidi"/>
        </w:rPr>
        <w:t xml:space="preserve"> </w:t>
      </w:r>
      <w:r w:rsidR="008971AC" w:rsidRPr="003225FD">
        <w:rPr>
          <w:rFonts w:asciiTheme="majorBidi" w:hAnsiTheme="majorBidi"/>
        </w:rPr>
        <w:t xml:space="preserve">public participation procedures, the Party concerned </w:t>
      </w:r>
      <w:r w:rsidR="00FA64FC" w:rsidRPr="003225FD">
        <w:rPr>
          <w:rFonts w:asciiTheme="majorBidi" w:hAnsiTheme="majorBidi"/>
        </w:rPr>
        <w:t>preclud</w:t>
      </w:r>
      <w:r w:rsidR="008971AC" w:rsidRPr="003225FD">
        <w:rPr>
          <w:rFonts w:asciiTheme="majorBidi" w:hAnsiTheme="majorBidi"/>
        </w:rPr>
        <w:t xml:space="preserve">ed </w:t>
      </w:r>
      <w:r w:rsidR="00FA64FC" w:rsidRPr="003225FD">
        <w:rPr>
          <w:rFonts w:asciiTheme="majorBidi" w:hAnsiTheme="majorBidi"/>
        </w:rPr>
        <w:t xml:space="preserve">the possibility </w:t>
      </w:r>
      <w:r w:rsidR="00CB3FDA" w:rsidRPr="003225FD">
        <w:rPr>
          <w:rFonts w:asciiTheme="majorBidi" w:hAnsiTheme="majorBidi"/>
        </w:rPr>
        <w:t xml:space="preserve">for the public </w:t>
      </w:r>
      <w:r w:rsidR="00FA64FC" w:rsidRPr="003225FD">
        <w:rPr>
          <w:rFonts w:asciiTheme="majorBidi" w:hAnsiTheme="majorBidi"/>
        </w:rPr>
        <w:t xml:space="preserve">to </w:t>
      </w:r>
      <w:r w:rsidR="00CB3FDA" w:rsidRPr="003225FD">
        <w:rPr>
          <w:rFonts w:asciiTheme="majorBidi" w:hAnsiTheme="majorBidi"/>
        </w:rPr>
        <w:t>participate wh</w:t>
      </w:r>
      <w:r w:rsidR="005D0799" w:rsidRPr="003225FD">
        <w:rPr>
          <w:rFonts w:asciiTheme="majorBidi" w:hAnsiTheme="majorBidi"/>
        </w:rPr>
        <w:t>en</w:t>
      </w:r>
      <w:r w:rsidR="00CB3FDA" w:rsidRPr="003225FD">
        <w:rPr>
          <w:rFonts w:asciiTheme="majorBidi" w:hAnsiTheme="majorBidi"/>
        </w:rPr>
        <w:t xml:space="preserve"> all options </w:t>
      </w:r>
      <w:r w:rsidR="00816A6D" w:rsidRPr="003225FD">
        <w:rPr>
          <w:rFonts w:asciiTheme="majorBidi" w:hAnsiTheme="majorBidi"/>
        </w:rPr>
        <w:t xml:space="preserve">on </w:t>
      </w:r>
      <w:r w:rsidR="00B61E75" w:rsidRPr="003225FD">
        <w:rPr>
          <w:rFonts w:asciiTheme="majorBidi" w:hAnsiTheme="majorBidi"/>
        </w:rPr>
        <w:t>th</w:t>
      </w:r>
      <w:r w:rsidR="00CB3FDA" w:rsidRPr="003225FD">
        <w:rPr>
          <w:rFonts w:asciiTheme="majorBidi" w:hAnsiTheme="majorBidi"/>
        </w:rPr>
        <w:t>e</w:t>
      </w:r>
      <w:r w:rsidR="00B61E75" w:rsidRPr="003225FD">
        <w:rPr>
          <w:rFonts w:asciiTheme="majorBidi" w:hAnsiTheme="majorBidi"/>
        </w:rPr>
        <w:t xml:space="preserve"> crossing </w:t>
      </w:r>
      <w:r w:rsidR="00816A6D" w:rsidRPr="003225FD">
        <w:rPr>
          <w:rFonts w:asciiTheme="majorBidi" w:hAnsiTheme="majorBidi"/>
        </w:rPr>
        <w:t>point</w:t>
      </w:r>
      <w:r w:rsidR="008971AC" w:rsidRPr="003225FD">
        <w:rPr>
          <w:rFonts w:asciiTheme="majorBidi" w:hAnsiTheme="majorBidi"/>
        </w:rPr>
        <w:t xml:space="preserve"> </w:t>
      </w:r>
      <w:r w:rsidR="00CB3FDA" w:rsidRPr="003225FD">
        <w:rPr>
          <w:rFonts w:asciiTheme="majorBidi" w:hAnsiTheme="majorBidi"/>
        </w:rPr>
        <w:t xml:space="preserve">were open </w:t>
      </w:r>
      <w:r w:rsidR="008971AC" w:rsidRPr="003225FD">
        <w:rPr>
          <w:rFonts w:asciiTheme="majorBidi" w:hAnsiTheme="majorBidi"/>
        </w:rPr>
        <w:t xml:space="preserve">and thus </w:t>
      </w:r>
      <w:r w:rsidR="002B2B07" w:rsidRPr="003225FD">
        <w:rPr>
          <w:rFonts w:asciiTheme="majorBidi" w:hAnsiTheme="majorBidi"/>
        </w:rPr>
        <w:t>failed to comply with article 6</w:t>
      </w:r>
      <w:r w:rsidR="00B06BF3" w:rsidRPr="003225FD">
        <w:rPr>
          <w:rFonts w:asciiTheme="majorBidi" w:hAnsiTheme="majorBidi"/>
        </w:rPr>
        <w:t>(</w:t>
      </w:r>
      <w:r w:rsidR="00B15B83" w:rsidRPr="003225FD">
        <w:rPr>
          <w:rFonts w:asciiTheme="majorBidi" w:hAnsiTheme="majorBidi"/>
        </w:rPr>
        <w:t>4</w:t>
      </w:r>
      <w:r w:rsidR="00B06BF3" w:rsidRPr="003225FD">
        <w:rPr>
          <w:rFonts w:asciiTheme="majorBidi" w:hAnsiTheme="majorBidi"/>
        </w:rPr>
        <w:t>)</w:t>
      </w:r>
      <w:bookmarkEnd w:id="61"/>
      <w:r w:rsidR="00EF3590" w:rsidRPr="003225FD">
        <w:rPr>
          <w:rFonts w:asciiTheme="majorBidi" w:hAnsiTheme="majorBidi"/>
        </w:rPr>
        <w:t xml:space="preserve"> of the Convention</w:t>
      </w:r>
      <w:r w:rsidR="0025672F" w:rsidRPr="003225FD">
        <w:rPr>
          <w:rFonts w:asciiTheme="majorBidi" w:hAnsiTheme="majorBidi"/>
        </w:rPr>
        <w:t>.</w:t>
      </w:r>
      <w:bookmarkEnd w:id="60"/>
    </w:p>
    <w:p w14:paraId="48374AF0" w14:textId="3362763B" w:rsidR="0053642F" w:rsidRPr="003225FD" w:rsidRDefault="005C5F41" w:rsidP="00EE4AB9">
      <w:pPr>
        <w:pStyle w:val="SingleTxtG"/>
        <w:suppressAutoHyphens w:val="0"/>
        <w:autoSpaceDE w:val="0"/>
        <w:autoSpaceDN w:val="0"/>
        <w:adjustRightInd w:val="0"/>
        <w:spacing w:line="240" w:lineRule="auto"/>
        <w:rPr>
          <w:rFonts w:asciiTheme="majorBidi" w:hAnsiTheme="majorBidi"/>
          <w:i/>
        </w:rPr>
      </w:pPr>
      <w:r w:rsidRPr="003225FD">
        <w:rPr>
          <w:rFonts w:asciiTheme="majorBidi" w:hAnsiTheme="majorBidi"/>
          <w:i/>
        </w:rPr>
        <w:t>Technology</w:t>
      </w:r>
      <w:r w:rsidR="00BF21E3" w:rsidRPr="003225FD">
        <w:rPr>
          <w:rFonts w:asciiTheme="majorBidi" w:hAnsiTheme="majorBidi" w:cstheme="majorBidi"/>
          <w:i/>
        </w:rPr>
        <w:t xml:space="preserve"> </w:t>
      </w:r>
    </w:p>
    <w:p w14:paraId="739761B1" w14:textId="266CDC4F" w:rsidR="0052769C" w:rsidRPr="003225FD" w:rsidRDefault="0052769C" w:rsidP="00EE4AB9">
      <w:pPr>
        <w:pStyle w:val="SingleTxtG"/>
        <w:suppressAutoHyphens w:val="0"/>
        <w:autoSpaceDE w:val="0"/>
        <w:autoSpaceDN w:val="0"/>
        <w:adjustRightInd w:val="0"/>
        <w:spacing w:line="240" w:lineRule="auto"/>
        <w:rPr>
          <w:rFonts w:asciiTheme="majorBidi" w:hAnsiTheme="majorBidi"/>
          <w:u w:val="single"/>
        </w:rPr>
      </w:pPr>
      <w:r w:rsidRPr="003225FD">
        <w:rPr>
          <w:rFonts w:asciiTheme="majorBidi" w:hAnsiTheme="majorBidi"/>
          <w:u w:val="single"/>
        </w:rPr>
        <w:t>2002 Plan</w:t>
      </w:r>
    </w:p>
    <w:p w14:paraId="0999E3D0" w14:textId="11A5F4B3" w:rsidR="00E041EE" w:rsidRPr="003225FD" w:rsidRDefault="005C4D02" w:rsidP="00371D90">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T</w:t>
      </w:r>
      <w:r w:rsidR="004D4599" w:rsidRPr="003225FD">
        <w:rPr>
          <w:rFonts w:asciiTheme="majorBidi" w:hAnsiTheme="majorBidi"/>
        </w:rPr>
        <w:t>he communicant</w:t>
      </w:r>
      <w:r w:rsidRPr="003225FD">
        <w:rPr>
          <w:rFonts w:asciiTheme="majorBidi" w:hAnsiTheme="majorBidi"/>
        </w:rPr>
        <w:t xml:space="preserve"> </w:t>
      </w:r>
      <w:r w:rsidR="004D4599" w:rsidRPr="003225FD">
        <w:rPr>
          <w:rFonts w:asciiTheme="majorBidi" w:hAnsiTheme="majorBidi"/>
        </w:rPr>
        <w:t xml:space="preserve">submits that the 2002 Plan and 2009 </w:t>
      </w:r>
      <w:r w:rsidR="00FC12DD" w:rsidRPr="003225FD">
        <w:rPr>
          <w:rFonts w:asciiTheme="majorBidi" w:hAnsiTheme="majorBidi"/>
        </w:rPr>
        <w:t>Decree</w:t>
      </w:r>
      <w:r w:rsidR="004D4599" w:rsidRPr="003225FD">
        <w:rPr>
          <w:rFonts w:asciiTheme="majorBidi" w:hAnsiTheme="majorBidi"/>
        </w:rPr>
        <w:t xml:space="preserve"> referred to an </w:t>
      </w:r>
      <w:r w:rsidR="005F2A64" w:rsidRPr="003225FD">
        <w:rPr>
          <w:rFonts w:asciiTheme="majorBidi" w:hAnsiTheme="majorBidi"/>
        </w:rPr>
        <w:t>OHL</w:t>
      </w:r>
      <w:r w:rsidR="009739E8" w:rsidRPr="003225FD">
        <w:rPr>
          <w:rFonts w:asciiTheme="majorBidi" w:hAnsiTheme="majorBidi"/>
        </w:rPr>
        <w:t xml:space="preserve"> and therefore </w:t>
      </w:r>
      <w:r w:rsidR="00FC12DD" w:rsidRPr="003225FD">
        <w:rPr>
          <w:rFonts w:asciiTheme="majorBidi" w:hAnsiTheme="majorBidi"/>
        </w:rPr>
        <w:t>foreclosed other technologies</w:t>
      </w:r>
      <w:r w:rsidR="004D4599" w:rsidRPr="003225FD">
        <w:rPr>
          <w:rFonts w:asciiTheme="majorBidi" w:hAnsiTheme="majorBidi"/>
        </w:rPr>
        <w:t xml:space="preserve">. </w:t>
      </w:r>
      <w:r w:rsidR="00790A29" w:rsidRPr="003225FD">
        <w:rPr>
          <w:rFonts w:asciiTheme="majorBidi" w:hAnsiTheme="majorBidi"/>
        </w:rPr>
        <w:t>As noted in paragraph</w:t>
      </w:r>
      <w:r w:rsidR="0052769C" w:rsidRPr="003225FD">
        <w:rPr>
          <w:rFonts w:asciiTheme="majorBidi" w:hAnsiTheme="majorBidi"/>
        </w:rPr>
        <w:t xml:space="preserve"> </w:t>
      </w:r>
      <w:r w:rsidR="0052769C" w:rsidRPr="00001B0D">
        <w:rPr>
          <w:rFonts w:asciiTheme="majorBidi" w:hAnsiTheme="majorBidi"/>
        </w:rPr>
        <w:fldChar w:fldCharType="begin"/>
      </w:r>
      <w:r w:rsidR="0052769C" w:rsidRPr="003225FD">
        <w:rPr>
          <w:rFonts w:asciiTheme="majorBidi" w:hAnsiTheme="majorBidi"/>
        </w:rPr>
        <w:instrText xml:space="preserve"> REF _Ref524594848 \r \h </w:instrText>
      </w:r>
      <w:r w:rsidR="00662F3B" w:rsidRPr="003225FD">
        <w:rPr>
          <w:rFonts w:asciiTheme="majorBidi" w:hAnsiTheme="majorBidi"/>
        </w:rPr>
        <w:instrText xml:space="preserve"> \* MERGEFORMAT </w:instrText>
      </w:r>
      <w:r w:rsidR="0052769C" w:rsidRPr="00001B0D">
        <w:rPr>
          <w:rFonts w:asciiTheme="majorBidi" w:hAnsiTheme="majorBidi"/>
        </w:rPr>
      </w:r>
      <w:r w:rsidR="0052769C" w:rsidRPr="00001B0D">
        <w:rPr>
          <w:rFonts w:asciiTheme="majorBidi" w:hAnsiTheme="majorBidi"/>
        </w:rPr>
        <w:fldChar w:fldCharType="separate"/>
      </w:r>
      <w:r w:rsidR="003A7C56" w:rsidRPr="003A7C56">
        <w:rPr>
          <w:rFonts w:asciiTheme="majorBidi" w:hAnsiTheme="majorBidi" w:cstheme="majorBidi"/>
          <w:cs/>
        </w:rPr>
        <w:t>‎</w:t>
      </w:r>
      <w:r w:rsidR="003A7C56">
        <w:rPr>
          <w:rFonts w:asciiTheme="majorBidi" w:hAnsiTheme="majorBidi"/>
        </w:rPr>
        <w:t>104</w:t>
      </w:r>
      <w:r w:rsidR="0052769C" w:rsidRPr="00001B0D">
        <w:rPr>
          <w:rFonts w:asciiTheme="majorBidi" w:hAnsiTheme="majorBidi"/>
        </w:rPr>
        <w:fldChar w:fldCharType="end"/>
      </w:r>
      <w:r w:rsidR="0052769C" w:rsidRPr="00001B0D">
        <w:rPr>
          <w:rFonts w:asciiTheme="majorBidi" w:hAnsiTheme="majorBidi"/>
        </w:rPr>
        <w:t xml:space="preserve"> </w:t>
      </w:r>
      <w:r w:rsidR="00790A29" w:rsidRPr="00001B0D">
        <w:rPr>
          <w:rFonts w:asciiTheme="majorBidi" w:hAnsiTheme="majorBidi"/>
        </w:rPr>
        <w:t>above, the communicant has not alleged that the public participation conducted prior to the adoption of the 2002 Plan was def</w:t>
      </w:r>
      <w:r w:rsidR="004C20E1" w:rsidRPr="003225FD">
        <w:rPr>
          <w:rFonts w:asciiTheme="majorBidi" w:hAnsiTheme="majorBidi"/>
        </w:rPr>
        <w:t>icient</w:t>
      </w:r>
      <w:r w:rsidR="00364938" w:rsidRPr="003225FD">
        <w:rPr>
          <w:rFonts w:asciiTheme="majorBidi" w:hAnsiTheme="majorBidi"/>
        </w:rPr>
        <w:t>. The Committee considers that the communicant</w:t>
      </w:r>
      <w:r w:rsidR="00790A29" w:rsidRPr="003225FD">
        <w:rPr>
          <w:rFonts w:asciiTheme="majorBidi" w:hAnsiTheme="majorBidi"/>
        </w:rPr>
        <w:t xml:space="preserve"> </w:t>
      </w:r>
      <w:r w:rsidR="00364938" w:rsidRPr="003225FD">
        <w:rPr>
          <w:rFonts w:asciiTheme="majorBidi" w:hAnsiTheme="majorBidi"/>
        </w:rPr>
        <w:t xml:space="preserve">has thus </w:t>
      </w:r>
      <w:r w:rsidR="00790A29" w:rsidRPr="003225FD">
        <w:rPr>
          <w:rFonts w:asciiTheme="majorBidi" w:hAnsiTheme="majorBidi"/>
        </w:rPr>
        <w:t xml:space="preserve">not established that </w:t>
      </w:r>
      <w:r w:rsidR="00BB557B" w:rsidRPr="003225FD">
        <w:rPr>
          <w:rFonts w:asciiTheme="majorBidi" w:hAnsiTheme="majorBidi"/>
        </w:rPr>
        <w:t>the 2002 Plan</w:t>
      </w:r>
      <w:r w:rsidR="00790A29" w:rsidRPr="003225FD">
        <w:rPr>
          <w:rFonts w:asciiTheme="majorBidi" w:hAnsiTheme="majorBidi"/>
        </w:rPr>
        <w:t xml:space="preserve"> foreclosed </w:t>
      </w:r>
      <w:r w:rsidR="001A4026" w:rsidRPr="003225FD">
        <w:rPr>
          <w:rFonts w:asciiTheme="majorBidi" w:hAnsiTheme="majorBidi"/>
        </w:rPr>
        <w:t xml:space="preserve">technology </w:t>
      </w:r>
      <w:r w:rsidR="00790A29" w:rsidRPr="003225FD">
        <w:rPr>
          <w:rFonts w:asciiTheme="majorBidi" w:hAnsiTheme="majorBidi"/>
        </w:rPr>
        <w:t xml:space="preserve">options in </w:t>
      </w:r>
      <w:r w:rsidR="001A4026" w:rsidRPr="003225FD">
        <w:rPr>
          <w:rFonts w:asciiTheme="majorBidi" w:hAnsiTheme="majorBidi"/>
        </w:rPr>
        <w:t>contravention of</w:t>
      </w:r>
      <w:r w:rsidR="00A80268" w:rsidRPr="003225FD">
        <w:rPr>
          <w:rFonts w:asciiTheme="majorBidi" w:hAnsiTheme="majorBidi"/>
        </w:rPr>
        <w:t xml:space="preserve"> article 6</w:t>
      </w:r>
      <w:r w:rsidR="00B06BF3" w:rsidRPr="003225FD">
        <w:rPr>
          <w:rFonts w:asciiTheme="majorBidi" w:hAnsiTheme="majorBidi"/>
        </w:rPr>
        <w:t>(</w:t>
      </w:r>
      <w:r w:rsidR="00A80268" w:rsidRPr="003225FD">
        <w:rPr>
          <w:rFonts w:asciiTheme="majorBidi" w:hAnsiTheme="majorBidi"/>
        </w:rPr>
        <w:t>4</w:t>
      </w:r>
      <w:r w:rsidR="00B06BF3" w:rsidRPr="003225FD">
        <w:rPr>
          <w:rFonts w:asciiTheme="majorBidi" w:hAnsiTheme="majorBidi"/>
        </w:rPr>
        <w:t>)</w:t>
      </w:r>
      <w:r w:rsidR="00B074B9" w:rsidRPr="003225FD">
        <w:rPr>
          <w:rFonts w:asciiTheme="majorBidi" w:hAnsiTheme="majorBidi"/>
        </w:rPr>
        <w:t xml:space="preserve">. </w:t>
      </w:r>
    </w:p>
    <w:p w14:paraId="49973D65" w14:textId="32C79DFC" w:rsidR="0052769C" w:rsidRPr="003225FD" w:rsidRDefault="0052769C" w:rsidP="000D5D65">
      <w:pPr>
        <w:pStyle w:val="SingleTxtG"/>
        <w:suppressAutoHyphens w:val="0"/>
        <w:autoSpaceDE w:val="0"/>
        <w:autoSpaceDN w:val="0"/>
        <w:adjustRightInd w:val="0"/>
        <w:spacing w:line="240" w:lineRule="auto"/>
        <w:rPr>
          <w:rFonts w:asciiTheme="majorBidi" w:hAnsiTheme="majorBidi"/>
          <w:u w:val="single"/>
        </w:rPr>
      </w:pPr>
      <w:r w:rsidRPr="003225FD">
        <w:rPr>
          <w:rFonts w:asciiTheme="majorBidi" w:hAnsiTheme="majorBidi"/>
          <w:u w:val="single"/>
        </w:rPr>
        <w:t>2009 Decree</w:t>
      </w:r>
    </w:p>
    <w:p w14:paraId="0D1B7BE1" w14:textId="7FD7300D" w:rsidR="00C4488C" w:rsidRPr="003225FD" w:rsidRDefault="000B5C9B" w:rsidP="0066656C">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 xml:space="preserve">In contrast to the 2002 Plan, which was of a generalized nature, the 2009 Decree was project-specific and should be seen as part of the complex decision-making procedure to permit the </w:t>
      </w:r>
      <w:r w:rsidR="0052769C" w:rsidRPr="003225FD">
        <w:rPr>
          <w:rFonts w:asciiTheme="majorBidi" w:hAnsiTheme="majorBidi"/>
        </w:rPr>
        <w:t>OHL</w:t>
      </w:r>
      <w:r w:rsidRPr="003225FD">
        <w:rPr>
          <w:rFonts w:asciiTheme="majorBidi" w:hAnsiTheme="majorBidi"/>
        </w:rPr>
        <w:t xml:space="preserve">. </w:t>
      </w:r>
      <w:r w:rsidR="001A4026" w:rsidRPr="003225FD">
        <w:rPr>
          <w:rFonts w:asciiTheme="majorBidi" w:hAnsiTheme="majorBidi"/>
        </w:rPr>
        <w:t>Moreover, had</w:t>
      </w:r>
      <w:r w:rsidRPr="003225FD">
        <w:rPr>
          <w:rFonts w:asciiTheme="majorBidi" w:hAnsiTheme="majorBidi"/>
        </w:rPr>
        <w:t xml:space="preserve"> the decision-maker decided to opt for the underground alternative, the 2009 Decree would have been changed accordingly</w:t>
      </w:r>
      <w:r w:rsidR="001A4026" w:rsidRPr="003225FD">
        <w:rPr>
          <w:rFonts w:asciiTheme="majorBidi" w:hAnsiTheme="majorBidi"/>
        </w:rPr>
        <w:t xml:space="preserve"> (see para. </w:t>
      </w:r>
      <w:r w:rsidR="00CD28A0" w:rsidRPr="003225FD">
        <w:rPr>
          <w:rFonts w:asciiTheme="majorBidi" w:hAnsiTheme="majorBidi" w:cstheme="majorBidi"/>
          <w:cs/>
        </w:rPr>
        <w:t>‎</w:t>
      </w:r>
      <w:r w:rsidR="00CD28A0" w:rsidRPr="003225FD">
        <w:rPr>
          <w:rFonts w:asciiTheme="majorBidi" w:hAnsiTheme="majorBidi"/>
        </w:rPr>
        <w:t>65</w:t>
      </w:r>
      <w:r w:rsidR="00533274" w:rsidRPr="003225FD">
        <w:rPr>
          <w:rFonts w:asciiTheme="majorBidi" w:hAnsiTheme="majorBidi"/>
        </w:rPr>
        <w:t xml:space="preserve"> above)</w:t>
      </w:r>
      <w:r w:rsidRPr="003225FD">
        <w:rPr>
          <w:rFonts w:asciiTheme="majorBidi" w:hAnsiTheme="majorBidi"/>
        </w:rPr>
        <w:t>.</w:t>
      </w:r>
      <w:r w:rsidR="00AC4A19" w:rsidRPr="003225FD">
        <w:rPr>
          <w:rFonts w:asciiTheme="majorBidi" w:hAnsiTheme="majorBidi"/>
        </w:rPr>
        <w:t xml:space="preserve"> </w:t>
      </w:r>
      <w:r w:rsidR="00C22289" w:rsidRPr="003225FD">
        <w:rPr>
          <w:rFonts w:asciiTheme="majorBidi" w:hAnsiTheme="majorBidi"/>
        </w:rPr>
        <w:t>C</w:t>
      </w:r>
      <w:r w:rsidRPr="003225FD">
        <w:rPr>
          <w:rFonts w:asciiTheme="majorBidi" w:hAnsiTheme="majorBidi"/>
        </w:rPr>
        <w:t>ompliance with article 6</w:t>
      </w:r>
      <w:r w:rsidR="002155D8" w:rsidRPr="003225FD">
        <w:rPr>
          <w:rFonts w:asciiTheme="majorBidi" w:hAnsiTheme="majorBidi"/>
        </w:rPr>
        <w:t>(</w:t>
      </w:r>
      <w:r w:rsidRPr="003225FD">
        <w:rPr>
          <w:rFonts w:asciiTheme="majorBidi" w:hAnsiTheme="majorBidi"/>
        </w:rPr>
        <w:t>4</w:t>
      </w:r>
      <w:r w:rsidR="002155D8" w:rsidRPr="003225FD">
        <w:rPr>
          <w:rFonts w:asciiTheme="majorBidi" w:hAnsiTheme="majorBidi"/>
        </w:rPr>
        <w:t>)</w:t>
      </w:r>
      <w:r w:rsidR="00C22289" w:rsidRPr="003225FD">
        <w:rPr>
          <w:rFonts w:asciiTheme="majorBidi" w:hAnsiTheme="majorBidi"/>
        </w:rPr>
        <w:t>, however,</w:t>
      </w:r>
      <w:r w:rsidRPr="003225FD">
        <w:rPr>
          <w:rFonts w:asciiTheme="majorBidi" w:hAnsiTheme="majorBidi"/>
        </w:rPr>
        <w:t xml:space="preserve"> requires not only that all options are legally open at the time of the public participation, it must also be apparent to the public concerned that they are open. </w:t>
      </w:r>
      <w:r w:rsidR="003E1913" w:rsidRPr="003225FD">
        <w:rPr>
          <w:rFonts w:asciiTheme="majorBidi" w:hAnsiTheme="majorBidi" w:cstheme="majorBidi"/>
        </w:rPr>
        <w:t xml:space="preserve">In the </w:t>
      </w:r>
      <w:r w:rsidR="008B6B67" w:rsidRPr="003225FD">
        <w:rPr>
          <w:rFonts w:asciiTheme="majorBidi" w:hAnsiTheme="majorBidi" w:cstheme="majorBidi"/>
        </w:rPr>
        <w:t xml:space="preserve">Committee’s </w:t>
      </w:r>
      <w:r w:rsidR="003E1913" w:rsidRPr="003225FD">
        <w:rPr>
          <w:rFonts w:asciiTheme="majorBidi" w:hAnsiTheme="majorBidi" w:cstheme="majorBidi"/>
        </w:rPr>
        <w:t>view,</w:t>
      </w:r>
      <w:r w:rsidRPr="003225FD">
        <w:rPr>
          <w:rFonts w:asciiTheme="majorBidi" w:hAnsiTheme="majorBidi"/>
        </w:rPr>
        <w:t xml:space="preserve"> the reference to </w:t>
      </w:r>
      <w:r w:rsidR="00533274" w:rsidRPr="003225FD">
        <w:rPr>
          <w:rFonts w:asciiTheme="majorBidi" w:hAnsiTheme="majorBidi"/>
        </w:rPr>
        <w:t xml:space="preserve">the </w:t>
      </w:r>
      <w:r w:rsidRPr="003225FD">
        <w:rPr>
          <w:rFonts w:asciiTheme="majorBidi" w:hAnsiTheme="majorBidi"/>
        </w:rPr>
        <w:t>“overhead power line” in the title of the 20</w:t>
      </w:r>
      <w:r w:rsidR="00364938" w:rsidRPr="003225FD">
        <w:rPr>
          <w:rFonts w:asciiTheme="majorBidi" w:hAnsiTheme="majorBidi"/>
        </w:rPr>
        <w:t>09 Decree implies that it had</w:t>
      </w:r>
      <w:r w:rsidRPr="003225FD">
        <w:rPr>
          <w:rFonts w:asciiTheme="majorBidi" w:hAnsiTheme="majorBidi"/>
        </w:rPr>
        <w:t xml:space="preserve"> </w:t>
      </w:r>
      <w:r w:rsidR="00364938" w:rsidRPr="003225FD">
        <w:rPr>
          <w:rFonts w:asciiTheme="majorBidi" w:hAnsiTheme="majorBidi"/>
        </w:rPr>
        <w:t xml:space="preserve">by then </w:t>
      </w:r>
      <w:r w:rsidR="00F80BDE" w:rsidRPr="003225FD">
        <w:rPr>
          <w:rFonts w:asciiTheme="majorBidi" w:hAnsiTheme="majorBidi"/>
        </w:rPr>
        <w:t xml:space="preserve">already </w:t>
      </w:r>
      <w:r w:rsidRPr="003225FD">
        <w:rPr>
          <w:rFonts w:asciiTheme="majorBidi" w:hAnsiTheme="majorBidi"/>
        </w:rPr>
        <w:t xml:space="preserve">been decided that the power line </w:t>
      </w:r>
      <w:r w:rsidR="00364938" w:rsidRPr="003225FD">
        <w:rPr>
          <w:rFonts w:asciiTheme="majorBidi" w:hAnsiTheme="majorBidi"/>
        </w:rPr>
        <w:t>would</w:t>
      </w:r>
      <w:r w:rsidRPr="003225FD">
        <w:rPr>
          <w:rFonts w:asciiTheme="majorBidi" w:hAnsiTheme="majorBidi"/>
        </w:rPr>
        <w:t xml:space="preserve"> use that technology. </w:t>
      </w:r>
      <w:r w:rsidR="001967A8" w:rsidRPr="003225FD">
        <w:rPr>
          <w:rFonts w:asciiTheme="majorBidi" w:hAnsiTheme="majorBidi"/>
        </w:rPr>
        <w:t>Moreover</w:t>
      </w:r>
      <w:r w:rsidR="0066656C" w:rsidRPr="003225FD">
        <w:rPr>
          <w:rFonts w:asciiTheme="majorBidi" w:hAnsiTheme="majorBidi"/>
        </w:rPr>
        <w:t xml:space="preserve">, the notice </w:t>
      </w:r>
      <w:r w:rsidR="001967A8" w:rsidRPr="003225FD">
        <w:rPr>
          <w:rFonts w:asciiTheme="majorBidi" w:hAnsiTheme="majorBidi"/>
        </w:rPr>
        <w:t xml:space="preserve">for the public hearing in </w:t>
      </w:r>
      <w:r w:rsidR="00CD28A0" w:rsidRPr="003225FD">
        <w:rPr>
          <w:rFonts w:asciiTheme="majorBidi" w:hAnsiTheme="majorBidi"/>
        </w:rPr>
        <w:t xml:space="preserve">the </w:t>
      </w:r>
      <w:r w:rsidR="001967A8" w:rsidRPr="003225FD">
        <w:rPr>
          <w:rFonts w:asciiTheme="majorBidi" w:hAnsiTheme="majorBidi"/>
        </w:rPr>
        <w:t xml:space="preserve">Krosna neighbourhood on 14 July 2010 </w:t>
      </w:r>
      <w:r w:rsidR="0066656C" w:rsidRPr="003225FD">
        <w:rPr>
          <w:rFonts w:asciiTheme="majorBidi" w:hAnsiTheme="majorBidi"/>
        </w:rPr>
        <w:t xml:space="preserve">lists five issues </w:t>
      </w:r>
      <w:r w:rsidRPr="003225FD">
        <w:rPr>
          <w:rFonts w:asciiTheme="majorBidi" w:hAnsiTheme="majorBidi"/>
        </w:rPr>
        <w:t xml:space="preserve">remaining at that time </w:t>
      </w:r>
      <w:r w:rsidR="0066656C" w:rsidRPr="003225FD">
        <w:rPr>
          <w:rFonts w:asciiTheme="majorBidi" w:hAnsiTheme="majorBidi"/>
        </w:rPr>
        <w:t>to be “solved” to build the power line.</w:t>
      </w:r>
      <w:r w:rsidR="0066656C" w:rsidRPr="00001B0D">
        <w:rPr>
          <w:rFonts w:asciiTheme="majorBidi" w:hAnsiTheme="majorBidi"/>
          <w:vertAlign w:val="superscript"/>
        </w:rPr>
        <w:footnoteReference w:id="104"/>
      </w:r>
      <w:r w:rsidR="0066656C" w:rsidRPr="00001B0D">
        <w:rPr>
          <w:rFonts w:asciiTheme="majorBidi" w:hAnsiTheme="majorBidi"/>
          <w:vertAlign w:val="superscript"/>
        </w:rPr>
        <w:t xml:space="preserve"> </w:t>
      </w:r>
      <w:r w:rsidR="00F80BDE" w:rsidRPr="00001B0D">
        <w:rPr>
          <w:rFonts w:asciiTheme="majorBidi" w:hAnsiTheme="majorBidi"/>
        </w:rPr>
        <w:t xml:space="preserve">This </w:t>
      </w:r>
      <w:r w:rsidR="0066656C" w:rsidRPr="003225FD">
        <w:rPr>
          <w:rFonts w:asciiTheme="majorBidi" w:hAnsiTheme="majorBidi"/>
        </w:rPr>
        <w:t>list includes selecting “the most suitable location for the power line”</w:t>
      </w:r>
      <w:r w:rsidR="004C20E1" w:rsidRPr="003225FD">
        <w:rPr>
          <w:rFonts w:asciiTheme="majorBidi" w:hAnsiTheme="majorBidi"/>
        </w:rPr>
        <w:t>;</w:t>
      </w:r>
      <w:r w:rsidR="0066656C" w:rsidRPr="003225FD">
        <w:rPr>
          <w:rFonts w:asciiTheme="majorBidi" w:hAnsiTheme="majorBidi"/>
        </w:rPr>
        <w:t xml:space="preserve"> </w:t>
      </w:r>
      <w:r w:rsidR="00F80BDE" w:rsidRPr="003225FD">
        <w:rPr>
          <w:rFonts w:asciiTheme="majorBidi" w:hAnsiTheme="majorBidi"/>
        </w:rPr>
        <w:t xml:space="preserve">however, </w:t>
      </w:r>
      <w:r w:rsidR="00C15130" w:rsidRPr="003225FD">
        <w:rPr>
          <w:rFonts w:asciiTheme="majorBidi" w:hAnsiTheme="majorBidi"/>
        </w:rPr>
        <w:t>there is</w:t>
      </w:r>
      <w:r w:rsidR="00F80BDE" w:rsidRPr="003225FD">
        <w:rPr>
          <w:rFonts w:asciiTheme="majorBidi" w:hAnsiTheme="majorBidi"/>
        </w:rPr>
        <w:t xml:space="preserve"> </w:t>
      </w:r>
      <w:r w:rsidR="0066656C" w:rsidRPr="003225FD">
        <w:rPr>
          <w:rFonts w:asciiTheme="majorBidi" w:hAnsiTheme="majorBidi"/>
        </w:rPr>
        <w:t xml:space="preserve">no reference to </w:t>
      </w:r>
      <w:r w:rsidR="00C4488C" w:rsidRPr="003225FD">
        <w:rPr>
          <w:rFonts w:asciiTheme="majorBidi" w:hAnsiTheme="majorBidi"/>
        </w:rPr>
        <w:t>selecting the</w:t>
      </w:r>
      <w:r w:rsidR="0066656C" w:rsidRPr="003225FD">
        <w:rPr>
          <w:rFonts w:asciiTheme="majorBidi" w:hAnsiTheme="majorBidi"/>
        </w:rPr>
        <w:t xml:space="preserve"> </w:t>
      </w:r>
      <w:r w:rsidRPr="003225FD">
        <w:rPr>
          <w:rFonts w:asciiTheme="majorBidi" w:hAnsiTheme="majorBidi"/>
        </w:rPr>
        <w:t xml:space="preserve">power line </w:t>
      </w:r>
      <w:r w:rsidR="0066656C" w:rsidRPr="003225FD">
        <w:rPr>
          <w:rFonts w:asciiTheme="majorBidi" w:hAnsiTheme="majorBidi"/>
        </w:rPr>
        <w:t>technology. Rather</w:t>
      </w:r>
      <w:r w:rsidR="00F80BDE" w:rsidRPr="003225FD">
        <w:rPr>
          <w:rFonts w:asciiTheme="majorBidi" w:hAnsiTheme="majorBidi"/>
        </w:rPr>
        <w:t>,</w:t>
      </w:r>
      <w:r w:rsidR="0066656C" w:rsidRPr="003225FD">
        <w:rPr>
          <w:rFonts w:asciiTheme="majorBidi" w:hAnsiTheme="majorBidi"/>
        </w:rPr>
        <w:t xml:space="preserve"> the notice states: </w:t>
      </w:r>
    </w:p>
    <w:p w14:paraId="47004F07" w14:textId="7272FEE7" w:rsidR="0066656C" w:rsidRPr="003225FD" w:rsidRDefault="00C4488C" w:rsidP="003A342A">
      <w:pPr>
        <w:pStyle w:val="SingleTxtG"/>
        <w:suppressAutoHyphens w:val="0"/>
        <w:autoSpaceDE w:val="0"/>
        <w:autoSpaceDN w:val="0"/>
        <w:adjustRightInd w:val="0"/>
        <w:spacing w:line="240" w:lineRule="auto"/>
        <w:ind w:left="1701"/>
        <w:rPr>
          <w:rFonts w:asciiTheme="majorBidi" w:hAnsiTheme="majorBidi"/>
        </w:rPr>
      </w:pPr>
      <w:r w:rsidRPr="003225FD">
        <w:rPr>
          <w:rFonts w:asciiTheme="majorBidi" w:hAnsiTheme="majorBidi"/>
        </w:rPr>
        <w:t>“</w:t>
      </w:r>
      <w:r w:rsidR="0066656C" w:rsidRPr="003225FD">
        <w:rPr>
          <w:rFonts w:asciiTheme="majorBidi" w:hAnsiTheme="majorBidi"/>
        </w:rPr>
        <w:t>The approximately 50 kilometre-long power transmission line will be installed on transmission towers; the average distance between towers shall be 320 m. The total number of towers can be 150</w:t>
      </w:r>
      <w:r w:rsidR="005D0799" w:rsidRPr="003225FD">
        <w:rPr>
          <w:rFonts w:asciiTheme="majorBidi" w:hAnsiTheme="majorBidi"/>
        </w:rPr>
        <w:t>…</w:t>
      </w:r>
      <w:r w:rsidR="003A342A" w:rsidRPr="003225FD">
        <w:rPr>
          <w:rFonts w:asciiTheme="majorBidi" w:hAnsiTheme="majorBidi"/>
        </w:rPr>
        <w:t>T</w:t>
      </w:r>
      <w:r w:rsidR="0066656C" w:rsidRPr="003225FD">
        <w:rPr>
          <w:rFonts w:asciiTheme="majorBidi" w:hAnsiTheme="majorBidi"/>
        </w:rPr>
        <w:t>he height of the transmission tower shall not exceed 73m.</w:t>
      </w:r>
      <w:r w:rsidRPr="003225FD">
        <w:rPr>
          <w:rFonts w:asciiTheme="majorBidi" w:hAnsiTheme="majorBidi"/>
        </w:rPr>
        <w:t>”</w:t>
      </w:r>
      <w:r w:rsidR="0066656C" w:rsidRPr="003225FD">
        <w:rPr>
          <w:rFonts w:asciiTheme="majorBidi" w:hAnsiTheme="majorBidi"/>
        </w:rPr>
        <w:t xml:space="preserve"> </w:t>
      </w:r>
    </w:p>
    <w:p w14:paraId="1EB282C7" w14:textId="27C070E2" w:rsidR="0087785B" w:rsidRPr="00001B0D" w:rsidRDefault="0087785B" w:rsidP="0087785B">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bookmarkStart w:id="62" w:name="_Ref524615131"/>
      <w:r w:rsidRPr="003225FD">
        <w:rPr>
          <w:rFonts w:asciiTheme="majorBidi" w:hAnsiTheme="majorBidi"/>
        </w:rPr>
        <w:t xml:space="preserve">These project characteristics are also listed in the brochure published in early 2010, which </w:t>
      </w:r>
      <w:r w:rsidR="00F80BDE" w:rsidRPr="003225FD">
        <w:rPr>
          <w:rFonts w:asciiTheme="majorBidi" w:hAnsiTheme="majorBidi"/>
        </w:rPr>
        <w:t>refers to 150 transmission towers with a height of 73 meters</w:t>
      </w:r>
      <w:r w:rsidR="003A342A" w:rsidRPr="003225FD">
        <w:rPr>
          <w:rFonts w:asciiTheme="majorBidi" w:hAnsiTheme="majorBidi"/>
        </w:rPr>
        <w:t xml:space="preserve"> and</w:t>
      </w:r>
      <w:r w:rsidR="00F80BDE" w:rsidRPr="003225FD">
        <w:rPr>
          <w:rFonts w:asciiTheme="majorBidi" w:hAnsiTheme="majorBidi"/>
        </w:rPr>
        <w:t xml:space="preserve"> </w:t>
      </w:r>
      <w:r w:rsidRPr="003225FD">
        <w:rPr>
          <w:rFonts w:asciiTheme="majorBidi" w:hAnsiTheme="majorBidi"/>
        </w:rPr>
        <w:t xml:space="preserve">an average distance </w:t>
      </w:r>
      <w:r w:rsidR="00F80BDE" w:rsidRPr="003225FD">
        <w:rPr>
          <w:rFonts w:asciiTheme="majorBidi" w:hAnsiTheme="majorBidi"/>
        </w:rPr>
        <w:t xml:space="preserve">between transmission towers </w:t>
      </w:r>
      <w:r w:rsidRPr="003225FD">
        <w:rPr>
          <w:rFonts w:asciiTheme="majorBidi" w:hAnsiTheme="majorBidi"/>
        </w:rPr>
        <w:t>of 320 metre</w:t>
      </w:r>
      <w:r w:rsidR="009E521D" w:rsidRPr="003225FD">
        <w:rPr>
          <w:rFonts w:asciiTheme="majorBidi" w:hAnsiTheme="majorBidi"/>
        </w:rPr>
        <w:t>s</w:t>
      </w:r>
      <w:r w:rsidRPr="003225FD">
        <w:rPr>
          <w:rFonts w:asciiTheme="majorBidi" w:hAnsiTheme="majorBidi"/>
        </w:rPr>
        <w:t>.</w:t>
      </w:r>
      <w:r w:rsidRPr="00001B0D">
        <w:rPr>
          <w:rStyle w:val="FootnoteReference"/>
          <w:rFonts w:asciiTheme="majorBidi" w:hAnsiTheme="majorBidi"/>
          <w:sz w:val="20"/>
        </w:rPr>
        <w:footnoteReference w:id="105"/>
      </w:r>
      <w:r w:rsidRPr="00001B0D">
        <w:rPr>
          <w:rFonts w:asciiTheme="majorBidi" w:hAnsiTheme="majorBidi"/>
        </w:rPr>
        <w:t xml:space="preserve"> </w:t>
      </w:r>
    </w:p>
    <w:p w14:paraId="48BAAEB7" w14:textId="5E608EB7" w:rsidR="00416BF4" w:rsidRPr="003225FD" w:rsidRDefault="00C15130" w:rsidP="00371D90">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 xml:space="preserve">The Committee considers that </w:t>
      </w:r>
      <w:r w:rsidR="00C4488C" w:rsidRPr="003225FD">
        <w:rPr>
          <w:rFonts w:asciiTheme="majorBidi" w:hAnsiTheme="majorBidi"/>
        </w:rPr>
        <w:t>even if it w</w:t>
      </w:r>
      <w:r w:rsidR="00AE6D75" w:rsidRPr="003225FD">
        <w:rPr>
          <w:rFonts w:asciiTheme="majorBidi" w:hAnsiTheme="majorBidi"/>
        </w:rPr>
        <w:t>ere</w:t>
      </w:r>
      <w:r w:rsidR="00C4488C" w:rsidRPr="003225FD">
        <w:rPr>
          <w:rFonts w:asciiTheme="majorBidi" w:hAnsiTheme="majorBidi"/>
        </w:rPr>
        <w:t xml:space="preserve"> still legally possible for the decision-makers to have opted for the underground alternative, the title of the 2009 Decree</w:t>
      </w:r>
      <w:r w:rsidR="0087785B" w:rsidRPr="003225FD">
        <w:rPr>
          <w:rFonts w:asciiTheme="majorBidi" w:hAnsiTheme="majorBidi"/>
        </w:rPr>
        <w:t xml:space="preserve">, </w:t>
      </w:r>
      <w:r w:rsidR="00C4488C" w:rsidRPr="003225FD">
        <w:rPr>
          <w:rFonts w:asciiTheme="majorBidi" w:hAnsiTheme="majorBidi"/>
        </w:rPr>
        <w:t>the above public notice</w:t>
      </w:r>
      <w:r w:rsidR="0087785B" w:rsidRPr="003225FD">
        <w:rPr>
          <w:rFonts w:asciiTheme="majorBidi" w:hAnsiTheme="majorBidi"/>
        </w:rPr>
        <w:t xml:space="preserve"> and brochure</w:t>
      </w:r>
      <w:r w:rsidR="00C4488C" w:rsidRPr="003225FD">
        <w:rPr>
          <w:rFonts w:asciiTheme="majorBidi" w:hAnsiTheme="majorBidi"/>
        </w:rPr>
        <w:t xml:space="preserve"> </w:t>
      </w:r>
      <w:r w:rsidR="0087785B" w:rsidRPr="003225FD">
        <w:rPr>
          <w:rFonts w:asciiTheme="majorBidi" w:hAnsiTheme="majorBidi"/>
        </w:rPr>
        <w:t>all</w:t>
      </w:r>
      <w:r w:rsidR="000B5C9B" w:rsidRPr="003225FD">
        <w:rPr>
          <w:rFonts w:asciiTheme="majorBidi" w:hAnsiTheme="majorBidi"/>
        </w:rPr>
        <w:t xml:space="preserve"> sent</w:t>
      </w:r>
      <w:r w:rsidR="00C4488C" w:rsidRPr="003225FD">
        <w:rPr>
          <w:rFonts w:asciiTheme="majorBidi" w:hAnsiTheme="majorBidi"/>
        </w:rPr>
        <w:t xml:space="preserve"> a strong message </w:t>
      </w:r>
      <w:r w:rsidR="000B5C9B" w:rsidRPr="003225FD">
        <w:rPr>
          <w:rFonts w:asciiTheme="majorBidi" w:hAnsiTheme="majorBidi"/>
        </w:rPr>
        <w:t xml:space="preserve">to the public concerned </w:t>
      </w:r>
      <w:r w:rsidR="00C4488C" w:rsidRPr="003225FD">
        <w:rPr>
          <w:rFonts w:asciiTheme="majorBidi" w:hAnsiTheme="majorBidi"/>
        </w:rPr>
        <w:t xml:space="preserve">that the choice of overhead technology had already been selected. </w:t>
      </w:r>
      <w:r w:rsidR="000B5C9B" w:rsidRPr="003225FD">
        <w:rPr>
          <w:rFonts w:asciiTheme="majorBidi" w:hAnsiTheme="majorBidi"/>
        </w:rPr>
        <w:t>The Committee accordingly finds</w:t>
      </w:r>
      <w:r w:rsidR="00C4488C" w:rsidRPr="003225FD">
        <w:rPr>
          <w:rFonts w:asciiTheme="majorBidi" w:hAnsiTheme="majorBidi"/>
        </w:rPr>
        <w:t xml:space="preserve"> that</w:t>
      </w:r>
      <w:r w:rsidR="000B5C9B" w:rsidRPr="003225FD">
        <w:rPr>
          <w:rFonts w:asciiTheme="majorBidi" w:hAnsiTheme="majorBidi"/>
        </w:rPr>
        <w:t>,</w:t>
      </w:r>
      <w:r w:rsidR="00C4488C" w:rsidRPr="003225FD">
        <w:rPr>
          <w:rFonts w:asciiTheme="majorBidi" w:hAnsiTheme="majorBidi"/>
        </w:rPr>
        <w:t xml:space="preserve"> by failing to ensure that all options with respect to the choice of technology for the power line were not just legally open but also could </w:t>
      </w:r>
      <w:r w:rsidR="000B5C9B" w:rsidRPr="003225FD">
        <w:rPr>
          <w:rFonts w:asciiTheme="majorBidi" w:hAnsiTheme="majorBidi"/>
        </w:rPr>
        <w:t xml:space="preserve">clearly </w:t>
      </w:r>
      <w:r w:rsidR="00C4488C" w:rsidRPr="003225FD">
        <w:rPr>
          <w:rFonts w:asciiTheme="majorBidi" w:hAnsiTheme="majorBidi"/>
        </w:rPr>
        <w:t xml:space="preserve">be seen to be open </w:t>
      </w:r>
      <w:r w:rsidR="000B5C9B" w:rsidRPr="003225FD">
        <w:rPr>
          <w:rFonts w:asciiTheme="majorBidi" w:hAnsiTheme="majorBidi"/>
        </w:rPr>
        <w:t>by the public concerned</w:t>
      </w:r>
      <w:r w:rsidR="00C4488C" w:rsidRPr="003225FD">
        <w:rPr>
          <w:rFonts w:asciiTheme="majorBidi" w:hAnsiTheme="majorBidi"/>
        </w:rPr>
        <w:t>, the Party concerned failed to comply with article 6</w:t>
      </w:r>
      <w:r w:rsidR="002155D8" w:rsidRPr="003225FD">
        <w:rPr>
          <w:rFonts w:asciiTheme="majorBidi" w:hAnsiTheme="majorBidi"/>
        </w:rPr>
        <w:t>(</w:t>
      </w:r>
      <w:r w:rsidR="00C4488C" w:rsidRPr="003225FD">
        <w:rPr>
          <w:rFonts w:asciiTheme="majorBidi" w:hAnsiTheme="majorBidi"/>
        </w:rPr>
        <w:t>4</w:t>
      </w:r>
      <w:r w:rsidR="002155D8" w:rsidRPr="003225FD">
        <w:rPr>
          <w:rFonts w:asciiTheme="majorBidi" w:hAnsiTheme="majorBidi"/>
        </w:rPr>
        <w:t>)</w:t>
      </w:r>
      <w:r w:rsidR="00C4488C" w:rsidRPr="003225FD">
        <w:rPr>
          <w:rFonts w:asciiTheme="majorBidi" w:hAnsiTheme="majorBidi"/>
        </w:rPr>
        <w:t xml:space="preserve"> of the Convention.</w:t>
      </w:r>
      <w:bookmarkEnd w:id="62"/>
    </w:p>
    <w:p w14:paraId="45206E08" w14:textId="77777777" w:rsidR="00B8421C" w:rsidRPr="003225FD" w:rsidRDefault="00B8421C" w:rsidP="00A72100">
      <w:pPr>
        <w:pStyle w:val="SingleTxtG"/>
        <w:suppressAutoHyphens w:val="0"/>
        <w:autoSpaceDE w:val="0"/>
        <w:autoSpaceDN w:val="0"/>
        <w:adjustRightInd w:val="0"/>
        <w:spacing w:line="240" w:lineRule="auto"/>
        <w:rPr>
          <w:rFonts w:asciiTheme="majorBidi" w:hAnsiTheme="majorBidi"/>
          <w:i/>
        </w:rPr>
      </w:pPr>
      <w:r w:rsidRPr="003225FD">
        <w:rPr>
          <w:rFonts w:asciiTheme="majorBidi" w:hAnsiTheme="majorBidi"/>
          <w:i/>
        </w:rPr>
        <w:t>EU funding</w:t>
      </w:r>
    </w:p>
    <w:p w14:paraId="3C5D56AF" w14:textId="1E1F6A49" w:rsidR="00F10FC6" w:rsidRPr="003225FD" w:rsidRDefault="00B8421C" w:rsidP="00B8421C">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lastRenderedPageBreak/>
        <w:t xml:space="preserve">In its letter </w:t>
      </w:r>
      <w:r w:rsidR="00C21F68" w:rsidRPr="003225FD">
        <w:rPr>
          <w:rFonts w:asciiTheme="majorBidi" w:hAnsiTheme="majorBidi"/>
        </w:rPr>
        <w:t>of</w:t>
      </w:r>
      <w:r w:rsidRPr="003225FD">
        <w:rPr>
          <w:rFonts w:asciiTheme="majorBidi" w:hAnsiTheme="majorBidi"/>
        </w:rPr>
        <w:t xml:space="preserve"> 11 October 2010, </w:t>
      </w:r>
      <w:r w:rsidR="00881B87" w:rsidRPr="003225FD">
        <w:rPr>
          <w:rFonts w:asciiTheme="majorBidi" w:hAnsiTheme="majorBidi"/>
        </w:rPr>
        <w:t>Litpol Link</w:t>
      </w:r>
      <w:r w:rsidRPr="003225FD">
        <w:rPr>
          <w:rFonts w:asciiTheme="majorBidi" w:hAnsiTheme="majorBidi"/>
        </w:rPr>
        <w:t xml:space="preserve"> state</w:t>
      </w:r>
      <w:r w:rsidR="00C21F68" w:rsidRPr="003225FD">
        <w:rPr>
          <w:rFonts w:asciiTheme="majorBidi" w:hAnsiTheme="majorBidi"/>
        </w:rPr>
        <w:t>d</w:t>
      </w:r>
      <w:r w:rsidRPr="003225FD">
        <w:rPr>
          <w:rFonts w:asciiTheme="majorBidi" w:hAnsiTheme="majorBidi"/>
        </w:rPr>
        <w:t xml:space="preserve"> that: </w:t>
      </w:r>
    </w:p>
    <w:p w14:paraId="39498AD3" w14:textId="645A48A0" w:rsidR="00F10FC6" w:rsidRPr="00001B0D" w:rsidRDefault="00B8421C" w:rsidP="00F10FC6">
      <w:pPr>
        <w:pStyle w:val="SingleTxtG"/>
        <w:suppressAutoHyphens w:val="0"/>
        <w:autoSpaceDE w:val="0"/>
        <w:autoSpaceDN w:val="0"/>
        <w:adjustRightInd w:val="0"/>
        <w:spacing w:line="240" w:lineRule="auto"/>
        <w:ind w:left="1701"/>
        <w:rPr>
          <w:rFonts w:asciiTheme="majorBidi" w:hAnsiTheme="majorBidi"/>
        </w:rPr>
      </w:pPr>
      <w:r w:rsidRPr="003225FD">
        <w:rPr>
          <w:rFonts w:asciiTheme="majorBidi" w:hAnsiTheme="majorBidi"/>
        </w:rPr>
        <w:t>“[b]ased on agreements with the European Commission, the decision on environment protection conditions for the project of the power line</w:t>
      </w:r>
      <w:r w:rsidR="003A342A" w:rsidRPr="003225FD">
        <w:rPr>
          <w:rFonts w:asciiTheme="majorBidi" w:hAnsiTheme="majorBidi"/>
        </w:rPr>
        <w:t>...</w:t>
      </w:r>
      <w:r w:rsidRPr="003225FD">
        <w:rPr>
          <w:rFonts w:asciiTheme="majorBidi" w:hAnsiTheme="majorBidi"/>
        </w:rPr>
        <w:t>should be issued by June 2012…If the investment is late, and, respectively, the Polish grid operator has not fulfilled the commitments by the 30</w:t>
      </w:r>
      <w:r w:rsidRPr="003225FD">
        <w:rPr>
          <w:rFonts w:asciiTheme="majorBidi" w:hAnsiTheme="majorBidi"/>
          <w:vertAlign w:val="superscript"/>
        </w:rPr>
        <w:t>th</w:t>
      </w:r>
      <w:r w:rsidRPr="003225FD">
        <w:rPr>
          <w:rFonts w:asciiTheme="majorBidi" w:hAnsiTheme="majorBidi"/>
        </w:rPr>
        <w:t xml:space="preserve"> of June 2012, the money for the project implementation from the EU regional funds will be possibly lost.”</w:t>
      </w:r>
      <w:r w:rsidRPr="00001B0D">
        <w:rPr>
          <w:rStyle w:val="FootnoteReference"/>
          <w:rFonts w:asciiTheme="majorBidi" w:hAnsiTheme="majorBidi"/>
          <w:sz w:val="20"/>
        </w:rPr>
        <w:footnoteReference w:id="106"/>
      </w:r>
    </w:p>
    <w:p w14:paraId="082A0EBD" w14:textId="4EB03CE0" w:rsidR="00B8421C" w:rsidRPr="00001B0D" w:rsidRDefault="00B8421C" w:rsidP="00001B0D">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 xml:space="preserve">Similarly, </w:t>
      </w:r>
      <w:r w:rsidR="00533274" w:rsidRPr="003225FD">
        <w:rPr>
          <w:rFonts w:asciiTheme="majorBidi" w:hAnsiTheme="majorBidi"/>
        </w:rPr>
        <w:t xml:space="preserve">Alytus </w:t>
      </w:r>
      <w:r w:rsidR="00F10FC6" w:rsidRPr="003225FD">
        <w:rPr>
          <w:rFonts w:asciiTheme="majorBidi" w:hAnsiTheme="majorBidi"/>
        </w:rPr>
        <w:t xml:space="preserve">RED </w:t>
      </w:r>
      <w:r w:rsidRPr="003225FD">
        <w:rPr>
          <w:rFonts w:asciiTheme="majorBidi" w:hAnsiTheme="majorBidi"/>
        </w:rPr>
        <w:t xml:space="preserve">stated in the </w:t>
      </w:r>
      <w:r w:rsidR="00C21F68" w:rsidRPr="003225FD">
        <w:rPr>
          <w:rFonts w:asciiTheme="majorBidi" w:hAnsiTheme="majorBidi"/>
        </w:rPr>
        <w:t>c</w:t>
      </w:r>
      <w:r w:rsidRPr="003225FD">
        <w:rPr>
          <w:rFonts w:asciiTheme="majorBidi" w:hAnsiTheme="majorBidi"/>
        </w:rPr>
        <w:t>ourt proceedings that “[d]elay of the Project implementation deadlines can result in losing EU funding because financing is available only if the project is completed over the defined financing term.”</w:t>
      </w:r>
      <w:r w:rsidRPr="00001B0D">
        <w:rPr>
          <w:rStyle w:val="FootnoteReference"/>
          <w:rFonts w:asciiTheme="majorBidi" w:hAnsiTheme="majorBidi"/>
          <w:sz w:val="20"/>
        </w:rPr>
        <w:footnoteReference w:id="107"/>
      </w:r>
      <w:r w:rsidRPr="00001B0D">
        <w:rPr>
          <w:rFonts w:asciiTheme="majorBidi" w:hAnsiTheme="majorBidi"/>
        </w:rPr>
        <w:t xml:space="preserve"> </w:t>
      </w:r>
    </w:p>
    <w:p w14:paraId="5084165E" w14:textId="3E93E060" w:rsidR="00B8421C" w:rsidRPr="003225FD" w:rsidRDefault="00B8421C" w:rsidP="00740F2D">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 xml:space="preserve">It is crucial that potential funding does not preclude proper consideration of alternatives because this could </w:t>
      </w:r>
      <w:r w:rsidR="00EF3590" w:rsidRPr="003225FD">
        <w:rPr>
          <w:rFonts w:asciiTheme="majorBidi" w:hAnsiTheme="majorBidi"/>
        </w:rPr>
        <w:t xml:space="preserve">deprive </w:t>
      </w:r>
      <w:r w:rsidRPr="003225FD">
        <w:rPr>
          <w:rFonts w:asciiTheme="majorBidi" w:hAnsiTheme="majorBidi"/>
        </w:rPr>
        <w:t>public participation of any meaning. However, the above statements alone are insufficient to establish that the deadline for completing EIA procedures imposed by EU funding arrangements resulted in a failure by the Party concerned to comply with article 6</w:t>
      </w:r>
      <w:r w:rsidR="002155D8" w:rsidRPr="003225FD">
        <w:rPr>
          <w:rFonts w:asciiTheme="majorBidi" w:hAnsiTheme="majorBidi"/>
        </w:rPr>
        <w:t>(</w:t>
      </w:r>
      <w:r w:rsidRPr="003225FD">
        <w:rPr>
          <w:rFonts w:asciiTheme="majorBidi" w:hAnsiTheme="majorBidi"/>
        </w:rPr>
        <w:t>4</w:t>
      </w:r>
      <w:r w:rsidR="002155D8" w:rsidRPr="003225FD">
        <w:rPr>
          <w:rFonts w:asciiTheme="majorBidi" w:hAnsiTheme="majorBidi"/>
        </w:rPr>
        <w:t>)</w:t>
      </w:r>
      <w:r w:rsidRPr="003225FD">
        <w:rPr>
          <w:rFonts w:asciiTheme="majorBidi" w:hAnsiTheme="majorBidi"/>
        </w:rPr>
        <w:t xml:space="preserve">. </w:t>
      </w:r>
      <w:r w:rsidR="008B6B67" w:rsidRPr="003225FD">
        <w:rPr>
          <w:rFonts w:asciiTheme="majorBidi" w:hAnsiTheme="majorBidi"/>
        </w:rPr>
        <w:t>The</w:t>
      </w:r>
      <w:r w:rsidRPr="003225FD">
        <w:rPr>
          <w:rFonts w:asciiTheme="majorBidi" w:hAnsiTheme="majorBidi"/>
        </w:rPr>
        <w:t xml:space="preserve"> communicant has not pointed to any EU funding documentation stipulating deadlines </w:t>
      </w:r>
      <w:r w:rsidR="00C947C6" w:rsidRPr="003225FD">
        <w:rPr>
          <w:rFonts w:asciiTheme="majorBidi" w:hAnsiTheme="majorBidi"/>
        </w:rPr>
        <w:t xml:space="preserve">or other constraints </w:t>
      </w:r>
      <w:r w:rsidRPr="003225FD">
        <w:rPr>
          <w:rFonts w:asciiTheme="majorBidi" w:hAnsiTheme="majorBidi"/>
        </w:rPr>
        <w:t xml:space="preserve">that may have </w:t>
      </w:r>
      <w:r w:rsidR="00D36034" w:rsidRPr="003225FD">
        <w:rPr>
          <w:rFonts w:asciiTheme="majorBidi" w:hAnsiTheme="majorBidi"/>
        </w:rPr>
        <w:t xml:space="preserve">foreclosed the consideration of </w:t>
      </w:r>
      <w:r w:rsidR="00300313" w:rsidRPr="003225FD">
        <w:rPr>
          <w:rFonts w:asciiTheme="majorBidi" w:hAnsiTheme="majorBidi"/>
        </w:rPr>
        <w:t>alternatives</w:t>
      </w:r>
      <w:r w:rsidRPr="003225FD">
        <w:rPr>
          <w:rFonts w:asciiTheme="majorBidi" w:hAnsiTheme="majorBidi"/>
        </w:rPr>
        <w:t xml:space="preserve"> </w:t>
      </w:r>
      <w:r w:rsidR="00C947C6" w:rsidRPr="003225FD">
        <w:rPr>
          <w:rFonts w:asciiTheme="majorBidi" w:hAnsiTheme="majorBidi"/>
        </w:rPr>
        <w:t xml:space="preserve">during </w:t>
      </w:r>
      <w:r w:rsidRPr="003225FD">
        <w:rPr>
          <w:rFonts w:asciiTheme="majorBidi" w:hAnsiTheme="majorBidi"/>
        </w:rPr>
        <w:t>the EIA procedure.</w:t>
      </w:r>
      <w:r w:rsidRPr="00001B0D">
        <w:rPr>
          <w:rStyle w:val="FootnoteReference"/>
          <w:rFonts w:asciiTheme="majorBidi" w:hAnsiTheme="majorBidi"/>
          <w:sz w:val="20"/>
        </w:rPr>
        <w:footnoteReference w:id="108"/>
      </w:r>
      <w:r w:rsidRPr="00001B0D">
        <w:rPr>
          <w:rFonts w:asciiTheme="majorBidi" w:hAnsiTheme="majorBidi"/>
        </w:rPr>
        <w:t xml:space="preserve"> While the project was in the </w:t>
      </w:r>
      <w:r w:rsidR="00EF3590" w:rsidRPr="003225FD">
        <w:rPr>
          <w:rFonts w:asciiTheme="majorBidi" w:hAnsiTheme="majorBidi"/>
        </w:rPr>
        <w:t>EU</w:t>
      </w:r>
      <w:r w:rsidR="002278EE" w:rsidRPr="003225FD">
        <w:rPr>
          <w:rFonts w:asciiTheme="majorBidi" w:hAnsiTheme="majorBidi"/>
        </w:rPr>
        <w:t xml:space="preserve">’s 2013 </w:t>
      </w:r>
      <w:r w:rsidRPr="003225FD">
        <w:rPr>
          <w:rFonts w:asciiTheme="majorBidi" w:hAnsiTheme="majorBidi"/>
        </w:rPr>
        <w:t xml:space="preserve">list of PCIs, the process of establishing this list was initiated in March 2012, after the </w:t>
      </w:r>
      <w:r w:rsidR="00E7294B" w:rsidRPr="003225FD">
        <w:rPr>
          <w:rFonts w:asciiTheme="majorBidi" w:hAnsiTheme="majorBidi"/>
        </w:rPr>
        <w:t>OHL</w:t>
      </w:r>
      <w:r w:rsidRPr="003225FD">
        <w:rPr>
          <w:rFonts w:asciiTheme="majorBidi" w:hAnsiTheme="majorBidi"/>
        </w:rPr>
        <w:t xml:space="preserve"> decision’s adoption. </w:t>
      </w:r>
      <w:r w:rsidR="00C947C6" w:rsidRPr="003225FD">
        <w:rPr>
          <w:rFonts w:asciiTheme="majorBidi" w:hAnsiTheme="majorBidi"/>
        </w:rPr>
        <w:t>The Committee accordingly does not find the allegation that EU funding requirements foreclosed options in contravention of article 6(4) to be substantiated.</w:t>
      </w:r>
    </w:p>
    <w:p w14:paraId="365ADB91" w14:textId="77777777" w:rsidR="001B331E" w:rsidRPr="003225FD" w:rsidRDefault="00572759" w:rsidP="001B331E">
      <w:pPr>
        <w:pStyle w:val="SingleTxtG"/>
        <w:tabs>
          <w:tab w:val="num" w:pos="1134"/>
        </w:tabs>
        <w:suppressAutoHyphens w:val="0"/>
        <w:autoSpaceDE w:val="0"/>
        <w:autoSpaceDN w:val="0"/>
        <w:adjustRightInd w:val="0"/>
        <w:spacing w:line="240" w:lineRule="auto"/>
        <w:rPr>
          <w:rFonts w:asciiTheme="majorBidi" w:hAnsiTheme="majorBidi"/>
          <w:b/>
        </w:rPr>
      </w:pPr>
      <w:r w:rsidRPr="003225FD">
        <w:rPr>
          <w:rFonts w:asciiTheme="majorBidi" w:hAnsiTheme="majorBidi"/>
          <w:b/>
        </w:rPr>
        <w:t>Article 6</w:t>
      </w:r>
      <w:r w:rsidR="00F665E4" w:rsidRPr="003225FD">
        <w:rPr>
          <w:rFonts w:asciiTheme="majorBidi" w:hAnsiTheme="majorBidi"/>
          <w:b/>
        </w:rPr>
        <w:t>(</w:t>
      </w:r>
      <w:r w:rsidR="0066132B" w:rsidRPr="003225FD">
        <w:rPr>
          <w:rFonts w:asciiTheme="majorBidi" w:hAnsiTheme="majorBidi"/>
          <w:b/>
        </w:rPr>
        <w:t>5</w:t>
      </w:r>
      <w:r w:rsidR="00F665E4" w:rsidRPr="003225FD">
        <w:rPr>
          <w:rFonts w:asciiTheme="majorBidi" w:hAnsiTheme="majorBidi"/>
          <w:b/>
        </w:rPr>
        <w:t>)</w:t>
      </w:r>
      <w:r w:rsidR="00BC5DE9" w:rsidRPr="003225FD">
        <w:rPr>
          <w:rFonts w:asciiTheme="majorBidi" w:hAnsiTheme="majorBidi" w:cstheme="majorBidi"/>
          <w:b/>
          <w:bCs/>
          <w:iCs/>
        </w:rPr>
        <w:t xml:space="preserve"> </w:t>
      </w:r>
    </w:p>
    <w:p w14:paraId="3081C3E2" w14:textId="58607B1B" w:rsidR="00A37578" w:rsidRPr="003225FD" w:rsidRDefault="00EB3B3C" w:rsidP="001B331E">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 xml:space="preserve">The </w:t>
      </w:r>
      <w:r w:rsidR="00A03908" w:rsidRPr="003225FD">
        <w:rPr>
          <w:rFonts w:asciiTheme="majorBidi" w:hAnsiTheme="majorBidi"/>
        </w:rPr>
        <w:t xml:space="preserve">proposed </w:t>
      </w:r>
      <w:r w:rsidRPr="003225FD">
        <w:rPr>
          <w:rFonts w:asciiTheme="majorBidi" w:hAnsiTheme="majorBidi"/>
        </w:rPr>
        <w:t>OHL</w:t>
      </w:r>
      <w:r w:rsidR="0074438F" w:rsidRPr="003225FD">
        <w:rPr>
          <w:rFonts w:asciiTheme="majorBidi" w:hAnsiTheme="majorBidi"/>
        </w:rPr>
        <w:t xml:space="preserve"> </w:t>
      </w:r>
      <w:r w:rsidR="00A03908" w:rsidRPr="003225FD">
        <w:rPr>
          <w:rFonts w:asciiTheme="majorBidi" w:hAnsiTheme="majorBidi"/>
        </w:rPr>
        <w:t xml:space="preserve">project was </w:t>
      </w:r>
      <w:r w:rsidR="0083533F" w:rsidRPr="003225FD">
        <w:rPr>
          <w:rFonts w:asciiTheme="majorBidi" w:hAnsiTheme="majorBidi"/>
        </w:rPr>
        <w:t>an</w:t>
      </w:r>
      <w:r w:rsidR="0074438F" w:rsidRPr="003225FD">
        <w:rPr>
          <w:rFonts w:asciiTheme="majorBidi" w:hAnsiTheme="majorBidi"/>
        </w:rPr>
        <w:t xml:space="preserve"> </w:t>
      </w:r>
      <w:r w:rsidR="00011703" w:rsidRPr="003225FD">
        <w:rPr>
          <w:rFonts w:asciiTheme="majorBidi" w:hAnsiTheme="majorBidi"/>
        </w:rPr>
        <w:t xml:space="preserve">appropriate </w:t>
      </w:r>
      <w:r w:rsidR="0074438F" w:rsidRPr="003225FD">
        <w:rPr>
          <w:rFonts w:asciiTheme="majorBidi" w:hAnsiTheme="majorBidi"/>
        </w:rPr>
        <w:t>opportunity for the Party concerned to implement art</w:t>
      </w:r>
      <w:r w:rsidR="00830739" w:rsidRPr="003225FD">
        <w:rPr>
          <w:rFonts w:asciiTheme="majorBidi" w:hAnsiTheme="majorBidi"/>
        </w:rPr>
        <w:t xml:space="preserve">icle </w:t>
      </w:r>
      <w:r w:rsidR="0074438F" w:rsidRPr="003225FD">
        <w:rPr>
          <w:rFonts w:asciiTheme="majorBidi" w:hAnsiTheme="majorBidi"/>
        </w:rPr>
        <w:t>6</w:t>
      </w:r>
      <w:r w:rsidR="002155D8" w:rsidRPr="003225FD">
        <w:rPr>
          <w:rFonts w:asciiTheme="majorBidi" w:hAnsiTheme="majorBidi"/>
        </w:rPr>
        <w:t>(</w:t>
      </w:r>
      <w:r w:rsidR="0074438F" w:rsidRPr="003225FD">
        <w:rPr>
          <w:rFonts w:asciiTheme="majorBidi" w:hAnsiTheme="majorBidi"/>
        </w:rPr>
        <w:t>5</w:t>
      </w:r>
      <w:r w:rsidR="002155D8" w:rsidRPr="003225FD">
        <w:rPr>
          <w:rFonts w:asciiTheme="majorBidi" w:hAnsiTheme="majorBidi"/>
        </w:rPr>
        <w:t>)</w:t>
      </w:r>
      <w:r w:rsidR="00011703" w:rsidRPr="003225FD">
        <w:rPr>
          <w:rFonts w:asciiTheme="majorBidi" w:hAnsiTheme="majorBidi"/>
        </w:rPr>
        <w:t xml:space="preserve">, not least to prevent </w:t>
      </w:r>
      <w:r w:rsidR="0074438F" w:rsidRPr="003225FD">
        <w:rPr>
          <w:rFonts w:asciiTheme="majorBidi" w:hAnsiTheme="majorBidi"/>
        </w:rPr>
        <w:t>misunderstanding</w:t>
      </w:r>
      <w:r w:rsidR="00011703" w:rsidRPr="003225FD">
        <w:rPr>
          <w:rFonts w:asciiTheme="majorBidi" w:hAnsiTheme="majorBidi"/>
        </w:rPr>
        <w:t xml:space="preserve"> </w:t>
      </w:r>
      <w:r w:rsidR="00830739" w:rsidRPr="003225FD">
        <w:rPr>
          <w:rFonts w:asciiTheme="majorBidi" w:hAnsiTheme="majorBidi"/>
        </w:rPr>
        <w:t>and disagreement</w:t>
      </w:r>
      <w:r w:rsidR="00597002" w:rsidRPr="003225FD">
        <w:rPr>
          <w:rFonts w:asciiTheme="majorBidi" w:hAnsiTheme="majorBidi"/>
        </w:rPr>
        <w:t xml:space="preserve">. </w:t>
      </w:r>
      <w:r w:rsidR="003A342A" w:rsidRPr="003225FD">
        <w:rPr>
          <w:rFonts w:asciiTheme="majorBidi" w:hAnsiTheme="majorBidi"/>
        </w:rPr>
        <w:t xml:space="preserve">An </w:t>
      </w:r>
      <w:r w:rsidR="00A03908" w:rsidRPr="003225FD">
        <w:rPr>
          <w:rFonts w:asciiTheme="majorBidi" w:hAnsiTheme="majorBidi"/>
        </w:rPr>
        <w:t xml:space="preserve">information conference was held, and the developer distributed information, including a brochure. The communicants have accordingly not substantiated </w:t>
      </w:r>
      <w:r w:rsidR="00EC0FE5" w:rsidRPr="003225FD">
        <w:rPr>
          <w:rFonts w:asciiTheme="majorBidi" w:hAnsiTheme="majorBidi"/>
        </w:rPr>
        <w:t xml:space="preserve">that </w:t>
      </w:r>
      <w:r w:rsidR="00830739" w:rsidRPr="003225FD">
        <w:rPr>
          <w:rFonts w:asciiTheme="majorBidi" w:hAnsiTheme="majorBidi"/>
        </w:rPr>
        <w:t xml:space="preserve">the Party concerned failed to encourage the </w:t>
      </w:r>
      <w:r w:rsidR="00E7786C" w:rsidRPr="003225FD">
        <w:rPr>
          <w:rFonts w:asciiTheme="majorBidi" w:hAnsiTheme="majorBidi"/>
        </w:rPr>
        <w:t>developer</w:t>
      </w:r>
      <w:r w:rsidR="00011703" w:rsidRPr="003225FD">
        <w:rPr>
          <w:rFonts w:asciiTheme="majorBidi" w:hAnsiTheme="majorBidi"/>
        </w:rPr>
        <w:t xml:space="preserve"> to engage with the public before applying for a permit</w:t>
      </w:r>
      <w:r w:rsidR="00EC0FE5" w:rsidRPr="003225FD">
        <w:rPr>
          <w:rFonts w:asciiTheme="majorBidi" w:hAnsiTheme="majorBidi"/>
        </w:rPr>
        <w:t xml:space="preserve"> in breach of article 6</w:t>
      </w:r>
      <w:r w:rsidR="002155D8" w:rsidRPr="003225FD">
        <w:rPr>
          <w:rFonts w:asciiTheme="majorBidi" w:hAnsiTheme="majorBidi"/>
        </w:rPr>
        <w:t>(</w:t>
      </w:r>
      <w:r w:rsidR="00EC0FE5" w:rsidRPr="003225FD">
        <w:rPr>
          <w:rFonts w:asciiTheme="majorBidi" w:hAnsiTheme="majorBidi"/>
        </w:rPr>
        <w:t>5</w:t>
      </w:r>
      <w:r w:rsidR="002155D8" w:rsidRPr="003225FD">
        <w:rPr>
          <w:rFonts w:asciiTheme="majorBidi" w:hAnsiTheme="majorBidi"/>
        </w:rPr>
        <w:t>)</w:t>
      </w:r>
      <w:r w:rsidR="00EC0FE5" w:rsidRPr="003225FD">
        <w:rPr>
          <w:rFonts w:asciiTheme="majorBidi" w:hAnsiTheme="majorBidi"/>
        </w:rPr>
        <w:t>.</w:t>
      </w:r>
    </w:p>
    <w:p w14:paraId="470D692D" w14:textId="6A893DE2" w:rsidR="00A37578" w:rsidRPr="003225FD" w:rsidRDefault="00A37578" w:rsidP="00A62E83">
      <w:pPr>
        <w:pStyle w:val="SingleTxtG"/>
        <w:tabs>
          <w:tab w:val="num" w:pos="1134"/>
        </w:tabs>
        <w:rPr>
          <w:rFonts w:asciiTheme="majorBidi" w:hAnsiTheme="majorBidi"/>
          <w:b/>
        </w:rPr>
      </w:pPr>
      <w:r w:rsidRPr="003225FD">
        <w:rPr>
          <w:rFonts w:asciiTheme="majorBidi" w:hAnsiTheme="majorBidi"/>
          <w:b/>
        </w:rPr>
        <w:t>Article 6</w:t>
      </w:r>
      <w:r w:rsidR="002155D8" w:rsidRPr="003225FD">
        <w:rPr>
          <w:rFonts w:asciiTheme="majorBidi" w:hAnsiTheme="majorBidi"/>
          <w:b/>
        </w:rPr>
        <w:t>(</w:t>
      </w:r>
      <w:r w:rsidRPr="003225FD">
        <w:rPr>
          <w:rFonts w:asciiTheme="majorBidi" w:hAnsiTheme="majorBidi"/>
          <w:b/>
        </w:rPr>
        <w:t>6</w:t>
      </w:r>
      <w:r w:rsidR="002155D8" w:rsidRPr="003225FD">
        <w:rPr>
          <w:rFonts w:asciiTheme="majorBidi" w:hAnsiTheme="majorBidi"/>
          <w:b/>
        </w:rPr>
        <w:t>)</w:t>
      </w:r>
    </w:p>
    <w:p w14:paraId="18EAD3E4" w14:textId="1720539E" w:rsidR="00A876EA" w:rsidRPr="00001B0D" w:rsidRDefault="005121A4" w:rsidP="00A679A4">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 xml:space="preserve">The communicant alleges a lack of detailed and reliable data on the impact on the environment, especially </w:t>
      </w:r>
      <w:r w:rsidR="00AF6D50" w:rsidRPr="003225FD">
        <w:rPr>
          <w:rFonts w:asciiTheme="majorBidi" w:hAnsiTheme="majorBidi"/>
        </w:rPr>
        <w:t xml:space="preserve">on </w:t>
      </w:r>
      <w:r w:rsidRPr="003225FD">
        <w:rPr>
          <w:rFonts w:asciiTheme="majorBidi" w:hAnsiTheme="majorBidi"/>
        </w:rPr>
        <w:t>protected species and a unique landscape</w:t>
      </w:r>
      <w:r w:rsidR="004908A4" w:rsidRPr="003225FD">
        <w:rPr>
          <w:rFonts w:asciiTheme="majorBidi" w:hAnsiTheme="majorBidi"/>
        </w:rPr>
        <w:t>, and insufficient information on technological alternatives</w:t>
      </w:r>
      <w:r w:rsidRPr="003225FD">
        <w:rPr>
          <w:rFonts w:asciiTheme="majorBidi" w:hAnsiTheme="majorBidi"/>
        </w:rPr>
        <w:t>.</w:t>
      </w:r>
      <w:r w:rsidRPr="00001B0D">
        <w:rPr>
          <w:rStyle w:val="FootnoteReference"/>
          <w:rFonts w:asciiTheme="majorBidi" w:hAnsiTheme="majorBidi"/>
          <w:sz w:val="20"/>
        </w:rPr>
        <w:footnoteReference w:id="109"/>
      </w:r>
    </w:p>
    <w:p w14:paraId="02F4CCD7" w14:textId="7E7869A0" w:rsidR="00B16B1D" w:rsidRPr="00001B0D" w:rsidRDefault="005121A4" w:rsidP="00087E93">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The Committee notes that information on these aspects are required under article 6(6)</w:t>
      </w:r>
      <w:r w:rsidR="006D2932" w:rsidRPr="003225FD">
        <w:rPr>
          <w:rFonts w:asciiTheme="majorBidi" w:hAnsiTheme="majorBidi"/>
        </w:rPr>
        <w:t>(</w:t>
      </w:r>
      <w:r w:rsidR="004908A4" w:rsidRPr="003225FD">
        <w:rPr>
          <w:rFonts w:asciiTheme="majorBidi" w:hAnsiTheme="majorBidi"/>
        </w:rPr>
        <w:t>b</w:t>
      </w:r>
      <w:r w:rsidR="006D2932" w:rsidRPr="003225FD">
        <w:rPr>
          <w:rFonts w:asciiTheme="majorBidi" w:hAnsiTheme="majorBidi"/>
        </w:rPr>
        <w:t xml:space="preserve">) and </w:t>
      </w:r>
      <w:r w:rsidRPr="003225FD">
        <w:rPr>
          <w:rFonts w:asciiTheme="majorBidi" w:hAnsiTheme="majorBidi"/>
        </w:rPr>
        <w:t>(</w:t>
      </w:r>
      <w:r w:rsidR="004908A4" w:rsidRPr="003225FD">
        <w:rPr>
          <w:rFonts w:asciiTheme="majorBidi" w:hAnsiTheme="majorBidi"/>
        </w:rPr>
        <w:t>e</w:t>
      </w:r>
      <w:r w:rsidRPr="003225FD">
        <w:rPr>
          <w:rFonts w:asciiTheme="majorBidi" w:hAnsiTheme="majorBidi"/>
        </w:rPr>
        <w:t>)</w:t>
      </w:r>
      <w:r w:rsidR="006D2932" w:rsidRPr="003225FD">
        <w:rPr>
          <w:rFonts w:asciiTheme="majorBidi" w:hAnsiTheme="majorBidi"/>
        </w:rPr>
        <w:t xml:space="preserve"> </w:t>
      </w:r>
      <w:r w:rsidR="001C261F" w:rsidRPr="003225FD">
        <w:rPr>
          <w:rFonts w:asciiTheme="majorBidi" w:hAnsiTheme="majorBidi"/>
        </w:rPr>
        <w:t xml:space="preserve">of the Convention </w:t>
      </w:r>
      <w:r w:rsidR="006D2932" w:rsidRPr="003225FD">
        <w:rPr>
          <w:rFonts w:asciiTheme="majorBidi" w:hAnsiTheme="majorBidi"/>
        </w:rPr>
        <w:t>respectively</w:t>
      </w:r>
      <w:r w:rsidR="00B15B83" w:rsidRPr="003225FD">
        <w:rPr>
          <w:rFonts w:asciiTheme="majorBidi" w:hAnsiTheme="majorBidi" w:cstheme="majorBidi"/>
        </w:rPr>
        <w:t>.</w:t>
      </w:r>
      <w:r w:rsidR="00B15B83" w:rsidRPr="003225FD">
        <w:rPr>
          <w:rFonts w:asciiTheme="majorBidi" w:hAnsiTheme="majorBidi"/>
        </w:rPr>
        <w:t xml:space="preserve"> </w:t>
      </w:r>
      <w:r w:rsidR="00B16B1D" w:rsidRPr="003225FD">
        <w:rPr>
          <w:rFonts w:asciiTheme="majorBidi" w:hAnsiTheme="majorBidi"/>
        </w:rPr>
        <w:t>In this regard, t</w:t>
      </w:r>
      <w:r w:rsidR="00A876EA" w:rsidRPr="003225FD">
        <w:rPr>
          <w:rFonts w:asciiTheme="majorBidi" w:hAnsiTheme="majorBidi"/>
        </w:rPr>
        <w:t xml:space="preserve">he brochure </w:t>
      </w:r>
      <w:r w:rsidR="005D6DC0" w:rsidRPr="003225FD">
        <w:rPr>
          <w:rFonts w:asciiTheme="majorBidi" w:hAnsiTheme="majorBidi"/>
        </w:rPr>
        <w:t xml:space="preserve">published in early 2010 </w:t>
      </w:r>
      <w:r w:rsidR="00F55BAB" w:rsidRPr="003225FD">
        <w:rPr>
          <w:rFonts w:asciiTheme="majorBidi" w:hAnsiTheme="majorBidi"/>
        </w:rPr>
        <w:t>outlines</w:t>
      </w:r>
      <w:r w:rsidR="00AF6D50" w:rsidRPr="003225FD">
        <w:rPr>
          <w:rFonts w:asciiTheme="majorBidi" w:hAnsiTheme="majorBidi"/>
        </w:rPr>
        <w:t xml:space="preserve"> </w:t>
      </w:r>
      <w:r w:rsidR="00A876EA" w:rsidRPr="003225FD">
        <w:rPr>
          <w:rFonts w:asciiTheme="majorBidi" w:hAnsiTheme="majorBidi"/>
        </w:rPr>
        <w:t xml:space="preserve">the </w:t>
      </w:r>
      <w:r w:rsidR="00AF6D50" w:rsidRPr="003225FD">
        <w:rPr>
          <w:rFonts w:asciiTheme="majorBidi" w:hAnsiTheme="majorBidi"/>
        </w:rPr>
        <w:t xml:space="preserve">technological </w:t>
      </w:r>
      <w:r w:rsidR="00A876EA" w:rsidRPr="003225FD">
        <w:rPr>
          <w:rFonts w:asciiTheme="majorBidi" w:hAnsiTheme="majorBidi"/>
        </w:rPr>
        <w:t xml:space="preserve">alternatives </w:t>
      </w:r>
      <w:r w:rsidR="00E7786C" w:rsidRPr="003225FD">
        <w:rPr>
          <w:rFonts w:asciiTheme="majorBidi" w:hAnsiTheme="majorBidi"/>
        </w:rPr>
        <w:t>studied</w:t>
      </w:r>
      <w:r w:rsidR="00F55BAB" w:rsidRPr="003225FD">
        <w:rPr>
          <w:rFonts w:asciiTheme="majorBidi" w:hAnsiTheme="majorBidi"/>
        </w:rPr>
        <w:t xml:space="preserve"> and </w:t>
      </w:r>
      <w:r w:rsidR="00B16B1D" w:rsidRPr="003225FD">
        <w:rPr>
          <w:rFonts w:asciiTheme="majorBidi" w:hAnsiTheme="majorBidi"/>
        </w:rPr>
        <w:t>“</w:t>
      </w:r>
      <w:r w:rsidR="00F55BAB" w:rsidRPr="003225FD">
        <w:rPr>
          <w:rFonts w:asciiTheme="majorBidi" w:hAnsiTheme="majorBidi"/>
        </w:rPr>
        <w:t>Text Annex 9</w:t>
      </w:r>
      <w:r w:rsidR="00B16B1D" w:rsidRPr="003225FD">
        <w:rPr>
          <w:rFonts w:asciiTheme="majorBidi" w:hAnsiTheme="majorBidi"/>
        </w:rPr>
        <w:t>”</w:t>
      </w:r>
      <w:r w:rsidR="00F55BAB" w:rsidRPr="003225FD">
        <w:rPr>
          <w:rFonts w:asciiTheme="majorBidi" w:hAnsiTheme="majorBidi"/>
        </w:rPr>
        <w:t xml:space="preserve"> of the EIA report compares the </w:t>
      </w:r>
      <w:r w:rsidR="00945165" w:rsidRPr="003225FD">
        <w:rPr>
          <w:rFonts w:asciiTheme="majorBidi" w:hAnsiTheme="majorBidi"/>
        </w:rPr>
        <w:t xml:space="preserve">underground and </w:t>
      </w:r>
      <w:r w:rsidR="00B16B1D" w:rsidRPr="003225FD">
        <w:rPr>
          <w:rFonts w:asciiTheme="majorBidi" w:hAnsiTheme="majorBidi"/>
        </w:rPr>
        <w:t>overhead</w:t>
      </w:r>
      <w:r w:rsidR="00945165" w:rsidRPr="003225FD">
        <w:rPr>
          <w:rFonts w:asciiTheme="majorBidi" w:hAnsiTheme="majorBidi"/>
        </w:rPr>
        <w:t xml:space="preserve"> alternatives.</w:t>
      </w:r>
      <w:r w:rsidR="00945165" w:rsidRPr="00001B0D">
        <w:rPr>
          <w:rStyle w:val="FootnoteReference"/>
        </w:rPr>
        <w:footnoteReference w:id="110"/>
      </w:r>
      <w:r w:rsidR="00945165" w:rsidRPr="00001B0D">
        <w:rPr>
          <w:rFonts w:asciiTheme="majorBidi" w:hAnsiTheme="majorBidi"/>
        </w:rPr>
        <w:t xml:space="preserve"> </w:t>
      </w:r>
      <w:r w:rsidR="001C261F" w:rsidRPr="003225FD">
        <w:rPr>
          <w:rFonts w:asciiTheme="majorBidi" w:hAnsiTheme="majorBidi"/>
        </w:rPr>
        <w:t>Regarding</w:t>
      </w:r>
      <w:r w:rsidR="00D815C7" w:rsidRPr="003225FD">
        <w:rPr>
          <w:rFonts w:asciiTheme="majorBidi" w:hAnsiTheme="majorBidi"/>
        </w:rPr>
        <w:t xml:space="preserve"> a description of the possible effects of the proposed effect on the environment, the Committee notes that the EIA report </w:t>
      </w:r>
      <w:r w:rsidR="00B16B1D" w:rsidRPr="003225FD">
        <w:rPr>
          <w:rFonts w:asciiTheme="majorBidi" w:hAnsiTheme="majorBidi"/>
        </w:rPr>
        <w:t xml:space="preserve">likewise </w:t>
      </w:r>
      <w:r w:rsidR="00D815C7" w:rsidRPr="003225FD">
        <w:rPr>
          <w:rFonts w:asciiTheme="majorBidi" w:hAnsiTheme="majorBidi"/>
        </w:rPr>
        <w:t xml:space="preserve">contains </w:t>
      </w:r>
      <w:r w:rsidR="00677A63" w:rsidRPr="003225FD">
        <w:rPr>
          <w:rFonts w:asciiTheme="majorBidi" w:hAnsiTheme="majorBidi"/>
        </w:rPr>
        <w:t>sections</w:t>
      </w:r>
      <w:r w:rsidR="00D815C7" w:rsidRPr="003225FD">
        <w:rPr>
          <w:rFonts w:asciiTheme="majorBidi" w:hAnsiTheme="majorBidi"/>
        </w:rPr>
        <w:t xml:space="preserve"> on the impact on flora and fauna and landscape.</w:t>
      </w:r>
      <w:r w:rsidR="00D815C7" w:rsidRPr="00001B0D">
        <w:rPr>
          <w:rStyle w:val="FootnoteReference"/>
          <w:rFonts w:asciiTheme="majorBidi" w:hAnsiTheme="majorBidi"/>
          <w:sz w:val="20"/>
        </w:rPr>
        <w:footnoteReference w:id="111"/>
      </w:r>
      <w:r w:rsidR="00D815C7" w:rsidRPr="00001B0D">
        <w:rPr>
          <w:rFonts w:asciiTheme="majorBidi" w:hAnsiTheme="majorBidi"/>
        </w:rPr>
        <w:t xml:space="preserve"> </w:t>
      </w:r>
    </w:p>
    <w:p w14:paraId="15200327" w14:textId="58FD2802" w:rsidR="00087E93" w:rsidRPr="003225FD" w:rsidRDefault="006D2932" w:rsidP="00087E93">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t xml:space="preserve">As the Committee </w:t>
      </w:r>
      <w:r w:rsidR="004908A4" w:rsidRPr="003225FD">
        <w:rPr>
          <w:rFonts w:asciiTheme="majorBidi" w:hAnsiTheme="majorBidi"/>
        </w:rPr>
        <w:t>has previously made clear</w:t>
      </w:r>
      <w:r w:rsidRPr="003225FD">
        <w:rPr>
          <w:rFonts w:asciiTheme="majorBidi" w:hAnsiTheme="majorBidi"/>
        </w:rPr>
        <w:t xml:space="preserve">, </w:t>
      </w:r>
      <w:r w:rsidR="004908A4" w:rsidRPr="003225FD">
        <w:rPr>
          <w:rFonts w:asciiTheme="majorBidi" w:hAnsiTheme="majorBidi"/>
        </w:rPr>
        <w:t xml:space="preserve">it is not </w:t>
      </w:r>
      <w:r w:rsidRPr="003225FD">
        <w:rPr>
          <w:rFonts w:asciiTheme="majorBidi" w:hAnsiTheme="majorBidi"/>
        </w:rPr>
        <w:t>in a position to analyse the accuracy of the dat</w:t>
      </w:r>
      <w:r w:rsidR="004908A4" w:rsidRPr="003225FD">
        <w:rPr>
          <w:rFonts w:asciiTheme="majorBidi" w:hAnsiTheme="majorBidi"/>
        </w:rPr>
        <w:t>a</w:t>
      </w:r>
      <w:r w:rsidRPr="003225FD">
        <w:rPr>
          <w:rFonts w:asciiTheme="majorBidi" w:hAnsiTheme="majorBidi"/>
        </w:rPr>
        <w:t xml:space="preserve"> which form the basis for the decision in question.</w:t>
      </w:r>
      <w:r w:rsidRPr="00001B0D">
        <w:rPr>
          <w:rStyle w:val="FootnoteReference"/>
          <w:rFonts w:asciiTheme="majorBidi" w:hAnsiTheme="majorBidi"/>
          <w:sz w:val="20"/>
        </w:rPr>
        <w:footnoteReference w:id="112"/>
      </w:r>
      <w:r w:rsidRPr="00001B0D">
        <w:rPr>
          <w:rFonts w:asciiTheme="majorBidi" w:hAnsiTheme="majorBidi"/>
        </w:rPr>
        <w:t xml:space="preserve"> </w:t>
      </w:r>
      <w:r w:rsidR="004908A4" w:rsidRPr="00001B0D">
        <w:rPr>
          <w:rFonts w:asciiTheme="majorBidi" w:hAnsiTheme="majorBidi"/>
        </w:rPr>
        <w:t xml:space="preserve">For example, </w:t>
      </w:r>
      <w:r w:rsidR="00087E93" w:rsidRPr="003225FD">
        <w:rPr>
          <w:rFonts w:asciiTheme="majorBidi" w:hAnsiTheme="majorBidi"/>
        </w:rPr>
        <w:t xml:space="preserve">the Convention, while requiring the main alternatives studied by the applicant to be made accessible, does not prescribe what alternatives should be studied. </w:t>
      </w:r>
      <w:r w:rsidR="004908A4" w:rsidRPr="003225FD">
        <w:rPr>
          <w:rFonts w:asciiTheme="majorBidi" w:hAnsiTheme="majorBidi"/>
        </w:rPr>
        <w:t>Rather</w:t>
      </w:r>
      <w:r w:rsidR="00087E93" w:rsidRPr="003225FD">
        <w:rPr>
          <w:rFonts w:asciiTheme="majorBidi" w:hAnsiTheme="majorBidi"/>
        </w:rPr>
        <w:t>, the role of the Committee is to find out if the data that were available for the authorities taking the decision were accessible to the public.</w:t>
      </w:r>
      <w:r w:rsidR="00087E93" w:rsidRPr="00001B0D">
        <w:rPr>
          <w:rFonts w:asciiTheme="majorBidi" w:hAnsiTheme="majorBidi"/>
          <w:vertAlign w:val="superscript"/>
        </w:rPr>
        <w:footnoteReference w:id="113"/>
      </w:r>
      <w:r w:rsidR="00087E93" w:rsidRPr="00001B0D">
        <w:rPr>
          <w:rFonts w:asciiTheme="majorBidi" w:hAnsiTheme="majorBidi"/>
        </w:rPr>
        <w:t xml:space="preserve"> </w:t>
      </w:r>
      <w:r w:rsidR="001C261F" w:rsidRPr="00001B0D">
        <w:rPr>
          <w:rFonts w:asciiTheme="majorBidi" w:hAnsiTheme="majorBidi"/>
        </w:rPr>
        <w:t>The communicant’s claims appear related to the quality of information provided, rather than that relevant information held by the decision-makers was not disclosed.</w:t>
      </w:r>
    </w:p>
    <w:p w14:paraId="607792D7" w14:textId="339663D5" w:rsidR="004A419C" w:rsidRPr="003225FD" w:rsidRDefault="00B16B1D" w:rsidP="00C47315">
      <w:pPr>
        <w:pStyle w:val="SingleTxtG"/>
        <w:numPr>
          <w:ilvl w:val="0"/>
          <w:numId w:val="3"/>
        </w:numPr>
        <w:tabs>
          <w:tab w:val="num" w:pos="1134"/>
        </w:tabs>
        <w:suppressAutoHyphens w:val="0"/>
        <w:autoSpaceDE w:val="0"/>
        <w:autoSpaceDN w:val="0"/>
        <w:adjustRightInd w:val="0"/>
        <w:spacing w:line="240" w:lineRule="auto"/>
        <w:ind w:left="1134" w:firstLine="0"/>
        <w:rPr>
          <w:rFonts w:asciiTheme="majorBidi" w:hAnsiTheme="majorBidi"/>
        </w:rPr>
      </w:pPr>
      <w:r w:rsidRPr="003225FD">
        <w:rPr>
          <w:rFonts w:asciiTheme="majorBidi" w:hAnsiTheme="majorBidi"/>
        </w:rPr>
        <w:lastRenderedPageBreak/>
        <w:t>In the light of the above</w:t>
      </w:r>
      <w:r w:rsidR="003E1913" w:rsidRPr="003225FD">
        <w:rPr>
          <w:rFonts w:asciiTheme="majorBidi" w:hAnsiTheme="majorBidi"/>
        </w:rPr>
        <w:t>, t</w:t>
      </w:r>
      <w:r w:rsidR="00F97818" w:rsidRPr="003225FD">
        <w:rPr>
          <w:rFonts w:asciiTheme="majorBidi" w:hAnsiTheme="majorBidi"/>
        </w:rPr>
        <w:t xml:space="preserve">he Committee </w:t>
      </w:r>
      <w:r w:rsidR="003E1913" w:rsidRPr="003225FD">
        <w:rPr>
          <w:rFonts w:asciiTheme="majorBidi" w:hAnsiTheme="majorBidi"/>
        </w:rPr>
        <w:t xml:space="preserve">considers that the communicant has not substantiated its allegations </w:t>
      </w:r>
      <w:r w:rsidR="002E4103" w:rsidRPr="003225FD">
        <w:rPr>
          <w:rFonts w:asciiTheme="majorBidi" w:hAnsiTheme="majorBidi"/>
        </w:rPr>
        <w:t xml:space="preserve">that </w:t>
      </w:r>
      <w:r w:rsidR="00F97818" w:rsidRPr="003225FD">
        <w:rPr>
          <w:rFonts w:asciiTheme="majorBidi" w:hAnsiTheme="majorBidi"/>
        </w:rPr>
        <w:t xml:space="preserve">the Party concerned </w:t>
      </w:r>
      <w:r w:rsidR="002E4103" w:rsidRPr="003225FD">
        <w:rPr>
          <w:rFonts w:asciiTheme="majorBidi" w:hAnsiTheme="majorBidi"/>
        </w:rPr>
        <w:t xml:space="preserve">failed to comply </w:t>
      </w:r>
      <w:r w:rsidR="00F97818" w:rsidRPr="003225FD">
        <w:rPr>
          <w:rFonts w:asciiTheme="majorBidi" w:hAnsiTheme="majorBidi"/>
        </w:rPr>
        <w:t>with article 6</w:t>
      </w:r>
      <w:r w:rsidR="002155D8" w:rsidRPr="003225FD">
        <w:rPr>
          <w:rFonts w:asciiTheme="majorBidi" w:hAnsiTheme="majorBidi"/>
        </w:rPr>
        <w:t>(</w:t>
      </w:r>
      <w:r w:rsidR="00F97818" w:rsidRPr="003225FD">
        <w:rPr>
          <w:rFonts w:asciiTheme="majorBidi" w:hAnsiTheme="majorBidi"/>
        </w:rPr>
        <w:t>6</w:t>
      </w:r>
      <w:r w:rsidR="002155D8" w:rsidRPr="003225FD">
        <w:rPr>
          <w:rFonts w:asciiTheme="majorBidi" w:hAnsiTheme="majorBidi"/>
        </w:rPr>
        <w:t>)</w:t>
      </w:r>
      <w:r w:rsidR="002E4103" w:rsidRPr="003225FD">
        <w:rPr>
          <w:rFonts w:asciiTheme="majorBidi" w:hAnsiTheme="majorBidi"/>
        </w:rPr>
        <w:t xml:space="preserve"> </w:t>
      </w:r>
      <w:r w:rsidR="001C261F" w:rsidRPr="003225FD">
        <w:rPr>
          <w:rFonts w:asciiTheme="majorBidi" w:hAnsiTheme="majorBidi" w:cstheme="majorBidi"/>
        </w:rPr>
        <w:t>regarding</w:t>
      </w:r>
      <w:r w:rsidR="002E4103" w:rsidRPr="003225FD">
        <w:rPr>
          <w:rFonts w:asciiTheme="majorBidi" w:hAnsiTheme="majorBidi"/>
        </w:rPr>
        <w:t xml:space="preserve"> the information provided to the public during the EIA procedure</w:t>
      </w:r>
      <w:r w:rsidR="00F97818" w:rsidRPr="003225FD">
        <w:rPr>
          <w:rFonts w:asciiTheme="majorBidi" w:hAnsiTheme="majorBidi"/>
        </w:rPr>
        <w:t>.</w:t>
      </w:r>
      <w:r w:rsidR="004A419C" w:rsidRPr="003225FD">
        <w:rPr>
          <w:rFonts w:asciiTheme="majorBidi" w:hAnsiTheme="majorBidi"/>
        </w:rPr>
        <w:t xml:space="preserve"> </w:t>
      </w:r>
    </w:p>
    <w:p w14:paraId="2303F06B" w14:textId="3DDF3536" w:rsidR="00C04005" w:rsidRPr="003225FD" w:rsidRDefault="00C04005" w:rsidP="0096793D">
      <w:pPr>
        <w:pStyle w:val="SingleTxtG"/>
        <w:rPr>
          <w:rFonts w:asciiTheme="majorBidi" w:hAnsiTheme="majorBidi"/>
          <w:b/>
        </w:rPr>
      </w:pPr>
      <w:r w:rsidRPr="003225FD">
        <w:rPr>
          <w:rFonts w:asciiTheme="majorBidi" w:hAnsiTheme="majorBidi"/>
          <w:b/>
        </w:rPr>
        <w:t>Article 6(7)</w:t>
      </w:r>
    </w:p>
    <w:p w14:paraId="172578A8" w14:textId="569FF0F8" w:rsidR="001C538B" w:rsidRPr="003225FD" w:rsidRDefault="001C538B" w:rsidP="00B06E40">
      <w:pPr>
        <w:pStyle w:val="SingleTxtG"/>
        <w:tabs>
          <w:tab w:val="num" w:pos="1134"/>
        </w:tabs>
        <w:rPr>
          <w:rFonts w:asciiTheme="majorBidi" w:hAnsiTheme="majorBidi"/>
          <w:i/>
        </w:rPr>
      </w:pPr>
      <w:r w:rsidRPr="003225FD">
        <w:rPr>
          <w:rFonts w:asciiTheme="majorBidi" w:hAnsiTheme="majorBidi"/>
          <w:i/>
        </w:rPr>
        <w:t xml:space="preserve">Requirement that comments </w:t>
      </w:r>
      <w:r w:rsidR="00AB032F" w:rsidRPr="003225FD">
        <w:rPr>
          <w:rFonts w:asciiTheme="majorBidi" w:hAnsiTheme="majorBidi"/>
          <w:i/>
        </w:rPr>
        <w:t xml:space="preserve">on the EIA report </w:t>
      </w:r>
      <w:r w:rsidRPr="003225FD">
        <w:rPr>
          <w:rFonts w:asciiTheme="majorBidi" w:hAnsiTheme="majorBidi"/>
          <w:i/>
        </w:rPr>
        <w:t>be reasoned</w:t>
      </w:r>
    </w:p>
    <w:p w14:paraId="01EFD1CD" w14:textId="01748D82" w:rsidR="006D6ED2" w:rsidRPr="003225FD" w:rsidRDefault="000B7169" w:rsidP="00761282">
      <w:pPr>
        <w:numPr>
          <w:ilvl w:val="0"/>
          <w:numId w:val="3"/>
        </w:numPr>
        <w:tabs>
          <w:tab w:val="num" w:pos="1134"/>
        </w:tabs>
        <w:spacing w:after="120"/>
        <w:ind w:left="1138" w:right="1138" w:firstLine="0"/>
        <w:jc w:val="both"/>
        <w:rPr>
          <w:rFonts w:asciiTheme="majorBidi" w:hAnsiTheme="majorBidi"/>
          <w:sz w:val="20"/>
        </w:rPr>
      </w:pPr>
      <w:bookmarkStart w:id="63" w:name="_Hlk9879866"/>
      <w:bookmarkStart w:id="64" w:name="_Ref8646468"/>
      <w:bookmarkStart w:id="65" w:name="_Hlk8837292"/>
      <w:r w:rsidRPr="003225FD">
        <w:rPr>
          <w:rFonts w:asciiTheme="majorBidi" w:hAnsiTheme="majorBidi"/>
          <w:sz w:val="20"/>
        </w:rPr>
        <w:t xml:space="preserve">In its findings on </w:t>
      </w:r>
      <w:r w:rsidRPr="003225FD">
        <w:rPr>
          <w:rFonts w:asciiTheme="majorBidi" w:hAnsiTheme="majorBidi" w:cstheme="majorBidi"/>
          <w:sz w:val="20"/>
          <w:szCs w:val="20"/>
        </w:rPr>
        <w:t xml:space="preserve">communication </w:t>
      </w:r>
      <w:r w:rsidRPr="003225FD">
        <w:rPr>
          <w:rFonts w:asciiTheme="majorBidi" w:hAnsiTheme="majorBidi"/>
          <w:sz w:val="20"/>
        </w:rPr>
        <w:t>ACCC/C/2006/16 (Lithuania),</w:t>
      </w:r>
      <w:r w:rsidRPr="00001B0D">
        <w:rPr>
          <w:rFonts w:asciiTheme="majorBidi" w:hAnsiTheme="majorBidi"/>
          <w:sz w:val="18"/>
          <w:vertAlign w:val="superscript"/>
        </w:rPr>
        <w:footnoteReference w:id="114"/>
      </w:r>
      <w:r w:rsidRPr="00001B0D">
        <w:rPr>
          <w:rFonts w:asciiTheme="majorBidi" w:hAnsiTheme="majorBidi"/>
          <w:sz w:val="20"/>
        </w:rPr>
        <w:t xml:space="preserve"> the Committee </w:t>
      </w:r>
      <w:r w:rsidRPr="003225FD">
        <w:rPr>
          <w:rFonts w:asciiTheme="majorBidi" w:hAnsiTheme="majorBidi"/>
          <w:sz w:val="20"/>
        </w:rPr>
        <w:t xml:space="preserve">found that the EIA Law in force at the time of the OHL decision in the present case failed to comply with the Convention </w:t>
      </w:r>
      <w:r w:rsidR="00EF3590" w:rsidRPr="003225FD">
        <w:rPr>
          <w:rFonts w:asciiTheme="majorBidi" w:hAnsiTheme="majorBidi"/>
          <w:sz w:val="20"/>
        </w:rPr>
        <w:t>since it required</w:t>
      </w:r>
      <w:r w:rsidRPr="003225FD">
        <w:rPr>
          <w:rFonts w:asciiTheme="majorBidi" w:hAnsiTheme="majorBidi"/>
          <w:sz w:val="20"/>
        </w:rPr>
        <w:t xml:space="preserve"> that comments on the EIA report be reasoned. </w:t>
      </w:r>
      <w:r w:rsidR="006D6ED2" w:rsidRPr="003225FD">
        <w:rPr>
          <w:rFonts w:asciiTheme="majorBidi" w:hAnsiTheme="majorBidi"/>
          <w:sz w:val="20"/>
        </w:rPr>
        <w:t>In the present case, h</w:t>
      </w:r>
      <w:r w:rsidR="00C814CE" w:rsidRPr="003225FD">
        <w:rPr>
          <w:rFonts w:asciiTheme="majorBidi" w:hAnsiTheme="majorBidi"/>
          <w:sz w:val="20"/>
        </w:rPr>
        <w:t xml:space="preserve">owever, </w:t>
      </w:r>
      <w:r w:rsidR="00F04D6B" w:rsidRPr="003225FD">
        <w:rPr>
          <w:rFonts w:asciiTheme="majorBidi" w:hAnsiTheme="majorBidi"/>
          <w:sz w:val="20"/>
        </w:rPr>
        <w:t xml:space="preserve">according to </w:t>
      </w:r>
      <w:r w:rsidR="00C814CE" w:rsidRPr="003225FD">
        <w:rPr>
          <w:rFonts w:asciiTheme="majorBidi" w:hAnsiTheme="majorBidi"/>
          <w:sz w:val="20"/>
        </w:rPr>
        <w:t>the Party concerned</w:t>
      </w:r>
      <w:r w:rsidR="00EF3590" w:rsidRPr="003225FD">
        <w:rPr>
          <w:rFonts w:asciiTheme="majorBidi" w:hAnsiTheme="majorBidi"/>
          <w:sz w:val="20"/>
        </w:rPr>
        <w:t>,</w:t>
      </w:r>
      <w:r w:rsidR="00C814CE" w:rsidRPr="003225FD">
        <w:rPr>
          <w:rFonts w:asciiTheme="majorBidi" w:hAnsiTheme="majorBidi"/>
          <w:sz w:val="20"/>
        </w:rPr>
        <w:t xml:space="preserve"> no</w:t>
      </w:r>
      <w:r w:rsidR="006D6ED2" w:rsidRPr="003225FD">
        <w:rPr>
          <w:rFonts w:asciiTheme="majorBidi" w:hAnsiTheme="majorBidi"/>
          <w:sz w:val="20"/>
        </w:rPr>
        <w:t>ne of the</w:t>
      </w:r>
      <w:r w:rsidR="00C814CE" w:rsidRPr="003225FD">
        <w:rPr>
          <w:rFonts w:asciiTheme="majorBidi" w:hAnsiTheme="majorBidi"/>
          <w:sz w:val="20"/>
        </w:rPr>
        <w:t xml:space="preserve"> </w:t>
      </w:r>
      <w:r w:rsidR="006D6ED2" w:rsidRPr="003225FD">
        <w:rPr>
          <w:rFonts w:asciiTheme="majorBidi" w:hAnsiTheme="majorBidi"/>
          <w:sz w:val="20"/>
        </w:rPr>
        <w:t xml:space="preserve">public’s </w:t>
      </w:r>
      <w:r w:rsidR="00C814CE" w:rsidRPr="003225FD">
        <w:rPr>
          <w:rFonts w:asciiTheme="majorBidi" w:hAnsiTheme="majorBidi"/>
          <w:sz w:val="20"/>
        </w:rPr>
        <w:t>comments were refused on this basis</w:t>
      </w:r>
      <w:r w:rsidR="00473E8B" w:rsidRPr="003225FD">
        <w:rPr>
          <w:rFonts w:asciiTheme="majorBidi" w:hAnsiTheme="majorBidi" w:cstheme="majorBidi"/>
          <w:sz w:val="20"/>
          <w:szCs w:val="20"/>
        </w:rPr>
        <w:t xml:space="preserve"> </w:t>
      </w:r>
      <w:r w:rsidR="009A0EBE" w:rsidRPr="003225FD">
        <w:rPr>
          <w:rFonts w:asciiTheme="majorBidi" w:hAnsiTheme="majorBidi"/>
          <w:sz w:val="20"/>
        </w:rPr>
        <w:t>and the communicant has not provided evidence to show otherwise</w:t>
      </w:r>
      <w:r w:rsidR="009A0EBE" w:rsidRPr="003225FD">
        <w:rPr>
          <w:rFonts w:asciiTheme="majorBidi" w:hAnsiTheme="majorBidi" w:cstheme="majorBidi"/>
          <w:sz w:val="20"/>
          <w:szCs w:val="20"/>
        </w:rPr>
        <w:t>.</w:t>
      </w:r>
      <w:r w:rsidR="009A0EBE" w:rsidRPr="003225FD">
        <w:rPr>
          <w:rFonts w:asciiTheme="majorBidi" w:hAnsiTheme="majorBidi"/>
          <w:sz w:val="20"/>
        </w:rPr>
        <w:t xml:space="preserve"> </w:t>
      </w:r>
      <w:bookmarkEnd w:id="63"/>
      <w:bookmarkEnd w:id="64"/>
    </w:p>
    <w:p w14:paraId="7DD4D8AE" w14:textId="20834E7B" w:rsidR="00BE523C" w:rsidRPr="003225FD" w:rsidRDefault="000B7169" w:rsidP="00761282">
      <w:pPr>
        <w:numPr>
          <w:ilvl w:val="0"/>
          <w:numId w:val="3"/>
        </w:numPr>
        <w:tabs>
          <w:tab w:val="num" w:pos="1134"/>
        </w:tabs>
        <w:spacing w:after="120"/>
        <w:ind w:left="1138" w:right="1138" w:firstLine="0"/>
        <w:jc w:val="both"/>
        <w:rPr>
          <w:rFonts w:asciiTheme="majorBidi" w:hAnsiTheme="majorBidi"/>
          <w:sz w:val="20"/>
        </w:rPr>
      </w:pPr>
      <w:bookmarkStart w:id="66" w:name="_Hlk8837311"/>
      <w:bookmarkEnd w:id="65"/>
      <w:r w:rsidRPr="003225FD">
        <w:rPr>
          <w:rFonts w:asciiTheme="majorBidi" w:hAnsiTheme="majorBidi"/>
          <w:sz w:val="20"/>
        </w:rPr>
        <w:t xml:space="preserve">The Party concerned states </w:t>
      </w:r>
      <w:r w:rsidR="00F04D6B" w:rsidRPr="003225FD">
        <w:rPr>
          <w:rFonts w:asciiTheme="majorBidi" w:hAnsiTheme="majorBidi"/>
          <w:sz w:val="20"/>
        </w:rPr>
        <w:t xml:space="preserve">that </w:t>
      </w:r>
      <w:r w:rsidRPr="003225FD">
        <w:rPr>
          <w:rFonts w:asciiTheme="majorBidi" w:hAnsiTheme="majorBidi"/>
          <w:sz w:val="20"/>
        </w:rPr>
        <w:t xml:space="preserve">its legislation has since been changed to remove this requirement. Having reviewed the Public Participation Order as </w:t>
      </w:r>
      <w:r w:rsidR="008F3979" w:rsidRPr="003225FD">
        <w:rPr>
          <w:rFonts w:asciiTheme="majorBidi" w:hAnsiTheme="majorBidi"/>
          <w:sz w:val="20"/>
        </w:rPr>
        <w:t>currently in force</w:t>
      </w:r>
      <w:r w:rsidRPr="003225FD">
        <w:rPr>
          <w:rFonts w:asciiTheme="majorBidi" w:hAnsiTheme="majorBidi"/>
          <w:sz w:val="20"/>
        </w:rPr>
        <w:t xml:space="preserve">, the Committee can see no requirement in either instrument that comments on the EIA report be reasoned. </w:t>
      </w:r>
      <w:r w:rsidR="0004136D" w:rsidRPr="003225FD">
        <w:rPr>
          <w:rFonts w:asciiTheme="majorBidi" w:hAnsiTheme="majorBidi"/>
          <w:sz w:val="20"/>
        </w:rPr>
        <w:t xml:space="preserve">While items 11.3 and 16 </w:t>
      </w:r>
      <w:r w:rsidR="007506C0" w:rsidRPr="003225FD">
        <w:rPr>
          <w:rFonts w:asciiTheme="majorBidi" w:hAnsiTheme="majorBidi"/>
          <w:sz w:val="20"/>
        </w:rPr>
        <w:t xml:space="preserve">of the </w:t>
      </w:r>
      <w:r w:rsidR="002D6D60" w:rsidRPr="003225FD">
        <w:rPr>
          <w:rFonts w:asciiTheme="majorBidi" w:hAnsiTheme="majorBidi"/>
          <w:sz w:val="20"/>
        </w:rPr>
        <w:t>Public Participation Order</w:t>
      </w:r>
      <w:r w:rsidR="007506C0" w:rsidRPr="003225FD">
        <w:rPr>
          <w:rFonts w:asciiTheme="majorBidi" w:hAnsiTheme="majorBidi"/>
          <w:sz w:val="20"/>
        </w:rPr>
        <w:t xml:space="preserve"> </w:t>
      </w:r>
      <w:r w:rsidR="0004136D" w:rsidRPr="003225FD">
        <w:rPr>
          <w:rFonts w:asciiTheme="majorBidi" w:hAnsiTheme="majorBidi"/>
          <w:sz w:val="20"/>
        </w:rPr>
        <w:t>require</w:t>
      </w:r>
      <w:r w:rsidR="007506C0" w:rsidRPr="003225FD">
        <w:rPr>
          <w:rFonts w:asciiTheme="majorBidi" w:hAnsiTheme="majorBidi"/>
          <w:sz w:val="20"/>
        </w:rPr>
        <w:t>, respectively,</w:t>
      </w:r>
      <w:r w:rsidR="0004136D" w:rsidRPr="003225FD">
        <w:rPr>
          <w:rFonts w:asciiTheme="majorBidi" w:hAnsiTheme="majorBidi"/>
          <w:sz w:val="20"/>
        </w:rPr>
        <w:t xml:space="preserve"> that proposals for reconsidering a screening conclusion </w:t>
      </w:r>
      <w:r w:rsidR="007506C0" w:rsidRPr="003225FD">
        <w:rPr>
          <w:rFonts w:asciiTheme="majorBidi" w:hAnsiTheme="majorBidi"/>
          <w:sz w:val="20"/>
        </w:rPr>
        <w:t xml:space="preserve">and proposals regarding the EIA programme each be accompanied by “the information and circumstances” substantiating the proposal, there is no such requirement for the public’s proposals regarding the EIA report. </w:t>
      </w:r>
      <w:bookmarkEnd w:id="66"/>
      <w:r w:rsidR="006F3667" w:rsidRPr="003225FD">
        <w:rPr>
          <w:rFonts w:asciiTheme="majorBidi" w:hAnsiTheme="majorBidi"/>
          <w:sz w:val="20"/>
        </w:rPr>
        <w:t>T</w:t>
      </w:r>
      <w:r w:rsidR="005C1055" w:rsidRPr="003225FD">
        <w:rPr>
          <w:rFonts w:asciiTheme="majorBidi" w:hAnsiTheme="majorBidi"/>
          <w:sz w:val="20"/>
        </w:rPr>
        <w:t>he Committee accordingly finds that the communicant’s allegation</w:t>
      </w:r>
      <w:r w:rsidR="007506C0" w:rsidRPr="003225FD">
        <w:rPr>
          <w:rFonts w:asciiTheme="majorBidi" w:hAnsiTheme="majorBidi"/>
          <w:sz w:val="20"/>
        </w:rPr>
        <w:t xml:space="preserve"> that </w:t>
      </w:r>
      <w:r w:rsidR="006D6ED2" w:rsidRPr="003225FD">
        <w:rPr>
          <w:rFonts w:asciiTheme="majorBidi" w:hAnsiTheme="majorBidi"/>
          <w:sz w:val="20"/>
        </w:rPr>
        <w:t xml:space="preserve">the law of the Party concerned </w:t>
      </w:r>
      <w:r w:rsidR="009A0EBE" w:rsidRPr="003225FD">
        <w:rPr>
          <w:rFonts w:asciiTheme="majorBidi" w:hAnsiTheme="majorBidi"/>
          <w:sz w:val="20"/>
        </w:rPr>
        <w:t xml:space="preserve">currently in force </w:t>
      </w:r>
      <w:r w:rsidR="006D6ED2" w:rsidRPr="003225FD">
        <w:rPr>
          <w:rFonts w:asciiTheme="majorBidi" w:hAnsiTheme="majorBidi"/>
          <w:sz w:val="20"/>
        </w:rPr>
        <w:t xml:space="preserve">requires </w:t>
      </w:r>
      <w:r w:rsidR="007506C0" w:rsidRPr="003225FD">
        <w:rPr>
          <w:rFonts w:asciiTheme="majorBidi" w:hAnsiTheme="majorBidi"/>
          <w:sz w:val="20"/>
        </w:rPr>
        <w:t xml:space="preserve">comments on the EIA report </w:t>
      </w:r>
      <w:r w:rsidR="006D6ED2" w:rsidRPr="003225FD">
        <w:rPr>
          <w:rFonts w:asciiTheme="majorBidi" w:hAnsiTheme="majorBidi"/>
          <w:sz w:val="20"/>
        </w:rPr>
        <w:t xml:space="preserve">to </w:t>
      </w:r>
      <w:r w:rsidR="007506C0" w:rsidRPr="003225FD">
        <w:rPr>
          <w:rFonts w:asciiTheme="majorBidi" w:hAnsiTheme="majorBidi"/>
          <w:sz w:val="20"/>
        </w:rPr>
        <w:t>be reasoned is</w:t>
      </w:r>
      <w:r w:rsidR="005C1055" w:rsidRPr="003225FD">
        <w:rPr>
          <w:rFonts w:asciiTheme="majorBidi" w:hAnsiTheme="majorBidi"/>
          <w:sz w:val="20"/>
        </w:rPr>
        <w:t xml:space="preserve"> </w:t>
      </w:r>
      <w:r w:rsidR="00BC0237" w:rsidRPr="003225FD">
        <w:rPr>
          <w:rFonts w:asciiTheme="majorBidi" w:hAnsiTheme="majorBidi"/>
          <w:sz w:val="20"/>
        </w:rPr>
        <w:t>un</w:t>
      </w:r>
      <w:r w:rsidR="005C1055" w:rsidRPr="003225FD">
        <w:rPr>
          <w:rFonts w:asciiTheme="majorBidi" w:hAnsiTheme="majorBidi"/>
          <w:sz w:val="20"/>
        </w:rPr>
        <w:t>substantiated</w:t>
      </w:r>
      <w:r w:rsidR="00AE5889" w:rsidRPr="003225FD">
        <w:rPr>
          <w:rFonts w:asciiTheme="majorBidi" w:hAnsiTheme="majorBidi"/>
          <w:sz w:val="20"/>
        </w:rPr>
        <w:t>.</w:t>
      </w:r>
      <w:r w:rsidR="005C1055" w:rsidRPr="003225FD">
        <w:rPr>
          <w:rFonts w:asciiTheme="majorBidi" w:hAnsiTheme="majorBidi"/>
          <w:sz w:val="20"/>
        </w:rPr>
        <w:t xml:space="preserve"> </w:t>
      </w:r>
    </w:p>
    <w:p w14:paraId="7A727FE5" w14:textId="2ED852DE" w:rsidR="003B762A" w:rsidRPr="003225FD" w:rsidRDefault="003B762A" w:rsidP="00BE523C">
      <w:pPr>
        <w:spacing w:after="120"/>
        <w:ind w:left="1138" w:right="1138"/>
        <w:jc w:val="both"/>
        <w:rPr>
          <w:rFonts w:asciiTheme="majorBidi" w:hAnsiTheme="majorBidi"/>
          <w:i/>
          <w:sz w:val="20"/>
        </w:rPr>
      </w:pPr>
      <w:r w:rsidRPr="003225FD">
        <w:rPr>
          <w:rFonts w:asciiTheme="majorBidi" w:hAnsiTheme="majorBidi"/>
          <w:i/>
          <w:sz w:val="20"/>
        </w:rPr>
        <w:t>Submitting comments directly to the public authority</w:t>
      </w:r>
    </w:p>
    <w:p w14:paraId="1A491214" w14:textId="1CE0C31E" w:rsidR="00356317" w:rsidRPr="003225FD" w:rsidRDefault="00D54B61" w:rsidP="00A72100">
      <w:pPr>
        <w:numPr>
          <w:ilvl w:val="0"/>
          <w:numId w:val="3"/>
        </w:numPr>
        <w:tabs>
          <w:tab w:val="num" w:pos="1134"/>
        </w:tabs>
        <w:spacing w:after="120"/>
        <w:ind w:left="1138" w:right="1138" w:firstLine="0"/>
        <w:jc w:val="both"/>
        <w:rPr>
          <w:rFonts w:asciiTheme="majorBidi" w:hAnsiTheme="majorBidi"/>
          <w:sz w:val="20"/>
        </w:rPr>
      </w:pPr>
      <w:bookmarkStart w:id="67" w:name="_Ref513824532"/>
      <w:r w:rsidRPr="003225FD">
        <w:rPr>
          <w:rFonts w:asciiTheme="majorBidi" w:hAnsiTheme="majorBidi"/>
          <w:sz w:val="20"/>
        </w:rPr>
        <w:t>Four</w:t>
      </w:r>
      <w:r w:rsidR="009B2E85" w:rsidRPr="003225FD">
        <w:rPr>
          <w:rFonts w:asciiTheme="majorBidi" w:hAnsiTheme="majorBidi"/>
          <w:sz w:val="20"/>
        </w:rPr>
        <w:t xml:space="preserve"> entities were involved in the public participation procedure: </w:t>
      </w:r>
      <w:r w:rsidRPr="003225FD">
        <w:rPr>
          <w:sz w:val="20"/>
          <w:szCs w:val="20"/>
        </w:rPr>
        <w:t xml:space="preserve">AB Lietuvos Energija, </w:t>
      </w:r>
      <w:r w:rsidR="00F92E97" w:rsidRPr="003225FD">
        <w:rPr>
          <w:sz w:val="20"/>
          <w:szCs w:val="20"/>
        </w:rPr>
        <w:t xml:space="preserve">the developer and </w:t>
      </w:r>
      <w:r w:rsidR="00F92E97" w:rsidRPr="003225FD">
        <w:rPr>
          <w:sz w:val="20"/>
        </w:rPr>
        <w:t xml:space="preserve">planning organizer, </w:t>
      </w:r>
      <w:r w:rsidRPr="003225FD">
        <w:rPr>
          <w:sz w:val="20"/>
          <w:szCs w:val="20"/>
        </w:rPr>
        <w:t>whose rights and duties were later taken over by its subsidiary LITGRID AB</w:t>
      </w:r>
      <w:r w:rsidRPr="003225FD">
        <w:rPr>
          <w:rFonts w:asciiTheme="majorBidi" w:hAnsiTheme="majorBidi"/>
          <w:sz w:val="20"/>
          <w:szCs w:val="20"/>
        </w:rPr>
        <w:t>;</w:t>
      </w:r>
      <w:r w:rsidR="006128E4" w:rsidRPr="003225FD">
        <w:rPr>
          <w:rFonts w:asciiTheme="majorBidi" w:hAnsiTheme="majorBidi"/>
          <w:sz w:val="20"/>
          <w:szCs w:val="20"/>
        </w:rPr>
        <w:t xml:space="preserve"> </w:t>
      </w:r>
      <w:r w:rsidR="00791214" w:rsidRPr="003225FD">
        <w:rPr>
          <w:rFonts w:asciiTheme="majorBidi" w:hAnsiTheme="majorBidi"/>
          <w:sz w:val="20"/>
          <w:szCs w:val="20"/>
        </w:rPr>
        <w:t>Litpol Link</w:t>
      </w:r>
      <w:r w:rsidR="00356317" w:rsidRPr="003225FD">
        <w:rPr>
          <w:rFonts w:asciiTheme="majorBidi" w:hAnsiTheme="majorBidi"/>
          <w:sz w:val="20"/>
          <w:szCs w:val="20"/>
        </w:rPr>
        <w:t xml:space="preserve">, </w:t>
      </w:r>
      <w:r w:rsidR="00F92E97" w:rsidRPr="003225FD">
        <w:rPr>
          <w:rFonts w:asciiTheme="majorBidi" w:hAnsiTheme="majorBidi"/>
          <w:sz w:val="20"/>
          <w:szCs w:val="20"/>
        </w:rPr>
        <w:t>the project coordinator</w:t>
      </w:r>
      <w:r w:rsidR="00F92E97" w:rsidRPr="003225FD">
        <w:rPr>
          <w:rFonts w:asciiTheme="majorBidi" w:hAnsiTheme="majorBidi"/>
          <w:sz w:val="20"/>
        </w:rPr>
        <w:t xml:space="preserve">, </w:t>
      </w:r>
      <w:r w:rsidR="00356317" w:rsidRPr="003225FD">
        <w:rPr>
          <w:rFonts w:asciiTheme="majorBidi" w:hAnsiTheme="majorBidi"/>
          <w:sz w:val="20"/>
        </w:rPr>
        <w:t xml:space="preserve">whose shares </w:t>
      </w:r>
      <w:r w:rsidR="006128E4" w:rsidRPr="003225FD">
        <w:rPr>
          <w:rFonts w:asciiTheme="majorBidi" w:hAnsiTheme="majorBidi"/>
          <w:sz w:val="20"/>
        </w:rPr>
        <w:t>were</w:t>
      </w:r>
      <w:r w:rsidR="00356317" w:rsidRPr="003225FD">
        <w:rPr>
          <w:rFonts w:asciiTheme="majorBidi" w:hAnsiTheme="majorBidi"/>
          <w:sz w:val="20"/>
        </w:rPr>
        <w:t xml:space="preserve"> 50% held by AB Lietuvos energija</w:t>
      </w:r>
      <w:r w:rsidR="006E189C" w:rsidRPr="003225FD">
        <w:rPr>
          <w:rFonts w:asciiTheme="majorBidi" w:hAnsiTheme="majorBidi"/>
          <w:sz w:val="20"/>
          <w:szCs w:val="20"/>
        </w:rPr>
        <w:t>;</w:t>
      </w:r>
      <w:r w:rsidR="00356317" w:rsidRPr="003225FD">
        <w:rPr>
          <w:rFonts w:asciiTheme="majorBidi" w:hAnsiTheme="majorBidi"/>
          <w:sz w:val="20"/>
          <w:szCs w:val="20"/>
        </w:rPr>
        <w:t xml:space="preserve"> </w:t>
      </w:r>
      <w:r w:rsidR="006128E4" w:rsidRPr="003225FD">
        <w:rPr>
          <w:rFonts w:asciiTheme="majorBidi" w:hAnsiTheme="majorBidi"/>
          <w:sz w:val="20"/>
          <w:szCs w:val="20"/>
        </w:rPr>
        <w:t xml:space="preserve">and </w:t>
      </w:r>
      <w:r w:rsidR="00791214" w:rsidRPr="003225FD">
        <w:rPr>
          <w:sz w:val="20"/>
          <w:szCs w:val="20"/>
        </w:rPr>
        <w:t xml:space="preserve">UAB Sweco Lietuva, </w:t>
      </w:r>
      <w:r w:rsidR="00D45C7F" w:rsidRPr="003225FD">
        <w:rPr>
          <w:rFonts w:asciiTheme="majorBidi" w:hAnsiTheme="majorBidi"/>
          <w:sz w:val="20"/>
        </w:rPr>
        <w:t>the consultant</w:t>
      </w:r>
      <w:r w:rsidR="003C2622" w:rsidRPr="003225FD">
        <w:rPr>
          <w:rFonts w:asciiTheme="majorBidi" w:hAnsiTheme="majorBidi"/>
          <w:sz w:val="20"/>
        </w:rPr>
        <w:t xml:space="preserve"> hired by </w:t>
      </w:r>
      <w:r w:rsidR="00356317" w:rsidRPr="003225FD">
        <w:rPr>
          <w:rFonts w:asciiTheme="majorBidi" w:hAnsiTheme="majorBidi"/>
          <w:sz w:val="20"/>
        </w:rPr>
        <w:t>AB Lietuvos energija</w:t>
      </w:r>
      <w:r w:rsidR="00EA6ECB" w:rsidRPr="003225FD">
        <w:rPr>
          <w:rFonts w:asciiTheme="majorBidi" w:hAnsiTheme="majorBidi"/>
          <w:sz w:val="20"/>
        </w:rPr>
        <w:t xml:space="preserve"> to </w:t>
      </w:r>
      <w:r w:rsidR="008C1034" w:rsidRPr="003225FD">
        <w:rPr>
          <w:rFonts w:asciiTheme="majorBidi" w:hAnsiTheme="majorBidi"/>
          <w:sz w:val="20"/>
        </w:rPr>
        <w:t>draft</w:t>
      </w:r>
      <w:r w:rsidR="00EA6ECB" w:rsidRPr="003225FD">
        <w:rPr>
          <w:rFonts w:asciiTheme="majorBidi" w:hAnsiTheme="majorBidi"/>
          <w:sz w:val="20"/>
        </w:rPr>
        <w:t xml:space="preserve"> the EIA, the SEA and the special plan</w:t>
      </w:r>
      <w:r w:rsidR="00D45C7F" w:rsidRPr="003225FD">
        <w:rPr>
          <w:rFonts w:asciiTheme="majorBidi" w:hAnsiTheme="majorBidi"/>
          <w:sz w:val="20"/>
        </w:rPr>
        <w:t xml:space="preserve">. </w:t>
      </w:r>
    </w:p>
    <w:p w14:paraId="258504C3" w14:textId="259C17DD" w:rsidR="00801761" w:rsidRPr="003225FD" w:rsidRDefault="0082073F" w:rsidP="0082073F">
      <w:pPr>
        <w:pStyle w:val="SingleTxtG"/>
        <w:numPr>
          <w:ilvl w:val="0"/>
          <w:numId w:val="3"/>
        </w:numPr>
        <w:suppressAutoHyphens w:val="0"/>
        <w:autoSpaceDE w:val="0"/>
        <w:autoSpaceDN w:val="0"/>
        <w:adjustRightInd w:val="0"/>
        <w:spacing w:line="240" w:lineRule="auto"/>
        <w:ind w:left="1100" w:firstLine="0"/>
        <w:rPr>
          <w:rFonts w:asciiTheme="majorBidi" w:hAnsiTheme="majorBidi"/>
        </w:rPr>
      </w:pPr>
      <w:r w:rsidRPr="003225FD">
        <w:rPr>
          <w:rFonts w:asciiTheme="majorBidi" w:hAnsiTheme="majorBidi"/>
        </w:rPr>
        <w:t xml:space="preserve">At the time of the public participation procedure on the EIA report, item 21.4 </w:t>
      </w:r>
      <w:r w:rsidR="00EA6ECB" w:rsidRPr="003225FD">
        <w:rPr>
          <w:rFonts w:asciiTheme="majorBidi" w:hAnsiTheme="majorBidi"/>
        </w:rPr>
        <w:t xml:space="preserve">of the Public Participation Order </w:t>
      </w:r>
      <w:r w:rsidRPr="003225FD">
        <w:rPr>
          <w:rFonts w:asciiTheme="majorBidi" w:hAnsiTheme="majorBidi"/>
        </w:rPr>
        <w:t xml:space="preserve">stipulated that comments </w:t>
      </w:r>
      <w:r w:rsidR="00EA6ECB" w:rsidRPr="003225FD">
        <w:rPr>
          <w:rFonts w:asciiTheme="majorBidi" w:hAnsiTheme="majorBidi"/>
        </w:rPr>
        <w:t>could</w:t>
      </w:r>
      <w:r w:rsidRPr="003225FD">
        <w:rPr>
          <w:rFonts w:asciiTheme="majorBidi" w:hAnsiTheme="majorBidi"/>
        </w:rPr>
        <w:t xml:space="preserve"> be sent to the developer or the</w:t>
      </w:r>
      <w:r w:rsidR="00E4174A" w:rsidRPr="003225FD">
        <w:rPr>
          <w:rFonts w:asciiTheme="majorBidi" w:hAnsiTheme="majorBidi"/>
        </w:rPr>
        <w:t xml:space="preserve"> EIA</w:t>
      </w:r>
      <w:r w:rsidRPr="003225FD">
        <w:rPr>
          <w:rFonts w:asciiTheme="majorBidi" w:hAnsiTheme="majorBidi"/>
        </w:rPr>
        <w:t xml:space="preserve"> drafter, </w:t>
      </w:r>
      <w:r w:rsidRPr="003225FD">
        <w:rPr>
          <w:rFonts w:asciiTheme="majorBidi" w:hAnsiTheme="majorBidi"/>
          <w:lang w:val="en"/>
        </w:rPr>
        <w:t>i.e., the consultant in this case</w:t>
      </w:r>
      <w:r w:rsidRPr="003225FD">
        <w:rPr>
          <w:rFonts w:asciiTheme="majorBidi" w:hAnsiTheme="majorBidi"/>
        </w:rPr>
        <w:t xml:space="preserve">. </w:t>
      </w:r>
      <w:r w:rsidR="0018171F" w:rsidRPr="003225FD">
        <w:rPr>
          <w:rFonts w:asciiTheme="majorBidi" w:hAnsiTheme="majorBidi"/>
        </w:rPr>
        <w:t xml:space="preserve">Since </w:t>
      </w:r>
      <w:r w:rsidR="00661141" w:rsidRPr="003225FD">
        <w:rPr>
          <w:rFonts w:asciiTheme="majorBidi" w:hAnsiTheme="majorBidi"/>
        </w:rPr>
        <w:t xml:space="preserve">an August </w:t>
      </w:r>
      <w:r w:rsidRPr="003225FD">
        <w:rPr>
          <w:rFonts w:asciiTheme="majorBidi" w:hAnsiTheme="majorBidi"/>
        </w:rPr>
        <w:t>2011 amendment, i</w:t>
      </w:r>
      <w:r w:rsidR="004E0FFE" w:rsidRPr="003225FD">
        <w:rPr>
          <w:rFonts w:asciiTheme="majorBidi" w:hAnsiTheme="majorBidi"/>
          <w:lang w:val="en"/>
        </w:rPr>
        <w:t xml:space="preserve">tem 21.4 </w:t>
      </w:r>
      <w:r w:rsidRPr="003225FD">
        <w:rPr>
          <w:rFonts w:asciiTheme="majorBidi" w:hAnsiTheme="majorBidi"/>
          <w:lang w:val="en"/>
        </w:rPr>
        <w:t xml:space="preserve">now provides for </w:t>
      </w:r>
      <w:r w:rsidR="004E0FFE" w:rsidRPr="003225FD">
        <w:rPr>
          <w:rFonts w:asciiTheme="majorBidi" w:hAnsiTheme="majorBidi"/>
          <w:lang w:val="en"/>
        </w:rPr>
        <w:t xml:space="preserve">comments to be sent </w:t>
      </w:r>
      <w:r w:rsidR="00EA6ECB" w:rsidRPr="003225FD">
        <w:rPr>
          <w:rFonts w:asciiTheme="majorBidi" w:hAnsiTheme="majorBidi"/>
          <w:lang w:val="en"/>
        </w:rPr>
        <w:t xml:space="preserve">just </w:t>
      </w:r>
      <w:r w:rsidR="004E0FFE" w:rsidRPr="003225FD">
        <w:rPr>
          <w:rFonts w:asciiTheme="majorBidi" w:hAnsiTheme="majorBidi"/>
          <w:lang w:val="en"/>
        </w:rPr>
        <w:t xml:space="preserve">to the </w:t>
      </w:r>
      <w:r w:rsidR="00EA6ECB" w:rsidRPr="003225FD">
        <w:rPr>
          <w:rFonts w:asciiTheme="majorBidi" w:hAnsiTheme="majorBidi"/>
          <w:lang w:val="en"/>
        </w:rPr>
        <w:t xml:space="preserve">EIA </w:t>
      </w:r>
      <w:r w:rsidR="004E0FFE" w:rsidRPr="003225FD">
        <w:rPr>
          <w:rFonts w:asciiTheme="majorBidi" w:hAnsiTheme="majorBidi"/>
          <w:lang w:val="en"/>
        </w:rPr>
        <w:t>drafter</w:t>
      </w:r>
      <w:r w:rsidR="008B333A" w:rsidRPr="003225FD">
        <w:rPr>
          <w:rFonts w:asciiTheme="majorBidi" w:hAnsiTheme="majorBidi"/>
          <w:lang w:val="en"/>
        </w:rPr>
        <w:t xml:space="preserve"> and a new item 21.5</w:t>
      </w:r>
      <w:r w:rsidR="004E0FFE" w:rsidRPr="003225FD">
        <w:rPr>
          <w:rFonts w:asciiTheme="majorBidi" w:hAnsiTheme="majorBidi"/>
          <w:lang w:val="en"/>
        </w:rPr>
        <w:t xml:space="preserve"> provides that copies may </w:t>
      </w:r>
      <w:r w:rsidR="00BD5D29" w:rsidRPr="003225FD">
        <w:rPr>
          <w:rFonts w:asciiTheme="majorBidi" w:hAnsiTheme="majorBidi"/>
          <w:lang w:val="en"/>
        </w:rPr>
        <w:t xml:space="preserve">additionally </w:t>
      </w:r>
      <w:r w:rsidR="004E0FFE" w:rsidRPr="003225FD">
        <w:rPr>
          <w:rFonts w:asciiTheme="majorBidi" w:hAnsiTheme="majorBidi"/>
          <w:lang w:val="en"/>
        </w:rPr>
        <w:t xml:space="preserve">be submitted to the </w:t>
      </w:r>
      <w:r w:rsidR="006F3667" w:rsidRPr="003225FD">
        <w:rPr>
          <w:rFonts w:asciiTheme="majorBidi" w:hAnsiTheme="majorBidi"/>
          <w:lang w:val="en"/>
        </w:rPr>
        <w:t>statutory consultees</w:t>
      </w:r>
      <w:r w:rsidR="004E0FFE" w:rsidRPr="003225FD">
        <w:rPr>
          <w:rFonts w:asciiTheme="majorBidi" w:hAnsiTheme="majorBidi"/>
          <w:lang w:val="en"/>
        </w:rPr>
        <w:t xml:space="preserve"> and the competent authority.</w:t>
      </w:r>
      <w:r w:rsidR="00801761" w:rsidRPr="003225FD">
        <w:rPr>
          <w:rFonts w:asciiTheme="majorBidi" w:hAnsiTheme="majorBidi"/>
        </w:rPr>
        <w:t xml:space="preserve"> </w:t>
      </w:r>
    </w:p>
    <w:p w14:paraId="585BA54B" w14:textId="704C3F57" w:rsidR="00301D2A" w:rsidRPr="003225FD" w:rsidRDefault="00605A8A" w:rsidP="00AB032F">
      <w:pPr>
        <w:numPr>
          <w:ilvl w:val="0"/>
          <w:numId w:val="3"/>
        </w:numPr>
        <w:tabs>
          <w:tab w:val="num" w:pos="1134"/>
        </w:tabs>
        <w:spacing w:after="120"/>
        <w:ind w:left="1138" w:right="1138" w:firstLine="0"/>
        <w:jc w:val="both"/>
        <w:rPr>
          <w:rFonts w:asciiTheme="majorBidi" w:hAnsiTheme="majorBidi"/>
          <w:sz w:val="20"/>
        </w:rPr>
      </w:pPr>
      <w:bookmarkStart w:id="68" w:name="_Ref514102786"/>
      <w:bookmarkStart w:id="69" w:name="_Ref524648002"/>
      <w:bookmarkEnd w:id="67"/>
      <w:r w:rsidRPr="003225FD">
        <w:rPr>
          <w:rFonts w:asciiTheme="majorBidi" w:hAnsiTheme="majorBidi"/>
          <w:sz w:val="20"/>
        </w:rPr>
        <w:t>I</w:t>
      </w:r>
      <w:r w:rsidR="002A5CB5" w:rsidRPr="003225FD">
        <w:rPr>
          <w:rFonts w:asciiTheme="majorBidi" w:hAnsiTheme="majorBidi"/>
          <w:sz w:val="20"/>
        </w:rPr>
        <w:t>n principle</w:t>
      </w:r>
      <w:r w:rsidR="00DE5D36" w:rsidRPr="003225FD">
        <w:rPr>
          <w:rFonts w:asciiTheme="majorBidi" w:hAnsiTheme="majorBidi"/>
          <w:sz w:val="20"/>
        </w:rPr>
        <w:t>,</w:t>
      </w:r>
      <w:r w:rsidR="002A5CB5" w:rsidRPr="003225FD">
        <w:rPr>
          <w:rFonts w:asciiTheme="majorBidi" w:hAnsiTheme="majorBidi"/>
          <w:sz w:val="20"/>
        </w:rPr>
        <w:t xml:space="preserve"> </w:t>
      </w:r>
      <w:r w:rsidRPr="003225FD">
        <w:rPr>
          <w:rFonts w:asciiTheme="majorBidi" w:hAnsiTheme="majorBidi"/>
          <w:sz w:val="20"/>
        </w:rPr>
        <w:t>delegating</w:t>
      </w:r>
      <w:r w:rsidR="00882F23" w:rsidRPr="003225FD">
        <w:rPr>
          <w:rFonts w:asciiTheme="majorBidi" w:hAnsiTheme="majorBidi"/>
          <w:sz w:val="20"/>
        </w:rPr>
        <w:t xml:space="preserve"> certain tasks</w:t>
      </w:r>
      <w:r w:rsidR="002A5CB5" w:rsidRPr="003225FD">
        <w:rPr>
          <w:rFonts w:asciiTheme="majorBidi" w:hAnsiTheme="majorBidi"/>
          <w:sz w:val="20"/>
        </w:rPr>
        <w:t>,</w:t>
      </w:r>
      <w:r w:rsidR="00882F23" w:rsidRPr="003225FD">
        <w:rPr>
          <w:rFonts w:asciiTheme="majorBidi" w:hAnsiTheme="majorBidi"/>
          <w:sz w:val="20"/>
        </w:rPr>
        <w:t xml:space="preserve"> </w:t>
      </w:r>
      <w:r w:rsidR="002A5CB5" w:rsidRPr="003225FD">
        <w:rPr>
          <w:rFonts w:asciiTheme="majorBidi" w:hAnsiTheme="majorBidi"/>
          <w:sz w:val="20"/>
        </w:rPr>
        <w:t xml:space="preserve">such as receiving </w:t>
      </w:r>
      <w:r w:rsidR="001C3B5D" w:rsidRPr="003225FD">
        <w:rPr>
          <w:rFonts w:asciiTheme="majorBidi" w:hAnsiTheme="majorBidi"/>
          <w:sz w:val="20"/>
        </w:rPr>
        <w:t xml:space="preserve">public </w:t>
      </w:r>
      <w:r w:rsidR="002A5CB5" w:rsidRPr="003225FD">
        <w:rPr>
          <w:rFonts w:asciiTheme="majorBidi" w:hAnsiTheme="majorBidi"/>
          <w:sz w:val="20"/>
        </w:rPr>
        <w:t>comments and organizing public hearings</w:t>
      </w:r>
      <w:r w:rsidR="00DE5D36" w:rsidRPr="003225FD">
        <w:rPr>
          <w:rFonts w:asciiTheme="majorBidi" w:hAnsiTheme="majorBidi"/>
          <w:sz w:val="20"/>
        </w:rPr>
        <w:t>,</w:t>
      </w:r>
      <w:r w:rsidR="002A5CB5" w:rsidRPr="003225FD">
        <w:rPr>
          <w:rFonts w:asciiTheme="majorBidi" w:hAnsiTheme="majorBidi"/>
          <w:sz w:val="20"/>
        </w:rPr>
        <w:t xml:space="preserve"> </w:t>
      </w:r>
      <w:r w:rsidR="00882F23" w:rsidRPr="003225FD">
        <w:rPr>
          <w:rFonts w:asciiTheme="majorBidi" w:hAnsiTheme="majorBidi"/>
          <w:sz w:val="20"/>
        </w:rPr>
        <w:t xml:space="preserve">can be appropriate </w:t>
      </w:r>
      <w:r w:rsidR="002A5CB5" w:rsidRPr="003225FD">
        <w:rPr>
          <w:rFonts w:asciiTheme="majorBidi" w:hAnsiTheme="majorBidi"/>
          <w:sz w:val="20"/>
        </w:rPr>
        <w:t xml:space="preserve">provided </w:t>
      </w:r>
      <w:r w:rsidR="001C3B5D" w:rsidRPr="003225FD">
        <w:rPr>
          <w:rFonts w:asciiTheme="majorBidi" w:hAnsiTheme="majorBidi"/>
          <w:sz w:val="20"/>
        </w:rPr>
        <w:t xml:space="preserve">public authorities </w:t>
      </w:r>
      <w:r w:rsidR="00DE5D36" w:rsidRPr="003225FD">
        <w:rPr>
          <w:rFonts w:asciiTheme="majorBidi" w:hAnsiTheme="majorBidi"/>
          <w:sz w:val="20"/>
        </w:rPr>
        <w:t xml:space="preserve">maintain </w:t>
      </w:r>
      <w:r w:rsidR="00882F23" w:rsidRPr="003225FD">
        <w:rPr>
          <w:rFonts w:asciiTheme="majorBidi" w:hAnsiTheme="majorBidi"/>
          <w:sz w:val="20"/>
        </w:rPr>
        <w:t>sufficient oversight.</w:t>
      </w:r>
      <w:r w:rsidR="005259F1" w:rsidRPr="00001B0D">
        <w:rPr>
          <w:rStyle w:val="FootnoteReference"/>
          <w:rFonts w:asciiTheme="majorBidi" w:hAnsiTheme="majorBidi"/>
          <w:sz w:val="20"/>
        </w:rPr>
        <w:footnoteReference w:id="115"/>
      </w:r>
      <w:r w:rsidR="00882F23" w:rsidRPr="00001B0D">
        <w:rPr>
          <w:rFonts w:asciiTheme="majorBidi" w:hAnsiTheme="majorBidi"/>
          <w:sz w:val="20"/>
        </w:rPr>
        <w:t xml:space="preserve"> </w:t>
      </w:r>
      <w:r w:rsidR="00A1444E" w:rsidRPr="00001B0D">
        <w:rPr>
          <w:rFonts w:asciiTheme="majorBidi" w:hAnsiTheme="majorBidi"/>
          <w:sz w:val="20"/>
        </w:rPr>
        <w:t>I</w:t>
      </w:r>
      <w:r w:rsidR="00882F23" w:rsidRPr="003225FD">
        <w:rPr>
          <w:rFonts w:asciiTheme="majorBidi" w:hAnsiTheme="majorBidi"/>
          <w:sz w:val="20"/>
        </w:rPr>
        <w:t xml:space="preserve">n the present case </w:t>
      </w:r>
      <w:r w:rsidR="00A1444E" w:rsidRPr="003225FD">
        <w:rPr>
          <w:rFonts w:asciiTheme="majorBidi" w:hAnsiTheme="majorBidi"/>
          <w:sz w:val="20"/>
        </w:rPr>
        <w:t>however</w:t>
      </w:r>
      <w:r w:rsidR="002A5CB5" w:rsidRPr="003225FD">
        <w:rPr>
          <w:rFonts w:asciiTheme="majorBidi" w:hAnsiTheme="majorBidi"/>
          <w:sz w:val="20"/>
        </w:rPr>
        <w:t>,</w:t>
      </w:r>
      <w:r w:rsidR="00882F23" w:rsidRPr="003225FD">
        <w:rPr>
          <w:rFonts w:asciiTheme="majorBidi" w:hAnsiTheme="majorBidi"/>
          <w:sz w:val="20"/>
        </w:rPr>
        <w:t xml:space="preserve"> </w:t>
      </w:r>
      <w:r w:rsidR="001C3B5D" w:rsidRPr="003225FD">
        <w:rPr>
          <w:rFonts w:asciiTheme="majorBidi" w:hAnsiTheme="majorBidi"/>
          <w:sz w:val="20"/>
        </w:rPr>
        <w:t xml:space="preserve">the </w:t>
      </w:r>
      <w:r w:rsidR="00F92E97" w:rsidRPr="003225FD">
        <w:rPr>
          <w:rFonts w:asciiTheme="majorBidi" w:hAnsiTheme="majorBidi"/>
          <w:sz w:val="20"/>
        </w:rPr>
        <w:t>developer</w:t>
      </w:r>
      <w:r w:rsidR="005259F1" w:rsidRPr="003225FD">
        <w:rPr>
          <w:rFonts w:asciiTheme="majorBidi" w:hAnsiTheme="majorBidi"/>
          <w:sz w:val="20"/>
        </w:rPr>
        <w:t xml:space="preserve">, which </w:t>
      </w:r>
      <w:r w:rsidR="00E90874" w:rsidRPr="003225FD">
        <w:rPr>
          <w:rFonts w:asciiTheme="majorBidi" w:hAnsiTheme="majorBidi"/>
          <w:sz w:val="20"/>
        </w:rPr>
        <w:t xml:space="preserve">also </w:t>
      </w:r>
      <w:r w:rsidR="005259F1" w:rsidRPr="003225FD">
        <w:rPr>
          <w:rFonts w:asciiTheme="majorBidi" w:hAnsiTheme="majorBidi"/>
          <w:sz w:val="20"/>
        </w:rPr>
        <w:t xml:space="preserve">owns 50% of </w:t>
      </w:r>
      <w:r w:rsidR="00AB032F" w:rsidRPr="003225FD">
        <w:rPr>
          <w:rFonts w:asciiTheme="majorBidi" w:hAnsiTheme="majorBidi"/>
          <w:sz w:val="20"/>
        </w:rPr>
        <w:t>the shares in</w:t>
      </w:r>
      <w:r w:rsidR="00791214" w:rsidRPr="003225FD">
        <w:rPr>
          <w:rFonts w:asciiTheme="majorBidi" w:hAnsiTheme="majorBidi"/>
          <w:sz w:val="20"/>
        </w:rPr>
        <w:t xml:space="preserve"> the </w:t>
      </w:r>
      <w:r w:rsidR="00F92E97" w:rsidRPr="003225FD">
        <w:rPr>
          <w:rFonts w:asciiTheme="majorBidi" w:hAnsiTheme="majorBidi" w:cstheme="majorBidi"/>
          <w:sz w:val="20"/>
          <w:szCs w:val="20"/>
        </w:rPr>
        <w:t>project coordinator</w:t>
      </w:r>
      <w:r w:rsidR="005D0799" w:rsidRPr="003225FD">
        <w:rPr>
          <w:rFonts w:asciiTheme="majorBidi" w:hAnsiTheme="majorBidi"/>
          <w:sz w:val="20"/>
        </w:rPr>
        <w:t xml:space="preserve">, </w:t>
      </w:r>
      <w:r w:rsidR="001C3B5D" w:rsidRPr="003225FD">
        <w:rPr>
          <w:rFonts w:asciiTheme="majorBidi" w:hAnsiTheme="majorBidi"/>
          <w:sz w:val="20"/>
        </w:rPr>
        <w:t xml:space="preserve">directly engaged the EIA </w:t>
      </w:r>
      <w:r w:rsidR="008C1034" w:rsidRPr="003225FD">
        <w:rPr>
          <w:rFonts w:asciiTheme="majorBidi" w:hAnsiTheme="majorBidi"/>
          <w:sz w:val="20"/>
        </w:rPr>
        <w:t>drafter</w:t>
      </w:r>
      <w:r w:rsidR="00DE5D36" w:rsidRPr="003225FD">
        <w:rPr>
          <w:rFonts w:asciiTheme="majorBidi" w:hAnsiTheme="majorBidi"/>
          <w:sz w:val="20"/>
        </w:rPr>
        <w:t xml:space="preserve">. This did </w:t>
      </w:r>
      <w:r w:rsidR="00882F23" w:rsidRPr="003225FD">
        <w:rPr>
          <w:rFonts w:asciiTheme="majorBidi" w:hAnsiTheme="majorBidi"/>
          <w:sz w:val="20"/>
        </w:rPr>
        <w:t xml:space="preserve">not ensure the necessary impartiality and control </w:t>
      </w:r>
      <w:r w:rsidR="00DE5D36" w:rsidRPr="003225FD">
        <w:rPr>
          <w:rFonts w:asciiTheme="majorBidi" w:hAnsiTheme="majorBidi"/>
          <w:sz w:val="20"/>
        </w:rPr>
        <w:t xml:space="preserve">required </w:t>
      </w:r>
      <w:r w:rsidR="00882F23" w:rsidRPr="003225FD">
        <w:rPr>
          <w:rFonts w:asciiTheme="majorBidi" w:hAnsiTheme="majorBidi"/>
          <w:sz w:val="20"/>
        </w:rPr>
        <w:t>by article 6</w:t>
      </w:r>
      <w:r w:rsidR="002155D8" w:rsidRPr="003225FD">
        <w:rPr>
          <w:rFonts w:asciiTheme="majorBidi" w:hAnsiTheme="majorBidi"/>
          <w:sz w:val="20"/>
        </w:rPr>
        <w:t>(</w:t>
      </w:r>
      <w:r w:rsidR="00882F23" w:rsidRPr="003225FD">
        <w:rPr>
          <w:rFonts w:asciiTheme="majorBidi" w:hAnsiTheme="majorBidi"/>
          <w:sz w:val="20"/>
        </w:rPr>
        <w:t>7</w:t>
      </w:r>
      <w:r w:rsidR="002155D8" w:rsidRPr="003225FD">
        <w:rPr>
          <w:rFonts w:asciiTheme="majorBidi" w:hAnsiTheme="majorBidi"/>
          <w:sz w:val="20"/>
        </w:rPr>
        <w:t>)</w:t>
      </w:r>
      <w:r w:rsidR="00882F23" w:rsidRPr="003225FD">
        <w:rPr>
          <w:rFonts w:asciiTheme="majorBidi" w:hAnsiTheme="majorBidi"/>
          <w:sz w:val="20"/>
        </w:rPr>
        <w:t xml:space="preserve"> of the Convention.</w:t>
      </w:r>
      <w:bookmarkEnd w:id="68"/>
      <w:bookmarkEnd w:id="69"/>
    </w:p>
    <w:p w14:paraId="4860AB39" w14:textId="2C6E27A8" w:rsidR="008B333A" w:rsidRPr="003225FD" w:rsidRDefault="008B333A" w:rsidP="0018171F">
      <w:pPr>
        <w:numPr>
          <w:ilvl w:val="0"/>
          <w:numId w:val="3"/>
        </w:numPr>
        <w:tabs>
          <w:tab w:val="num" w:pos="1134"/>
        </w:tabs>
        <w:spacing w:after="120"/>
        <w:ind w:left="1138" w:right="1138" w:firstLine="0"/>
        <w:jc w:val="both"/>
        <w:rPr>
          <w:rFonts w:asciiTheme="majorBidi" w:hAnsiTheme="majorBidi"/>
          <w:sz w:val="20"/>
        </w:rPr>
      </w:pPr>
      <w:r w:rsidRPr="003225FD">
        <w:rPr>
          <w:rFonts w:asciiTheme="majorBidi" w:hAnsiTheme="majorBidi"/>
          <w:sz w:val="20"/>
        </w:rPr>
        <w:t>Under article 9(8) of the EIA Law, members of the public may send comments on possible violations directly to the competent authorities. However, this measure c</w:t>
      </w:r>
      <w:r w:rsidR="008C1034" w:rsidRPr="003225FD">
        <w:rPr>
          <w:rFonts w:asciiTheme="majorBidi" w:hAnsiTheme="majorBidi"/>
          <w:sz w:val="20"/>
        </w:rPr>
        <w:t>ould</w:t>
      </w:r>
      <w:r w:rsidRPr="003225FD">
        <w:rPr>
          <w:rFonts w:asciiTheme="majorBidi" w:hAnsiTheme="majorBidi"/>
          <w:sz w:val="20"/>
        </w:rPr>
        <w:t xml:space="preserve"> only be used </w:t>
      </w:r>
      <w:r w:rsidR="0018171F" w:rsidRPr="003225FD">
        <w:rPr>
          <w:rFonts w:asciiTheme="majorBidi" w:hAnsiTheme="majorBidi"/>
          <w:sz w:val="20"/>
        </w:rPr>
        <w:t>to highlight</w:t>
      </w:r>
      <w:r w:rsidRPr="003225FD">
        <w:rPr>
          <w:rFonts w:asciiTheme="majorBidi" w:hAnsiTheme="majorBidi"/>
          <w:sz w:val="20"/>
        </w:rPr>
        <w:t xml:space="preserve"> irregularities once they have </w:t>
      </w:r>
      <w:r w:rsidR="0018171F" w:rsidRPr="003225FD">
        <w:rPr>
          <w:rFonts w:asciiTheme="majorBidi" w:hAnsiTheme="majorBidi"/>
          <w:sz w:val="20"/>
        </w:rPr>
        <w:t xml:space="preserve">already occurred </w:t>
      </w:r>
      <w:r w:rsidRPr="003225FD">
        <w:rPr>
          <w:rFonts w:asciiTheme="majorBidi" w:hAnsiTheme="majorBidi"/>
          <w:sz w:val="20"/>
        </w:rPr>
        <w:t xml:space="preserve">and cannot compensate for the </w:t>
      </w:r>
      <w:r w:rsidR="002D3E35" w:rsidRPr="003225FD">
        <w:rPr>
          <w:rFonts w:asciiTheme="majorBidi" w:hAnsiTheme="majorBidi"/>
          <w:sz w:val="20"/>
        </w:rPr>
        <w:t>defect</w:t>
      </w:r>
      <w:r w:rsidRPr="003225FD">
        <w:rPr>
          <w:rFonts w:asciiTheme="majorBidi" w:hAnsiTheme="majorBidi"/>
          <w:sz w:val="20"/>
        </w:rPr>
        <w:t xml:space="preserve"> identified above.</w:t>
      </w:r>
    </w:p>
    <w:p w14:paraId="35965F47" w14:textId="18F42848" w:rsidR="008B333A" w:rsidRPr="003225FD" w:rsidRDefault="008B333A" w:rsidP="008B333A">
      <w:pPr>
        <w:numPr>
          <w:ilvl w:val="0"/>
          <w:numId w:val="3"/>
        </w:numPr>
        <w:tabs>
          <w:tab w:val="num" w:pos="1134"/>
        </w:tabs>
        <w:spacing w:after="120"/>
        <w:ind w:left="1138" w:right="1138" w:firstLine="0"/>
        <w:jc w:val="both"/>
        <w:rPr>
          <w:rFonts w:asciiTheme="majorBidi" w:hAnsiTheme="majorBidi"/>
          <w:sz w:val="20"/>
        </w:rPr>
      </w:pPr>
      <w:r w:rsidRPr="003225FD">
        <w:rPr>
          <w:rFonts w:asciiTheme="majorBidi" w:hAnsiTheme="majorBidi"/>
          <w:sz w:val="20"/>
        </w:rPr>
        <w:t xml:space="preserve">The communicant sent comments to various entities besides the developer and the consultant, and these comments were responded to by these entities. However, Lithuania’s legal framework formally designates the </w:t>
      </w:r>
      <w:r w:rsidR="0018171F" w:rsidRPr="003225FD">
        <w:rPr>
          <w:rFonts w:asciiTheme="majorBidi" w:hAnsiTheme="majorBidi"/>
          <w:sz w:val="20"/>
        </w:rPr>
        <w:t xml:space="preserve">EIA </w:t>
      </w:r>
      <w:r w:rsidRPr="003225FD">
        <w:rPr>
          <w:rFonts w:asciiTheme="majorBidi" w:hAnsiTheme="majorBidi"/>
          <w:sz w:val="20"/>
        </w:rPr>
        <w:t xml:space="preserve">drafter as the entity to which comments are to be sent; comments merely may be copied to other entities participating in the EIA procedure. </w:t>
      </w:r>
    </w:p>
    <w:p w14:paraId="2D19B8FE" w14:textId="6377E9D5" w:rsidR="008B2EF2" w:rsidRPr="003225FD" w:rsidRDefault="00BC5C5A" w:rsidP="007A75AF">
      <w:pPr>
        <w:numPr>
          <w:ilvl w:val="0"/>
          <w:numId w:val="3"/>
        </w:numPr>
        <w:tabs>
          <w:tab w:val="num" w:pos="1134"/>
        </w:tabs>
        <w:spacing w:after="120"/>
        <w:ind w:left="1138" w:right="1138" w:firstLine="0"/>
        <w:jc w:val="both"/>
        <w:rPr>
          <w:rFonts w:asciiTheme="majorBidi" w:hAnsiTheme="majorBidi"/>
          <w:sz w:val="20"/>
        </w:rPr>
      </w:pPr>
      <w:r w:rsidRPr="003225FD">
        <w:rPr>
          <w:rFonts w:asciiTheme="majorBidi" w:hAnsiTheme="majorBidi"/>
          <w:sz w:val="20"/>
        </w:rPr>
        <w:t>Based on</w:t>
      </w:r>
      <w:r w:rsidR="008C1034" w:rsidRPr="003225FD">
        <w:rPr>
          <w:rFonts w:asciiTheme="majorBidi" w:hAnsiTheme="majorBidi"/>
          <w:sz w:val="20"/>
        </w:rPr>
        <w:t xml:space="preserve"> the above, t</w:t>
      </w:r>
      <w:bookmarkStart w:id="70" w:name="_Ref513824536"/>
      <w:r w:rsidR="008B2EF2" w:rsidRPr="003225FD">
        <w:rPr>
          <w:rFonts w:asciiTheme="majorBidi" w:hAnsiTheme="majorBidi"/>
          <w:sz w:val="20"/>
        </w:rPr>
        <w:t>he Committee finds that</w:t>
      </w:r>
      <w:r w:rsidR="00BC5DE9" w:rsidRPr="003225FD">
        <w:rPr>
          <w:rFonts w:asciiTheme="majorBidi" w:hAnsiTheme="majorBidi"/>
          <w:sz w:val="20"/>
        </w:rPr>
        <w:t>,</w:t>
      </w:r>
      <w:r w:rsidR="008B2EF2" w:rsidRPr="003225FD">
        <w:rPr>
          <w:rFonts w:asciiTheme="majorBidi" w:hAnsiTheme="majorBidi"/>
          <w:sz w:val="20"/>
        </w:rPr>
        <w:t xml:space="preserve"> </w:t>
      </w:r>
      <w:bookmarkStart w:id="71" w:name="_Hlk10128180"/>
      <w:r w:rsidR="008B2EF2" w:rsidRPr="003225FD">
        <w:rPr>
          <w:rFonts w:asciiTheme="majorBidi" w:hAnsiTheme="majorBidi"/>
          <w:sz w:val="20"/>
        </w:rPr>
        <w:t xml:space="preserve">by establishing a system whereby </w:t>
      </w:r>
      <w:r w:rsidR="00911CD3" w:rsidRPr="003225FD">
        <w:rPr>
          <w:rFonts w:asciiTheme="majorBidi" w:hAnsiTheme="majorBidi"/>
          <w:sz w:val="20"/>
        </w:rPr>
        <w:t>comments</w:t>
      </w:r>
      <w:r w:rsidR="00911CD3" w:rsidRPr="003225FD">
        <w:rPr>
          <w:rFonts w:asciiTheme="majorBidi" w:hAnsiTheme="majorBidi"/>
          <w:sz w:val="20"/>
          <w:szCs w:val="20"/>
        </w:rPr>
        <w:t xml:space="preserve"> submitted by the public</w:t>
      </w:r>
      <w:r w:rsidR="00911CD3" w:rsidRPr="003225FD">
        <w:rPr>
          <w:rFonts w:asciiTheme="majorBidi" w:hAnsiTheme="majorBidi"/>
          <w:sz w:val="20"/>
        </w:rPr>
        <w:t xml:space="preserve"> </w:t>
      </w:r>
      <w:r w:rsidR="00BC5DE9" w:rsidRPr="003225FD">
        <w:rPr>
          <w:rFonts w:asciiTheme="majorBidi" w:hAnsiTheme="majorBidi"/>
          <w:sz w:val="20"/>
        </w:rPr>
        <w:t xml:space="preserve">during </w:t>
      </w:r>
      <w:r w:rsidR="00505B5C" w:rsidRPr="003225FD">
        <w:rPr>
          <w:rFonts w:asciiTheme="majorBidi" w:hAnsiTheme="majorBidi"/>
          <w:sz w:val="20"/>
        </w:rPr>
        <w:t xml:space="preserve">the </w:t>
      </w:r>
      <w:r w:rsidR="008B7619" w:rsidRPr="003225FD">
        <w:rPr>
          <w:rFonts w:asciiTheme="majorBidi" w:hAnsiTheme="majorBidi"/>
          <w:sz w:val="20"/>
        </w:rPr>
        <w:t xml:space="preserve">EIA </w:t>
      </w:r>
      <w:r w:rsidR="00505B5C" w:rsidRPr="003225FD">
        <w:rPr>
          <w:rFonts w:asciiTheme="majorBidi" w:hAnsiTheme="majorBidi"/>
          <w:sz w:val="20"/>
        </w:rPr>
        <w:t>procedure</w:t>
      </w:r>
      <w:r w:rsidR="008B2EF2" w:rsidRPr="003225FD">
        <w:rPr>
          <w:rFonts w:asciiTheme="majorBidi" w:hAnsiTheme="majorBidi"/>
          <w:sz w:val="20"/>
        </w:rPr>
        <w:t xml:space="preserve"> are to be </w:t>
      </w:r>
      <w:r w:rsidR="002D42C0" w:rsidRPr="003225FD">
        <w:rPr>
          <w:rFonts w:asciiTheme="majorBidi" w:hAnsiTheme="majorBidi"/>
          <w:sz w:val="20"/>
        </w:rPr>
        <w:t>in the first instance</w:t>
      </w:r>
      <w:r w:rsidR="00BE046A" w:rsidRPr="003225FD">
        <w:rPr>
          <w:rFonts w:asciiTheme="majorBidi" w:hAnsiTheme="majorBidi"/>
          <w:sz w:val="20"/>
        </w:rPr>
        <w:t xml:space="preserve"> </w:t>
      </w:r>
      <w:r w:rsidR="004E7E5F" w:rsidRPr="003225FD">
        <w:rPr>
          <w:rFonts w:asciiTheme="majorBidi" w:hAnsiTheme="majorBidi"/>
          <w:sz w:val="20"/>
        </w:rPr>
        <w:t xml:space="preserve">submitted </w:t>
      </w:r>
      <w:r w:rsidR="00505B5C" w:rsidRPr="003225FD">
        <w:rPr>
          <w:rFonts w:asciiTheme="majorBidi" w:hAnsiTheme="majorBidi"/>
          <w:sz w:val="20"/>
        </w:rPr>
        <w:t>to</w:t>
      </w:r>
      <w:r w:rsidR="008B2EF2" w:rsidRPr="003225FD">
        <w:rPr>
          <w:rFonts w:asciiTheme="majorBidi" w:hAnsiTheme="majorBidi"/>
          <w:sz w:val="20"/>
        </w:rPr>
        <w:t xml:space="preserve"> </w:t>
      </w:r>
      <w:r w:rsidR="00505B5C" w:rsidRPr="003225FD">
        <w:rPr>
          <w:rFonts w:asciiTheme="majorBidi" w:hAnsiTheme="majorBidi"/>
          <w:sz w:val="20"/>
        </w:rPr>
        <w:t xml:space="preserve">an entity </w:t>
      </w:r>
      <w:r w:rsidR="007A75AF" w:rsidRPr="003225FD">
        <w:rPr>
          <w:rFonts w:asciiTheme="majorBidi" w:hAnsiTheme="majorBidi"/>
          <w:sz w:val="20"/>
        </w:rPr>
        <w:t>not required to be</w:t>
      </w:r>
      <w:r w:rsidR="00505B5C" w:rsidRPr="003225FD">
        <w:rPr>
          <w:rFonts w:asciiTheme="majorBidi" w:hAnsiTheme="majorBidi"/>
          <w:sz w:val="20"/>
        </w:rPr>
        <w:t xml:space="preserve"> </w:t>
      </w:r>
      <w:r w:rsidR="00CD59B2" w:rsidRPr="003225FD">
        <w:rPr>
          <w:rFonts w:asciiTheme="majorBidi" w:hAnsiTheme="majorBidi"/>
          <w:sz w:val="20"/>
        </w:rPr>
        <w:t>independent</w:t>
      </w:r>
      <w:r w:rsidR="00505B5C" w:rsidRPr="003225FD">
        <w:rPr>
          <w:rFonts w:asciiTheme="majorBidi" w:hAnsiTheme="majorBidi"/>
          <w:sz w:val="20"/>
        </w:rPr>
        <w:t xml:space="preserve"> from the developer, </w:t>
      </w:r>
      <w:r w:rsidR="00334144" w:rsidRPr="003225FD">
        <w:rPr>
          <w:rFonts w:asciiTheme="majorBidi" w:hAnsiTheme="majorBidi"/>
          <w:sz w:val="20"/>
        </w:rPr>
        <w:t>and not</w:t>
      </w:r>
      <w:r w:rsidR="00505B5C" w:rsidRPr="003225FD">
        <w:rPr>
          <w:rFonts w:asciiTheme="majorBidi" w:hAnsiTheme="majorBidi"/>
          <w:sz w:val="20"/>
        </w:rPr>
        <w:t xml:space="preserve"> to the </w:t>
      </w:r>
      <w:r w:rsidR="0062508A" w:rsidRPr="003225FD">
        <w:rPr>
          <w:rFonts w:asciiTheme="majorBidi" w:hAnsiTheme="majorBidi"/>
          <w:sz w:val="20"/>
          <w:szCs w:val="20"/>
        </w:rPr>
        <w:t>competent</w:t>
      </w:r>
      <w:r w:rsidR="00505B5C" w:rsidRPr="003225FD">
        <w:rPr>
          <w:rFonts w:asciiTheme="majorBidi" w:hAnsiTheme="majorBidi"/>
          <w:sz w:val="20"/>
        </w:rPr>
        <w:t xml:space="preserve"> </w:t>
      </w:r>
      <w:r w:rsidR="00103F86" w:rsidRPr="003225FD">
        <w:rPr>
          <w:rFonts w:asciiTheme="majorBidi" w:hAnsiTheme="majorBidi"/>
          <w:sz w:val="20"/>
        </w:rPr>
        <w:t xml:space="preserve">public </w:t>
      </w:r>
      <w:r w:rsidR="00505B5C" w:rsidRPr="003225FD">
        <w:rPr>
          <w:rFonts w:asciiTheme="majorBidi" w:hAnsiTheme="majorBidi"/>
          <w:sz w:val="20"/>
        </w:rPr>
        <w:t>authority itself</w:t>
      </w:r>
      <w:bookmarkEnd w:id="70"/>
      <w:r w:rsidR="00801761" w:rsidRPr="003225FD">
        <w:rPr>
          <w:rFonts w:asciiTheme="majorBidi" w:hAnsiTheme="majorBidi"/>
          <w:sz w:val="20"/>
        </w:rPr>
        <w:t xml:space="preserve">, the Party concerned is in noncompliance with article 6(7) </w:t>
      </w:r>
      <w:bookmarkEnd w:id="71"/>
      <w:r w:rsidR="00801761" w:rsidRPr="003225FD">
        <w:rPr>
          <w:rFonts w:asciiTheme="majorBidi" w:hAnsiTheme="majorBidi"/>
          <w:sz w:val="20"/>
        </w:rPr>
        <w:t>of the Convention</w:t>
      </w:r>
      <w:r w:rsidR="008E312B" w:rsidRPr="003225FD">
        <w:rPr>
          <w:rFonts w:asciiTheme="majorBidi" w:hAnsiTheme="majorBidi"/>
          <w:sz w:val="20"/>
        </w:rPr>
        <w:t>.</w:t>
      </w:r>
    </w:p>
    <w:p w14:paraId="20D82D7B" w14:textId="14DE869A" w:rsidR="006B3E69" w:rsidRPr="003225FD" w:rsidRDefault="00B506AB" w:rsidP="009C07BC">
      <w:pPr>
        <w:pStyle w:val="SingleTxtG"/>
        <w:rPr>
          <w:rFonts w:asciiTheme="majorBidi" w:hAnsiTheme="majorBidi"/>
          <w:b/>
        </w:rPr>
      </w:pPr>
      <w:r w:rsidRPr="003225FD">
        <w:rPr>
          <w:rFonts w:asciiTheme="majorBidi" w:hAnsiTheme="majorBidi"/>
          <w:b/>
        </w:rPr>
        <w:lastRenderedPageBreak/>
        <w:t>Article 6</w:t>
      </w:r>
      <w:r w:rsidR="002155D8" w:rsidRPr="003225FD">
        <w:rPr>
          <w:rFonts w:asciiTheme="majorBidi" w:hAnsiTheme="majorBidi"/>
          <w:b/>
        </w:rPr>
        <w:t>(</w:t>
      </w:r>
      <w:r w:rsidRPr="003225FD">
        <w:rPr>
          <w:rFonts w:asciiTheme="majorBidi" w:hAnsiTheme="majorBidi"/>
          <w:b/>
        </w:rPr>
        <w:t>8</w:t>
      </w:r>
      <w:r w:rsidR="002155D8" w:rsidRPr="003225FD">
        <w:rPr>
          <w:rFonts w:asciiTheme="majorBidi" w:hAnsiTheme="majorBidi"/>
          <w:b/>
        </w:rPr>
        <w:t>)</w:t>
      </w:r>
      <w:r w:rsidR="006B3E69" w:rsidRPr="003225FD">
        <w:rPr>
          <w:rFonts w:asciiTheme="majorBidi" w:hAnsiTheme="majorBidi"/>
          <w:b/>
        </w:rPr>
        <w:t xml:space="preserve"> </w:t>
      </w:r>
    </w:p>
    <w:p w14:paraId="40DA4B31" w14:textId="64E86A7B" w:rsidR="009F15F5" w:rsidRPr="00001B0D" w:rsidRDefault="00C33EFF" w:rsidP="0019068C">
      <w:pPr>
        <w:pStyle w:val="SingleTxtG"/>
        <w:numPr>
          <w:ilvl w:val="0"/>
          <w:numId w:val="3"/>
        </w:numPr>
        <w:tabs>
          <w:tab w:val="num" w:pos="1134"/>
        </w:tabs>
        <w:ind w:left="1134" w:firstLine="0"/>
        <w:rPr>
          <w:rFonts w:asciiTheme="majorBidi" w:hAnsiTheme="majorBidi"/>
        </w:rPr>
      </w:pPr>
      <w:r w:rsidRPr="003225FD">
        <w:rPr>
          <w:rFonts w:asciiTheme="majorBidi" w:hAnsiTheme="majorBidi"/>
        </w:rPr>
        <w:t xml:space="preserve">Item 33 of the </w:t>
      </w:r>
      <w:r w:rsidR="002D6D60" w:rsidRPr="003225FD">
        <w:rPr>
          <w:rFonts w:asciiTheme="majorBidi" w:hAnsiTheme="majorBidi"/>
        </w:rPr>
        <w:t>Public Participation Order</w:t>
      </w:r>
      <w:r w:rsidR="00661141" w:rsidRPr="003225FD">
        <w:rPr>
          <w:rFonts w:asciiTheme="majorBidi" w:hAnsiTheme="majorBidi"/>
        </w:rPr>
        <w:t xml:space="preserve"> </w:t>
      </w:r>
      <w:r w:rsidR="00661141" w:rsidRPr="003225FD">
        <w:rPr>
          <w:rFonts w:asciiTheme="majorBidi" w:hAnsiTheme="majorBidi" w:cstheme="majorBidi"/>
        </w:rPr>
        <w:t>as currently in force</w:t>
      </w:r>
      <w:r w:rsidRPr="003225FD">
        <w:rPr>
          <w:rFonts w:asciiTheme="majorBidi" w:hAnsiTheme="majorBidi"/>
        </w:rPr>
        <w:t xml:space="preserve"> requires the drafter</w:t>
      </w:r>
      <w:r w:rsidR="00560B30" w:rsidRPr="003225FD">
        <w:rPr>
          <w:rFonts w:asciiTheme="majorBidi" w:hAnsiTheme="majorBidi"/>
        </w:rPr>
        <w:t xml:space="preserve"> (</w:t>
      </w:r>
      <w:r w:rsidR="002E365D" w:rsidRPr="003225FD">
        <w:rPr>
          <w:rFonts w:asciiTheme="majorBidi" w:hAnsiTheme="majorBidi"/>
        </w:rPr>
        <w:t xml:space="preserve">in the present case, </w:t>
      </w:r>
      <w:r w:rsidRPr="003225FD">
        <w:rPr>
          <w:rFonts w:asciiTheme="majorBidi" w:hAnsiTheme="majorBidi"/>
        </w:rPr>
        <w:t>the consultan</w:t>
      </w:r>
      <w:r w:rsidR="00560B30" w:rsidRPr="003225FD">
        <w:rPr>
          <w:rFonts w:asciiTheme="majorBidi" w:hAnsiTheme="majorBidi"/>
        </w:rPr>
        <w:t>t)</w:t>
      </w:r>
      <w:r w:rsidRPr="003225FD">
        <w:rPr>
          <w:rFonts w:asciiTheme="majorBidi" w:hAnsiTheme="majorBidi"/>
        </w:rPr>
        <w:t xml:space="preserve"> </w:t>
      </w:r>
      <w:r w:rsidR="002E365D" w:rsidRPr="003225FD">
        <w:rPr>
          <w:rFonts w:asciiTheme="majorBidi" w:hAnsiTheme="majorBidi"/>
        </w:rPr>
        <w:t xml:space="preserve">to </w:t>
      </w:r>
      <w:r w:rsidRPr="003225FD">
        <w:rPr>
          <w:rFonts w:asciiTheme="majorBidi" w:hAnsiTheme="majorBidi"/>
        </w:rPr>
        <w:t xml:space="preserve">prepare a reasoned evaluation of proposals and provide written answers to the members of the public who submitted them. </w:t>
      </w:r>
      <w:r w:rsidR="002E365D" w:rsidRPr="003225FD">
        <w:rPr>
          <w:rFonts w:asciiTheme="majorBidi" w:hAnsiTheme="majorBidi"/>
        </w:rPr>
        <w:t>However,</w:t>
      </w:r>
      <w:r w:rsidR="00DB425D" w:rsidRPr="003225FD">
        <w:rPr>
          <w:rFonts w:asciiTheme="majorBidi" w:hAnsiTheme="majorBidi"/>
        </w:rPr>
        <w:t xml:space="preserve"> the </w:t>
      </w:r>
      <w:r w:rsidR="00F04D6B" w:rsidRPr="003225FD">
        <w:rPr>
          <w:rFonts w:asciiTheme="majorBidi" w:hAnsiTheme="majorBidi"/>
        </w:rPr>
        <w:t xml:space="preserve">obligation </w:t>
      </w:r>
      <w:r w:rsidR="00DB425D" w:rsidRPr="003225FD">
        <w:rPr>
          <w:rFonts w:asciiTheme="majorBidi" w:hAnsiTheme="majorBidi"/>
        </w:rPr>
        <w:t xml:space="preserve">in article 6(8) that the Party </w:t>
      </w:r>
      <w:r w:rsidR="00F04D6B" w:rsidRPr="003225FD">
        <w:rPr>
          <w:rFonts w:asciiTheme="majorBidi" w:hAnsiTheme="majorBidi"/>
        </w:rPr>
        <w:t xml:space="preserve">concerned </w:t>
      </w:r>
      <w:r w:rsidR="00DB425D" w:rsidRPr="003225FD">
        <w:rPr>
          <w:rFonts w:asciiTheme="majorBidi" w:hAnsiTheme="majorBidi"/>
        </w:rPr>
        <w:t>shall ensure that in the decision</w:t>
      </w:r>
      <w:r w:rsidR="002E365D" w:rsidRPr="003225FD">
        <w:rPr>
          <w:rFonts w:asciiTheme="majorBidi" w:hAnsiTheme="majorBidi"/>
        </w:rPr>
        <w:t xml:space="preserve"> due account </w:t>
      </w:r>
      <w:r w:rsidR="00DB425D" w:rsidRPr="003225FD">
        <w:rPr>
          <w:rFonts w:asciiTheme="majorBidi" w:hAnsiTheme="majorBidi"/>
        </w:rPr>
        <w:t xml:space="preserve">is taken </w:t>
      </w:r>
      <w:r w:rsidR="002E365D" w:rsidRPr="003225FD">
        <w:rPr>
          <w:rFonts w:asciiTheme="majorBidi" w:hAnsiTheme="majorBidi"/>
        </w:rPr>
        <w:t xml:space="preserve">of the outcome of the public participation necessarily requires that the public’s comments be considered by </w:t>
      </w:r>
      <w:r w:rsidR="002D42C0" w:rsidRPr="003225FD">
        <w:rPr>
          <w:rFonts w:asciiTheme="majorBidi" w:hAnsiTheme="majorBidi"/>
        </w:rPr>
        <w:t>the competent public authority</w:t>
      </w:r>
      <w:r w:rsidR="002E365D" w:rsidRPr="003225FD">
        <w:rPr>
          <w:rFonts w:asciiTheme="majorBidi" w:hAnsiTheme="majorBidi"/>
        </w:rPr>
        <w:t xml:space="preserve">. Accordingly, </w:t>
      </w:r>
      <w:r w:rsidR="00910C49" w:rsidRPr="003225FD">
        <w:rPr>
          <w:rFonts w:asciiTheme="majorBidi" w:hAnsiTheme="majorBidi"/>
        </w:rPr>
        <w:t>the Committee makes clear that</w:t>
      </w:r>
      <w:r w:rsidR="009F15F5" w:rsidRPr="003225FD">
        <w:rPr>
          <w:rFonts w:asciiTheme="majorBidi" w:hAnsiTheme="majorBidi"/>
        </w:rPr>
        <w:t xml:space="preserve"> </w:t>
      </w:r>
      <w:r w:rsidR="0039404E" w:rsidRPr="003225FD">
        <w:rPr>
          <w:rFonts w:asciiTheme="majorBidi" w:hAnsiTheme="majorBidi"/>
        </w:rPr>
        <w:t>it is</w:t>
      </w:r>
      <w:r w:rsidR="009F15F5" w:rsidRPr="003225FD">
        <w:rPr>
          <w:rFonts w:asciiTheme="majorBidi" w:hAnsiTheme="majorBidi"/>
        </w:rPr>
        <w:t xml:space="preserve"> </w:t>
      </w:r>
      <w:r w:rsidR="009F183D" w:rsidRPr="003225FD">
        <w:rPr>
          <w:rFonts w:asciiTheme="majorBidi" w:hAnsiTheme="majorBidi"/>
        </w:rPr>
        <w:t>incompatible with the Convention</w:t>
      </w:r>
      <w:r w:rsidR="009F15F5" w:rsidRPr="003225FD">
        <w:rPr>
          <w:rFonts w:asciiTheme="majorBidi" w:hAnsiTheme="majorBidi"/>
        </w:rPr>
        <w:t xml:space="preserve"> that </w:t>
      </w:r>
      <w:r w:rsidR="005A1424" w:rsidRPr="003225FD">
        <w:rPr>
          <w:rFonts w:asciiTheme="majorBidi" w:hAnsiTheme="majorBidi"/>
        </w:rPr>
        <w:t xml:space="preserve">the </w:t>
      </w:r>
      <w:r w:rsidR="00BC5C5A" w:rsidRPr="003225FD">
        <w:rPr>
          <w:rFonts w:asciiTheme="majorBidi" w:hAnsiTheme="majorBidi"/>
        </w:rPr>
        <w:t xml:space="preserve">developer’s </w:t>
      </w:r>
      <w:r w:rsidR="005A1424" w:rsidRPr="003225FD">
        <w:rPr>
          <w:rFonts w:asciiTheme="majorBidi" w:hAnsiTheme="majorBidi"/>
        </w:rPr>
        <w:t>consultant</w:t>
      </w:r>
      <w:r w:rsidR="009F15F5" w:rsidRPr="003225FD">
        <w:rPr>
          <w:rFonts w:asciiTheme="majorBidi" w:hAnsiTheme="majorBidi"/>
        </w:rPr>
        <w:t xml:space="preserve"> </w:t>
      </w:r>
      <w:r w:rsidR="002E365D" w:rsidRPr="003225FD">
        <w:rPr>
          <w:rFonts w:asciiTheme="majorBidi" w:hAnsiTheme="majorBidi"/>
        </w:rPr>
        <w:t xml:space="preserve">prepared the responses to the </w:t>
      </w:r>
      <w:r w:rsidR="000406E1" w:rsidRPr="003225FD">
        <w:rPr>
          <w:rFonts w:asciiTheme="majorBidi" w:hAnsiTheme="majorBidi"/>
        </w:rPr>
        <w:t xml:space="preserve">comments </w:t>
      </w:r>
      <w:r w:rsidR="005A1424" w:rsidRPr="003225FD">
        <w:rPr>
          <w:rFonts w:asciiTheme="majorBidi" w:hAnsiTheme="majorBidi"/>
        </w:rPr>
        <w:t xml:space="preserve">received </w:t>
      </w:r>
      <w:r w:rsidR="000406E1" w:rsidRPr="003225FD">
        <w:rPr>
          <w:rFonts w:asciiTheme="majorBidi" w:hAnsiTheme="majorBidi"/>
        </w:rPr>
        <w:t xml:space="preserve">and </w:t>
      </w:r>
      <w:r w:rsidR="005A1424" w:rsidRPr="003225FD">
        <w:rPr>
          <w:rFonts w:asciiTheme="majorBidi" w:hAnsiTheme="majorBidi"/>
        </w:rPr>
        <w:t xml:space="preserve">the </w:t>
      </w:r>
      <w:r w:rsidR="000406E1" w:rsidRPr="003225FD">
        <w:rPr>
          <w:rFonts w:asciiTheme="majorBidi" w:hAnsiTheme="majorBidi"/>
        </w:rPr>
        <w:t>reasoned evaluation of the</w:t>
      </w:r>
      <w:r w:rsidR="002E365D" w:rsidRPr="003225FD">
        <w:rPr>
          <w:rFonts w:asciiTheme="majorBidi" w:hAnsiTheme="majorBidi"/>
        </w:rPr>
        <w:t xml:space="preserve"> comments</w:t>
      </w:r>
      <w:r w:rsidR="000406E1" w:rsidRPr="003225FD">
        <w:rPr>
          <w:rFonts w:asciiTheme="majorBidi" w:hAnsiTheme="majorBidi"/>
        </w:rPr>
        <w:t xml:space="preserve"> for the competent </w:t>
      </w:r>
      <w:r w:rsidR="00103F86" w:rsidRPr="003225FD">
        <w:rPr>
          <w:rFonts w:asciiTheme="majorBidi" w:hAnsiTheme="majorBidi"/>
        </w:rPr>
        <w:t xml:space="preserve">public </w:t>
      </w:r>
      <w:r w:rsidR="000406E1" w:rsidRPr="003225FD">
        <w:rPr>
          <w:rFonts w:asciiTheme="majorBidi" w:hAnsiTheme="majorBidi"/>
        </w:rPr>
        <w:t>authority</w:t>
      </w:r>
      <w:r w:rsidR="00E14DFD" w:rsidRPr="003225FD">
        <w:rPr>
          <w:rFonts w:asciiTheme="majorBidi" w:hAnsiTheme="majorBidi"/>
        </w:rPr>
        <w:t xml:space="preserve">. Moreover, </w:t>
      </w:r>
      <w:r w:rsidR="004E3F1B" w:rsidRPr="003225FD">
        <w:rPr>
          <w:rFonts w:asciiTheme="majorBidi" w:hAnsiTheme="majorBidi"/>
        </w:rPr>
        <w:t xml:space="preserve">it is not in compliance with the Convention </w:t>
      </w:r>
      <w:r w:rsidR="00BC5C5A" w:rsidRPr="003225FD">
        <w:rPr>
          <w:rFonts w:asciiTheme="majorBidi" w:hAnsiTheme="majorBidi"/>
        </w:rPr>
        <w:t>that</w:t>
      </w:r>
      <w:r w:rsidR="004E3F1B" w:rsidRPr="003225FD">
        <w:rPr>
          <w:rFonts w:asciiTheme="majorBidi" w:hAnsiTheme="majorBidi"/>
        </w:rPr>
        <w:t xml:space="preserve"> the </w:t>
      </w:r>
      <w:r w:rsidR="0019068C" w:rsidRPr="003225FD">
        <w:rPr>
          <w:rFonts w:asciiTheme="majorBidi" w:hAnsiTheme="majorBidi"/>
        </w:rPr>
        <w:t xml:space="preserve">competent public </w:t>
      </w:r>
      <w:r w:rsidR="004E3F1B" w:rsidRPr="003225FD">
        <w:rPr>
          <w:rFonts w:asciiTheme="majorBidi" w:hAnsiTheme="majorBidi"/>
        </w:rPr>
        <w:t>authority</w:t>
      </w:r>
      <w:r w:rsidR="00571AA3" w:rsidRPr="003225FD">
        <w:rPr>
          <w:rFonts w:asciiTheme="majorBidi" w:hAnsiTheme="majorBidi"/>
        </w:rPr>
        <w:t>,</w:t>
      </w:r>
      <w:r w:rsidR="004E3F1B" w:rsidRPr="003225FD">
        <w:rPr>
          <w:rFonts w:asciiTheme="majorBidi" w:hAnsiTheme="majorBidi"/>
        </w:rPr>
        <w:t xml:space="preserve"> responsible for taking the decision</w:t>
      </w:r>
      <w:r w:rsidR="00571AA3" w:rsidRPr="003225FD">
        <w:rPr>
          <w:rFonts w:asciiTheme="majorBidi" w:hAnsiTheme="majorBidi"/>
        </w:rPr>
        <w:t>,</w:t>
      </w:r>
      <w:r w:rsidR="004E3F1B" w:rsidRPr="003225FD">
        <w:rPr>
          <w:rFonts w:asciiTheme="majorBidi" w:hAnsiTheme="majorBidi"/>
        </w:rPr>
        <w:t xml:space="preserve"> </w:t>
      </w:r>
      <w:r w:rsidR="00BC5C5A" w:rsidRPr="003225FD">
        <w:rPr>
          <w:rFonts w:asciiTheme="majorBidi" w:hAnsiTheme="majorBidi"/>
        </w:rPr>
        <w:t>was</w:t>
      </w:r>
      <w:r w:rsidR="004E3F1B" w:rsidRPr="003225FD">
        <w:rPr>
          <w:rFonts w:asciiTheme="majorBidi" w:hAnsiTheme="majorBidi"/>
        </w:rPr>
        <w:t xml:space="preserve"> provided only with the summary of </w:t>
      </w:r>
      <w:r w:rsidR="009F15F5" w:rsidRPr="003225FD">
        <w:rPr>
          <w:rFonts w:asciiTheme="majorBidi" w:hAnsiTheme="majorBidi"/>
        </w:rPr>
        <w:t xml:space="preserve">the comments </w:t>
      </w:r>
      <w:r w:rsidR="004E3F1B" w:rsidRPr="003225FD">
        <w:rPr>
          <w:rFonts w:asciiTheme="majorBidi" w:hAnsiTheme="majorBidi"/>
        </w:rPr>
        <w:t>submitted by the public.</w:t>
      </w:r>
      <w:r w:rsidR="00356317" w:rsidRPr="00001B0D">
        <w:rPr>
          <w:rStyle w:val="FootnoteReference"/>
          <w:rFonts w:asciiTheme="majorBidi" w:hAnsiTheme="majorBidi"/>
          <w:sz w:val="20"/>
        </w:rPr>
        <w:footnoteReference w:id="116"/>
      </w:r>
    </w:p>
    <w:p w14:paraId="11837D15" w14:textId="36FF7B64" w:rsidR="009F15F5" w:rsidRPr="003225FD" w:rsidRDefault="00604735" w:rsidP="00D47AC8">
      <w:pPr>
        <w:pStyle w:val="SingleTxtG"/>
        <w:numPr>
          <w:ilvl w:val="0"/>
          <w:numId w:val="3"/>
        </w:numPr>
        <w:tabs>
          <w:tab w:val="num" w:pos="1134"/>
        </w:tabs>
        <w:ind w:left="1134" w:firstLine="0"/>
        <w:rPr>
          <w:rFonts w:asciiTheme="majorBidi" w:hAnsiTheme="majorBidi"/>
        </w:rPr>
      </w:pPr>
      <w:bookmarkStart w:id="72" w:name="_Ref524648044"/>
      <w:r w:rsidRPr="003225FD">
        <w:rPr>
          <w:rFonts w:asciiTheme="majorBidi" w:hAnsiTheme="majorBidi"/>
        </w:rPr>
        <w:t>I</w:t>
      </w:r>
      <w:r w:rsidR="006873A3" w:rsidRPr="003225FD">
        <w:rPr>
          <w:rFonts w:asciiTheme="majorBidi" w:hAnsiTheme="majorBidi"/>
        </w:rPr>
        <w:t xml:space="preserve">t is </w:t>
      </w:r>
      <w:r w:rsidR="004E3F1B" w:rsidRPr="003225FD">
        <w:rPr>
          <w:rFonts w:asciiTheme="majorBidi" w:hAnsiTheme="majorBidi"/>
        </w:rPr>
        <w:t>fundamental</w:t>
      </w:r>
      <w:r w:rsidR="006873A3" w:rsidRPr="003225FD">
        <w:rPr>
          <w:rFonts w:asciiTheme="majorBidi" w:hAnsiTheme="majorBidi"/>
        </w:rPr>
        <w:t xml:space="preserve"> for compliance with </w:t>
      </w:r>
      <w:r w:rsidR="004E3F1B" w:rsidRPr="003225FD">
        <w:rPr>
          <w:rFonts w:asciiTheme="majorBidi" w:hAnsiTheme="majorBidi"/>
        </w:rPr>
        <w:t>article 6</w:t>
      </w:r>
      <w:r w:rsidR="002155D8" w:rsidRPr="003225FD">
        <w:rPr>
          <w:rFonts w:asciiTheme="majorBidi" w:hAnsiTheme="majorBidi"/>
        </w:rPr>
        <w:t>(</w:t>
      </w:r>
      <w:r w:rsidR="004E3F1B" w:rsidRPr="003225FD">
        <w:rPr>
          <w:rFonts w:asciiTheme="majorBidi" w:hAnsiTheme="majorBidi"/>
        </w:rPr>
        <w:t>8</w:t>
      </w:r>
      <w:r w:rsidR="002155D8" w:rsidRPr="003225FD">
        <w:rPr>
          <w:rFonts w:asciiTheme="majorBidi" w:hAnsiTheme="majorBidi"/>
        </w:rPr>
        <w:t>)</w:t>
      </w:r>
      <w:r w:rsidR="004E3F1B" w:rsidRPr="003225FD">
        <w:rPr>
          <w:rFonts w:asciiTheme="majorBidi" w:hAnsiTheme="majorBidi"/>
        </w:rPr>
        <w:t xml:space="preserve"> </w:t>
      </w:r>
      <w:r w:rsidR="006873A3" w:rsidRPr="003225FD">
        <w:rPr>
          <w:rFonts w:asciiTheme="majorBidi" w:hAnsiTheme="majorBidi"/>
        </w:rPr>
        <w:t xml:space="preserve">that </w:t>
      </w:r>
      <w:r w:rsidR="002D42C0" w:rsidRPr="003225FD">
        <w:t xml:space="preserve">there should be a clear obligation in the legal framework for the </w:t>
      </w:r>
      <w:r w:rsidR="00571AA3" w:rsidRPr="003225FD">
        <w:t xml:space="preserve">competent </w:t>
      </w:r>
      <w:r w:rsidR="002D42C0" w:rsidRPr="003225FD">
        <w:t>public authority itself to take due account of the outcome of the public participation</w:t>
      </w:r>
      <w:r w:rsidR="006873A3" w:rsidRPr="003225FD">
        <w:rPr>
          <w:rFonts w:asciiTheme="majorBidi" w:hAnsiTheme="majorBidi" w:cstheme="majorBidi"/>
        </w:rPr>
        <w:t>.</w:t>
      </w:r>
      <w:r w:rsidR="006A23FF" w:rsidRPr="00001B0D">
        <w:rPr>
          <w:rStyle w:val="FootnoteReference"/>
          <w:rFonts w:asciiTheme="majorBidi" w:hAnsiTheme="majorBidi" w:cstheme="majorBidi"/>
          <w:sz w:val="20"/>
        </w:rPr>
        <w:footnoteReference w:id="117"/>
      </w:r>
      <w:r w:rsidR="006873A3" w:rsidRPr="00001B0D">
        <w:rPr>
          <w:rFonts w:asciiTheme="majorBidi" w:hAnsiTheme="majorBidi"/>
        </w:rPr>
        <w:t xml:space="preserve"> </w:t>
      </w:r>
      <w:r w:rsidR="00E12D4E" w:rsidRPr="00001B0D">
        <w:rPr>
          <w:rFonts w:asciiTheme="majorBidi" w:hAnsiTheme="majorBidi"/>
        </w:rPr>
        <w:t>The Committee finds that, b</w:t>
      </w:r>
      <w:r w:rsidR="00D47AC8" w:rsidRPr="003225FD">
        <w:rPr>
          <w:rFonts w:asciiTheme="majorBidi" w:hAnsiTheme="majorBidi"/>
        </w:rPr>
        <w:t>y not ensuring that</w:t>
      </w:r>
      <w:r w:rsidR="002D42C0" w:rsidRPr="003225FD">
        <w:rPr>
          <w:rFonts w:asciiTheme="majorBidi" w:hAnsiTheme="majorBidi"/>
        </w:rPr>
        <w:t xml:space="preserve"> </w:t>
      </w:r>
      <w:r w:rsidR="00E12D4E" w:rsidRPr="003225FD">
        <w:rPr>
          <w:rFonts w:asciiTheme="majorBidi" w:hAnsiTheme="majorBidi"/>
        </w:rPr>
        <w:t xml:space="preserve">the </w:t>
      </w:r>
      <w:r w:rsidR="002D42C0" w:rsidRPr="003225FD">
        <w:rPr>
          <w:rFonts w:asciiTheme="majorBidi" w:hAnsiTheme="majorBidi" w:cstheme="majorBidi"/>
        </w:rPr>
        <w:t>competent public authority is required to take due</w:t>
      </w:r>
      <w:r w:rsidR="002D42C0" w:rsidRPr="003225FD">
        <w:rPr>
          <w:rFonts w:asciiTheme="majorBidi" w:hAnsiTheme="majorBidi"/>
        </w:rPr>
        <w:t xml:space="preserve"> account </w:t>
      </w:r>
      <w:r w:rsidR="002D42C0" w:rsidRPr="003225FD">
        <w:rPr>
          <w:rFonts w:asciiTheme="majorBidi" w:hAnsiTheme="majorBidi" w:cstheme="majorBidi"/>
        </w:rPr>
        <w:t>of the outcomes of</w:t>
      </w:r>
      <w:r w:rsidR="002D42C0" w:rsidRPr="003225FD">
        <w:rPr>
          <w:rFonts w:asciiTheme="majorBidi" w:hAnsiTheme="majorBidi"/>
        </w:rPr>
        <w:t xml:space="preserve"> the </w:t>
      </w:r>
      <w:r w:rsidR="002D42C0" w:rsidRPr="003225FD">
        <w:rPr>
          <w:rFonts w:asciiTheme="majorBidi" w:hAnsiTheme="majorBidi" w:cstheme="majorBidi"/>
        </w:rPr>
        <w:t>public participation</w:t>
      </w:r>
      <w:r w:rsidR="00D47AC8" w:rsidRPr="003225FD">
        <w:rPr>
          <w:rFonts w:asciiTheme="majorBidi" w:hAnsiTheme="majorBidi"/>
        </w:rPr>
        <w:t>, t</w:t>
      </w:r>
      <w:r w:rsidR="006873A3" w:rsidRPr="003225FD">
        <w:rPr>
          <w:rFonts w:asciiTheme="majorBidi" w:hAnsiTheme="majorBidi"/>
        </w:rPr>
        <w:t xml:space="preserve">he </w:t>
      </w:r>
      <w:r w:rsidR="009F15F5" w:rsidRPr="003225FD">
        <w:rPr>
          <w:rFonts w:asciiTheme="majorBidi" w:hAnsiTheme="majorBidi"/>
        </w:rPr>
        <w:t xml:space="preserve">Party concerned </w:t>
      </w:r>
      <w:r w:rsidR="00D47AC8" w:rsidRPr="003225FD">
        <w:rPr>
          <w:rFonts w:asciiTheme="majorBidi" w:hAnsiTheme="majorBidi"/>
        </w:rPr>
        <w:t xml:space="preserve">fails to </w:t>
      </w:r>
      <w:r w:rsidR="009F15F5" w:rsidRPr="003225FD">
        <w:rPr>
          <w:rFonts w:asciiTheme="majorBidi" w:hAnsiTheme="majorBidi"/>
        </w:rPr>
        <w:t>comply with article 6</w:t>
      </w:r>
      <w:r w:rsidR="002155D8" w:rsidRPr="003225FD">
        <w:rPr>
          <w:rFonts w:asciiTheme="majorBidi" w:hAnsiTheme="majorBidi"/>
        </w:rPr>
        <w:t>(</w:t>
      </w:r>
      <w:r w:rsidR="009F15F5" w:rsidRPr="003225FD">
        <w:rPr>
          <w:rFonts w:asciiTheme="majorBidi" w:hAnsiTheme="majorBidi"/>
        </w:rPr>
        <w:t>8</w:t>
      </w:r>
      <w:r w:rsidR="002155D8" w:rsidRPr="003225FD">
        <w:rPr>
          <w:rFonts w:asciiTheme="majorBidi" w:hAnsiTheme="majorBidi"/>
        </w:rPr>
        <w:t>)</w:t>
      </w:r>
      <w:r w:rsidR="009F15F5" w:rsidRPr="003225FD">
        <w:rPr>
          <w:rFonts w:asciiTheme="majorBidi" w:hAnsiTheme="majorBidi"/>
        </w:rPr>
        <w:t xml:space="preserve"> of the Convention.</w:t>
      </w:r>
      <w:bookmarkEnd w:id="72"/>
    </w:p>
    <w:p w14:paraId="098F0710" w14:textId="2972D80F" w:rsidR="00EC57FC" w:rsidRPr="003225FD" w:rsidRDefault="00EC57FC">
      <w:pPr>
        <w:pStyle w:val="SingleTxtG"/>
        <w:tabs>
          <w:tab w:val="num" w:pos="1134"/>
        </w:tabs>
        <w:rPr>
          <w:rFonts w:asciiTheme="majorBidi" w:hAnsiTheme="majorBidi"/>
          <w:b/>
        </w:rPr>
      </w:pPr>
      <w:r w:rsidRPr="003225FD">
        <w:rPr>
          <w:rFonts w:asciiTheme="majorBidi" w:hAnsiTheme="majorBidi"/>
          <w:b/>
        </w:rPr>
        <w:t>Article 6</w:t>
      </w:r>
      <w:r w:rsidR="002155D8" w:rsidRPr="003225FD">
        <w:rPr>
          <w:rFonts w:asciiTheme="majorBidi" w:hAnsiTheme="majorBidi"/>
          <w:b/>
        </w:rPr>
        <w:t>(</w:t>
      </w:r>
      <w:r w:rsidRPr="003225FD">
        <w:rPr>
          <w:rFonts w:asciiTheme="majorBidi" w:hAnsiTheme="majorBidi"/>
          <w:b/>
        </w:rPr>
        <w:t>9</w:t>
      </w:r>
      <w:r w:rsidR="002155D8" w:rsidRPr="003225FD">
        <w:rPr>
          <w:rFonts w:asciiTheme="majorBidi" w:hAnsiTheme="majorBidi"/>
          <w:b/>
        </w:rPr>
        <w:t>)</w:t>
      </w:r>
      <w:r w:rsidRPr="003225FD">
        <w:rPr>
          <w:rFonts w:asciiTheme="majorBidi" w:hAnsiTheme="majorBidi"/>
          <w:b/>
        </w:rPr>
        <w:t xml:space="preserve"> </w:t>
      </w:r>
    </w:p>
    <w:p w14:paraId="21931A7A" w14:textId="71034A02" w:rsidR="00201477" w:rsidRPr="003225FD" w:rsidRDefault="00201477">
      <w:pPr>
        <w:pStyle w:val="SingleTxtG"/>
        <w:tabs>
          <w:tab w:val="num" w:pos="1134"/>
        </w:tabs>
        <w:rPr>
          <w:rFonts w:asciiTheme="majorBidi" w:hAnsiTheme="majorBidi"/>
          <w:i/>
        </w:rPr>
      </w:pPr>
      <w:r w:rsidRPr="003225FD">
        <w:rPr>
          <w:rFonts w:asciiTheme="majorBidi" w:hAnsiTheme="majorBidi"/>
          <w:i/>
        </w:rPr>
        <w:t xml:space="preserve">Notification of the </w:t>
      </w:r>
      <w:r w:rsidR="00E7294B" w:rsidRPr="003225FD">
        <w:rPr>
          <w:rFonts w:asciiTheme="majorBidi" w:hAnsiTheme="majorBidi"/>
          <w:i/>
        </w:rPr>
        <w:t>OHL decision</w:t>
      </w:r>
    </w:p>
    <w:p w14:paraId="745CD3AF" w14:textId="55092F6D" w:rsidR="000F1050" w:rsidRPr="00001B0D" w:rsidRDefault="00D94CA2" w:rsidP="00A679A4">
      <w:pPr>
        <w:pStyle w:val="SingleTxtG"/>
        <w:numPr>
          <w:ilvl w:val="0"/>
          <w:numId w:val="3"/>
        </w:numPr>
        <w:tabs>
          <w:tab w:val="num" w:pos="1134"/>
        </w:tabs>
        <w:ind w:left="1134" w:firstLine="0"/>
        <w:rPr>
          <w:rFonts w:asciiTheme="majorBidi" w:hAnsiTheme="majorBidi"/>
        </w:rPr>
      </w:pPr>
      <w:r w:rsidRPr="003225FD">
        <w:rPr>
          <w:rFonts w:asciiTheme="majorBidi" w:hAnsiTheme="majorBidi"/>
        </w:rPr>
        <w:t xml:space="preserve">Based on the information </w:t>
      </w:r>
      <w:r w:rsidR="004B0C16" w:rsidRPr="003225FD">
        <w:rPr>
          <w:rFonts w:asciiTheme="majorBidi" w:hAnsiTheme="majorBidi"/>
        </w:rPr>
        <w:t>provided,</w:t>
      </w:r>
      <w:r w:rsidRPr="003225FD">
        <w:rPr>
          <w:rFonts w:asciiTheme="majorBidi" w:hAnsiTheme="majorBidi"/>
        </w:rPr>
        <w:t xml:space="preserve"> the </w:t>
      </w:r>
      <w:r w:rsidR="00E7294B" w:rsidRPr="003225FD">
        <w:rPr>
          <w:rFonts w:asciiTheme="majorBidi" w:hAnsiTheme="majorBidi"/>
        </w:rPr>
        <w:t>OHL</w:t>
      </w:r>
      <w:r w:rsidR="00A41608" w:rsidRPr="003225FD">
        <w:rPr>
          <w:rFonts w:asciiTheme="majorBidi" w:hAnsiTheme="majorBidi"/>
        </w:rPr>
        <w:t xml:space="preserve"> d</w:t>
      </w:r>
      <w:r w:rsidRPr="003225FD">
        <w:rPr>
          <w:rFonts w:asciiTheme="majorBidi" w:hAnsiTheme="majorBidi"/>
        </w:rPr>
        <w:t>ecision was taken on 31 December 2010 and</w:t>
      </w:r>
      <w:r w:rsidR="000605E8" w:rsidRPr="003225FD">
        <w:rPr>
          <w:rFonts w:asciiTheme="majorBidi" w:hAnsiTheme="majorBidi"/>
        </w:rPr>
        <w:t xml:space="preserve"> </w:t>
      </w:r>
      <w:r w:rsidRPr="003225FD">
        <w:rPr>
          <w:rFonts w:asciiTheme="majorBidi" w:hAnsiTheme="majorBidi"/>
        </w:rPr>
        <w:t xml:space="preserve">notified on </w:t>
      </w:r>
      <w:r w:rsidR="00A1736E" w:rsidRPr="003225FD">
        <w:rPr>
          <w:rFonts w:asciiTheme="majorBidi" w:hAnsiTheme="majorBidi"/>
        </w:rPr>
        <w:t>Alytus RED</w:t>
      </w:r>
      <w:r w:rsidR="00DF20B8" w:rsidRPr="003225FD">
        <w:rPr>
          <w:rFonts w:asciiTheme="majorBidi" w:hAnsiTheme="majorBidi"/>
        </w:rPr>
        <w:t>’</w:t>
      </w:r>
      <w:r w:rsidR="00A1736E" w:rsidRPr="003225FD">
        <w:rPr>
          <w:rFonts w:asciiTheme="majorBidi" w:hAnsiTheme="majorBidi"/>
        </w:rPr>
        <w:t>s</w:t>
      </w:r>
      <w:r w:rsidR="00A1736E" w:rsidRPr="003225FD" w:rsidDel="00A1736E">
        <w:rPr>
          <w:rFonts w:asciiTheme="majorBidi" w:hAnsiTheme="majorBidi"/>
        </w:rPr>
        <w:t xml:space="preserve"> </w:t>
      </w:r>
      <w:r w:rsidRPr="003225FD">
        <w:rPr>
          <w:rFonts w:asciiTheme="majorBidi" w:hAnsiTheme="majorBidi"/>
        </w:rPr>
        <w:t>website on 3 January 2011</w:t>
      </w:r>
      <w:r w:rsidR="008D2C08" w:rsidRPr="003225FD">
        <w:rPr>
          <w:rFonts w:asciiTheme="majorBidi" w:hAnsiTheme="majorBidi"/>
        </w:rPr>
        <w:t>,</w:t>
      </w:r>
      <w:r w:rsidRPr="003225FD">
        <w:rPr>
          <w:rFonts w:asciiTheme="majorBidi" w:hAnsiTheme="majorBidi"/>
        </w:rPr>
        <w:t xml:space="preserve"> by newspaper notices on 7 January 2011</w:t>
      </w:r>
      <w:r w:rsidR="00070BC5" w:rsidRPr="003225FD">
        <w:rPr>
          <w:rFonts w:asciiTheme="majorBidi" w:hAnsiTheme="majorBidi"/>
        </w:rPr>
        <w:t>,</w:t>
      </w:r>
      <w:r w:rsidRPr="003225FD">
        <w:rPr>
          <w:rFonts w:asciiTheme="majorBidi" w:hAnsiTheme="majorBidi"/>
        </w:rPr>
        <w:t xml:space="preserve"> and publication on local billboards on 11-12 January 2011. </w:t>
      </w:r>
      <w:r w:rsidR="005042DF" w:rsidRPr="003225FD">
        <w:rPr>
          <w:rFonts w:asciiTheme="majorBidi" w:hAnsiTheme="majorBidi"/>
        </w:rPr>
        <w:t>W</w:t>
      </w:r>
      <w:r w:rsidR="00A4373C" w:rsidRPr="003225FD">
        <w:rPr>
          <w:rFonts w:asciiTheme="majorBidi" w:hAnsiTheme="majorBidi"/>
        </w:rPr>
        <w:t>hile</w:t>
      </w:r>
      <w:r w:rsidR="00F95872" w:rsidRPr="003225FD">
        <w:rPr>
          <w:rFonts w:asciiTheme="majorBidi" w:hAnsiTheme="majorBidi"/>
        </w:rPr>
        <w:t xml:space="preserve"> </w:t>
      </w:r>
      <w:r w:rsidRPr="003225FD">
        <w:rPr>
          <w:rFonts w:asciiTheme="majorBidi" w:hAnsiTheme="majorBidi"/>
        </w:rPr>
        <w:t>there was a</w:t>
      </w:r>
      <w:r w:rsidR="00BE2DB7" w:rsidRPr="003225FD">
        <w:rPr>
          <w:rFonts w:asciiTheme="majorBidi" w:hAnsiTheme="majorBidi"/>
        </w:rPr>
        <w:t>n</w:t>
      </w:r>
      <w:r w:rsidRPr="003225FD">
        <w:rPr>
          <w:rFonts w:asciiTheme="majorBidi" w:hAnsiTheme="majorBidi"/>
        </w:rPr>
        <w:t xml:space="preserve"> </w:t>
      </w:r>
      <w:r w:rsidR="00A4373C" w:rsidRPr="003225FD">
        <w:rPr>
          <w:rFonts w:asciiTheme="majorBidi" w:hAnsiTheme="majorBidi"/>
        </w:rPr>
        <w:t>error in the</w:t>
      </w:r>
      <w:r w:rsidRPr="003225FD">
        <w:rPr>
          <w:rFonts w:asciiTheme="majorBidi" w:hAnsiTheme="majorBidi"/>
        </w:rPr>
        <w:t xml:space="preserve"> </w:t>
      </w:r>
      <w:r w:rsidR="00A1736E" w:rsidRPr="003225FD">
        <w:rPr>
          <w:rFonts w:asciiTheme="majorBidi" w:hAnsiTheme="majorBidi"/>
        </w:rPr>
        <w:t xml:space="preserve">initial </w:t>
      </w:r>
      <w:r w:rsidRPr="003225FD">
        <w:rPr>
          <w:rFonts w:asciiTheme="majorBidi" w:hAnsiTheme="majorBidi"/>
        </w:rPr>
        <w:t xml:space="preserve">website notification, </w:t>
      </w:r>
      <w:r w:rsidR="00A1736E" w:rsidRPr="003225FD">
        <w:rPr>
          <w:rFonts w:asciiTheme="majorBidi" w:hAnsiTheme="majorBidi"/>
        </w:rPr>
        <w:t xml:space="preserve">this </w:t>
      </w:r>
      <w:r w:rsidRPr="003225FD">
        <w:rPr>
          <w:rFonts w:asciiTheme="majorBidi" w:hAnsiTheme="majorBidi"/>
        </w:rPr>
        <w:t xml:space="preserve">was amended </w:t>
      </w:r>
      <w:r w:rsidR="00A4373C" w:rsidRPr="003225FD">
        <w:rPr>
          <w:rFonts w:asciiTheme="majorBidi" w:hAnsiTheme="majorBidi"/>
        </w:rPr>
        <w:t>on 12 January 2011</w:t>
      </w:r>
      <w:r w:rsidRPr="003225FD">
        <w:rPr>
          <w:rFonts w:asciiTheme="majorBidi" w:hAnsiTheme="majorBidi"/>
        </w:rPr>
        <w:t xml:space="preserve">, </w:t>
      </w:r>
      <w:r w:rsidR="00A1736E" w:rsidRPr="003225FD">
        <w:rPr>
          <w:rFonts w:asciiTheme="majorBidi" w:hAnsiTheme="majorBidi"/>
        </w:rPr>
        <w:t xml:space="preserve">and the </w:t>
      </w:r>
      <w:r w:rsidRPr="003225FD">
        <w:rPr>
          <w:rFonts w:asciiTheme="majorBidi" w:hAnsiTheme="majorBidi"/>
        </w:rPr>
        <w:t xml:space="preserve">court </w:t>
      </w:r>
      <w:r w:rsidR="0013500A" w:rsidRPr="003225FD">
        <w:rPr>
          <w:rFonts w:asciiTheme="majorBidi" w:hAnsiTheme="majorBidi"/>
        </w:rPr>
        <w:t>extended</w:t>
      </w:r>
      <w:r w:rsidRPr="003225FD">
        <w:rPr>
          <w:rFonts w:asciiTheme="majorBidi" w:hAnsiTheme="majorBidi"/>
        </w:rPr>
        <w:t xml:space="preserve"> the period to </w:t>
      </w:r>
      <w:r w:rsidR="009F137F" w:rsidRPr="003225FD">
        <w:rPr>
          <w:rFonts w:asciiTheme="majorBidi" w:hAnsiTheme="majorBidi"/>
        </w:rPr>
        <w:t>appeal the decision</w:t>
      </w:r>
      <w:r w:rsidRPr="003225FD">
        <w:rPr>
          <w:rFonts w:asciiTheme="majorBidi" w:hAnsiTheme="majorBidi"/>
        </w:rPr>
        <w:t>.</w:t>
      </w:r>
      <w:r w:rsidR="00FA4E76" w:rsidRPr="00001B0D">
        <w:rPr>
          <w:rFonts w:asciiTheme="majorBidi" w:hAnsiTheme="majorBidi"/>
          <w:vertAlign w:val="superscript"/>
        </w:rPr>
        <w:footnoteReference w:id="118"/>
      </w:r>
    </w:p>
    <w:p w14:paraId="5554D34B" w14:textId="73A04EDE" w:rsidR="00D94CA2" w:rsidRPr="003225FD" w:rsidRDefault="00333C64" w:rsidP="00443ED3">
      <w:pPr>
        <w:pStyle w:val="SingleTxtG"/>
        <w:numPr>
          <w:ilvl w:val="0"/>
          <w:numId w:val="3"/>
        </w:numPr>
        <w:tabs>
          <w:tab w:val="num" w:pos="1134"/>
        </w:tabs>
        <w:ind w:left="1134" w:firstLine="0"/>
        <w:rPr>
          <w:rFonts w:asciiTheme="majorBidi" w:hAnsiTheme="majorBidi"/>
        </w:rPr>
      </w:pPr>
      <w:r w:rsidRPr="00001B0D">
        <w:rPr>
          <w:rFonts w:asciiTheme="majorBidi" w:hAnsiTheme="majorBidi"/>
        </w:rPr>
        <w:t>What constitutes</w:t>
      </w:r>
      <w:r w:rsidR="000F1050" w:rsidRPr="00001B0D">
        <w:rPr>
          <w:rFonts w:asciiTheme="majorBidi" w:hAnsiTheme="majorBidi"/>
        </w:rPr>
        <w:t xml:space="preserve"> prompt notification of </w:t>
      </w:r>
      <w:r w:rsidR="00C30F74" w:rsidRPr="003225FD">
        <w:rPr>
          <w:rFonts w:asciiTheme="majorBidi" w:hAnsiTheme="majorBidi"/>
        </w:rPr>
        <w:t>a</w:t>
      </w:r>
      <w:r w:rsidR="000F1050" w:rsidRPr="003225FD">
        <w:rPr>
          <w:rFonts w:asciiTheme="majorBidi" w:hAnsiTheme="majorBidi"/>
        </w:rPr>
        <w:t xml:space="preserve"> decision depends on the specific circumstances (e.g. the </w:t>
      </w:r>
      <w:r w:rsidR="00AC2AF4" w:rsidRPr="003225FD">
        <w:rPr>
          <w:rFonts w:asciiTheme="majorBidi" w:hAnsiTheme="majorBidi"/>
        </w:rPr>
        <w:t xml:space="preserve">kind of </w:t>
      </w:r>
      <w:r w:rsidR="000F1050" w:rsidRPr="003225FD">
        <w:rPr>
          <w:rFonts w:asciiTheme="majorBidi" w:hAnsiTheme="majorBidi"/>
        </w:rPr>
        <w:t>decision, the type and size of the activity) and the relevant provisions of the domestic legal system (e.g. the relevant appeal procedures and their timing).</w:t>
      </w:r>
      <w:r w:rsidR="00C30F74" w:rsidRPr="00001B0D">
        <w:rPr>
          <w:rStyle w:val="FootnoteReference"/>
          <w:rFonts w:asciiTheme="majorBidi" w:hAnsiTheme="majorBidi"/>
          <w:sz w:val="20"/>
        </w:rPr>
        <w:footnoteReference w:id="119"/>
      </w:r>
      <w:r w:rsidR="000F1050" w:rsidRPr="00001B0D">
        <w:rPr>
          <w:rFonts w:asciiTheme="majorBidi" w:hAnsiTheme="majorBidi"/>
        </w:rPr>
        <w:t xml:space="preserve"> </w:t>
      </w:r>
      <w:r w:rsidR="00827799" w:rsidRPr="00001B0D">
        <w:rPr>
          <w:rFonts w:asciiTheme="majorBidi" w:hAnsiTheme="majorBidi"/>
        </w:rPr>
        <w:t xml:space="preserve">The communicant has not provided any evidence that 3-12 January </w:t>
      </w:r>
      <w:r w:rsidR="005042DF" w:rsidRPr="003225FD">
        <w:rPr>
          <w:rFonts w:asciiTheme="majorBidi" w:hAnsiTheme="majorBidi"/>
        </w:rPr>
        <w:t xml:space="preserve">2011 </w:t>
      </w:r>
      <w:r w:rsidR="00827799" w:rsidRPr="003225FD">
        <w:rPr>
          <w:rFonts w:asciiTheme="majorBidi" w:hAnsiTheme="majorBidi"/>
        </w:rPr>
        <w:t xml:space="preserve">was a major holiday period in Lithuania. Accordingly, bearing in mind </w:t>
      </w:r>
      <w:r w:rsidR="000F1050" w:rsidRPr="003225FD">
        <w:rPr>
          <w:rFonts w:asciiTheme="majorBidi" w:hAnsiTheme="majorBidi"/>
        </w:rPr>
        <w:t xml:space="preserve">that </w:t>
      </w:r>
      <w:r w:rsidR="00A1736E" w:rsidRPr="003225FD">
        <w:rPr>
          <w:rFonts w:asciiTheme="majorBidi" w:hAnsiTheme="majorBidi"/>
        </w:rPr>
        <w:t>the time limit for</w:t>
      </w:r>
      <w:r w:rsidR="000F1050" w:rsidRPr="003225FD">
        <w:rPr>
          <w:rFonts w:asciiTheme="majorBidi" w:hAnsiTheme="majorBidi"/>
        </w:rPr>
        <w:t xml:space="preserve"> appeal</w:t>
      </w:r>
      <w:r w:rsidR="00A1736E" w:rsidRPr="003225FD">
        <w:rPr>
          <w:rFonts w:asciiTheme="majorBidi" w:hAnsiTheme="majorBidi"/>
        </w:rPr>
        <w:t xml:space="preserve"> was extended</w:t>
      </w:r>
      <w:r w:rsidR="000F1050" w:rsidRPr="003225FD">
        <w:rPr>
          <w:rFonts w:asciiTheme="majorBidi" w:hAnsiTheme="majorBidi"/>
        </w:rPr>
        <w:t xml:space="preserve">, the Committee does not find that the </w:t>
      </w:r>
      <w:r w:rsidR="00A4373C" w:rsidRPr="003225FD">
        <w:rPr>
          <w:rFonts w:asciiTheme="majorBidi" w:hAnsiTheme="majorBidi"/>
        </w:rPr>
        <w:t xml:space="preserve">dates on which the </w:t>
      </w:r>
      <w:r w:rsidR="00E7294B" w:rsidRPr="003225FD">
        <w:rPr>
          <w:rFonts w:asciiTheme="majorBidi" w:hAnsiTheme="majorBidi"/>
        </w:rPr>
        <w:t>OHL</w:t>
      </w:r>
      <w:r w:rsidRPr="003225FD">
        <w:rPr>
          <w:rFonts w:asciiTheme="majorBidi" w:hAnsiTheme="majorBidi"/>
        </w:rPr>
        <w:t xml:space="preserve"> </w:t>
      </w:r>
      <w:r w:rsidR="00A4373C" w:rsidRPr="003225FD">
        <w:rPr>
          <w:rFonts w:asciiTheme="majorBidi" w:hAnsiTheme="majorBidi"/>
        </w:rPr>
        <w:t>decision was notified</w:t>
      </w:r>
      <w:r w:rsidR="00046945" w:rsidRPr="003225FD">
        <w:rPr>
          <w:rFonts w:asciiTheme="majorBidi" w:hAnsiTheme="majorBidi"/>
        </w:rPr>
        <w:t xml:space="preserve"> </w:t>
      </w:r>
      <w:r w:rsidRPr="003225FD">
        <w:rPr>
          <w:rFonts w:asciiTheme="majorBidi" w:hAnsiTheme="majorBidi"/>
        </w:rPr>
        <w:t>amounted to non-compliance with the</w:t>
      </w:r>
      <w:r w:rsidR="006B3E69" w:rsidRPr="003225FD">
        <w:rPr>
          <w:rFonts w:asciiTheme="majorBidi" w:hAnsiTheme="majorBidi"/>
        </w:rPr>
        <w:t xml:space="preserve"> requirement in </w:t>
      </w:r>
      <w:r w:rsidR="000F1050" w:rsidRPr="003225FD">
        <w:rPr>
          <w:rFonts w:asciiTheme="majorBidi" w:hAnsiTheme="majorBidi"/>
        </w:rPr>
        <w:t>article 6</w:t>
      </w:r>
      <w:r w:rsidR="002155D8" w:rsidRPr="003225FD">
        <w:rPr>
          <w:rFonts w:asciiTheme="majorBidi" w:hAnsiTheme="majorBidi"/>
        </w:rPr>
        <w:t>(</w:t>
      </w:r>
      <w:r w:rsidR="000F1050" w:rsidRPr="003225FD">
        <w:rPr>
          <w:rFonts w:asciiTheme="majorBidi" w:hAnsiTheme="majorBidi"/>
        </w:rPr>
        <w:t>9</w:t>
      </w:r>
      <w:r w:rsidR="002155D8" w:rsidRPr="003225FD">
        <w:rPr>
          <w:rFonts w:asciiTheme="majorBidi" w:hAnsiTheme="majorBidi"/>
        </w:rPr>
        <w:t>)</w:t>
      </w:r>
      <w:r w:rsidR="000F1050" w:rsidRPr="003225FD">
        <w:rPr>
          <w:rFonts w:asciiTheme="majorBidi" w:hAnsiTheme="majorBidi"/>
        </w:rPr>
        <w:t xml:space="preserve"> </w:t>
      </w:r>
      <w:r w:rsidR="006B3E69" w:rsidRPr="003225FD">
        <w:rPr>
          <w:rFonts w:asciiTheme="majorBidi" w:hAnsiTheme="majorBidi"/>
        </w:rPr>
        <w:t>to promptly inform the public of the decision</w:t>
      </w:r>
      <w:r w:rsidR="000F1050" w:rsidRPr="003225FD">
        <w:rPr>
          <w:rFonts w:asciiTheme="majorBidi" w:hAnsiTheme="majorBidi"/>
        </w:rPr>
        <w:t>.</w:t>
      </w:r>
    </w:p>
    <w:p w14:paraId="3D729950" w14:textId="210AF902" w:rsidR="000F1050" w:rsidRPr="003225FD" w:rsidRDefault="000F1050" w:rsidP="003A1B3B">
      <w:pPr>
        <w:pStyle w:val="SingleTxtG"/>
        <w:rPr>
          <w:rFonts w:asciiTheme="majorBidi" w:hAnsiTheme="majorBidi"/>
          <w:i/>
        </w:rPr>
      </w:pPr>
      <w:r w:rsidRPr="003225FD">
        <w:rPr>
          <w:rFonts w:asciiTheme="majorBidi" w:hAnsiTheme="majorBidi"/>
          <w:i/>
        </w:rPr>
        <w:t>Providing the reasons on which the decision is based</w:t>
      </w:r>
    </w:p>
    <w:p w14:paraId="4F0E9740" w14:textId="04DFD030" w:rsidR="00AA61A3" w:rsidRPr="003225FD" w:rsidRDefault="001B16DF" w:rsidP="00761282">
      <w:pPr>
        <w:pStyle w:val="SingleTxtG"/>
        <w:numPr>
          <w:ilvl w:val="0"/>
          <w:numId w:val="3"/>
        </w:numPr>
        <w:tabs>
          <w:tab w:val="num" w:pos="1134"/>
        </w:tabs>
        <w:ind w:left="1134" w:firstLine="0"/>
        <w:rPr>
          <w:rFonts w:asciiTheme="majorBidi" w:hAnsiTheme="majorBidi"/>
        </w:rPr>
      </w:pPr>
      <w:r w:rsidRPr="003225FD">
        <w:rPr>
          <w:rFonts w:asciiTheme="majorBidi" w:hAnsiTheme="majorBidi"/>
        </w:rPr>
        <w:t xml:space="preserve">In its findings on communication ACCC/C/2006/16 (Lithuania), the Committee </w:t>
      </w:r>
      <w:r w:rsidR="001D519C" w:rsidRPr="003225FD">
        <w:rPr>
          <w:rFonts w:asciiTheme="majorBidi" w:hAnsiTheme="majorBidi"/>
        </w:rPr>
        <w:t>held</w:t>
      </w:r>
      <w:r w:rsidRPr="003225FD">
        <w:rPr>
          <w:rFonts w:asciiTheme="majorBidi" w:hAnsiTheme="majorBidi"/>
        </w:rPr>
        <w:t xml:space="preserve"> that a</w:t>
      </w:r>
      <w:r w:rsidR="000F1050" w:rsidRPr="003225FD">
        <w:rPr>
          <w:rFonts w:asciiTheme="majorBidi" w:hAnsiTheme="majorBidi"/>
        </w:rPr>
        <w:t>rticle 6</w:t>
      </w:r>
      <w:r w:rsidR="002155D8" w:rsidRPr="003225FD">
        <w:rPr>
          <w:rFonts w:asciiTheme="majorBidi" w:hAnsiTheme="majorBidi"/>
        </w:rPr>
        <w:t>(</w:t>
      </w:r>
      <w:r w:rsidR="000F1050" w:rsidRPr="003225FD">
        <w:rPr>
          <w:rFonts w:asciiTheme="majorBidi" w:hAnsiTheme="majorBidi"/>
        </w:rPr>
        <w:t>9</w:t>
      </w:r>
      <w:r w:rsidR="002155D8" w:rsidRPr="003225FD">
        <w:rPr>
          <w:rFonts w:asciiTheme="majorBidi" w:hAnsiTheme="majorBidi"/>
        </w:rPr>
        <w:t>)</w:t>
      </w:r>
      <w:r w:rsidR="00BE2DB7" w:rsidRPr="003225FD">
        <w:rPr>
          <w:rFonts w:asciiTheme="majorBidi" w:hAnsiTheme="majorBidi"/>
        </w:rPr>
        <w:t xml:space="preserve"> </w:t>
      </w:r>
      <w:r w:rsidR="000F1050" w:rsidRPr="003225FD">
        <w:rPr>
          <w:rFonts w:asciiTheme="majorBidi" w:hAnsiTheme="majorBidi"/>
        </w:rPr>
        <w:t xml:space="preserve">requires </w:t>
      </w:r>
      <w:r w:rsidR="00167B4D" w:rsidRPr="003225FD">
        <w:rPr>
          <w:rFonts w:asciiTheme="majorBidi" w:hAnsiTheme="majorBidi"/>
        </w:rPr>
        <w:t xml:space="preserve">that </w:t>
      </w:r>
      <w:r w:rsidR="000F1050" w:rsidRPr="003225FD">
        <w:rPr>
          <w:rFonts w:asciiTheme="majorBidi" w:hAnsiTheme="majorBidi"/>
        </w:rPr>
        <w:t xml:space="preserve">public authorities </w:t>
      </w:r>
      <w:r w:rsidR="00167B4D" w:rsidRPr="003225FD">
        <w:rPr>
          <w:rFonts w:asciiTheme="majorBidi" w:hAnsiTheme="majorBidi"/>
        </w:rPr>
        <w:t>provide</w:t>
      </w:r>
      <w:r w:rsidR="000F1050" w:rsidRPr="003225FD">
        <w:rPr>
          <w:rFonts w:asciiTheme="majorBidi" w:hAnsiTheme="majorBidi"/>
        </w:rPr>
        <w:t xml:space="preserve"> </w:t>
      </w:r>
      <w:r w:rsidR="00BB2F89" w:rsidRPr="003225FD">
        <w:rPr>
          <w:rFonts w:asciiTheme="majorBidi" w:hAnsiTheme="majorBidi"/>
        </w:rPr>
        <w:t xml:space="preserve">evidence of </w:t>
      </w:r>
      <w:r w:rsidR="00167B4D" w:rsidRPr="003225FD">
        <w:rPr>
          <w:rFonts w:asciiTheme="majorBidi" w:hAnsiTheme="majorBidi"/>
        </w:rPr>
        <w:t xml:space="preserve">having </w:t>
      </w:r>
      <w:r w:rsidR="00BB2F89" w:rsidRPr="003225FD">
        <w:rPr>
          <w:rFonts w:asciiTheme="majorBidi" w:hAnsiTheme="majorBidi"/>
        </w:rPr>
        <w:t>tak</w:t>
      </w:r>
      <w:r w:rsidR="00167B4D" w:rsidRPr="003225FD">
        <w:rPr>
          <w:rFonts w:asciiTheme="majorBidi" w:hAnsiTheme="majorBidi"/>
        </w:rPr>
        <w:t>en</w:t>
      </w:r>
      <w:r w:rsidR="00BB2F89" w:rsidRPr="003225FD">
        <w:rPr>
          <w:rFonts w:asciiTheme="majorBidi" w:hAnsiTheme="majorBidi"/>
        </w:rPr>
        <w:t xml:space="preserve"> due account of </w:t>
      </w:r>
      <w:r w:rsidR="00167B4D" w:rsidRPr="003225FD">
        <w:rPr>
          <w:rFonts w:asciiTheme="majorBidi" w:hAnsiTheme="majorBidi"/>
        </w:rPr>
        <w:t>t</w:t>
      </w:r>
      <w:r w:rsidR="00BB2F89" w:rsidRPr="003225FD">
        <w:rPr>
          <w:rFonts w:asciiTheme="majorBidi" w:hAnsiTheme="majorBidi"/>
        </w:rPr>
        <w:t>he outcome of public participation</w:t>
      </w:r>
      <w:r w:rsidR="004A2CF4" w:rsidRPr="003225FD">
        <w:rPr>
          <w:rFonts w:asciiTheme="majorBidi" w:hAnsiTheme="majorBidi"/>
        </w:rPr>
        <w:t>.</w:t>
      </w:r>
      <w:r w:rsidR="000F1050" w:rsidRPr="00001B0D">
        <w:rPr>
          <w:rStyle w:val="FootnoteReference"/>
          <w:rFonts w:asciiTheme="majorBidi" w:hAnsiTheme="majorBidi"/>
          <w:sz w:val="20"/>
        </w:rPr>
        <w:footnoteReference w:id="120"/>
      </w:r>
      <w:r w:rsidR="000F1050" w:rsidRPr="00001B0D">
        <w:rPr>
          <w:rFonts w:asciiTheme="majorBidi" w:hAnsiTheme="majorBidi"/>
        </w:rPr>
        <w:t xml:space="preserve"> </w:t>
      </w:r>
      <w:r w:rsidR="006B3E69" w:rsidRPr="00001B0D">
        <w:rPr>
          <w:rFonts w:asciiTheme="majorBidi" w:hAnsiTheme="majorBidi"/>
        </w:rPr>
        <w:t xml:space="preserve">The </w:t>
      </w:r>
      <w:r w:rsidR="00E7294B" w:rsidRPr="003225FD">
        <w:rPr>
          <w:rFonts w:asciiTheme="majorBidi" w:hAnsiTheme="majorBidi"/>
        </w:rPr>
        <w:t>OHL</w:t>
      </w:r>
      <w:r w:rsidR="009F137F" w:rsidRPr="003225FD">
        <w:rPr>
          <w:rFonts w:asciiTheme="majorBidi" w:hAnsiTheme="majorBidi"/>
        </w:rPr>
        <w:t xml:space="preserve"> d</w:t>
      </w:r>
      <w:r w:rsidR="000F1050" w:rsidRPr="003225FD">
        <w:rPr>
          <w:rFonts w:asciiTheme="majorBidi" w:hAnsiTheme="majorBidi"/>
        </w:rPr>
        <w:t>ecision</w:t>
      </w:r>
      <w:r w:rsidRPr="003225FD">
        <w:rPr>
          <w:rFonts w:asciiTheme="majorBidi" w:hAnsiTheme="majorBidi"/>
        </w:rPr>
        <w:t xml:space="preserve"> in the present case</w:t>
      </w:r>
      <w:r w:rsidR="006B3E69" w:rsidRPr="003225FD">
        <w:rPr>
          <w:rFonts w:asciiTheme="majorBidi" w:hAnsiTheme="majorBidi"/>
        </w:rPr>
        <w:t xml:space="preserve"> </w:t>
      </w:r>
      <w:r w:rsidR="00912A64" w:rsidRPr="003225FD">
        <w:rPr>
          <w:rFonts w:asciiTheme="majorBidi" w:hAnsiTheme="majorBidi"/>
        </w:rPr>
        <w:t xml:space="preserve">merely </w:t>
      </w:r>
      <w:r w:rsidR="005B1E58" w:rsidRPr="003225FD">
        <w:rPr>
          <w:rFonts w:asciiTheme="majorBidi" w:hAnsiTheme="majorBidi"/>
        </w:rPr>
        <w:t xml:space="preserve">states when </w:t>
      </w:r>
      <w:r w:rsidR="005042DF" w:rsidRPr="003225FD">
        <w:rPr>
          <w:rFonts w:asciiTheme="majorBidi" w:hAnsiTheme="majorBidi"/>
        </w:rPr>
        <w:t xml:space="preserve">the </w:t>
      </w:r>
      <w:r w:rsidR="005B1E58" w:rsidRPr="003225FD">
        <w:rPr>
          <w:rFonts w:asciiTheme="majorBidi" w:hAnsiTheme="majorBidi"/>
        </w:rPr>
        <w:t xml:space="preserve">public hearings were held and </w:t>
      </w:r>
      <w:r w:rsidR="005042DF" w:rsidRPr="003225FD">
        <w:rPr>
          <w:rFonts w:asciiTheme="majorBidi" w:hAnsiTheme="majorBidi"/>
        </w:rPr>
        <w:t xml:space="preserve">cites the document reference of </w:t>
      </w:r>
      <w:r w:rsidR="005B1E58" w:rsidRPr="003225FD">
        <w:rPr>
          <w:rFonts w:asciiTheme="majorBidi" w:hAnsiTheme="majorBidi"/>
        </w:rPr>
        <w:t xml:space="preserve">the minutes of the </w:t>
      </w:r>
      <w:r w:rsidR="007211B1" w:rsidRPr="003225FD">
        <w:rPr>
          <w:rFonts w:asciiTheme="majorBidi" w:hAnsiTheme="majorBidi"/>
        </w:rPr>
        <w:t xml:space="preserve">meeting </w:t>
      </w:r>
      <w:r w:rsidR="00912A64" w:rsidRPr="003225FD">
        <w:rPr>
          <w:rFonts w:asciiTheme="majorBidi" w:hAnsiTheme="majorBidi"/>
        </w:rPr>
        <w:t>held on 17 December 2010</w:t>
      </w:r>
      <w:r w:rsidR="005B1E58" w:rsidRPr="003225FD">
        <w:rPr>
          <w:rFonts w:asciiTheme="majorBidi" w:hAnsiTheme="majorBidi"/>
        </w:rPr>
        <w:t xml:space="preserve">. </w:t>
      </w:r>
      <w:r w:rsidR="00523177" w:rsidRPr="003225FD">
        <w:rPr>
          <w:rFonts w:asciiTheme="majorBidi" w:hAnsiTheme="majorBidi"/>
        </w:rPr>
        <w:t xml:space="preserve">It </w:t>
      </w:r>
      <w:r w:rsidR="006F3667" w:rsidRPr="003225FD">
        <w:rPr>
          <w:rFonts w:asciiTheme="majorBidi" w:hAnsiTheme="majorBidi"/>
        </w:rPr>
        <w:t>neither</w:t>
      </w:r>
      <w:r w:rsidR="005B1E58" w:rsidRPr="003225FD">
        <w:rPr>
          <w:rFonts w:asciiTheme="majorBidi" w:hAnsiTheme="majorBidi"/>
        </w:rPr>
        <w:t xml:space="preserve"> </w:t>
      </w:r>
      <w:r w:rsidR="00523177" w:rsidRPr="003225FD">
        <w:rPr>
          <w:rFonts w:asciiTheme="majorBidi" w:hAnsiTheme="majorBidi"/>
        </w:rPr>
        <w:t>summarize</w:t>
      </w:r>
      <w:r w:rsidR="006F3667" w:rsidRPr="003225FD">
        <w:rPr>
          <w:rFonts w:asciiTheme="majorBidi" w:hAnsiTheme="majorBidi"/>
        </w:rPr>
        <w:t>s</w:t>
      </w:r>
      <w:r w:rsidR="00523177" w:rsidRPr="003225FD">
        <w:rPr>
          <w:rFonts w:asciiTheme="majorBidi" w:hAnsiTheme="majorBidi"/>
        </w:rPr>
        <w:t xml:space="preserve"> </w:t>
      </w:r>
      <w:r w:rsidR="005B1E58" w:rsidRPr="003225FD">
        <w:rPr>
          <w:rFonts w:asciiTheme="majorBidi" w:hAnsiTheme="majorBidi"/>
        </w:rPr>
        <w:t xml:space="preserve">the comments received from the public </w:t>
      </w:r>
      <w:r w:rsidR="006F3667" w:rsidRPr="003225FD">
        <w:rPr>
          <w:rFonts w:asciiTheme="majorBidi" w:hAnsiTheme="majorBidi"/>
        </w:rPr>
        <w:t>n</w:t>
      </w:r>
      <w:r w:rsidR="005B1E58" w:rsidRPr="003225FD">
        <w:rPr>
          <w:rFonts w:asciiTheme="majorBidi" w:hAnsiTheme="majorBidi"/>
        </w:rPr>
        <w:t>or provide</w:t>
      </w:r>
      <w:r w:rsidR="006F3667" w:rsidRPr="003225FD">
        <w:rPr>
          <w:rFonts w:asciiTheme="majorBidi" w:hAnsiTheme="majorBidi"/>
        </w:rPr>
        <w:t>s</w:t>
      </w:r>
      <w:r w:rsidR="005B1E58" w:rsidRPr="003225FD">
        <w:rPr>
          <w:rFonts w:asciiTheme="majorBidi" w:hAnsiTheme="majorBidi"/>
        </w:rPr>
        <w:t xml:space="preserve"> information on how they were treated</w:t>
      </w:r>
      <w:r w:rsidR="004D6E5B" w:rsidRPr="003225FD">
        <w:rPr>
          <w:rFonts w:asciiTheme="majorBidi" w:hAnsiTheme="majorBidi"/>
        </w:rPr>
        <w:t>.</w:t>
      </w:r>
      <w:r w:rsidR="00523177" w:rsidRPr="003225FD">
        <w:rPr>
          <w:rFonts w:asciiTheme="majorBidi" w:hAnsiTheme="majorBidi"/>
        </w:rPr>
        <w:t xml:space="preserve"> </w:t>
      </w:r>
      <w:r w:rsidR="00CA36E6" w:rsidRPr="003225FD">
        <w:rPr>
          <w:rFonts w:asciiTheme="majorBidi" w:hAnsiTheme="majorBidi"/>
        </w:rPr>
        <w:t>This is not sufficient.</w:t>
      </w:r>
    </w:p>
    <w:p w14:paraId="146B6CC4" w14:textId="642CAE5F" w:rsidR="00CA36E6" w:rsidRPr="003225FD" w:rsidRDefault="00CA36E6" w:rsidP="00CA36E6">
      <w:pPr>
        <w:pStyle w:val="SingleTxtG"/>
        <w:numPr>
          <w:ilvl w:val="0"/>
          <w:numId w:val="3"/>
        </w:numPr>
        <w:tabs>
          <w:tab w:val="num" w:pos="1746"/>
        </w:tabs>
        <w:suppressAutoHyphens w:val="0"/>
        <w:autoSpaceDE w:val="0"/>
        <w:autoSpaceDN w:val="0"/>
        <w:adjustRightInd w:val="0"/>
        <w:spacing w:line="240" w:lineRule="auto"/>
        <w:ind w:left="1134" w:right="1089" w:firstLine="0"/>
        <w:rPr>
          <w:rFonts w:asciiTheme="majorBidi" w:hAnsiTheme="majorBidi"/>
          <w:lang w:val="en-US"/>
        </w:rPr>
      </w:pPr>
      <w:r w:rsidRPr="003225FD">
        <w:rPr>
          <w:rFonts w:asciiTheme="majorBidi" w:hAnsiTheme="majorBidi"/>
          <w:lang w:val="en-US"/>
        </w:rPr>
        <w:t xml:space="preserve">Nor it is sufficient that members of the public who submitted written comments, including </w:t>
      </w:r>
      <w:r w:rsidRPr="003225FD">
        <w:rPr>
          <w:rFonts w:asciiTheme="majorBidi" w:hAnsiTheme="majorBidi"/>
        </w:rPr>
        <w:t>the communicant, received an individual written response regarding their comments. W</w:t>
      </w:r>
      <w:r w:rsidRPr="003225FD">
        <w:rPr>
          <w:rFonts w:asciiTheme="majorBidi" w:hAnsiTheme="majorBidi"/>
          <w:lang w:val="en-US"/>
        </w:rPr>
        <w:t xml:space="preserve">hile writing individually to each member of the public who submitted comments may be an additional good practice, such individual “private” replies cannot meet the requirement in article 6(9) to publicly show the reasons on which the decision is based, including how the public’s comments have been taken into account. </w:t>
      </w:r>
    </w:p>
    <w:p w14:paraId="65AD7850" w14:textId="497CEEE8" w:rsidR="001B3BF5" w:rsidRPr="00001B0D" w:rsidRDefault="004D69A6" w:rsidP="00882D2F">
      <w:pPr>
        <w:pStyle w:val="SingleTxtG"/>
        <w:numPr>
          <w:ilvl w:val="0"/>
          <w:numId w:val="3"/>
        </w:numPr>
        <w:tabs>
          <w:tab w:val="num" w:pos="1134"/>
        </w:tabs>
        <w:ind w:left="1134" w:firstLine="0"/>
        <w:rPr>
          <w:rFonts w:asciiTheme="majorBidi" w:hAnsiTheme="majorBidi"/>
        </w:rPr>
      </w:pPr>
      <w:bookmarkStart w:id="73" w:name="_Ref8571871"/>
      <w:r w:rsidRPr="003225FD">
        <w:rPr>
          <w:rFonts w:asciiTheme="majorBidi" w:hAnsiTheme="majorBidi"/>
        </w:rPr>
        <w:lastRenderedPageBreak/>
        <w:t>As for</w:t>
      </w:r>
      <w:r w:rsidR="007F77AA" w:rsidRPr="003225FD">
        <w:rPr>
          <w:rFonts w:asciiTheme="majorBidi" w:hAnsiTheme="majorBidi"/>
        </w:rPr>
        <w:t xml:space="preserve"> the minutes</w:t>
      </w:r>
      <w:r w:rsidR="00CA36E6" w:rsidRPr="003225FD">
        <w:rPr>
          <w:rFonts w:asciiTheme="majorBidi" w:hAnsiTheme="majorBidi"/>
        </w:rPr>
        <w:t xml:space="preserve"> of the meeting on 17 December 2010</w:t>
      </w:r>
      <w:r w:rsidR="007F77AA" w:rsidRPr="003225FD">
        <w:rPr>
          <w:rFonts w:asciiTheme="majorBidi" w:hAnsiTheme="majorBidi"/>
        </w:rPr>
        <w:t xml:space="preserve">, </w:t>
      </w:r>
      <w:r w:rsidR="00285E8F" w:rsidRPr="003225FD">
        <w:rPr>
          <w:rFonts w:asciiTheme="majorBidi" w:hAnsiTheme="majorBidi"/>
        </w:rPr>
        <w:t xml:space="preserve">the </w:t>
      </w:r>
      <w:bookmarkEnd w:id="73"/>
      <w:r w:rsidR="00285E8F" w:rsidRPr="003225FD">
        <w:rPr>
          <w:rFonts w:asciiTheme="majorBidi" w:hAnsiTheme="majorBidi"/>
        </w:rPr>
        <w:t xml:space="preserve">Committee notes that since its June 2015 amendment, item 37 of the Public Participation Order now requires the competent authority, no later than three working days after the decision’s adoption, to post on its website both the decision and the minutes of the meeting held with the members of the public who submitted comments on the EIA report to discuss their comments. The </w:t>
      </w:r>
      <w:r w:rsidR="007F77AA" w:rsidRPr="003225FD">
        <w:rPr>
          <w:rFonts w:asciiTheme="majorBidi" w:hAnsiTheme="majorBidi"/>
        </w:rPr>
        <w:t>Committee has</w:t>
      </w:r>
      <w:r w:rsidR="00285E8F" w:rsidRPr="003225FD">
        <w:rPr>
          <w:rFonts w:asciiTheme="majorBidi" w:hAnsiTheme="majorBidi"/>
        </w:rPr>
        <w:t>, however,</w:t>
      </w:r>
      <w:r w:rsidR="007F77AA" w:rsidRPr="003225FD">
        <w:rPr>
          <w:rFonts w:asciiTheme="majorBidi" w:hAnsiTheme="majorBidi"/>
        </w:rPr>
        <w:t xml:space="preserve"> </w:t>
      </w:r>
      <w:r w:rsidR="00110E39" w:rsidRPr="003225FD">
        <w:rPr>
          <w:rFonts w:asciiTheme="majorBidi" w:hAnsiTheme="majorBidi"/>
        </w:rPr>
        <w:t>received no information</w:t>
      </w:r>
      <w:r w:rsidRPr="003225FD">
        <w:rPr>
          <w:rFonts w:asciiTheme="majorBidi" w:hAnsiTheme="majorBidi"/>
        </w:rPr>
        <w:t xml:space="preserve"> to indicate that the</w:t>
      </w:r>
      <w:r w:rsidR="00285E8F" w:rsidRPr="003225FD">
        <w:rPr>
          <w:rFonts w:asciiTheme="majorBidi" w:hAnsiTheme="majorBidi"/>
        </w:rPr>
        <w:t xml:space="preserve"> minutes of the meeting on 17 December 2010</w:t>
      </w:r>
      <w:r w:rsidRPr="003225FD">
        <w:rPr>
          <w:rFonts w:asciiTheme="majorBidi" w:hAnsiTheme="majorBidi"/>
        </w:rPr>
        <w:t xml:space="preserve"> were made available to the public at the same time and in the same places as the OHL decision itself</w:t>
      </w:r>
      <w:r w:rsidR="002B185B" w:rsidRPr="003225FD">
        <w:rPr>
          <w:rFonts w:asciiTheme="majorBidi" w:hAnsiTheme="majorBidi"/>
        </w:rPr>
        <w:t>, or that the minutes</w:t>
      </w:r>
      <w:r w:rsidR="00DE4B1C" w:rsidRPr="003225FD">
        <w:rPr>
          <w:rFonts w:asciiTheme="majorBidi" w:hAnsiTheme="majorBidi"/>
        </w:rPr>
        <w:t xml:space="preserve"> </w:t>
      </w:r>
      <w:r w:rsidR="002B185B" w:rsidRPr="003225FD">
        <w:rPr>
          <w:rFonts w:asciiTheme="majorBidi" w:hAnsiTheme="majorBidi"/>
        </w:rPr>
        <w:t>show that due account was taken of the outcome of public participation</w:t>
      </w:r>
      <w:r w:rsidRPr="003225FD">
        <w:rPr>
          <w:rFonts w:asciiTheme="majorBidi" w:hAnsiTheme="majorBidi"/>
        </w:rPr>
        <w:t xml:space="preserve">. </w:t>
      </w:r>
      <w:r w:rsidR="00CA36E6" w:rsidRPr="003225FD">
        <w:rPr>
          <w:rFonts w:asciiTheme="majorBidi" w:hAnsiTheme="majorBidi"/>
        </w:rPr>
        <w:t xml:space="preserve">Moreover, the Committee has not been provided with a copy of the minutes of </w:t>
      </w:r>
      <w:r w:rsidR="00AC7679" w:rsidRPr="003225FD">
        <w:rPr>
          <w:rFonts w:asciiTheme="majorBidi" w:hAnsiTheme="majorBidi"/>
        </w:rPr>
        <w:t xml:space="preserve">the </w:t>
      </w:r>
      <w:r w:rsidR="00CA36E6" w:rsidRPr="003225FD">
        <w:rPr>
          <w:rFonts w:asciiTheme="majorBidi" w:hAnsiTheme="majorBidi"/>
        </w:rPr>
        <w:t>meeting</w:t>
      </w:r>
      <w:r w:rsidR="007933A2" w:rsidRPr="003225FD">
        <w:rPr>
          <w:rFonts w:asciiTheme="majorBidi" w:hAnsiTheme="majorBidi"/>
        </w:rPr>
        <w:t xml:space="preserve"> on 17 December</w:t>
      </w:r>
      <w:r w:rsidR="00665811" w:rsidRPr="003225FD">
        <w:rPr>
          <w:rFonts w:asciiTheme="majorBidi" w:hAnsiTheme="majorBidi"/>
        </w:rPr>
        <w:t xml:space="preserve">. </w:t>
      </w:r>
      <w:r w:rsidR="00F654C3" w:rsidRPr="003225FD">
        <w:rPr>
          <w:rFonts w:asciiTheme="majorBidi" w:hAnsiTheme="majorBidi"/>
        </w:rPr>
        <w:t xml:space="preserve">Thus, the Party concerned has not demonstrated to the Committee that the competent </w:t>
      </w:r>
      <w:r w:rsidR="003B544F" w:rsidRPr="003225FD">
        <w:rPr>
          <w:rFonts w:asciiTheme="majorBidi" w:hAnsiTheme="majorBidi"/>
        </w:rPr>
        <w:t xml:space="preserve">public </w:t>
      </w:r>
      <w:r w:rsidR="00F654C3" w:rsidRPr="003225FD">
        <w:rPr>
          <w:rFonts w:asciiTheme="majorBidi" w:hAnsiTheme="majorBidi"/>
        </w:rPr>
        <w:t>authority</w:t>
      </w:r>
      <w:r w:rsidR="0024608A" w:rsidRPr="003225FD">
        <w:rPr>
          <w:rFonts w:asciiTheme="majorBidi" w:hAnsiTheme="majorBidi"/>
        </w:rPr>
        <w:t xml:space="preserve"> </w:t>
      </w:r>
      <w:r w:rsidR="00F654C3" w:rsidRPr="003225FD">
        <w:rPr>
          <w:rFonts w:asciiTheme="majorBidi" w:hAnsiTheme="majorBidi"/>
        </w:rPr>
        <w:t>provided evidence to the public</w:t>
      </w:r>
      <w:r w:rsidR="0024608A" w:rsidRPr="003225FD">
        <w:rPr>
          <w:rFonts w:asciiTheme="majorBidi" w:hAnsiTheme="majorBidi"/>
        </w:rPr>
        <w:t xml:space="preserve">, </w:t>
      </w:r>
      <w:r w:rsidR="004B6442" w:rsidRPr="003225FD">
        <w:rPr>
          <w:rFonts w:asciiTheme="majorBidi" w:hAnsiTheme="majorBidi"/>
        </w:rPr>
        <w:t>along</w:t>
      </w:r>
      <w:r w:rsidR="0024608A" w:rsidRPr="003225FD">
        <w:rPr>
          <w:rFonts w:asciiTheme="majorBidi" w:hAnsiTheme="majorBidi"/>
        </w:rPr>
        <w:t xml:space="preserve"> with the decision</w:t>
      </w:r>
      <w:r w:rsidR="0024608A" w:rsidRPr="00001B0D">
        <w:rPr>
          <w:rFonts w:asciiTheme="majorBidi" w:hAnsiTheme="majorBidi"/>
        </w:rPr>
        <w:t xml:space="preserve">, </w:t>
      </w:r>
      <w:r w:rsidR="00F654C3" w:rsidRPr="003225FD">
        <w:rPr>
          <w:rFonts w:asciiTheme="majorBidi" w:hAnsiTheme="majorBidi"/>
        </w:rPr>
        <w:t xml:space="preserve">that due account was taken of the outcome of public participation. </w:t>
      </w:r>
    </w:p>
    <w:p w14:paraId="3662A325" w14:textId="41FF6399" w:rsidR="00877022" w:rsidRPr="003225FD" w:rsidRDefault="00877022" w:rsidP="00877022">
      <w:pPr>
        <w:pStyle w:val="SingleTxtG"/>
        <w:numPr>
          <w:ilvl w:val="0"/>
          <w:numId w:val="3"/>
        </w:numPr>
        <w:tabs>
          <w:tab w:val="num" w:pos="1134"/>
        </w:tabs>
        <w:ind w:left="1134" w:firstLine="0"/>
        <w:rPr>
          <w:rFonts w:asciiTheme="majorBidi" w:hAnsiTheme="majorBidi"/>
        </w:rPr>
      </w:pPr>
      <w:r w:rsidRPr="003225FD">
        <w:rPr>
          <w:rFonts w:asciiTheme="majorBidi" w:hAnsiTheme="majorBidi"/>
        </w:rPr>
        <w:t xml:space="preserve">In the light of the above, the Committee finds that, by </w:t>
      </w:r>
      <w:r w:rsidR="00AF1084" w:rsidRPr="003225FD">
        <w:rPr>
          <w:rFonts w:asciiTheme="majorBidi" w:hAnsiTheme="majorBidi"/>
        </w:rPr>
        <w:t>failing to demonstrate to the Committee that</w:t>
      </w:r>
      <w:r w:rsidR="00F654C3" w:rsidRPr="003225FD">
        <w:rPr>
          <w:rFonts w:asciiTheme="majorBidi" w:hAnsiTheme="majorBidi"/>
        </w:rPr>
        <w:t xml:space="preserve"> the competent </w:t>
      </w:r>
      <w:r w:rsidR="003B544F" w:rsidRPr="003225FD">
        <w:rPr>
          <w:rFonts w:asciiTheme="majorBidi" w:hAnsiTheme="majorBidi"/>
        </w:rPr>
        <w:t xml:space="preserve">public </w:t>
      </w:r>
      <w:r w:rsidR="00F654C3" w:rsidRPr="003225FD">
        <w:rPr>
          <w:rFonts w:asciiTheme="majorBidi" w:hAnsiTheme="majorBidi"/>
        </w:rPr>
        <w:t>authority provided evidence to the public</w:t>
      </w:r>
      <w:r w:rsidR="00DE4B1C" w:rsidRPr="003225FD">
        <w:rPr>
          <w:rFonts w:asciiTheme="majorBidi" w:hAnsiTheme="majorBidi"/>
        </w:rPr>
        <w:t xml:space="preserve">, either in or </w:t>
      </w:r>
      <w:r w:rsidR="00326FBA" w:rsidRPr="003225FD">
        <w:rPr>
          <w:rFonts w:asciiTheme="majorBidi" w:hAnsiTheme="majorBidi"/>
        </w:rPr>
        <w:t>along</w:t>
      </w:r>
      <w:r w:rsidR="00DE4B1C" w:rsidRPr="003225FD">
        <w:rPr>
          <w:rFonts w:asciiTheme="majorBidi" w:hAnsiTheme="majorBidi"/>
        </w:rPr>
        <w:t xml:space="preserve"> with the decision,</w:t>
      </w:r>
      <w:r w:rsidR="00F654C3" w:rsidRPr="00001B0D">
        <w:rPr>
          <w:rFonts w:asciiTheme="majorBidi" w:hAnsiTheme="majorBidi"/>
        </w:rPr>
        <w:t xml:space="preserve"> that due account was taken of the outcome of public participation</w:t>
      </w:r>
      <w:r w:rsidR="00AF1084" w:rsidRPr="00001B0D">
        <w:rPr>
          <w:rFonts w:asciiTheme="majorBidi" w:hAnsiTheme="majorBidi"/>
        </w:rPr>
        <w:t>, the Party concerned failed to comply with article 6(9) of the Convention</w:t>
      </w:r>
      <w:r w:rsidRPr="003225FD">
        <w:rPr>
          <w:rFonts w:asciiTheme="majorBidi" w:hAnsiTheme="majorBidi"/>
        </w:rPr>
        <w:t>.</w:t>
      </w:r>
      <w:r w:rsidRPr="003225FD">
        <w:t xml:space="preserve">  </w:t>
      </w:r>
    </w:p>
    <w:p w14:paraId="501B6CAB" w14:textId="77777777" w:rsidR="001B3BF5" w:rsidRPr="003225FD" w:rsidRDefault="001B3BF5" w:rsidP="00001B0D">
      <w:pPr>
        <w:pStyle w:val="SingleTxtG"/>
        <w:rPr>
          <w:rFonts w:asciiTheme="majorBidi" w:hAnsiTheme="majorBidi"/>
        </w:rPr>
      </w:pPr>
    </w:p>
    <w:p w14:paraId="094A98C5" w14:textId="671B3F80" w:rsidR="00A84B4C" w:rsidRPr="003225FD" w:rsidRDefault="00A84B4C" w:rsidP="00CD2784">
      <w:pPr>
        <w:pStyle w:val="SingleTxtG"/>
        <w:tabs>
          <w:tab w:val="num" w:pos="1134"/>
        </w:tabs>
        <w:rPr>
          <w:rFonts w:asciiTheme="majorBidi" w:hAnsiTheme="majorBidi"/>
          <w:b/>
        </w:rPr>
      </w:pPr>
      <w:r w:rsidRPr="003225FD">
        <w:rPr>
          <w:rFonts w:asciiTheme="majorBidi" w:hAnsiTheme="majorBidi"/>
          <w:b/>
        </w:rPr>
        <w:t>Article 9</w:t>
      </w:r>
      <w:r w:rsidR="002155D8" w:rsidRPr="003225FD">
        <w:rPr>
          <w:rFonts w:asciiTheme="majorBidi" w:hAnsiTheme="majorBidi"/>
          <w:b/>
        </w:rPr>
        <w:t>(</w:t>
      </w:r>
      <w:r w:rsidRPr="003225FD">
        <w:rPr>
          <w:rFonts w:asciiTheme="majorBidi" w:hAnsiTheme="majorBidi"/>
          <w:b/>
        </w:rPr>
        <w:t>2</w:t>
      </w:r>
      <w:r w:rsidR="008E6D6B" w:rsidRPr="003225FD">
        <w:rPr>
          <w:rFonts w:asciiTheme="majorBidi" w:hAnsiTheme="majorBidi"/>
          <w:b/>
        </w:rPr>
        <w:t>)</w:t>
      </w:r>
    </w:p>
    <w:p w14:paraId="0DD382E1" w14:textId="28FD366A" w:rsidR="002A0F61" w:rsidRPr="003225FD" w:rsidRDefault="00D54790" w:rsidP="00A3230F">
      <w:pPr>
        <w:pStyle w:val="SingleTxtG"/>
        <w:numPr>
          <w:ilvl w:val="0"/>
          <w:numId w:val="3"/>
        </w:numPr>
        <w:tabs>
          <w:tab w:val="num" w:pos="1134"/>
        </w:tabs>
        <w:ind w:left="1134" w:firstLine="0"/>
        <w:rPr>
          <w:rFonts w:asciiTheme="majorBidi" w:hAnsiTheme="majorBidi"/>
        </w:rPr>
      </w:pPr>
      <w:r w:rsidRPr="003225FD">
        <w:rPr>
          <w:rFonts w:asciiTheme="majorBidi" w:hAnsiTheme="majorBidi"/>
        </w:rPr>
        <w:t>A</w:t>
      </w:r>
      <w:r w:rsidR="00896D82" w:rsidRPr="003225FD">
        <w:rPr>
          <w:rFonts w:asciiTheme="majorBidi" w:hAnsiTheme="majorBidi"/>
        </w:rPr>
        <w:t xml:space="preserve">s the Party concerned </w:t>
      </w:r>
      <w:r w:rsidRPr="003225FD">
        <w:rPr>
          <w:rFonts w:asciiTheme="majorBidi" w:hAnsiTheme="majorBidi"/>
        </w:rPr>
        <w:t>points out</w:t>
      </w:r>
      <w:r w:rsidR="00896D82" w:rsidRPr="003225FD">
        <w:rPr>
          <w:rFonts w:asciiTheme="majorBidi" w:hAnsiTheme="majorBidi"/>
        </w:rPr>
        <w:t xml:space="preserve">, the communicant was </w:t>
      </w:r>
      <w:r w:rsidRPr="003225FD">
        <w:rPr>
          <w:rFonts w:asciiTheme="majorBidi" w:hAnsiTheme="majorBidi"/>
        </w:rPr>
        <w:t xml:space="preserve">granted standing </w:t>
      </w:r>
      <w:r w:rsidR="0080725A" w:rsidRPr="003225FD">
        <w:rPr>
          <w:rFonts w:asciiTheme="majorBidi" w:hAnsiTheme="majorBidi"/>
        </w:rPr>
        <w:t xml:space="preserve">by the courts </w:t>
      </w:r>
      <w:r w:rsidRPr="003225FD">
        <w:rPr>
          <w:rFonts w:asciiTheme="majorBidi" w:hAnsiTheme="majorBidi"/>
        </w:rPr>
        <w:t xml:space="preserve">to </w:t>
      </w:r>
      <w:r w:rsidR="00896D82" w:rsidRPr="003225FD">
        <w:rPr>
          <w:rFonts w:asciiTheme="majorBidi" w:hAnsiTheme="majorBidi"/>
        </w:rPr>
        <w:t xml:space="preserve">challenge the </w:t>
      </w:r>
      <w:r w:rsidR="00E7294B" w:rsidRPr="003225FD">
        <w:rPr>
          <w:rFonts w:asciiTheme="majorBidi" w:hAnsiTheme="majorBidi"/>
        </w:rPr>
        <w:t>OHL</w:t>
      </w:r>
      <w:r w:rsidR="00896D82" w:rsidRPr="003225FD">
        <w:rPr>
          <w:rFonts w:asciiTheme="majorBidi" w:hAnsiTheme="majorBidi"/>
        </w:rPr>
        <w:t xml:space="preserve"> decision.</w:t>
      </w:r>
      <w:r w:rsidR="0020002F" w:rsidRPr="003225FD">
        <w:rPr>
          <w:rFonts w:asciiTheme="majorBidi" w:hAnsiTheme="majorBidi"/>
        </w:rPr>
        <w:t xml:space="preserve"> </w:t>
      </w:r>
      <w:r w:rsidR="00C91920" w:rsidRPr="003225FD">
        <w:rPr>
          <w:rFonts w:asciiTheme="majorBidi" w:hAnsiTheme="majorBidi"/>
        </w:rPr>
        <w:t xml:space="preserve">The Committee </w:t>
      </w:r>
      <w:r w:rsidR="0080725A" w:rsidRPr="003225FD">
        <w:rPr>
          <w:rFonts w:asciiTheme="majorBidi" w:hAnsiTheme="majorBidi"/>
        </w:rPr>
        <w:t xml:space="preserve">accordingly finds that the communicant has not substantiated its claim </w:t>
      </w:r>
      <w:r w:rsidR="003D039F" w:rsidRPr="003225FD">
        <w:rPr>
          <w:rFonts w:asciiTheme="majorBidi" w:hAnsiTheme="majorBidi"/>
        </w:rPr>
        <w:t>that the Party concerned failed to comply with article 9</w:t>
      </w:r>
      <w:r w:rsidR="008E6D6B" w:rsidRPr="003225FD">
        <w:rPr>
          <w:rFonts w:asciiTheme="majorBidi" w:hAnsiTheme="majorBidi"/>
        </w:rPr>
        <w:t>(</w:t>
      </w:r>
      <w:r w:rsidR="003D039F" w:rsidRPr="003225FD">
        <w:rPr>
          <w:rFonts w:asciiTheme="majorBidi" w:hAnsiTheme="majorBidi"/>
        </w:rPr>
        <w:t>2</w:t>
      </w:r>
      <w:r w:rsidR="008E6D6B" w:rsidRPr="003225FD">
        <w:rPr>
          <w:rFonts w:asciiTheme="majorBidi" w:hAnsiTheme="majorBidi"/>
        </w:rPr>
        <w:t>)</w:t>
      </w:r>
      <w:r w:rsidRPr="003225FD">
        <w:rPr>
          <w:rFonts w:asciiTheme="majorBidi" w:hAnsiTheme="majorBidi"/>
        </w:rPr>
        <w:t xml:space="preserve"> of the Convention</w:t>
      </w:r>
      <w:r w:rsidR="003D039F" w:rsidRPr="003225FD">
        <w:rPr>
          <w:rFonts w:asciiTheme="majorBidi" w:hAnsiTheme="majorBidi"/>
        </w:rPr>
        <w:t>.</w:t>
      </w:r>
    </w:p>
    <w:p w14:paraId="7AF4F3C2" w14:textId="77777777" w:rsidR="00665811" w:rsidRPr="003225FD" w:rsidRDefault="00665811" w:rsidP="00BB26D3">
      <w:pPr>
        <w:pStyle w:val="SingleTxtG"/>
        <w:tabs>
          <w:tab w:val="num" w:pos="1134"/>
        </w:tabs>
        <w:rPr>
          <w:rFonts w:asciiTheme="majorBidi" w:hAnsiTheme="majorBidi"/>
          <w:b/>
        </w:rPr>
      </w:pPr>
    </w:p>
    <w:p w14:paraId="788ED726" w14:textId="021F044F" w:rsidR="00F95872" w:rsidRPr="003225FD" w:rsidRDefault="0093671D" w:rsidP="00C47315">
      <w:pPr>
        <w:pStyle w:val="SingleTxtG"/>
        <w:tabs>
          <w:tab w:val="num" w:pos="1134"/>
        </w:tabs>
        <w:rPr>
          <w:rFonts w:asciiTheme="majorBidi" w:hAnsiTheme="majorBidi"/>
          <w:b/>
        </w:rPr>
      </w:pPr>
      <w:r w:rsidRPr="003225FD">
        <w:rPr>
          <w:rFonts w:asciiTheme="majorBidi" w:hAnsiTheme="majorBidi"/>
          <w:b/>
        </w:rPr>
        <w:t>Article 9</w:t>
      </w:r>
      <w:r w:rsidR="008E6D6B" w:rsidRPr="003225FD">
        <w:rPr>
          <w:rFonts w:asciiTheme="majorBidi" w:hAnsiTheme="majorBidi"/>
          <w:b/>
        </w:rPr>
        <w:t>(</w:t>
      </w:r>
      <w:r w:rsidRPr="003225FD">
        <w:rPr>
          <w:rFonts w:asciiTheme="majorBidi" w:hAnsiTheme="majorBidi"/>
          <w:b/>
        </w:rPr>
        <w:t>4</w:t>
      </w:r>
      <w:r w:rsidR="008E6D6B" w:rsidRPr="003225FD">
        <w:rPr>
          <w:rFonts w:asciiTheme="majorBidi" w:hAnsiTheme="majorBidi"/>
          <w:b/>
        </w:rPr>
        <w:t>)</w:t>
      </w:r>
      <w:r w:rsidRPr="003225FD">
        <w:rPr>
          <w:rFonts w:asciiTheme="majorBidi" w:hAnsiTheme="majorBidi"/>
          <w:b/>
        </w:rPr>
        <w:t xml:space="preserve"> </w:t>
      </w:r>
    </w:p>
    <w:p w14:paraId="4267B44B" w14:textId="16286966" w:rsidR="00D658E1" w:rsidRPr="003225FD" w:rsidRDefault="00F95872" w:rsidP="00C47315">
      <w:pPr>
        <w:pStyle w:val="SingleTxtG"/>
        <w:tabs>
          <w:tab w:val="num" w:pos="1134"/>
        </w:tabs>
        <w:rPr>
          <w:rFonts w:asciiTheme="majorBidi" w:hAnsiTheme="majorBidi"/>
          <w:i/>
        </w:rPr>
      </w:pPr>
      <w:r w:rsidRPr="003225FD">
        <w:rPr>
          <w:rFonts w:asciiTheme="majorBidi" w:hAnsiTheme="majorBidi"/>
          <w:i/>
        </w:rPr>
        <w:t>I</w:t>
      </w:r>
      <w:r w:rsidR="00D658E1" w:rsidRPr="003225FD">
        <w:rPr>
          <w:rFonts w:asciiTheme="majorBidi" w:hAnsiTheme="majorBidi"/>
          <w:i/>
        </w:rPr>
        <w:t>njunctive relief</w:t>
      </w:r>
    </w:p>
    <w:p w14:paraId="0CA29914" w14:textId="27A3A1ED" w:rsidR="00F60E3D" w:rsidRPr="003225FD" w:rsidRDefault="00EB1583" w:rsidP="003A1B3B">
      <w:pPr>
        <w:pStyle w:val="SingleTxtG"/>
        <w:numPr>
          <w:ilvl w:val="0"/>
          <w:numId w:val="3"/>
        </w:numPr>
        <w:tabs>
          <w:tab w:val="num" w:pos="1134"/>
        </w:tabs>
        <w:ind w:left="1134" w:firstLine="0"/>
        <w:rPr>
          <w:rFonts w:asciiTheme="majorBidi" w:hAnsiTheme="majorBidi"/>
        </w:rPr>
      </w:pPr>
      <w:r w:rsidRPr="003225FD">
        <w:rPr>
          <w:rFonts w:asciiTheme="majorBidi" w:hAnsiTheme="majorBidi"/>
        </w:rPr>
        <w:t>A</w:t>
      </w:r>
      <w:r w:rsidR="00D658E1" w:rsidRPr="003225FD">
        <w:rPr>
          <w:rFonts w:asciiTheme="majorBidi" w:hAnsiTheme="majorBidi"/>
        </w:rPr>
        <w:t>rticle 9</w:t>
      </w:r>
      <w:r w:rsidR="008E6D6B" w:rsidRPr="003225FD">
        <w:rPr>
          <w:rFonts w:asciiTheme="majorBidi" w:hAnsiTheme="majorBidi"/>
        </w:rPr>
        <w:t>(</w:t>
      </w:r>
      <w:r w:rsidR="00D658E1" w:rsidRPr="003225FD">
        <w:rPr>
          <w:rFonts w:asciiTheme="majorBidi" w:hAnsiTheme="majorBidi"/>
        </w:rPr>
        <w:t>4</w:t>
      </w:r>
      <w:r w:rsidR="008E6D6B" w:rsidRPr="003225FD">
        <w:rPr>
          <w:rFonts w:asciiTheme="majorBidi" w:hAnsiTheme="majorBidi"/>
        </w:rPr>
        <w:t>)</w:t>
      </w:r>
      <w:r w:rsidR="00D658E1" w:rsidRPr="003225FD">
        <w:rPr>
          <w:rFonts w:asciiTheme="majorBidi" w:hAnsiTheme="majorBidi"/>
        </w:rPr>
        <w:t xml:space="preserve"> requires that Parties </w:t>
      </w:r>
      <w:r w:rsidRPr="003225FD">
        <w:rPr>
          <w:rFonts w:asciiTheme="majorBidi" w:hAnsiTheme="majorBidi"/>
        </w:rPr>
        <w:t>provide</w:t>
      </w:r>
      <w:r w:rsidR="00D658E1" w:rsidRPr="003225FD">
        <w:rPr>
          <w:rFonts w:asciiTheme="majorBidi" w:hAnsiTheme="majorBidi"/>
        </w:rPr>
        <w:t xml:space="preserve"> injunctive relief “as appropriate”. The communicant has not </w:t>
      </w:r>
      <w:r w:rsidR="00405EEB" w:rsidRPr="003225FD">
        <w:rPr>
          <w:rFonts w:asciiTheme="majorBidi" w:hAnsiTheme="majorBidi"/>
        </w:rPr>
        <w:t xml:space="preserve">demonstrated </w:t>
      </w:r>
      <w:r w:rsidR="00D658E1" w:rsidRPr="003225FD">
        <w:rPr>
          <w:rFonts w:asciiTheme="majorBidi" w:hAnsiTheme="majorBidi"/>
        </w:rPr>
        <w:t>why injunctive relief in this case</w:t>
      </w:r>
      <w:r w:rsidR="009A0506" w:rsidRPr="003225FD">
        <w:rPr>
          <w:rFonts w:asciiTheme="majorBidi" w:hAnsiTheme="majorBidi"/>
        </w:rPr>
        <w:t xml:space="preserve"> was appropriate</w:t>
      </w:r>
      <w:r w:rsidR="000B6299" w:rsidRPr="003225FD">
        <w:rPr>
          <w:rFonts w:asciiTheme="majorBidi" w:hAnsiTheme="majorBidi"/>
        </w:rPr>
        <w:t xml:space="preserve">, and thus required, </w:t>
      </w:r>
      <w:r w:rsidR="009F137F" w:rsidRPr="003225FD">
        <w:rPr>
          <w:rFonts w:asciiTheme="majorBidi" w:hAnsiTheme="majorBidi"/>
        </w:rPr>
        <w:t>since t</w:t>
      </w:r>
      <w:r w:rsidR="00D658E1" w:rsidRPr="003225FD">
        <w:rPr>
          <w:rFonts w:asciiTheme="majorBidi" w:hAnsiTheme="majorBidi"/>
        </w:rPr>
        <w:t xml:space="preserve">he </w:t>
      </w:r>
      <w:r w:rsidR="000447A5" w:rsidRPr="003225FD">
        <w:rPr>
          <w:rFonts w:asciiTheme="majorBidi" w:hAnsiTheme="majorBidi"/>
        </w:rPr>
        <w:t xml:space="preserve">Kaunas Regional Court </w:t>
      </w:r>
      <w:r w:rsidR="00E95E5D" w:rsidRPr="003225FD">
        <w:rPr>
          <w:rFonts w:asciiTheme="majorBidi" w:hAnsiTheme="majorBidi"/>
        </w:rPr>
        <w:t xml:space="preserve">issued its decision </w:t>
      </w:r>
      <w:r w:rsidR="00896D82" w:rsidRPr="003225FD">
        <w:rPr>
          <w:rFonts w:asciiTheme="majorBidi" w:hAnsiTheme="majorBidi"/>
        </w:rPr>
        <w:t>in 2012</w:t>
      </w:r>
      <w:r w:rsidR="00E95E5D" w:rsidRPr="003225FD">
        <w:rPr>
          <w:rFonts w:asciiTheme="majorBidi" w:hAnsiTheme="majorBidi"/>
        </w:rPr>
        <w:t xml:space="preserve"> </w:t>
      </w:r>
      <w:r w:rsidR="009F137F" w:rsidRPr="003225FD">
        <w:rPr>
          <w:rFonts w:asciiTheme="majorBidi" w:hAnsiTheme="majorBidi"/>
        </w:rPr>
        <w:t>and</w:t>
      </w:r>
      <w:r w:rsidR="00E95E5D" w:rsidRPr="003225FD">
        <w:rPr>
          <w:rFonts w:asciiTheme="majorBidi" w:hAnsiTheme="majorBidi"/>
        </w:rPr>
        <w:t xml:space="preserve"> </w:t>
      </w:r>
      <w:r w:rsidR="00D658E1" w:rsidRPr="003225FD">
        <w:rPr>
          <w:rFonts w:asciiTheme="majorBidi" w:hAnsiTheme="majorBidi"/>
        </w:rPr>
        <w:t xml:space="preserve">construction </w:t>
      </w:r>
      <w:r w:rsidR="00405EEB" w:rsidRPr="003225FD">
        <w:rPr>
          <w:rFonts w:asciiTheme="majorBidi" w:hAnsiTheme="majorBidi"/>
        </w:rPr>
        <w:t xml:space="preserve">did not start </w:t>
      </w:r>
      <w:r w:rsidR="00E95E5D" w:rsidRPr="003225FD">
        <w:rPr>
          <w:rFonts w:asciiTheme="majorBidi" w:hAnsiTheme="majorBidi"/>
        </w:rPr>
        <w:t xml:space="preserve">until </w:t>
      </w:r>
      <w:r w:rsidR="00D658E1" w:rsidRPr="003225FD">
        <w:rPr>
          <w:rFonts w:asciiTheme="majorBidi" w:hAnsiTheme="majorBidi"/>
        </w:rPr>
        <w:t xml:space="preserve">5 May 2014. </w:t>
      </w:r>
      <w:r w:rsidRPr="003225FD">
        <w:rPr>
          <w:rFonts w:asciiTheme="majorBidi" w:hAnsiTheme="majorBidi"/>
        </w:rPr>
        <w:t>The</w:t>
      </w:r>
      <w:r w:rsidR="00D658E1" w:rsidRPr="003225FD">
        <w:rPr>
          <w:rFonts w:asciiTheme="majorBidi" w:hAnsiTheme="majorBidi"/>
        </w:rPr>
        <w:t xml:space="preserve"> Committee </w:t>
      </w:r>
      <w:r w:rsidRPr="003225FD">
        <w:rPr>
          <w:rFonts w:asciiTheme="majorBidi" w:hAnsiTheme="majorBidi"/>
        </w:rPr>
        <w:t xml:space="preserve">accordingly </w:t>
      </w:r>
      <w:r w:rsidR="00D658E1" w:rsidRPr="003225FD">
        <w:rPr>
          <w:rFonts w:asciiTheme="majorBidi" w:hAnsiTheme="majorBidi"/>
        </w:rPr>
        <w:t>find</w:t>
      </w:r>
      <w:r w:rsidR="004B1E39" w:rsidRPr="003225FD">
        <w:rPr>
          <w:rFonts w:asciiTheme="majorBidi" w:hAnsiTheme="majorBidi"/>
        </w:rPr>
        <w:t>s</w:t>
      </w:r>
      <w:r w:rsidR="00D658E1" w:rsidRPr="003225FD">
        <w:rPr>
          <w:rFonts w:asciiTheme="majorBidi" w:hAnsiTheme="majorBidi"/>
        </w:rPr>
        <w:t xml:space="preserve"> that</w:t>
      </w:r>
      <w:r w:rsidR="004B1E39" w:rsidRPr="003225FD">
        <w:rPr>
          <w:rFonts w:asciiTheme="majorBidi" w:hAnsiTheme="majorBidi"/>
        </w:rPr>
        <w:t xml:space="preserve"> the Party concerned, </w:t>
      </w:r>
      <w:r w:rsidR="000B6299" w:rsidRPr="003225FD">
        <w:rPr>
          <w:rFonts w:asciiTheme="majorBidi" w:hAnsiTheme="majorBidi"/>
        </w:rPr>
        <w:t xml:space="preserve">although </w:t>
      </w:r>
      <w:r w:rsidRPr="003225FD">
        <w:rPr>
          <w:rFonts w:asciiTheme="majorBidi" w:hAnsiTheme="majorBidi"/>
        </w:rPr>
        <w:t>not providing injunctive relief in this case</w:t>
      </w:r>
      <w:r w:rsidR="004B1E39" w:rsidRPr="003225FD">
        <w:rPr>
          <w:rFonts w:asciiTheme="majorBidi" w:hAnsiTheme="majorBidi"/>
        </w:rPr>
        <w:t xml:space="preserve">, </w:t>
      </w:r>
      <w:r w:rsidR="000B6299" w:rsidRPr="003225FD">
        <w:rPr>
          <w:rFonts w:asciiTheme="majorBidi" w:hAnsiTheme="majorBidi"/>
        </w:rPr>
        <w:t>did not fail to comply</w:t>
      </w:r>
      <w:r w:rsidR="004B1E39" w:rsidRPr="003225FD">
        <w:rPr>
          <w:rFonts w:asciiTheme="majorBidi" w:hAnsiTheme="majorBidi"/>
        </w:rPr>
        <w:t xml:space="preserve"> with </w:t>
      </w:r>
      <w:r w:rsidR="00F60E3D" w:rsidRPr="003225FD">
        <w:rPr>
          <w:rFonts w:asciiTheme="majorBidi" w:hAnsiTheme="majorBidi"/>
        </w:rPr>
        <w:t>article 9</w:t>
      </w:r>
      <w:r w:rsidR="008E6D6B" w:rsidRPr="003225FD">
        <w:rPr>
          <w:rFonts w:asciiTheme="majorBidi" w:hAnsiTheme="majorBidi"/>
        </w:rPr>
        <w:t>(</w:t>
      </w:r>
      <w:r w:rsidR="00F60E3D" w:rsidRPr="003225FD">
        <w:rPr>
          <w:rFonts w:asciiTheme="majorBidi" w:hAnsiTheme="majorBidi"/>
        </w:rPr>
        <w:t>4</w:t>
      </w:r>
      <w:r w:rsidR="008E6D6B" w:rsidRPr="003225FD">
        <w:rPr>
          <w:rFonts w:asciiTheme="majorBidi" w:hAnsiTheme="majorBidi"/>
        </w:rPr>
        <w:t>)</w:t>
      </w:r>
      <w:r w:rsidR="00F60E3D" w:rsidRPr="003225FD">
        <w:rPr>
          <w:rFonts w:asciiTheme="majorBidi" w:hAnsiTheme="majorBidi"/>
        </w:rPr>
        <w:t xml:space="preserve"> </w:t>
      </w:r>
      <w:r w:rsidRPr="003225FD">
        <w:rPr>
          <w:rFonts w:asciiTheme="majorBidi" w:hAnsiTheme="majorBidi"/>
        </w:rPr>
        <w:t>of the Convention</w:t>
      </w:r>
      <w:r w:rsidR="000B6299" w:rsidRPr="003225FD">
        <w:rPr>
          <w:rFonts w:asciiTheme="majorBidi" w:hAnsiTheme="majorBidi"/>
        </w:rPr>
        <w:t xml:space="preserve"> in this respect</w:t>
      </w:r>
      <w:r w:rsidR="00F60E3D" w:rsidRPr="003225FD">
        <w:rPr>
          <w:rFonts w:asciiTheme="majorBidi" w:hAnsiTheme="majorBidi"/>
        </w:rPr>
        <w:t>.</w:t>
      </w:r>
    </w:p>
    <w:p w14:paraId="082AF63B" w14:textId="3B7D052A" w:rsidR="009A3DD1" w:rsidRPr="003225FD" w:rsidRDefault="00BA5C1B" w:rsidP="00292325">
      <w:pPr>
        <w:pStyle w:val="SingleTxtG"/>
        <w:rPr>
          <w:rFonts w:asciiTheme="majorBidi" w:hAnsiTheme="majorBidi"/>
        </w:rPr>
      </w:pPr>
      <w:r w:rsidRPr="003225FD">
        <w:rPr>
          <w:rFonts w:asciiTheme="majorBidi" w:hAnsiTheme="majorBidi"/>
          <w:i/>
        </w:rPr>
        <w:t>Third</w:t>
      </w:r>
      <w:r w:rsidR="00B150A7" w:rsidRPr="003225FD">
        <w:rPr>
          <w:rFonts w:asciiTheme="majorBidi" w:hAnsiTheme="majorBidi"/>
          <w:i/>
        </w:rPr>
        <w:t>-</w:t>
      </w:r>
      <w:r w:rsidR="00D658E1" w:rsidRPr="003225FD">
        <w:rPr>
          <w:rFonts w:asciiTheme="majorBidi" w:hAnsiTheme="majorBidi"/>
          <w:i/>
        </w:rPr>
        <w:t>party</w:t>
      </w:r>
      <w:r w:rsidRPr="003225FD">
        <w:rPr>
          <w:rFonts w:asciiTheme="majorBidi" w:hAnsiTheme="majorBidi"/>
          <w:i/>
        </w:rPr>
        <w:t xml:space="preserve"> costs</w:t>
      </w:r>
    </w:p>
    <w:p w14:paraId="5574CAEA" w14:textId="7CBE8D91" w:rsidR="00C77795" w:rsidRPr="003225FD" w:rsidRDefault="009A0506" w:rsidP="0000463D">
      <w:pPr>
        <w:pStyle w:val="SingleTxtG"/>
        <w:numPr>
          <w:ilvl w:val="0"/>
          <w:numId w:val="3"/>
        </w:numPr>
        <w:tabs>
          <w:tab w:val="num" w:pos="1134"/>
        </w:tabs>
        <w:ind w:left="1134" w:firstLine="0"/>
        <w:rPr>
          <w:rFonts w:asciiTheme="majorBidi" w:hAnsiTheme="majorBidi"/>
        </w:rPr>
      </w:pPr>
      <w:r w:rsidRPr="003225FD">
        <w:rPr>
          <w:rFonts w:asciiTheme="majorBidi" w:hAnsiTheme="majorBidi"/>
        </w:rPr>
        <w:t>The communicant</w:t>
      </w:r>
      <w:r w:rsidR="009A3DD1" w:rsidRPr="003225FD">
        <w:rPr>
          <w:rFonts w:asciiTheme="majorBidi" w:hAnsiTheme="majorBidi"/>
        </w:rPr>
        <w:t xml:space="preserve"> </w:t>
      </w:r>
      <w:r w:rsidR="002E085C" w:rsidRPr="003225FD">
        <w:rPr>
          <w:rFonts w:asciiTheme="majorBidi" w:hAnsiTheme="majorBidi"/>
        </w:rPr>
        <w:t>was</w:t>
      </w:r>
      <w:r w:rsidR="009A3DD1" w:rsidRPr="003225FD">
        <w:rPr>
          <w:rFonts w:asciiTheme="majorBidi" w:hAnsiTheme="majorBidi"/>
        </w:rPr>
        <w:t xml:space="preserve"> exempted from paying a filing fee because </w:t>
      </w:r>
      <w:r w:rsidR="00CF7C8E" w:rsidRPr="003225FD">
        <w:rPr>
          <w:rFonts w:asciiTheme="majorBidi" w:hAnsiTheme="majorBidi"/>
        </w:rPr>
        <w:t>it</w:t>
      </w:r>
      <w:r w:rsidR="00B150A7" w:rsidRPr="003225FD">
        <w:rPr>
          <w:rFonts w:asciiTheme="majorBidi" w:hAnsiTheme="majorBidi"/>
        </w:rPr>
        <w:t>s</w:t>
      </w:r>
      <w:r w:rsidR="009A3DD1" w:rsidRPr="003225FD">
        <w:rPr>
          <w:rFonts w:asciiTheme="majorBidi" w:hAnsiTheme="majorBidi"/>
        </w:rPr>
        <w:t xml:space="preserve"> </w:t>
      </w:r>
      <w:r w:rsidR="00B150A7" w:rsidRPr="003225FD">
        <w:rPr>
          <w:rFonts w:asciiTheme="majorBidi" w:hAnsiTheme="majorBidi"/>
        </w:rPr>
        <w:t xml:space="preserve">case was </w:t>
      </w:r>
      <w:r w:rsidR="009A3DD1" w:rsidRPr="003225FD">
        <w:rPr>
          <w:rFonts w:asciiTheme="majorBidi" w:hAnsiTheme="majorBidi"/>
        </w:rPr>
        <w:t xml:space="preserve">brought </w:t>
      </w:r>
      <w:r w:rsidR="00B150A7" w:rsidRPr="003225FD">
        <w:rPr>
          <w:rFonts w:asciiTheme="majorBidi" w:hAnsiTheme="majorBidi"/>
        </w:rPr>
        <w:t>in</w:t>
      </w:r>
      <w:r w:rsidR="009A3DD1" w:rsidRPr="003225FD">
        <w:rPr>
          <w:rFonts w:asciiTheme="majorBidi" w:hAnsiTheme="majorBidi"/>
        </w:rPr>
        <w:t xml:space="preserve"> the public interest. Th</w:t>
      </w:r>
      <w:r w:rsidR="00B150A7" w:rsidRPr="003225FD">
        <w:rPr>
          <w:rFonts w:asciiTheme="majorBidi" w:hAnsiTheme="majorBidi"/>
        </w:rPr>
        <w:t xml:space="preserve">is </w:t>
      </w:r>
      <w:r w:rsidR="00CF7C8E" w:rsidRPr="003225FD">
        <w:rPr>
          <w:rFonts w:asciiTheme="majorBidi" w:hAnsiTheme="majorBidi"/>
        </w:rPr>
        <w:t>is</w:t>
      </w:r>
      <w:r w:rsidR="002E085C" w:rsidRPr="003225FD">
        <w:rPr>
          <w:rFonts w:asciiTheme="majorBidi" w:hAnsiTheme="majorBidi"/>
        </w:rPr>
        <w:t xml:space="preserve"> </w:t>
      </w:r>
      <w:r w:rsidR="009A3DD1" w:rsidRPr="003225FD">
        <w:rPr>
          <w:rFonts w:asciiTheme="majorBidi" w:hAnsiTheme="majorBidi"/>
        </w:rPr>
        <w:t xml:space="preserve">a good practice, </w:t>
      </w:r>
      <w:r w:rsidR="00CF7C8E" w:rsidRPr="003225FD">
        <w:rPr>
          <w:rFonts w:asciiTheme="majorBidi" w:hAnsiTheme="majorBidi"/>
        </w:rPr>
        <w:t xml:space="preserve">but </w:t>
      </w:r>
      <w:r w:rsidR="003B61F6" w:rsidRPr="003225FD">
        <w:rPr>
          <w:rFonts w:asciiTheme="majorBidi" w:hAnsiTheme="majorBidi"/>
        </w:rPr>
        <w:t xml:space="preserve">it </w:t>
      </w:r>
      <w:r w:rsidR="009A3DD1" w:rsidRPr="003225FD">
        <w:rPr>
          <w:rFonts w:asciiTheme="majorBidi" w:hAnsiTheme="majorBidi"/>
        </w:rPr>
        <w:t xml:space="preserve">may become devoid of meaning if </w:t>
      </w:r>
      <w:r w:rsidRPr="003225FD">
        <w:rPr>
          <w:rFonts w:asciiTheme="majorBidi" w:hAnsiTheme="majorBidi"/>
        </w:rPr>
        <w:t>such</w:t>
      </w:r>
      <w:r w:rsidR="009A3DD1" w:rsidRPr="003225FD">
        <w:rPr>
          <w:rFonts w:asciiTheme="majorBidi" w:hAnsiTheme="majorBidi"/>
        </w:rPr>
        <w:t xml:space="preserve"> applicant</w:t>
      </w:r>
      <w:r w:rsidRPr="003225FD">
        <w:rPr>
          <w:rFonts w:asciiTheme="majorBidi" w:hAnsiTheme="majorBidi"/>
        </w:rPr>
        <w:t>s</w:t>
      </w:r>
      <w:r w:rsidR="009A3DD1" w:rsidRPr="003225FD">
        <w:rPr>
          <w:rFonts w:asciiTheme="majorBidi" w:hAnsiTheme="majorBidi"/>
        </w:rPr>
        <w:t xml:space="preserve"> </w:t>
      </w:r>
      <w:r w:rsidRPr="003225FD">
        <w:rPr>
          <w:rFonts w:asciiTheme="majorBidi" w:hAnsiTheme="majorBidi"/>
        </w:rPr>
        <w:t>are</w:t>
      </w:r>
      <w:r w:rsidR="009A3DD1" w:rsidRPr="003225FD">
        <w:rPr>
          <w:rFonts w:asciiTheme="majorBidi" w:hAnsiTheme="majorBidi"/>
        </w:rPr>
        <w:t xml:space="preserve"> ordered to pay </w:t>
      </w:r>
      <w:r w:rsidR="00AC1D1D" w:rsidRPr="003225FD">
        <w:rPr>
          <w:rFonts w:asciiTheme="majorBidi" w:hAnsiTheme="majorBidi"/>
        </w:rPr>
        <w:t>other costs which are prohibitive or unfair</w:t>
      </w:r>
      <w:r w:rsidR="009A3DD1" w:rsidRPr="003225FD">
        <w:rPr>
          <w:rFonts w:asciiTheme="majorBidi" w:hAnsiTheme="majorBidi"/>
        </w:rPr>
        <w:t xml:space="preserve">. </w:t>
      </w:r>
      <w:r w:rsidR="00646CF8" w:rsidRPr="003225FD">
        <w:rPr>
          <w:rFonts w:asciiTheme="majorBidi" w:hAnsiTheme="majorBidi"/>
        </w:rPr>
        <w:t xml:space="preserve">Of </w:t>
      </w:r>
      <w:r w:rsidR="00D16CBB" w:rsidRPr="003225FD">
        <w:rPr>
          <w:rFonts w:asciiTheme="majorBidi" w:hAnsiTheme="majorBidi"/>
        </w:rPr>
        <w:t>particular</w:t>
      </w:r>
      <w:r w:rsidR="00646CF8" w:rsidRPr="003225FD">
        <w:rPr>
          <w:rFonts w:asciiTheme="majorBidi" w:hAnsiTheme="majorBidi"/>
        </w:rPr>
        <w:t xml:space="preserve"> importance</w:t>
      </w:r>
      <w:r w:rsidR="00AC1D1D" w:rsidRPr="003225FD">
        <w:rPr>
          <w:rFonts w:asciiTheme="majorBidi" w:hAnsiTheme="majorBidi"/>
        </w:rPr>
        <w:t xml:space="preserve"> in the present case</w:t>
      </w:r>
      <w:r w:rsidR="00646CF8" w:rsidRPr="003225FD">
        <w:rPr>
          <w:rFonts w:asciiTheme="majorBidi" w:hAnsiTheme="majorBidi"/>
        </w:rPr>
        <w:t xml:space="preserve"> is</w:t>
      </w:r>
      <w:r w:rsidR="002E085C" w:rsidRPr="003225FD">
        <w:rPr>
          <w:rFonts w:asciiTheme="majorBidi" w:hAnsiTheme="majorBidi"/>
        </w:rPr>
        <w:t xml:space="preserve"> </w:t>
      </w:r>
      <w:r w:rsidR="009A3DD1" w:rsidRPr="003225FD">
        <w:rPr>
          <w:rFonts w:asciiTheme="majorBidi" w:hAnsiTheme="majorBidi"/>
        </w:rPr>
        <w:t xml:space="preserve">that the communicant challenged the </w:t>
      </w:r>
      <w:r w:rsidR="00B150A7" w:rsidRPr="003225FD">
        <w:rPr>
          <w:rFonts w:asciiTheme="majorBidi" w:hAnsiTheme="majorBidi"/>
        </w:rPr>
        <w:t>public authority</w:t>
      </w:r>
      <w:r w:rsidRPr="003225FD">
        <w:rPr>
          <w:rFonts w:asciiTheme="majorBidi" w:hAnsiTheme="majorBidi"/>
        </w:rPr>
        <w:t>’</w:t>
      </w:r>
      <w:r w:rsidR="00B150A7" w:rsidRPr="003225FD">
        <w:rPr>
          <w:rFonts w:asciiTheme="majorBidi" w:hAnsiTheme="majorBidi"/>
        </w:rPr>
        <w:t xml:space="preserve">s </w:t>
      </w:r>
      <w:r w:rsidR="009A3DD1" w:rsidRPr="003225FD">
        <w:rPr>
          <w:rFonts w:asciiTheme="majorBidi" w:hAnsiTheme="majorBidi"/>
        </w:rPr>
        <w:t>decision</w:t>
      </w:r>
      <w:r w:rsidR="00CF7C8E" w:rsidRPr="003225FD">
        <w:rPr>
          <w:rFonts w:asciiTheme="majorBidi" w:hAnsiTheme="majorBidi"/>
        </w:rPr>
        <w:t>,</w:t>
      </w:r>
      <w:r w:rsidR="009A3DD1" w:rsidRPr="003225FD">
        <w:rPr>
          <w:rFonts w:asciiTheme="majorBidi" w:hAnsiTheme="majorBidi"/>
        </w:rPr>
        <w:t xml:space="preserve"> and </w:t>
      </w:r>
      <w:r w:rsidR="007B7503" w:rsidRPr="003225FD">
        <w:rPr>
          <w:rFonts w:asciiTheme="majorBidi" w:hAnsiTheme="majorBidi"/>
        </w:rPr>
        <w:t>Litpol Link</w:t>
      </w:r>
      <w:r w:rsidR="00646CF8" w:rsidRPr="003225FD">
        <w:rPr>
          <w:rFonts w:asciiTheme="majorBidi" w:hAnsiTheme="majorBidi"/>
        </w:rPr>
        <w:t xml:space="preserve"> </w:t>
      </w:r>
      <w:r w:rsidR="009A3DD1" w:rsidRPr="003225FD">
        <w:rPr>
          <w:rFonts w:asciiTheme="majorBidi" w:hAnsiTheme="majorBidi"/>
        </w:rPr>
        <w:t>intervened o</w:t>
      </w:r>
      <w:r w:rsidR="00CF7C8E" w:rsidRPr="003225FD">
        <w:rPr>
          <w:rFonts w:asciiTheme="majorBidi" w:hAnsiTheme="majorBidi"/>
        </w:rPr>
        <w:t>f</w:t>
      </w:r>
      <w:r w:rsidR="009A3DD1" w:rsidRPr="003225FD">
        <w:rPr>
          <w:rFonts w:asciiTheme="majorBidi" w:hAnsiTheme="majorBidi"/>
        </w:rPr>
        <w:t xml:space="preserve"> its own accord</w:t>
      </w:r>
      <w:r w:rsidR="00646CF8" w:rsidRPr="003225FD">
        <w:rPr>
          <w:rFonts w:asciiTheme="majorBidi" w:hAnsiTheme="majorBidi"/>
        </w:rPr>
        <w:t>, an involvement over which the communicant had no control</w:t>
      </w:r>
      <w:r w:rsidR="009A3DD1" w:rsidRPr="003225FD">
        <w:rPr>
          <w:rFonts w:asciiTheme="majorBidi" w:hAnsiTheme="majorBidi"/>
        </w:rPr>
        <w:t xml:space="preserve">. </w:t>
      </w:r>
      <w:r w:rsidR="00AC1D1D" w:rsidRPr="003225FD">
        <w:rPr>
          <w:rFonts w:asciiTheme="majorBidi" w:hAnsiTheme="majorBidi"/>
        </w:rPr>
        <w:t>Moreover, the sum of intervener’</w:t>
      </w:r>
      <w:r w:rsidR="00EB1583" w:rsidRPr="003225FD">
        <w:rPr>
          <w:rFonts w:asciiTheme="majorBidi" w:hAnsiTheme="majorBidi"/>
        </w:rPr>
        <w:t>s</w:t>
      </w:r>
      <w:r w:rsidR="00AC1D1D" w:rsidRPr="003225FD">
        <w:rPr>
          <w:rFonts w:asciiTheme="majorBidi" w:hAnsiTheme="majorBidi"/>
        </w:rPr>
        <w:t xml:space="preserve"> costs awarded</w:t>
      </w:r>
      <w:r w:rsidR="0000463D" w:rsidRPr="003225FD">
        <w:rPr>
          <w:rFonts w:asciiTheme="majorBidi" w:hAnsiTheme="majorBidi" w:cstheme="majorBidi"/>
        </w:rPr>
        <w:t>, €2766.98,</w:t>
      </w:r>
      <w:r w:rsidR="00AC1D1D" w:rsidRPr="003225FD">
        <w:rPr>
          <w:rFonts w:asciiTheme="majorBidi" w:hAnsiTheme="majorBidi"/>
        </w:rPr>
        <w:t xml:space="preserve"> was</w:t>
      </w:r>
      <w:r w:rsidR="00950A5A" w:rsidRPr="003225FD">
        <w:rPr>
          <w:rFonts w:asciiTheme="majorBidi" w:hAnsiTheme="majorBidi"/>
        </w:rPr>
        <w:t xml:space="preserve"> </w:t>
      </w:r>
      <w:r w:rsidR="00AC1D1D" w:rsidRPr="003225FD">
        <w:rPr>
          <w:rFonts w:asciiTheme="majorBidi" w:hAnsiTheme="majorBidi"/>
        </w:rPr>
        <w:t>more tha</w:t>
      </w:r>
      <w:r w:rsidR="004B1E39" w:rsidRPr="003225FD">
        <w:rPr>
          <w:rFonts w:asciiTheme="majorBidi" w:hAnsiTheme="majorBidi"/>
        </w:rPr>
        <w:t>n</w:t>
      </w:r>
      <w:r w:rsidR="00AC1D1D" w:rsidRPr="003225FD">
        <w:rPr>
          <w:rFonts w:asciiTheme="majorBidi" w:hAnsiTheme="majorBidi"/>
        </w:rPr>
        <w:t xml:space="preserve"> the communicant’s annual budget. Ordering members of the public to pay </w:t>
      </w:r>
      <w:r w:rsidR="0000463D" w:rsidRPr="003225FD">
        <w:rPr>
          <w:rFonts w:asciiTheme="majorBidi" w:hAnsiTheme="majorBidi" w:cstheme="majorBidi"/>
        </w:rPr>
        <w:t>substantial</w:t>
      </w:r>
      <w:r w:rsidR="0000463D" w:rsidRPr="003225FD">
        <w:rPr>
          <w:rFonts w:asciiTheme="majorBidi" w:hAnsiTheme="majorBidi"/>
        </w:rPr>
        <w:t xml:space="preserve"> </w:t>
      </w:r>
      <w:r w:rsidR="00950A5A" w:rsidRPr="003225FD">
        <w:rPr>
          <w:rFonts w:asciiTheme="majorBidi" w:hAnsiTheme="majorBidi"/>
        </w:rPr>
        <w:t>costs to</w:t>
      </w:r>
      <w:r w:rsidR="00AC1D1D" w:rsidRPr="003225FD">
        <w:rPr>
          <w:rFonts w:asciiTheme="majorBidi" w:hAnsiTheme="majorBidi"/>
        </w:rPr>
        <w:t xml:space="preserve"> </w:t>
      </w:r>
      <w:r w:rsidR="007B7503" w:rsidRPr="003225FD">
        <w:rPr>
          <w:rFonts w:asciiTheme="majorBidi" w:hAnsiTheme="majorBidi"/>
        </w:rPr>
        <w:t xml:space="preserve">third parties </w:t>
      </w:r>
      <w:r w:rsidR="00AC1D1D" w:rsidRPr="003225FD">
        <w:rPr>
          <w:rFonts w:asciiTheme="majorBidi" w:hAnsiTheme="majorBidi"/>
        </w:rPr>
        <w:t xml:space="preserve">that </w:t>
      </w:r>
      <w:r w:rsidR="00F657FF" w:rsidRPr="003225FD">
        <w:rPr>
          <w:rFonts w:asciiTheme="majorBidi" w:hAnsiTheme="majorBidi"/>
        </w:rPr>
        <w:t xml:space="preserve">choose of their own accord to </w:t>
      </w:r>
      <w:r w:rsidR="00AC1D1D" w:rsidRPr="003225FD">
        <w:rPr>
          <w:rFonts w:asciiTheme="majorBidi" w:hAnsiTheme="majorBidi"/>
        </w:rPr>
        <w:t xml:space="preserve">intervene </w:t>
      </w:r>
      <w:r w:rsidR="00646CF8" w:rsidRPr="003225FD">
        <w:rPr>
          <w:rFonts w:asciiTheme="majorBidi" w:hAnsiTheme="majorBidi"/>
        </w:rPr>
        <w:t xml:space="preserve">could allow </w:t>
      </w:r>
      <w:r w:rsidR="007B7503" w:rsidRPr="003225FD">
        <w:rPr>
          <w:rFonts w:asciiTheme="majorBidi" w:hAnsiTheme="majorBidi"/>
        </w:rPr>
        <w:t xml:space="preserve">third parties </w:t>
      </w:r>
      <w:r w:rsidR="00646CF8" w:rsidRPr="003225FD">
        <w:rPr>
          <w:rFonts w:asciiTheme="majorBidi" w:hAnsiTheme="majorBidi"/>
        </w:rPr>
        <w:t>to effectively prevent the public from mounting court challenges to permits</w:t>
      </w:r>
      <w:r w:rsidR="003B61F6" w:rsidRPr="003225FD">
        <w:rPr>
          <w:rFonts w:asciiTheme="majorBidi" w:hAnsiTheme="majorBidi"/>
        </w:rPr>
        <w:t xml:space="preserve">, </w:t>
      </w:r>
      <w:r w:rsidR="001D2FB2" w:rsidRPr="003225FD">
        <w:rPr>
          <w:rFonts w:asciiTheme="majorBidi" w:hAnsiTheme="majorBidi"/>
        </w:rPr>
        <w:t>thus making the procedure unfair</w:t>
      </w:r>
      <w:r w:rsidR="003B61F6" w:rsidRPr="003225FD">
        <w:rPr>
          <w:rFonts w:asciiTheme="majorBidi" w:hAnsiTheme="majorBidi"/>
        </w:rPr>
        <w:t>.</w:t>
      </w:r>
      <w:r w:rsidR="00C77795" w:rsidRPr="003225FD">
        <w:rPr>
          <w:rFonts w:asciiTheme="majorBidi" w:hAnsiTheme="majorBidi"/>
        </w:rPr>
        <w:t xml:space="preserve"> </w:t>
      </w:r>
    </w:p>
    <w:p w14:paraId="4893303B" w14:textId="4D099EA5" w:rsidR="00B228B9" w:rsidRPr="003225FD" w:rsidRDefault="00CC1192" w:rsidP="0079456E">
      <w:pPr>
        <w:pStyle w:val="SingleTxtG"/>
        <w:numPr>
          <w:ilvl w:val="0"/>
          <w:numId w:val="3"/>
        </w:numPr>
        <w:tabs>
          <w:tab w:val="num" w:pos="1134"/>
        </w:tabs>
        <w:ind w:left="1134" w:firstLine="0"/>
        <w:rPr>
          <w:rFonts w:asciiTheme="majorBidi" w:hAnsiTheme="majorBidi"/>
        </w:rPr>
      </w:pPr>
      <w:bookmarkStart w:id="74" w:name="_Ref524648146"/>
      <w:r w:rsidRPr="003225FD" w:rsidDel="00CC1192">
        <w:rPr>
          <w:rFonts w:asciiTheme="majorBidi" w:hAnsiTheme="majorBidi"/>
        </w:rPr>
        <w:t xml:space="preserve"> </w:t>
      </w:r>
      <w:bookmarkEnd w:id="74"/>
      <w:r w:rsidR="003D3453" w:rsidRPr="003225FD">
        <w:rPr>
          <w:rFonts w:asciiTheme="majorBidi" w:hAnsiTheme="majorBidi"/>
          <w:bCs/>
        </w:rPr>
        <w:t>In the present case, h</w:t>
      </w:r>
      <w:r w:rsidR="00B228B9" w:rsidRPr="003225FD">
        <w:rPr>
          <w:rFonts w:asciiTheme="majorBidi" w:hAnsiTheme="majorBidi"/>
          <w:bCs/>
        </w:rPr>
        <w:t xml:space="preserve">owever, the Committee </w:t>
      </w:r>
      <w:r w:rsidR="003D3453" w:rsidRPr="003225FD">
        <w:rPr>
          <w:rFonts w:asciiTheme="majorBidi" w:hAnsiTheme="majorBidi"/>
          <w:bCs/>
        </w:rPr>
        <w:t xml:space="preserve">has no </w:t>
      </w:r>
      <w:r w:rsidR="00B228B9" w:rsidRPr="003225FD">
        <w:rPr>
          <w:rFonts w:asciiTheme="majorBidi" w:hAnsiTheme="majorBidi"/>
          <w:bCs/>
        </w:rPr>
        <w:t xml:space="preserve">information before it </w:t>
      </w:r>
      <w:r w:rsidR="0038175C" w:rsidRPr="003225FD">
        <w:rPr>
          <w:rFonts w:asciiTheme="majorBidi" w:hAnsiTheme="majorBidi"/>
          <w:bCs/>
        </w:rPr>
        <w:t xml:space="preserve">as to </w:t>
      </w:r>
      <w:r w:rsidR="00B228B9" w:rsidRPr="003225FD">
        <w:rPr>
          <w:rFonts w:asciiTheme="majorBidi" w:hAnsiTheme="majorBidi"/>
          <w:bCs/>
        </w:rPr>
        <w:t>the legal and factual basis on which the intervener’s costs were awarded</w:t>
      </w:r>
      <w:r w:rsidRPr="003225FD">
        <w:rPr>
          <w:rFonts w:asciiTheme="majorBidi" w:hAnsiTheme="majorBidi"/>
          <w:bCs/>
        </w:rPr>
        <w:t xml:space="preserve">, </w:t>
      </w:r>
      <w:r w:rsidR="00B228B9" w:rsidRPr="003225FD">
        <w:rPr>
          <w:rFonts w:asciiTheme="majorBidi" w:hAnsiTheme="majorBidi"/>
          <w:bCs/>
        </w:rPr>
        <w:t>nor how th</w:t>
      </w:r>
      <w:r w:rsidR="003D3453" w:rsidRPr="003225FD">
        <w:rPr>
          <w:rFonts w:asciiTheme="majorBidi" w:hAnsiTheme="majorBidi"/>
          <w:bCs/>
        </w:rPr>
        <w:t>e</w:t>
      </w:r>
      <w:r w:rsidR="00B228B9" w:rsidRPr="003225FD">
        <w:rPr>
          <w:rFonts w:asciiTheme="majorBidi" w:hAnsiTheme="majorBidi"/>
          <w:bCs/>
        </w:rPr>
        <w:t xml:space="preserve"> sum was calculated. </w:t>
      </w:r>
      <w:r w:rsidR="0038175C" w:rsidRPr="003225FD">
        <w:rPr>
          <w:rFonts w:asciiTheme="majorBidi" w:hAnsiTheme="majorBidi"/>
          <w:bCs/>
        </w:rPr>
        <w:t>In these circumstances, the</w:t>
      </w:r>
      <w:r w:rsidR="00B228B9" w:rsidRPr="003225FD">
        <w:rPr>
          <w:rFonts w:asciiTheme="majorBidi" w:hAnsiTheme="majorBidi"/>
          <w:bCs/>
        </w:rPr>
        <w:t xml:space="preserve"> Committee</w:t>
      </w:r>
      <w:r w:rsidR="003D3453" w:rsidRPr="003225FD">
        <w:rPr>
          <w:rFonts w:asciiTheme="majorBidi" w:hAnsiTheme="majorBidi"/>
          <w:bCs/>
        </w:rPr>
        <w:t xml:space="preserve"> finds the communicant’s claim that the costs award failed to comply with article 9(4) </w:t>
      </w:r>
      <w:r w:rsidR="0038175C" w:rsidRPr="003225FD">
        <w:rPr>
          <w:rFonts w:asciiTheme="majorBidi" w:hAnsiTheme="majorBidi"/>
          <w:bCs/>
        </w:rPr>
        <w:t xml:space="preserve">of the Convention </w:t>
      </w:r>
      <w:r w:rsidR="003D3453" w:rsidRPr="003225FD">
        <w:rPr>
          <w:rFonts w:asciiTheme="majorBidi" w:hAnsiTheme="majorBidi"/>
          <w:bCs/>
        </w:rPr>
        <w:t xml:space="preserve">to not </w:t>
      </w:r>
      <w:r w:rsidR="0038175C" w:rsidRPr="003225FD">
        <w:rPr>
          <w:rFonts w:asciiTheme="majorBidi" w:hAnsiTheme="majorBidi"/>
          <w:bCs/>
        </w:rPr>
        <w:t xml:space="preserve">be </w:t>
      </w:r>
      <w:r w:rsidR="003D3453" w:rsidRPr="003225FD">
        <w:rPr>
          <w:rFonts w:asciiTheme="majorBidi" w:hAnsiTheme="majorBidi"/>
          <w:bCs/>
        </w:rPr>
        <w:t>sufficiently substantiated</w:t>
      </w:r>
      <w:r w:rsidR="00B228B9" w:rsidRPr="003225FD">
        <w:rPr>
          <w:rFonts w:asciiTheme="majorBidi" w:hAnsiTheme="majorBidi"/>
          <w:bCs/>
        </w:rPr>
        <w:t xml:space="preserve">. </w:t>
      </w:r>
    </w:p>
    <w:p w14:paraId="76C7A343" w14:textId="6BC78C08" w:rsidR="008A428B" w:rsidRPr="003225FD" w:rsidRDefault="008A428B" w:rsidP="008A428B">
      <w:pPr>
        <w:pStyle w:val="SingleTxtG"/>
        <w:suppressAutoHyphens w:val="0"/>
        <w:autoSpaceDE w:val="0"/>
        <w:autoSpaceDN w:val="0"/>
        <w:adjustRightInd w:val="0"/>
        <w:spacing w:line="240" w:lineRule="auto"/>
        <w:ind w:left="1100"/>
        <w:rPr>
          <w:rFonts w:asciiTheme="majorBidi" w:hAnsiTheme="majorBidi"/>
        </w:rPr>
      </w:pPr>
      <w:r w:rsidRPr="003225FD">
        <w:rPr>
          <w:rFonts w:asciiTheme="majorBidi" w:hAnsiTheme="majorBidi"/>
          <w:b/>
        </w:rPr>
        <w:t>Article 3</w:t>
      </w:r>
      <w:r w:rsidR="002155D8" w:rsidRPr="003225FD">
        <w:rPr>
          <w:rFonts w:asciiTheme="majorBidi" w:hAnsiTheme="majorBidi"/>
          <w:b/>
        </w:rPr>
        <w:t>(</w:t>
      </w:r>
      <w:r w:rsidRPr="003225FD">
        <w:rPr>
          <w:rFonts w:asciiTheme="majorBidi" w:hAnsiTheme="majorBidi"/>
          <w:b/>
        </w:rPr>
        <w:t>8</w:t>
      </w:r>
      <w:r w:rsidR="002155D8" w:rsidRPr="003225FD">
        <w:rPr>
          <w:rFonts w:asciiTheme="majorBidi" w:hAnsiTheme="majorBidi"/>
          <w:b/>
        </w:rPr>
        <w:t>)</w:t>
      </w:r>
    </w:p>
    <w:p w14:paraId="5F871F5D" w14:textId="4BBE1F6B" w:rsidR="005D73A7" w:rsidRPr="003225FD" w:rsidRDefault="004B6738" w:rsidP="004B6738">
      <w:pPr>
        <w:pStyle w:val="SingleTxtG"/>
        <w:numPr>
          <w:ilvl w:val="0"/>
          <w:numId w:val="3"/>
        </w:numPr>
        <w:suppressAutoHyphens w:val="0"/>
        <w:autoSpaceDE w:val="0"/>
        <w:autoSpaceDN w:val="0"/>
        <w:adjustRightInd w:val="0"/>
        <w:spacing w:line="240" w:lineRule="auto"/>
        <w:ind w:left="1100" w:firstLine="0"/>
      </w:pPr>
      <w:r w:rsidRPr="003225FD">
        <w:rPr>
          <w:rFonts w:asciiTheme="majorBidi" w:hAnsiTheme="majorBidi" w:cstheme="majorBidi"/>
        </w:rPr>
        <w:lastRenderedPageBreak/>
        <w:t>While the communicant only explicitly refers to article 3(8) in its final submission,</w:t>
      </w:r>
      <w:r w:rsidRPr="00001B0D">
        <w:rPr>
          <w:rStyle w:val="FootnoteReference"/>
          <w:rFonts w:asciiTheme="majorBidi" w:hAnsiTheme="majorBidi" w:cstheme="majorBidi"/>
          <w:sz w:val="20"/>
        </w:rPr>
        <w:footnoteReference w:id="121"/>
      </w:r>
      <w:r w:rsidRPr="00001B0D">
        <w:rPr>
          <w:rFonts w:asciiTheme="majorBidi" w:hAnsiTheme="majorBidi" w:cstheme="majorBidi"/>
        </w:rPr>
        <w:t xml:space="preserve"> it has from an early stage alleged that its representatives and others were harassed in connection with their opposition to the proposed OHL.</w:t>
      </w:r>
      <w:r w:rsidRPr="00001B0D">
        <w:rPr>
          <w:rStyle w:val="FootnoteReference"/>
          <w:rFonts w:asciiTheme="majorBidi" w:hAnsiTheme="majorBidi" w:cstheme="majorBidi"/>
          <w:sz w:val="20"/>
        </w:rPr>
        <w:footnoteReference w:id="122"/>
      </w:r>
      <w:r w:rsidRPr="00001B0D">
        <w:rPr>
          <w:rFonts w:asciiTheme="majorBidi" w:hAnsiTheme="majorBidi" w:cstheme="majorBidi"/>
        </w:rPr>
        <w:t xml:space="preserve"> </w:t>
      </w:r>
      <w:r w:rsidR="00720426" w:rsidRPr="00001B0D">
        <w:rPr>
          <w:rFonts w:asciiTheme="majorBidi" w:hAnsiTheme="majorBidi" w:cstheme="majorBidi"/>
        </w:rPr>
        <w:t>S</w:t>
      </w:r>
      <w:r w:rsidRPr="003225FD">
        <w:rPr>
          <w:rFonts w:asciiTheme="majorBidi" w:hAnsiTheme="majorBidi" w:cstheme="majorBidi"/>
        </w:rPr>
        <w:t xml:space="preserve">pecifically, the communicant asserts that </w:t>
      </w:r>
      <w:r w:rsidR="00760F5C" w:rsidRPr="003225FD">
        <w:rPr>
          <w:rFonts w:asciiTheme="majorBidi" w:hAnsiTheme="majorBidi" w:cstheme="majorBidi"/>
        </w:rPr>
        <w:t xml:space="preserve">in 2012 and 2014 </w:t>
      </w:r>
      <w:r w:rsidRPr="003225FD">
        <w:rPr>
          <w:rFonts w:asciiTheme="majorBidi" w:hAnsiTheme="majorBidi" w:cstheme="majorBidi"/>
        </w:rPr>
        <w:t xml:space="preserve">national security services </w:t>
      </w:r>
      <w:r w:rsidR="005D73A7" w:rsidRPr="003225FD">
        <w:rPr>
          <w:rFonts w:asciiTheme="majorBidi" w:hAnsiTheme="majorBidi" w:cstheme="majorBidi"/>
        </w:rPr>
        <w:t xml:space="preserve">(SSD) </w:t>
      </w:r>
      <w:r w:rsidRPr="003225FD">
        <w:rPr>
          <w:rFonts w:asciiTheme="majorBidi" w:hAnsiTheme="majorBidi" w:cstheme="majorBidi"/>
        </w:rPr>
        <w:t xml:space="preserve">made </w:t>
      </w:r>
      <w:r w:rsidR="00760F5C" w:rsidRPr="003225FD">
        <w:rPr>
          <w:rFonts w:asciiTheme="majorBidi" w:hAnsiTheme="majorBidi" w:cstheme="majorBidi"/>
        </w:rPr>
        <w:t xml:space="preserve">several </w:t>
      </w:r>
      <w:r w:rsidRPr="003225FD">
        <w:rPr>
          <w:rFonts w:asciiTheme="majorBidi" w:hAnsiTheme="majorBidi" w:cstheme="majorBidi"/>
        </w:rPr>
        <w:t>telephone calls and other approaches to members of the communicant in relation to the communicant’s opposition to the OHL</w:t>
      </w:r>
      <w:r w:rsidR="00D46AA6" w:rsidRPr="003225FD">
        <w:rPr>
          <w:rFonts w:asciiTheme="majorBidi" w:hAnsiTheme="majorBidi" w:cstheme="majorBidi"/>
        </w:rPr>
        <w:t xml:space="preserve"> (see paras. </w:t>
      </w:r>
      <w:r w:rsidR="00D46AA6" w:rsidRPr="003225FD">
        <w:rPr>
          <w:rFonts w:asciiTheme="majorBidi" w:hAnsiTheme="majorBidi" w:cstheme="majorBidi"/>
          <w:cs/>
        </w:rPr>
        <w:t>‎</w:t>
      </w:r>
      <w:r w:rsidR="00B512F3" w:rsidRPr="00001B0D">
        <w:rPr>
          <w:rFonts w:asciiTheme="majorBidi" w:hAnsiTheme="majorBidi" w:cstheme="majorBidi"/>
        </w:rPr>
        <w:fldChar w:fldCharType="begin"/>
      </w:r>
      <w:r w:rsidR="00B512F3" w:rsidRPr="003225FD">
        <w:rPr>
          <w:rFonts w:asciiTheme="majorBidi" w:hAnsiTheme="majorBidi" w:cstheme="majorBidi"/>
        </w:rPr>
        <w:instrText xml:space="preserve"> REF _Ref12778895 \r \h  \* MERGEFORMAT </w:instrText>
      </w:r>
      <w:r w:rsidR="00B512F3" w:rsidRPr="00001B0D">
        <w:rPr>
          <w:rFonts w:asciiTheme="majorBidi" w:hAnsiTheme="majorBidi" w:cstheme="majorBidi"/>
        </w:rPr>
      </w:r>
      <w:r w:rsidR="00B512F3" w:rsidRPr="00001B0D">
        <w:rPr>
          <w:rFonts w:asciiTheme="majorBidi" w:hAnsiTheme="majorBidi" w:cstheme="majorBidi"/>
        </w:rPr>
        <w:fldChar w:fldCharType="separate"/>
      </w:r>
      <w:r w:rsidR="003A7C56">
        <w:rPr>
          <w:rFonts w:asciiTheme="majorBidi" w:hAnsiTheme="majorBidi" w:cstheme="majorBidi"/>
          <w:cs/>
        </w:rPr>
        <w:t>‎</w:t>
      </w:r>
      <w:r w:rsidR="003A7C56">
        <w:rPr>
          <w:rFonts w:asciiTheme="majorBidi" w:hAnsiTheme="majorBidi" w:cstheme="majorBidi"/>
        </w:rPr>
        <w:t>83</w:t>
      </w:r>
      <w:r w:rsidR="00B512F3" w:rsidRPr="00001B0D">
        <w:rPr>
          <w:rFonts w:asciiTheme="majorBidi" w:hAnsiTheme="majorBidi" w:cstheme="majorBidi"/>
        </w:rPr>
        <w:fldChar w:fldCharType="end"/>
      </w:r>
      <w:r w:rsidR="00B512F3" w:rsidRPr="00001B0D">
        <w:rPr>
          <w:rFonts w:asciiTheme="majorBidi" w:hAnsiTheme="majorBidi" w:cstheme="majorBidi"/>
        </w:rPr>
        <w:t>-</w:t>
      </w:r>
      <w:r w:rsidR="00B512F3" w:rsidRPr="00001B0D">
        <w:rPr>
          <w:rFonts w:asciiTheme="majorBidi" w:hAnsiTheme="majorBidi" w:cstheme="majorBidi"/>
        </w:rPr>
        <w:fldChar w:fldCharType="begin"/>
      </w:r>
      <w:r w:rsidR="00B512F3" w:rsidRPr="003225FD">
        <w:rPr>
          <w:rFonts w:asciiTheme="majorBidi" w:hAnsiTheme="majorBidi" w:cstheme="majorBidi"/>
        </w:rPr>
        <w:instrText xml:space="preserve"> REF _Ref42355359 \r \h </w:instrText>
      </w:r>
      <w:r w:rsidR="000038E3" w:rsidRPr="003225FD">
        <w:rPr>
          <w:rFonts w:asciiTheme="majorBidi" w:hAnsiTheme="majorBidi" w:cstheme="majorBidi"/>
        </w:rPr>
        <w:instrText xml:space="preserve"> \* MERGEFORMAT </w:instrText>
      </w:r>
      <w:r w:rsidR="00B512F3" w:rsidRPr="00001B0D">
        <w:rPr>
          <w:rFonts w:asciiTheme="majorBidi" w:hAnsiTheme="majorBidi" w:cstheme="majorBidi"/>
        </w:rPr>
      </w:r>
      <w:r w:rsidR="00B512F3" w:rsidRPr="00001B0D">
        <w:rPr>
          <w:rFonts w:asciiTheme="majorBidi" w:hAnsiTheme="majorBidi" w:cstheme="majorBidi"/>
        </w:rPr>
        <w:fldChar w:fldCharType="separate"/>
      </w:r>
      <w:r w:rsidR="003A7C56">
        <w:rPr>
          <w:rFonts w:asciiTheme="majorBidi" w:hAnsiTheme="majorBidi" w:cstheme="majorBidi"/>
          <w:cs/>
        </w:rPr>
        <w:t>‎</w:t>
      </w:r>
      <w:r w:rsidR="003A7C56">
        <w:rPr>
          <w:rFonts w:asciiTheme="majorBidi" w:hAnsiTheme="majorBidi" w:cstheme="majorBidi"/>
        </w:rPr>
        <w:t>85</w:t>
      </w:r>
      <w:r w:rsidR="00B512F3" w:rsidRPr="00001B0D">
        <w:rPr>
          <w:rFonts w:asciiTheme="majorBidi" w:hAnsiTheme="majorBidi" w:cstheme="majorBidi"/>
        </w:rPr>
        <w:fldChar w:fldCharType="end"/>
      </w:r>
      <w:r w:rsidR="00B512F3" w:rsidRPr="00001B0D">
        <w:rPr>
          <w:rFonts w:asciiTheme="majorBidi" w:hAnsiTheme="majorBidi" w:cstheme="majorBidi"/>
        </w:rPr>
        <w:t xml:space="preserve"> a</w:t>
      </w:r>
      <w:r w:rsidR="00D46AA6" w:rsidRPr="00001B0D">
        <w:rPr>
          <w:rFonts w:asciiTheme="majorBidi" w:hAnsiTheme="majorBidi" w:cstheme="majorBidi"/>
        </w:rPr>
        <w:t>bove)</w:t>
      </w:r>
      <w:r w:rsidRPr="003225FD">
        <w:rPr>
          <w:rFonts w:asciiTheme="majorBidi" w:hAnsiTheme="majorBidi" w:cstheme="majorBidi"/>
        </w:rPr>
        <w:t xml:space="preserve">. </w:t>
      </w:r>
    </w:p>
    <w:p w14:paraId="3953727C" w14:textId="5AAA0C2F" w:rsidR="00F515D7" w:rsidRPr="003225FD" w:rsidRDefault="005D73A7" w:rsidP="004B6738">
      <w:pPr>
        <w:pStyle w:val="SingleTxtG"/>
        <w:numPr>
          <w:ilvl w:val="0"/>
          <w:numId w:val="3"/>
        </w:numPr>
        <w:suppressAutoHyphens w:val="0"/>
        <w:autoSpaceDE w:val="0"/>
        <w:autoSpaceDN w:val="0"/>
        <w:adjustRightInd w:val="0"/>
        <w:spacing w:line="240" w:lineRule="auto"/>
        <w:ind w:left="1100" w:firstLine="0"/>
      </w:pPr>
      <w:r w:rsidRPr="003225FD">
        <w:t>In its findings on communication ACCC/C/2014/102 (Belarus), the Committee consider</w:t>
      </w:r>
      <w:r w:rsidR="00F515D7" w:rsidRPr="003225FD">
        <w:t>ed</w:t>
      </w:r>
      <w:r w:rsidRPr="003225FD">
        <w:t xml:space="preserve"> that in order to demonstrate a breach of article 3</w:t>
      </w:r>
      <w:r w:rsidR="00D46AA6" w:rsidRPr="003225FD">
        <w:t>(</w:t>
      </w:r>
      <w:r w:rsidRPr="003225FD">
        <w:t>8</w:t>
      </w:r>
      <w:r w:rsidR="00D46AA6" w:rsidRPr="003225FD">
        <w:t>)</w:t>
      </w:r>
      <w:r w:rsidRPr="003225FD">
        <w:t xml:space="preserve"> of the Convention, four elements must be established: </w:t>
      </w:r>
    </w:p>
    <w:p w14:paraId="6344985B" w14:textId="77777777" w:rsidR="00F515D7" w:rsidRPr="003225FD" w:rsidRDefault="00F515D7" w:rsidP="00E739C7">
      <w:pPr>
        <w:pStyle w:val="SingleTxtG"/>
        <w:suppressAutoHyphens w:val="0"/>
        <w:autoSpaceDE w:val="0"/>
        <w:autoSpaceDN w:val="0"/>
        <w:adjustRightInd w:val="0"/>
        <w:spacing w:line="240" w:lineRule="auto"/>
        <w:ind w:left="1701"/>
      </w:pPr>
      <w:r w:rsidRPr="003225FD">
        <w:t>“</w:t>
      </w:r>
      <w:r w:rsidR="005D73A7" w:rsidRPr="003225FD">
        <w:t xml:space="preserve">(a) One or more members of the public have exercised their rights in conformity with the provisions of the Convention, </w:t>
      </w:r>
    </w:p>
    <w:p w14:paraId="63689DC3" w14:textId="77777777" w:rsidR="00F515D7" w:rsidRPr="003225FD" w:rsidRDefault="005D73A7" w:rsidP="00E739C7">
      <w:pPr>
        <w:pStyle w:val="SingleTxtG"/>
        <w:suppressAutoHyphens w:val="0"/>
        <w:autoSpaceDE w:val="0"/>
        <w:autoSpaceDN w:val="0"/>
        <w:adjustRightInd w:val="0"/>
        <w:spacing w:line="240" w:lineRule="auto"/>
        <w:ind w:left="1701"/>
      </w:pPr>
      <w:r w:rsidRPr="003225FD">
        <w:t xml:space="preserve">(b) The member of the public or those members of the public have been penalized, persecuted or harassed; </w:t>
      </w:r>
    </w:p>
    <w:p w14:paraId="27666E82" w14:textId="77777777" w:rsidR="00F515D7" w:rsidRPr="003225FD" w:rsidRDefault="005D73A7" w:rsidP="00E739C7">
      <w:pPr>
        <w:pStyle w:val="SingleTxtG"/>
        <w:suppressAutoHyphens w:val="0"/>
        <w:autoSpaceDE w:val="0"/>
        <w:autoSpaceDN w:val="0"/>
        <w:adjustRightInd w:val="0"/>
        <w:spacing w:line="240" w:lineRule="auto"/>
        <w:ind w:left="1701"/>
      </w:pPr>
      <w:r w:rsidRPr="003225FD">
        <w:t xml:space="preserve">(c) The penalization, persecution or harassment was related to the member(s) of the public’s exercise of their rights under the Convention; </w:t>
      </w:r>
    </w:p>
    <w:p w14:paraId="3167D0F2" w14:textId="110051D5" w:rsidR="008A428B" w:rsidRPr="00001B0D" w:rsidRDefault="005D73A7" w:rsidP="00E739C7">
      <w:pPr>
        <w:pStyle w:val="SingleTxtG"/>
        <w:suppressAutoHyphens w:val="0"/>
        <w:autoSpaceDE w:val="0"/>
        <w:autoSpaceDN w:val="0"/>
        <w:adjustRightInd w:val="0"/>
        <w:spacing w:line="240" w:lineRule="auto"/>
        <w:ind w:left="1701"/>
      </w:pPr>
      <w:r w:rsidRPr="003225FD">
        <w:t>(d) The Party concerned has not taken the necessary measures to fully redress any penalization, persecution or harassment that did occur.</w:t>
      </w:r>
      <w:r w:rsidR="00F515D7" w:rsidRPr="003225FD">
        <w:t>”</w:t>
      </w:r>
      <w:r w:rsidR="00F515D7" w:rsidRPr="003225FD">
        <w:rPr>
          <w:rStyle w:val="FootnoteReference"/>
        </w:rPr>
        <w:t xml:space="preserve"> </w:t>
      </w:r>
      <w:r w:rsidR="00F515D7" w:rsidRPr="00001B0D">
        <w:rPr>
          <w:rStyle w:val="FootnoteReference"/>
        </w:rPr>
        <w:footnoteReference w:id="123"/>
      </w:r>
    </w:p>
    <w:p w14:paraId="69278102" w14:textId="48A25C09" w:rsidR="008B6400" w:rsidRPr="003225FD" w:rsidRDefault="008B6400" w:rsidP="008B6400">
      <w:pPr>
        <w:pStyle w:val="SingleTxtG"/>
        <w:numPr>
          <w:ilvl w:val="0"/>
          <w:numId w:val="3"/>
        </w:numPr>
        <w:suppressAutoHyphens w:val="0"/>
        <w:autoSpaceDE w:val="0"/>
        <w:autoSpaceDN w:val="0"/>
        <w:adjustRightInd w:val="0"/>
        <w:spacing w:line="240" w:lineRule="auto"/>
        <w:ind w:left="1100" w:firstLine="0"/>
      </w:pPr>
      <w:r w:rsidRPr="003225FD">
        <w:rPr>
          <w:rFonts w:asciiTheme="majorBidi" w:hAnsiTheme="majorBidi" w:cstheme="majorBidi"/>
        </w:rPr>
        <w:t>Concerning the 2014 events, the Committee does not have sufficient evidence before it to make a finding with respect to these allegations</w:t>
      </w:r>
      <w:r w:rsidR="0012376E" w:rsidRPr="003225FD">
        <w:rPr>
          <w:rFonts w:asciiTheme="majorBidi" w:hAnsiTheme="majorBidi" w:cstheme="majorBidi"/>
        </w:rPr>
        <w:t xml:space="preserve"> and will thus not examine them further</w:t>
      </w:r>
      <w:r w:rsidRPr="003225FD">
        <w:rPr>
          <w:rFonts w:asciiTheme="majorBidi" w:hAnsiTheme="majorBidi" w:cstheme="majorBidi"/>
        </w:rPr>
        <w:t xml:space="preserve">. </w:t>
      </w:r>
    </w:p>
    <w:p w14:paraId="34AC331F" w14:textId="363E7310" w:rsidR="009F7143" w:rsidRPr="003225FD" w:rsidRDefault="0012376E" w:rsidP="00E739C7">
      <w:pPr>
        <w:pStyle w:val="SingleTxtG"/>
        <w:numPr>
          <w:ilvl w:val="0"/>
          <w:numId w:val="3"/>
        </w:numPr>
        <w:suppressAutoHyphens w:val="0"/>
        <w:autoSpaceDE w:val="0"/>
        <w:autoSpaceDN w:val="0"/>
        <w:adjustRightInd w:val="0"/>
        <w:spacing w:line="240" w:lineRule="auto"/>
        <w:ind w:left="1100" w:firstLine="0"/>
      </w:pPr>
      <w:r w:rsidRPr="003225FD">
        <w:rPr>
          <w:rFonts w:asciiTheme="majorBidi" w:hAnsiTheme="majorBidi" w:cstheme="majorBidi"/>
        </w:rPr>
        <w:t>Regarding</w:t>
      </w:r>
      <w:r w:rsidR="009F7143" w:rsidRPr="003225FD">
        <w:rPr>
          <w:rFonts w:asciiTheme="majorBidi" w:hAnsiTheme="majorBidi" w:cstheme="majorBidi"/>
        </w:rPr>
        <w:t xml:space="preserve"> </w:t>
      </w:r>
      <w:r w:rsidRPr="003225FD">
        <w:rPr>
          <w:rFonts w:asciiTheme="majorBidi" w:hAnsiTheme="majorBidi" w:cstheme="majorBidi"/>
        </w:rPr>
        <w:t xml:space="preserve">the 2012 events, with respect to </w:t>
      </w:r>
      <w:r w:rsidR="009F7143" w:rsidRPr="003225FD">
        <w:rPr>
          <w:rFonts w:asciiTheme="majorBidi" w:hAnsiTheme="majorBidi" w:cstheme="majorBidi"/>
        </w:rPr>
        <w:t xml:space="preserve">element (a) above, </w:t>
      </w:r>
      <w:r w:rsidR="00486C55" w:rsidRPr="003225FD">
        <w:rPr>
          <w:rFonts w:asciiTheme="majorBidi" w:hAnsiTheme="majorBidi" w:cstheme="majorBidi"/>
        </w:rPr>
        <w:t>the</w:t>
      </w:r>
      <w:r w:rsidR="002A5895" w:rsidRPr="003225FD">
        <w:t xml:space="preserve"> Committee considers that, </w:t>
      </w:r>
      <w:r w:rsidR="00760F5C" w:rsidRPr="003225FD">
        <w:t>while</w:t>
      </w:r>
      <w:r w:rsidR="002A5895" w:rsidRPr="003225FD">
        <w:t xml:space="preserve"> the</w:t>
      </w:r>
      <w:r w:rsidR="00760F5C" w:rsidRPr="003225FD">
        <w:t xml:space="preserve"> </w:t>
      </w:r>
      <w:r w:rsidRPr="003225FD">
        <w:t xml:space="preserve">alleged </w:t>
      </w:r>
      <w:r w:rsidR="00D46AA6" w:rsidRPr="003225FD">
        <w:t xml:space="preserve">telephone calls made by SSD to the communicant’s head (see para. </w:t>
      </w:r>
      <w:r w:rsidR="00D46AA6" w:rsidRPr="003225FD">
        <w:fldChar w:fldCharType="begin"/>
      </w:r>
      <w:r w:rsidR="00D46AA6" w:rsidRPr="003225FD">
        <w:instrText xml:space="preserve"> REF _Ref12778895 \r \h  \* MERGEFORMAT </w:instrText>
      </w:r>
      <w:r w:rsidR="00D46AA6" w:rsidRPr="003225FD">
        <w:fldChar w:fldCharType="separate"/>
      </w:r>
      <w:r w:rsidR="003A7C56">
        <w:rPr>
          <w:cs/>
        </w:rPr>
        <w:t>‎</w:t>
      </w:r>
      <w:r w:rsidR="003A7C56">
        <w:t>83</w:t>
      </w:r>
      <w:r w:rsidR="00D46AA6" w:rsidRPr="003225FD">
        <w:fldChar w:fldCharType="end"/>
      </w:r>
      <w:r w:rsidR="00D46AA6" w:rsidRPr="00001B0D">
        <w:t xml:space="preserve"> above) occurred </w:t>
      </w:r>
      <w:r w:rsidR="002A5895" w:rsidRPr="003225FD">
        <w:t xml:space="preserve">after the public participation procedure on the OHL, </w:t>
      </w:r>
      <w:r w:rsidR="00760F5C" w:rsidRPr="003225FD">
        <w:t xml:space="preserve">the communicant was still </w:t>
      </w:r>
      <w:r w:rsidRPr="003225FD">
        <w:t xml:space="preserve">at the time </w:t>
      </w:r>
      <w:r w:rsidR="00076493" w:rsidRPr="003225FD">
        <w:t xml:space="preserve">exercising its rights under article 9 of the Convention to challenge the OHL decision before the Supreme Administrative Court. </w:t>
      </w:r>
    </w:p>
    <w:p w14:paraId="6C85E4F0" w14:textId="6C3B0F30" w:rsidR="00154246" w:rsidRPr="003225FD" w:rsidRDefault="0012376E" w:rsidP="009F7143">
      <w:pPr>
        <w:pStyle w:val="SingleTxtG"/>
        <w:numPr>
          <w:ilvl w:val="0"/>
          <w:numId w:val="3"/>
        </w:numPr>
        <w:suppressAutoHyphens w:val="0"/>
        <w:autoSpaceDE w:val="0"/>
        <w:autoSpaceDN w:val="0"/>
        <w:adjustRightInd w:val="0"/>
        <w:spacing w:line="240" w:lineRule="auto"/>
        <w:ind w:left="1100" w:firstLine="0"/>
      </w:pPr>
      <w:r w:rsidRPr="003225FD">
        <w:t>Concerning</w:t>
      </w:r>
      <w:r w:rsidR="00076493" w:rsidRPr="003225FD">
        <w:t xml:space="preserve"> </w:t>
      </w:r>
      <w:r w:rsidR="00F31ACF" w:rsidRPr="003225FD">
        <w:t>element</w:t>
      </w:r>
      <w:r w:rsidR="0044332B" w:rsidRPr="003225FD">
        <w:t>s</w:t>
      </w:r>
      <w:r w:rsidR="00F31ACF" w:rsidRPr="003225FD">
        <w:t xml:space="preserve"> </w:t>
      </w:r>
      <w:r w:rsidR="00076493" w:rsidRPr="003225FD">
        <w:t>(b)</w:t>
      </w:r>
      <w:r w:rsidR="0044332B" w:rsidRPr="003225FD">
        <w:t xml:space="preserve"> and (c)</w:t>
      </w:r>
      <w:r w:rsidR="00076493" w:rsidRPr="003225FD">
        <w:t xml:space="preserve">, </w:t>
      </w:r>
      <w:r w:rsidR="00154246" w:rsidRPr="003225FD">
        <w:t xml:space="preserve">in its findings on communication ACCC/C/2014/102, the Committee held: </w:t>
      </w:r>
    </w:p>
    <w:p w14:paraId="624A025A" w14:textId="6B2A8746" w:rsidR="00D348CF" w:rsidRPr="00001B0D" w:rsidRDefault="00154246" w:rsidP="00154246">
      <w:pPr>
        <w:pStyle w:val="SingleTxtG"/>
        <w:suppressAutoHyphens w:val="0"/>
        <w:autoSpaceDE w:val="0"/>
        <w:autoSpaceDN w:val="0"/>
        <w:adjustRightInd w:val="0"/>
        <w:spacing w:line="240" w:lineRule="auto"/>
        <w:ind w:left="1701"/>
      </w:pPr>
      <w:r w:rsidRPr="003225FD">
        <w:t>“Whether the treatment complained of amounts to penalization, persecution or harassment must be assessed on a case-by-case basis in the light of the particular circumstances, including whether the action taken by the State is objective and reasonable, and pursues a legitimate purpose. When making this assessment, the Committee considers whether the treatment complained of could be reasonable and proportional and pursue a legitimate public purpose.”</w:t>
      </w:r>
      <w:r w:rsidRPr="003225FD">
        <w:rPr>
          <w:rStyle w:val="FootnoteReference"/>
        </w:rPr>
        <w:t xml:space="preserve"> </w:t>
      </w:r>
      <w:r w:rsidRPr="00001B0D">
        <w:rPr>
          <w:rStyle w:val="FootnoteReference"/>
        </w:rPr>
        <w:footnoteReference w:id="124"/>
      </w:r>
    </w:p>
    <w:p w14:paraId="61603264" w14:textId="31A2CA39" w:rsidR="00C854C5" w:rsidRPr="003225FD" w:rsidRDefault="0012376E" w:rsidP="00E739C7">
      <w:pPr>
        <w:pStyle w:val="SingleTxtG"/>
        <w:numPr>
          <w:ilvl w:val="0"/>
          <w:numId w:val="3"/>
        </w:numPr>
        <w:suppressAutoHyphens w:val="0"/>
        <w:autoSpaceDE w:val="0"/>
        <w:autoSpaceDN w:val="0"/>
        <w:adjustRightInd w:val="0"/>
        <w:spacing w:line="240" w:lineRule="auto"/>
        <w:ind w:left="1100" w:firstLine="0"/>
      </w:pPr>
      <w:r w:rsidRPr="003225FD">
        <w:t>T</w:t>
      </w:r>
      <w:r w:rsidR="007E4C76" w:rsidRPr="003225FD">
        <w:t xml:space="preserve">he Party concerned acknowledges </w:t>
      </w:r>
      <w:r w:rsidR="00076493" w:rsidRPr="003225FD">
        <w:rPr>
          <w:rFonts w:asciiTheme="majorBidi" w:hAnsiTheme="majorBidi" w:cstheme="majorBidi"/>
        </w:rPr>
        <w:t xml:space="preserve">that the SSD contacted the communicant </w:t>
      </w:r>
      <w:r w:rsidR="007E4C76" w:rsidRPr="003225FD">
        <w:rPr>
          <w:rFonts w:asciiTheme="majorBidi" w:hAnsiTheme="majorBidi" w:cstheme="majorBidi"/>
        </w:rPr>
        <w:t xml:space="preserve">on </w:t>
      </w:r>
      <w:r w:rsidR="00C854C5" w:rsidRPr="003225FD">
        <w:rPr>
          <w:rFonts w:asciiTheme="majorBidi" w:hAnsiTheme="majorBidi" w:cstheme="majorBidi"/>
        </w:rPr>
        <w:t xml:space="preserve">one occasion </w:t>
      </w:r>
      <w:r w:rsidR="00076493" w:rsidRPr="003225FD">
        <w:rPr>
          <w:rFonts w:asciiTheme="majorBidi" w:hAnsiTheme="majorBidi" w:cstheme="majorBidi"/>
        </w:rPr>
        <w:t xml:space="preserve">with respect to its opposition to the OHL (see para. </w:t>
      </w:r>
      <w:r w:rsidR="008B6400" w:rsidRPr="003225FD">
        <w:rPr>
          <w:rFonts w:asciiTheme="majorBidi" w:hAnsiTheme="majorBidi" w:cstheme="majorBidi"/>
          <w:cs/>
        </w:rPr>
        <w:fldChar w:fldCharType="begin"/>
      </w:r>
      <w:r w:rsidR="008B6400" w:rsidRPr="003225FD">
        <w:rPr>
          <w:rFonts w:asciiTheme="majorBidi" w:hAnsiTheme="majorBidi" w:cstheme="majorBidi"/>
        </w:rPr>
        <w:instrText xml:space="preserve"> REF _Ref524646225 \r \h </w:instrText>
      </w:r>
      <w:r w:rsidR="000038E3" w:rsidRPr="003225FD">
        <w:rPr>
          <w:rFonts w:asciiTheme="majorBidi" w:hAnsiTheme="majorBidi" w:cstheme="majorBidi"/>
        </w:rPr>
        <w:instrText xml:space="preserve"> \* MERGEFORMAT </w:instrText>
      </w:r>
      <w:r w:rsidR="008B6400" w:rsidRPr="003225FD">
        <w:rPr>
          <w:rFonts w:asciiTheme="majorBidi" w:hAnsiTheme="majorBidi" w:cstheme="majorBidi"/>
          <w:cs/>
        </w:rPr>
      </w:r>
      <w:r w:rsidR="008B6400" w:rsidRPr="003225FD">
        <w:rPr>
          <w:rFonts w:asciiTheme="majorBidi" w:hAnsiTheme="majorBidi" w:cstheme="majorBidi"/>
          <w:cs/>
        </w:rPr>
        <w:fldChar w:fldCharType="separate"/>
      </w:r>
      <w:r w:rsidR="003A7C56">
        <w:rPr>
          <w:rFonts w:asciiTheme="majorBidi" w:hAnsiTheme="majorBidi" w:cstheme="majorBidi"/>
          <w:cs/>
        </w:rPr>
        <w:t>‎</w:t>
      </w:r>
      <w:r w:rsidR="003A7C56">
        <w:rPr>
          <w:rFonts w:asciiTheme="majorBidi" w:hAnsiTheme="majorBidi" w:cstheme="majorBidi"/>
        </w:rPr>
        <w:t>86</w:t>
      </w:r>
      <w:r w:rsidR="008B6400" w:rsidRPr="003225FD">
        <w:rPr>
          <w:rFonts w:asciiTheme="majorBidi" w:hAnsiTheme="majorBidi" w:cstheme="majorBidi"/>
          <w:cs/>
        </w:rPr>
        <w:fldChar w:fldCharType="end"/>
      </w:r>
      <w:r w:rsidR="008B6400" w:rsidRPr="00001B0D">
        <w:rPr>
          <w:rFonts w:asciiTheme="majorBidi" w:hAnsiTheme="majorBidi" w:cstheme="majorBidi" w:hint="cs"/>
          <w:cs/>
        </w:rPr>
        <w:t xml:space="preserve"> </w:t>
      </w:r>
      <w:r w:rsidR="00076493" w:rsidRPr="003225FD">
        <w:rPr>
          <w:rFonts w:asciiTheme="majorBidi" w:hAnsiTheme="majorBidi" w:cstheme="majorBidi"/>
        </w:rPr>
        <w:t xml:space="preserve">above). </w:t>
      </w:r>
      <w:r w:rsidR="00C854C5" w:rsidRPr="003225FD">
        <w:rPr>
          <w:rFonts w:asciiTheme="majorBidi" w:hAnsiTheme="majorBidi" w:cstheme="majorBidi"/>
        </w:rPr>
        <w:t xml:space="preserve">The Committee considers that, even just one telephone call from state security services to members of the public regarding their opposition to an activity subject to the Convention may constitute penalization, persecution or harassment under article 3(8) of the Convention. </w:t>
      </w:r>
      <w:r w:rsidR="00C10F0D" w:rsidRPr="003225FD">
        <w:rPr>
          <w:rFonts w:asciiTheme="majorBidi" w:hAnsiTheme="majorBidi" w:cstheme="majorBidi"/>
        </w:rPr>
        <w:t xml:space="preserve">The burden of proof thus moves to the Party </w:t>
      </w:r>
      <w:r w:rsidR="00F04D6B" w:rsidRPr="003225FD">
        <w:rPr>
          <w:rFonts w:asciiTheme="majorBidi" w:hAnsiTheme="majorBidi" w:cstheme="majorBidi"/>
        </w:rPr>
        <w:t xml:space="preserve">concerned </w:t>
      </w:r>
      <w:r w:rsidR="00C10F0D" w:rsidRPr="003225FD">
        <w:rPr>
          <w:rFonts w:asciiTheme="majorBidi" w:hAnsiTheme="majorBidi" w:cstheme="majorBidi"/>
        </w:rPr>
        <w:t>to show, on the balance of probabilities, that the acknowledged 2012 telephone call was reasonable, proportional and pursued a legitimate purpose.</w:t>
      </w:r>
    </w:p>
    <w:p w14:paraId="0F60A6AB" w14:textId="1AC55CD7" w:rsidR="00C10F0D" w:rsidRPr="003225FD" w:rsidRDefault="0044332B" w:rsidP="0044332B">
      <w:pPr>
        <w:pStyle w:val="SingleTxtG"/>
        <w:numPr>
          <w:ilvl w:val="0"/>
          <w:numId w:val="3"/>
        </w:numPr>
        <w:suppressAutoHyphens w:val="0"/>
        <w:autoSpaceDE w:val="0"/>
        <w:autoSpaceDN w:val="0"/>
        <w:adjustRightInd w:val="0"/>
        <w:spacing w:line="240" w:lineRule="auto"/>
        <w:ind w:left="1100" w:firstLine="0"/>
      </w:pPr>
      <w:r w:rsidRPr="003225FD">
        <w:t>The</w:t>
      </w:r>
      <w:r w:rsidR="0012376E" w:rsidRPr="003225FD">
        <w:t xml:space="preserve"> Party concerned acknowledges that </w:t>
      </w:r>
      <w:r w:rsidRPr="003225FD">
        <w:t xml:space="preserve">the </w:t>
      </w:r>
      <w:r w:rsidR="0012376E" w:rsidRPr="003225FD">
        <w:t>SSD telephoned the communicant “to clarify the issues in the Rudamina community related to the electricity power line.”</w:t>
      </w:r>
      <w:r w:rsidRPr="003225FD">
        <w:t xml:space="preserve"> It has also </w:t>
      </w:r>
      <w:r w:rsidR="00C10F0D" w:rsidRPr="003225FD">
        <w:t xml:space="preserve">provided the text of article 4(1) and (3) of its Law on Intelligence which sets out the principles </w:t>
      </w:r>
      <w:r w:rsidR="00CA1761" w:rsidRPr="003225FD">
        <w:t xml:space="preserve">in accordance with </w:t>
      </w:r>
      <w:r w:rsidR="00C10F0D" w:rsidRPr="003225FD">
        <w:t xml:space="preserve">which </w:t>
      </w:r>
      <w:r w:rsidR="00AD350B" w:rsidRPr="003225FD">
        <w:t>SSD’s</w:t>
      </w:r>
      <w:r w:rsidR="00C10F0D" w:rsidRPr="003225FD">
        <w:t xml:space="preserve"> activities are</w:t>
      </w:r>
      <w:r w:rsidR="00CA1761" w:rsidRPr="003225FD">
        <w:t xml:space="preserve"> to be carried out. It has not, however, explained how the 2012 telephone call pursued a legitimate public purpose.</w:t>
      </w:r>
    </w:p>
    <w:p w14:paraId="55016CF4" w14:textId="2F446874" w:rsidR="00EC0C7B" w:rsidRPr="003225FD" w:rsidRDefault="00EC0C7B" w:rsidP="009F7143">
      <w:pPr>
        <w:pStyle w:val="SingleTxtG"/>
        <w:numPr>
          <w:ilvl w:val="0"/>
          <w:numId w:val="3"/>
        </w:numPr>
        <w:suppressAutoHyphens w:val="0"/>
        <w:autoSpaceDE w:val="0"/>
        <w:autoSpaceDN w:val="0"/>
        <w:adjustRightInd w:val="0"/>
        <w:spacing w:line="240" w:lineRule="auto"/>
        <w:ind w:left="1100" w:firstLine="0"/>
      </w:pPr>
      <w:r w:rsidRPr="003225FD">
        <w:lastRenderedPageBreak/>
        <w:t>Concerning</w:t>
      </w:r>
      <w:r w:rsidR="00BC5C5A" w:rsidRPr="003225FD">
        <w:t xml:space="preserve"> element</w:t>
      </w:r>
      <w:r w:rsidRPr="003225FD">
        <w:t xml:space="preserve"> </w:t>
      </w:r>
      <w:r w:rsidR="0088082C" w:rsidRPr="003225FD">
        <w:t xml:space="preserve">(d), no information has been put before the Committee </w:t>
      </w:r>
      <w:r w:rsidR="0044332B" w:rsidRPr="003225FD">
        <w:t>to</w:t>
      </w:r>
      <w:r w:rsidR="0088082C" w:rsidRPr="003225FD">
        <w:t xml:space="preserve"> indicate that the Party concerned has taken any measures to redress the incident, or incidents, referred to above.</w:t>
      </w:r>
    </w:p>
    <w:p w14:paraId="5AF4319A" w14:textId="07D5AB60" w:rsidR="0019336B" w:rsidRPr="003225FD" w:rsidRDefault="0019336B" w:rsidP="00754904">
      <w:pPr>
        <w:pStyle w:val="SingleTxtG"/>
        <w:numPr>
          <w:ilvl w:val="0"/>
          <w:numId w:val="3"/>
        </w:numPr>
        <w:suppressAutoHyphens w:val="0"/>
        <w:autoSpaceDE w:val="0"/>
        <w:autoSpaceDN w:val="0"/>
        <w:adjustRightInd w:val="0"/>
        <w:spacing w:line="240" w:lineRule="auto"/>
        <w:ind w:left="1100" w:firstLine="0"/>
      </w:pPr>
      <w:r w:rsidRPr="003225FD">
        <w:t xml:space="preserve">Based on the above, the Committee finds that </w:t>
      </w:r>
      <w:r w:rsidR="000038E3" w:rsidRPr="003225FD">
        <w:t xml:space="preserve">the telephoning </w:t>
      </w:r>
      <w:r w:rsidR="00BC5C5A" w:rsidRPr="003225FD">
        <w:t>to</w:t>
      </w:r>
      <w:r w:rsidR="002F4658" w:rsidRPr="003225FD">
        <w:t xml:space="preserve"> </w:t>
      </w:r>
      <w:r w:rsidR="000038E3" w:rsidRPr="003225FD">
        <w:t xml:space="preserve">the </w:t>
      </w:r>
      <w:r w:rsidR="00B7556B" w:rsidRPr="003225FD">
        <w:t>communicant</w:t>
      </w:r>
      <w:r w:rsidR="000038E3" w:rsidRPr="003225FD">
        <w:t xml:space="preserve"> by the</w:t>
      </w:r>
      <w:r w:rsidR="0044332B" w:rsidRPr="003225FD">
        <w:t xml:space="preserve"> </w:t>
      </w:r>
      <w:r w:rsidR="00AD350B" w:rsidRPr="003225FD">
        <w:t>State Security Department</w:t>
      </w:r>
      <w:r w:rsidR="0044332B" w:rsidRPr="003225FD">
        <w:t xml:space="preserve"> </w:t>
      </w:r>
      <w:r w:rsidRPr="003225FD">
        <w:t xml:space="preserve">“to clarify the issues in the Rudamina community related to the electricity power line” constituted harassment, penalization and persecution </w:t>
      </w:r>
      <w:r w:rsidR="00B7556B" w:rsidRPr="003225FD">
        <w:t xml:space="preserve">by the Party concerned </w:t>
      </w:r>
      <w:r w:rsidRPr="003225FD">
        <w:t>in non-compliance with article 3</w:t>
      </w:r>
      <w:r w:rsidR="00754904" w:rsidRPr="003225FD">
        <w:t>(</w:t>
      </w:r>
      <w:r w:rsidRPr="003225FD">
        <w:t>8</w:t>
      </w:r>
      <w:r w:rsidR="00754904" w:rsidRPr="003225FD">
        <w:t>)</w:t>
      </w:r>
      <w:r w:rsidRPr="003225FD">
        <w:t xml:space="preserve"> of the Convention.</w:t>
      </w:r>
    </w:p>
    <w:p w14:paraId="72E82698" w14:textId="77777777" w:rsidR="0019336B" w:rsidRPr="003225FD" w:rsidRDefault="0019336B" w:rsidP="00E739C7">
      <w:pPr>
        <w:pStyle w:val="SingleTxtG"/>
        <w:suppressAutoHyphens w:val="0"/>
        <w:autoSpaceDE w:val="0"/>
        <w:autoSpaceDN w:val="0"/>
        <w:adjustRightInd w:val="0"/>
        <w:spacing w:line="240" w:lineRule="auto"/>
        <w:ind w:left="1100"/>
      </w:pPr>
    </w:p>
    <w:p w14:paraId="4F96C83A" w14:textId="77777777" w:rsidR="0023575C" w:rsidRPr="003225FD" w:rsidRDefault="00C07248">
      <w:pPr>
        <w:pStyle w:val="SingleTxtG"/>
        <w:ind w:left="0"/>
        <w:rPr>
          <w:b/>
          <w:sz w:val="24"/>
          <w:szCs w:val="24"/>
        </w:rPr>
      </w:pPr>
      <w:r w:rsidRPr="003225FD">
        <w:rPr>
          <w:b/>
          <w:sz w:val="24"/>
          <w:szCs w:val="24"/>
        </w:rPr>
        <w:tab/>
      </w:r>
      <w:r w:rsidR="0023575C" w:rsidRPr="003225FD">
        <w:rPr>
          <w:b/>
          <w:sz w:val="24"/>
          <w:szCs w:val="24"/>
        </w:rPr>
        <w:t>IV.</w:t>
      </w:r>
      <w:r w:rsidR="0023575C" w:rsidRPr="003225FD">
        <w:rPr>
          <w:b/>
          <w:sz w:val="24"/>
          <w:szCs w:val="24"/>
        </w:rPr>
        <w:tab/>
      </w:r>
      <w:r w:rsidR="00D971FB" w:rsidRPr="003225FD">
        <w:rPr>
          <w:b/>
          <w:sz w:val="24"/>
          <w:szCs w:val="24"/>
        </w:rPr>
        <w:t>Conclusions and recommendations</w:t>
      </w:r>
    </w:p>
    <w:p w14:paraId="668C2831" w14:textId="77777777" w:rsidR="0023575C" w:rsidRPr="003225FD" w:rsidRDefault="0023575C" w:rsidP="003A1B3B">
      <w:pPr>
        <w:pStyle w:val="SingleTxtG"/>
        <w:numPr>
          <w:ilvl w:val="0"/>
          <w:numId w:val="3"/>
        </w:numPr>
        <w:suppressAutoHyphens w:val="0"/>
        <w:autoSpaceDE w:val="0"/>
        <w:autoSpaceDN w:val="0"/>
        <w:adjustRightInd w:val="0"/>
        <w:spacing w:line="240" w:lineRule="auto"/>
        <w:ind w:left="1100" w:firstLine="0"/>
      </w:pPr>
      <w:r w:rsidRPr="003225FD">
        <w:t>Having considered the above, the Committee adopts the findings and recommendations set out in the following paragraphs.</w:t>
      </w:r>
    </w:p>
    <w:p w14:paraId="63973AE9" w14:textId="34113B0F" w:rsidR="00C86788" w:rsidRPr="003225FD" w:rsidRDefault="0023575C" w:rsidP="00A72100">
      <w:pPr>
        <w:pStyle w:val="H1G"/>
        <w:numPr>
          <w:ilvl w:val="0"/>
          <w:numId w:val="5"/>
        </w:numPr>
        <w:jc w:val="both"/>
      </w:pPr>
      <w:r w:rsidRPr="003225FD">
        <w:t>Main findings with regard to non-compliance</w:t>
      </w:r>
    </w:p>
    <w:p w14:paraId="35B95697" w14:textId="395BE2AF" w:rsidR="00C86788" w:rsidRPr="003225FD" w:rsidRDefault="00C86788" w:rsidP="00001B0D">
      <w:pPr>
        <w:pStyle w:val="SingleTxtG"/>
        <w:numPr>
          <w:ilvl w:val="0"/>
          <w:numId w:val="3"/>
        </w:numPr>
        <w:suppressAutoHyphens w:val="0"/>
        <w:autoSpaceDE w:val="0"/>
        <w:autoSpaceDN w:val="0"/>
        <w:adjustRightInd w:val="0"/>
        <w:spacing w:line="240" w:lineRule="auto"/>
        <w:ind w:hanging="719"/>
      </w:pPr>
      <w:r w:rsidRPr="003225FD">
        <w:t>The</w:t>
      </w:r>
      <w:r w:rsidR="00CA27CA" w:rsidRPr="003225FD">
        <w:t xml:space="preserve"> Committee finds that:</w:t>
      </w:r>
    </w:p>
    <w:p w14:paraId="51E468FB" w14:textId="276AA09F" w:rsidR="00511BE6" w:rsidRPr="003225FD" w:rsidRDefault="00CA27CA" w:rsidP="00511BE6">
      <w:pPr>
        <w:pStyle w:val="SingleTxtG"/>
        <w:suppressAutoHyphens w:val="0"/>
        <w:autoSpaceDE w:val="0"/>
        <w:autoSpaceDN w:val="0"/>
        <w:adjustRightInd w:val="0"/>
        <w:spacing w:line="240" w:lineRule="auto"/>
      </w:pPr>
      <w:bookmarkStart w:id="75" w:name="_Hlk45174915"/>
      <w:r w:rsidRPr="003225FD">
        <w:t>(a)</w:t>
      </w:r>
      <w:r w:rsidRPr="003225FD">
        <w:tab/>
      </w:r>
      <w:r w:rsidR="00794F12" w:rsidRPr="003225FD">
        <w:rPr>
          <w:rFonts w:asciiTheme="majorBidi" w:hAnsiTheme="majorBidi"/>
        </w:rPr>
        <w:t>By not correctly notifying the public concerned about the timeframes during which relevant documentation would be available and in which comments could be submitted, the Party concerned failed to comply with the requirements in article 6(2)(d)(ii) to adequately inform the public concerned about the envisaged procedure, including the opportunities for the public to participate</w:t>
      </w:r>
      <w:r w:rsidR="00AD350B" w:rsidRPr="003225FD">
        <w:t>;</w:t>
      </w:r>
    </w:p>
    <w:p w14:paraId="429C4FCF" w14:textId="071A7DAA" w:rsidR="00511BE6" w:rsidRPr="003225FD" w:rsidRDefault="00511BE6">
      <w:pPr>
        <w:pStyle w:val="SingleTxtG"/>
        <w:suppressAutoHyphens w:val="0"/>
        <w:autoSpaceDE w:val="0"/>
        <w:autoSpaceDN w:val="0"/>
        <w:adjustRightInd w:val="0"/>
        <w:spacing w:line="240" w:lineRule="auto"/>
      </w:pPr>
      <w:r w:rsidRPr="003225FD">
        <w:t>(b)</w:t>
      </w:r>
      <w:r w:rsidRPr="003225FD">
        <w:tab/>
      </w:r>
      <w:r w:rsidR="00794F12" w:rsidRPr="003225FD">
        <w:rPr>
          <w:rFonts w:asciiTheme="majorBidi" w:hAnsiTheme="majorBidi"/>
        </w:rPr>
        <w:t>By fixing the location of the border crossing point through an interstate agreement without regard to the pending public participation procedures, the Party concerned precluded the possibility for the public to participate when all options on the crossing point were open and thus failed to comply with article 6(4)</w:t>
      </w:r>
      <w:r w:rsidR="00EF3590" w:rsidRPr="003225FD">
        <w:rPr>
          <w:rFonts w:asciiTheme="majorBidi" w:hAnsiTheme="majorBidi"/>
        </w:rPr>
        <w:t xml:space="preserve"> of the Convention</w:t>
      </w:r>
      <w:r w:rsidR="00AD350B" w:rsidRPr="003225FD">
        <w:rPr>
          <w:rFonts w:asciiTheme="majorBidi" w:hAnsiTheme="majorBidi"/>
        </w:rPr>
        <w:t>;</w:t>
      </w:r>
      <w:r w:rsidR="00794F12" w:rsidRPr="003225FD">
        <w:t xml:space="preserve"> </w:t>
      </w:r>
    </w:p>
    <w:p w14:paraId="01AE7DE3" w14:textId="1040E6D3" w:rsidR="00511BE6" w:rsidRPr="003225FD" w:rsidRDefault="00511BE6" w:rsidP="00511BE6">
      <w:pPr>
        <w:pStyle w:val="SingleTxtG"/>
        <w:suppressAutoHyphens w:val="0"/>
        <w:autoSpaceDE w:val="0"/>
        <w:autoSpaceDN w:val="0"/>
        <w:adjustRightInd w:val="0"/>
        <w:spacing w:line="240" w:lineRule="auto"/>
      </w:pPr>
      <w:r w:rsidRPr="003225FD">
        <w:t>(c)</w:t>
      </w:r>
      <w:r w:rsidRPr="003225FD">
        <w:tab/>
      </w:r>
      <w:r w:rsidR="00794F12" w:rsidRPr="003225FD">
        <w:rPr>
          <w:rFonts w:asciiTheme="majorBidi" w:hAnsiTheme="majorBidi"/>
        </w:rPr>
        <w:t>By failing to ensure that all options with respect to the choice of technology for the power line were not just legally open but also could clearly be seen to be open by the public concerned, the Party concerned failed to comply with article 6(4) of the Convention</w:t>
      </w:r>
      <w:r w:rsidR="00AD350B" w:rsidRPr="003225FD">
        <w:rPr>
          <w:rFonts w:asciiTheme="majorBidi" w:hAnsiTheme="majorBidi"/>
        </w:rPr>
        <w:t>;</w:t>
      </w:r>
      <w:r w:rsidRPr="003225FD">
        <w:t xml:space="preserve"> </w:t>
      </w:r>
    </w:p>
    <w:p w14:paraId="512F5423" w14:textId="2FC440F7" w:rsidR="00511BE6" w:rsidRPr="003225FD" w:rsidRDefault="00511BE6" w:rsidP="00511BE6">
      <w:pPr>
        <w:pStyle w:val="SingleTxtG"/>
        <w:suppressAutoHyphens w:val="0"/>
        <w:autoSpaceDE w:val="0"/>
        <w:autoSpaceDN w:val="0"/>
        <w:adjustRightInd w:val="0"/>
        <w:spacing w:line="240" w:lineRule="auto"/>
      </w:pPr>
      <w:r w:rsidRPr="003225FD">
        <w:t>(</w:t>
      </w:r>
      <w:r w:rsidR="00E12D4E" w:rsidRPr="003225FD">
        <w:t>d</w:t>
      </w:r>
      <w:r w:rsidRPr="003225FD">
        <w:t>)</w:t>
      </w:r>
      <w:r w:rsidRPr="003225FD">
        <w:tab/>
      </w:r>
      <w:r w:rsidR="007F5028" w:rsidRPr="003225FD">
        <w:rPr>
          <w:rFonts w:asciiTheme="majorBidi" w:hAnsiTheme="majorBidi"/>
        </w:rPr>
        <w:t xml:space="preserve">By establishing a system whereby comments </w:t>
      </w:r>
      <w:r w:rsidR="00911CD3" w:rsidRPr="003225FD">
        <w:rPr>
          <w:rFonts w:asciiTheme="majorBidi" w:hAnsiTheme="majorBidi"/>
        </w:rPr>
        <w:t xml:space="preserve">submitted by the public </w:t>
      </w:r>
      <w:r w:rsidR="007F5028" w:rsidRPr="003225FD">
        <w:rPr>
          <w:rFonts w:asciiTheme="majorBidi" w:hAnsiTheme="majorBidi"/>
        </w:rPr>
        <w:t xml:space="preserve">during the EIA procedure are to be in the first instance submitted to an entity not required to be independent from the developer, and not to the </w:t>
      </w:r>
      <w:r w:rsidR="0062508A" w:rsidRPr="003225FD">
        <w:rPr>
          <w:rFonts w:asciiTheme="majorBidi" w:hAnsiTheme="majorBidi"/>
        </w:rPr>
        <w:t>competent</w:t>
      </w:r>
      <w:r w:rsidR="007F5028" w:rsidRPr="003225FD">
        <w:rPr>
          <w:rFonts w:asciiTheme="majorBidi" w:hAnsiTheme="majorBidi"/>
        </w:rPr>
        <w:t xml:space="preserve"> </w:t>
      </w:r>
      <w:r w:rsidR="00103F86" w:rsidRPr="003225FD">
        <w:rPr>
          <w:rFonts w:asciiTheme="majorBidi" w:hAnsiTheme="majorBidi"/>
        </w:rPr>
        <w:t xml:space="preserve">public </w:t>
      </w:r>
      <w:r w:rsidR="007F5028" w:rsidRPr="003225FD">
        <w:rPr>
          <w:rFonts w:asciiTheme="majorBidi" w:hAnsiTheme="majorBidi"/>
        </w:rPr>
        <w:t>authority itself, the Party concerned is in noncompliance with article 6(7) of the Convention</w:t>
      </w:r>
      <w:r w:rsidR="00B7556B" w:rsidRPr="003225FD">
        <w:rPr>
          <w:rFonts w:asciiTheme="majorBidi" w:hAnsiTheme="majorBidi"/>
        </w:rPr>
        <w:t>;</w:t>
      </w:r>
    </w:p>
    <w:p w14:paraId="1FBBB642" w14:textId="1A65B0DC" w:rsidR="00511BE6" w:rsidRPr="003225FD" w:rsidRDefault="00511BE6" w:rsidP="00511BE6">
      <w:pPr>
        <w:pStyle w:val="SingleTxtG"/>
        <w:suppressAutoHyphens w:val="0"/>
        <w:autoSpaceDE w:val="0"/>
        <w:autoSpaceDN w:val="0"/>
        <w:adjustRightInd w:val="0"/>
        <w:spacing w:line="240" w:lineRule="auto"/>
      </w:pPr>
      <w:r w:rsidRPr="003225FD">
        <w:t>(</w:t>
      </w:r>
      <w:r w:rsidR="005107A4" w:rsidRPr="003225FD">
        <w:t>e</w:t>
      </w:r>
      <w:r w:rsidRPr="003225FD">
        <w:t xml:space="preserve">) </w:t>
      </w:r>
      <w:r w:rsidRPr="003225FD">
        <w:tab/>
      </w:r>
      <w:r w:rsidR="0097425E" w:rsidRPr="003225FD">
        <w:rPr>
          <w:rFonts w:asciiTheme="majorBidi" w:hAnsiTheme="majorBidi"/>
        </w:rPr>
        <w:t xml:space="preserve">By not ensuring that the </w:t>
      </w:r>
      <w:r w:rsidR="0097425E" w:rsidRPr="003225FD">
        <w:rPr>
          <w:rFonts w:asciiTheme="majorBidi" w:hAnsiTheme="majorBidi" w:cstheme="majorBidi"/>
        </w:rPr>
        <w:t>competent public authority is required to take due</w:t>
      </w:r>
      <w:r w:rsidR="0097425E" w:rsidRPr="003225FD">
        <w:rPr>
          <w:rFonts w:asciiTheme="majorBidi" w:hAnsiTheme="majorBidi"/>
        </w:rPr>
        <w:t xml:space="preserve"> account </w:t>
      </w:r>
      <w:r w:rsidR="0097425E" w:rsidRPr="003225FD">
        <w:rPr>
          <w:rFonts w:asciiTheme="majorBidi" w:hAnsiTheme="majorBidi" w:cstheme="majorBidi"/>
        </w:rPr>
        <w:t>of the outcomes of</w:t>
      </w:r>
      <w:r w:rsidR="0097425E" w:rsidRPr="003225FD">
        <w:rPr>
          <w:rFonts w:asciiTheme="majorBidi" w:hAnsiTheme="majorBidi"/>
        </w:rPr>
        <w:t xml:space="preserve"> the </w:t>
      </w:r>
      <w:r w:rsidR="0097425E" w:rsidRPr="003225FD">
        <w:rPr>
          <w:rFonts w:asciiTheme="majorBidi" w:hAnsiTheme="majorBidi" w:cstheme="majorBidi"/>
        </w:rPr>
        <w:t>public participation</w:t>
      </w:r>
      <w:r w:rsidR="0097425E" w:rsidRPr="003225FD">
        <w:rPr>
          <w:rFonts w:asciiTheme="majorBidi" w:hAnsiTheme="majorBidi"/>
        </w:rPr>
        <w:t>, the Party concerned fails to comply with article 6(8) of the Convention</w:t>
      </w:r>
      <w:r w:rsidRPr="003225FD">
        <w:t>;</w:t>
      </w:r>
    </w:p>
    <w:p w14:paraId="63DD91A3" w14:textId="5539B87D" w:rsidR="00A24DD7" w:rsidRPr="003225FD" w:rsidRDefault="00511BE6" w:rsidP="0096793D">
      <w:pPr>
        <w:pStyle w:val="SingleTxtG"/>
        <w:suppressAutoHyphens w:val="0"/>
        <w:autoSpaceDE w:val="0"/>
        <w:autoSpaceDN w:val="0"/>
        <w:adjustRightInd w:val="0"/>
        <w:spacing w:line="240" w:lineRule="auto"/>
      </w:pPr>
      <w:r w:rsidRPr="003225FD">
        <w:rPr>
          <w:lang w:eastAsia="en-GB"/>
        </w:rPr>
        <w:t>(</w:t>
      </w:r>
      <w:r w:rsidR="0093389C" w:rsidRPr="003225FD">
        <w:rPr>
          <w:lang w:eastAsia="en-GB"/>
        </w:rPr>
        <w:t>f</w:t>
      </w:r>
      <w:r w:rsidRPr="003225FD">
        <w:t>)</w:t>
      </w:r>
      <w:r w:rsidRPr="003225FD">
        <w:tab/>
      </w:r>
      <w:r w:rsidR="002B185B" w:rsidRPr="003225FD">
        <w:rPr>
          <w:rFonts w:asciiTheme="majorBidi" w:hAnsiTheme="majorBidi"/>
        </w:rPr>
        <w:t>By failing to demonstrate to the Committee that the competent public authority provided evidence to the public</w:t>
      </w:r>
      <w:r w:rsidR="00DE4B1C" w:rsidRPr="003225FD">
        <w:rPr>
          <w:rFonts w:asciiTheme="majorBidi" w:hAnsiTheme="majorBidi"/>
        </w:rPr>
        <w:t xml:space="preserve">, either in or </w:t>
      </w:r>
      <w:r w:rsidR="00326FBA" w:rsidRPr="003225FD">
        <w:rPr>
          <w:rFonts w:asciiTheme="majorBidi" w:hAnsiTheme="majorBidi"/>
        </w:rPr>
        <w:t>along</w:t>
      </w:r>
      <w:r w:rsidR="00DE4B1C" w:rsidRPr="003225FD">
        <w:rPr>
          <w:rFonts w:asciiTheme="majorBidi" w:hAnsiTheme="majorBidi"/>
        </w:rPr>
        <w:t xml:space="preserve"> with the decision</w:t>
      </w:r>
      <w:r w:rsidR="00DE4B1C" w:rsidRPr="00001B0D">
        <w:rPr>
          <w:rFonts w:asciiTheme="majorBidi" w:hAnsiTheme="majorBidi"/>
        </w:rPr>
        <w:t>,</w:t>
      </w:r>
      <w:r w:rsidR="002B185B" w:rsidRPr="003225FD">
        <w:rPr>
          <w:rFonts w:asciiTheme="majorBidi" w:hAnsiTheme="majorBidi"/>
        </w:rPr>
        <w:t xml:space="preserve"> that due account was taken of the outcome of public participation, the Party concerned failed to comply with article 6(9) of the Convention</w:t>
      </w:r>
    </w:p>
    <w:p w14:paraId="13D4D134" w14:textId="1F2E2327" w:rsidR="0097425E" w:rsidRPr="003225FD" w:rsidRDefault="00511BE6" w:rsidP="00001B0D">
      <w:pPr>
        <w:pStyle w:val="SingleTxtG"/>
        <w:suppressAutoHyphens w:val="0"/>
        <w:autoSpaceDE w:val="0"/>
        <w:autoSpaceDN w:val="0"/>
        <w:adjustRightInd w:val="0"/>
        <w:spacing w:line="240" w:lineRule="auto"/>
      </w:pPr>
      <w:r w:rsidRPr="003225FD">
        <w:t>(</w:t>
      </w:r>
      <w:r w:rsidR="0093389C" w:rsidRPr="003225FD">
        <w:t>g</w:t>
      </w:r>
      <w:r w:rsidRPr="003225FD">
        <w:t>)</w:t>
      </w:r>
      <w:r w:rsidRPr="003225FD">
        <w:tab/>
      </w:r>
      <w:r w:rsidR="00B7556B" w:rsidRPr="003225FD">
        <w:t xml:space="preserve">The telephoning </w:t>
      </w:r>
      <w:r w:rsidR="00BC5C5A" w:rsidRPr="003225FD">
        <w:t>to</w:t>
      </w:r>
      <w:r w:rsidR="00B7556B" w:rsidRPr="003225FD">
        <w:t xml:space="preserve"> the communicant by the State Security Department “to clarify the issues in the Rudamina community related to the electricity power line” constituted harassment, penalization and persecution by the Party concerned in non-compliance with article 3(8) of the Convention</w:t>
      </w:r>
      <w:r w:rsidR="00AD350B" w:rsidRPr="003225FD">
        <w:t>.</w:t>
      </w:r>
    </w:p>
    <w:bookmarkEnd w:id="75"/>
    <w:p w14:paraId="67FD703B" w14:textId="7D29020F" w:rsidR="00C86788" w:rsidRPr="003225FD" w:rsidRDefault="00CF0F86" w:rsidP="00A72100">
      <w:pPr>
        <w:pStyle w:val="H1G"/>
      </w:pPr>
      <w:r w:rsidRPr="003225FD">
        <w:tab/>
      </w:r>
      <w:r w:rsidR="0023575C" w:rsidRPr="003225FD">
        <w:t>B.</w:t>
      </w:r>
      <w:r w:rsidR="0023575C" w:rsidRPr="003225FD">
        <w:tab/>
        <w:t>Recommendations</w:t>
      </w:r>
    </w:p>
    <w:p w14:paraId="3FD24F49" w14:textId="6D050382" w:rsidR="00A308C3" w:rsidRPr="003225FD" w:rsidRDefault="00C86788" w:rsidP="00A72100">
      <w:pPr>
        <w:pStyle w:val="SingleTxtG"/>
        <w:numPr>
          <w:ilvl w:val="0"/>
          <w:numId w:val="3"/>
        </w:numPr>
        <w:suppressAutoHyphens w:val="0"/>
        <w:autoSpaceDE w:val="0"/>
        <w:autoSpaceDN w:val="0"/>
        <w:adjustRightInd w:val="0"/>
        <w:spacing w:line="240" w:lineRule="auto"/>
        <w:ind w:left="1100" w:firstLine="0"/>
      </w:pPr>
      <w:r w:rsidRPr="003225FD">
        <w:t>The Committee pursuant to paragraph 36(b) of the annex to decision I/7 of the Meeting of the Parties</w:t>
      </w:r>
      <w:r w:rsidR="00130EB4" w:rsidRPr="003225FD">
        <w:t>[</w:t>
      </w:r>
      <w:r w:rsidRPr="003225FD">
        <w:t>, and noting the agreement of the Party concerned that the Committee take the measures request in paragraph 37(b) of the annex to decision I/7,</w:t>
      </w:r>
      <w:r w:rsidR="003D1BD3" w:rsidRPr="00001B0D">
        <w:sym w:font="Symbol" w:char="F05D"/>
      </w:r>
      <w:r w:rsidRPr="00001B0D">
        <w:t xml:space="preserve"> recommends that </w:t>
      </w:r>
      <w:r w:rsidRPr="003225FD">
        <w:t>the Party concerned take the necessary legislative, regulatory and administrative measures to ensure that</w:t>
      </w:r>
      <w:r w:rsidR="00A308C3" w:rsidRPr="003225FD">
        <w:t>:</w:t>
      </w:r>
    </w:p>
    <w:p w14:paraId="00C78684" w14:textId="7464816B" w:rsidR="00C86788" w:rsidRPr="003225FD" w:rsidRDefault="0062508A" w:rsidP="00873C76">
      <w:pPr>
        <w:pStyle w:val="SingleTxtG"/>
        <w:numPr>
          <w:ilvl w:val="0"/>
          <w:numId w:val="41"/>
        </w:numPr>
        <w:suppressAutoHyphens w:val="0"/>
        <w:autoSpaceDE w:val="0"/>
        <w:autoSpaceDN w:val="0"/>
        <w:adjustRightInd w:val="0"/>
        <w:spacing w:line="240" w:lineRule="auto"/>
      </w:pPr>
      <w:r w:rsidRPr="003225FD">
        <w:lastRenderedPageBreak/>
        <w:t xml:space="preserve">With respect to decisions on whether to permit specific </w:t>
      </w:r>
      <w:r w:rsidR="00EF6196" w:rsidRPr="003225FD">
        <w:t>activities subject to article 6 of the Convention</w:t>
      </w:r>
      <w:r w:rsidR="007A1F0E" w:rsidRPr="003225FD">
        <w:t>:</w:t>
      </w:r>
    </w:p>
    <w:p w14:paraId="096F6D7C" w14:textId="6F8BDE35" w:rsidR="00FF228F" w:rsidRPr="003225FD" w:rsidRDefault="00FF228F" w:rsidP="00001B0D">
      <w:pPr>
        <w:pStyle w:val="SingleTxtG"/>
        <w:suppressAutoHyphens w:val="0"/>
        <w:autoSpaceDE w:val="0"/>
        <w:autoSpaceDN w:val="0"/>
        <w:adjustRightInd w:val="0"/>
        <w:spacing w:line="240" w:lineRule="auto"/>
        <w:ind w:left="1560" w:right="1188"/>
      </w:pPr>
      <w:r w:rsidRPr="003225FD">
        <w:t>(</w:t>
      </w:r>
      <w:r w:rsidR="00A308C3" w:rsidRPr="003225FD">
        <w:t>i</w:t>
      </w:r>
      <w:r w:rsidRPr="003225FD">
        <w:t>)</w:t>
      </w:r>
      <w:r w:rsidRPr="003225FD">
        <w:tab/>
      </w:r>
      <w:r w:rsidR="00052ED9" w:rsidRPr="003225FD">
        <w:t>The public is notified about all timeframes for opportunities for public participation, including the period during which relevant documentation will be available and in which comments can be submitted;</w:t>
      </w:r>
    </w:p>
    <w:p w14:paraId="6DAB9DE8" w14:textId="7DE00FCA" w:rsidR="00052ED9" w:rsidRPr="003225FD" w:rsidRDefault="0085105C" w:rsidP="00001B0D">
      <w:pPr>
        <w:pStyle w:val="SingleTxtG"/>
        <w:suppressAutoHyphens w:val="0"/>
        <w:autoSpaceDE w:val="0"/>
        <w:autoSpaceDN w:val="0"/>
        <w:adjustRightInd w:val="0"/>
        <w:spacing w:line="240" w:lineRule="auto"/>
        <w:ind w:left="1560" w:right="1188"/>
      </w:pPr>
      <w:r w:rsidRPr="003225FD">
        <w:t>(</w:t>
      </w:r>
      <w:r w:rsidR="00A308C3" w:rsidRPr="003225FD">
        <w:t>ii</w:t>
      </w:r>
      <w:r w:rsidRPr="003225FD">
        <w:t>)</w:t>
      </w:r>
      <w:r w:rsidRPr="003225FD">
        <w:tab/>
      </w:r>
      <w:r w:rsidR="003F050F" w:rsidRPr="003225FD">
        <w:t xml:space="preserve">Any international agreement </w:t>
      </w:r>
      <w:r w:rsidR="0062508A" w:rsidRPr="003225FD">
        <w:t>concerning the specific</w:t>
      </w:r>
      <w:r w:rsidR="00EE21F7" w:rsidRPr="003225FD">
        <w:t xml:space="preserve"> </w:t>
      </w:r>
      <w:r w:rsidR="003F050F" w:rsidRPr="003225FD">
        <w:t xml:space="preserve">activity that is agreed by the Party concerned prior to the completion of the public participation procedure under article 6, must </w:t>
      </w:r>
      <w:r w:rsidR="002F4658" w:rsidRPr="003225FD">
        <w:t>not preclude all options being open during</w:t>
      </w:r>
      <w:r w:rsidR="003F050F" w:rsidRPr="003225FD">
        <w:t xml:space="preserve"> </w:t>
      </w:r>
      <w:r w:rsidR="002F4658" w:rsidRPr="003225FD">
        <w:t xml:space="preserve">the </w:t>
      </w:r>
      <w:r w:rsidR="003F050F" w:rsidRPr="003225FD">
        <w:t>public participation procedure</w:t>
      </w:r>
      <w:r w:rsidR="00052ED9" w:rsidRPr="003225FD">
        <w:t>.</w:t>
      </w:r>
    </w:p>
    <w:p w14:paraId="7410129D" w14:textId="17CAA7A7" w:rsidR="0085105C" w:rsidRPr="003225FD" w:rsidRDefault="00052ED9" w:rsidP="00001B0D">
      <w:pPr>
        <w:pStyle w:val="SingleTxtG"/>
        <w:suppressAutoHyphens w:val="0"/>
        <w:autoSpaceDE w:val="0"/>
        <w:autoSpaceDN w:val="0"/>
        <w:adjustRightInd w:val="0"/>
        <w:spacing w:line="240" w:lineRule="auto"/>
        <w:ind w:left="1560" w:right="1188"/>
      </w:pPr>
      <w:r w:rsidRPr="003225FD">
        <w:t>(</w:t>
      </w:r>
      <w:r w:rsidR="00A308C3" w:rsidRPr="003225FD">
        <w:t>iii</w:t>
      </w:r>
      <w:r w:rsidRPr="003225FD">
        <w:t>)</w:t>
      </w:r>
      <w:r w:rsidRPr="003225FD">
        <w:tab/>
      </w:r>
      <w:r w:rsidR="00CC2868" w:rsidRPr="003225FD">
        <w:t xml:space="preserve">The range of options open </w:t>
      </w:r>
      <w:r w:rsidR="00861F1B" w:rsidRPr="003225FD">
        <w:t xml:space="preserve">at each stage of decision-making </w:t>
      </w:r>
      <w:r w:rsidR="00CC2868" w:rsidRPr="003225FD">
        <w:t xml:space="preserve">are adequately reflected in the information provided to the public at </w:t>
      </w:r>
      <w:r w:rsidR="00861F1B" w:rsidRPr="003225FD">
        <w:t>each stag</w:t>
      </w:r>
      <w:r w:rsidR="00EF6196" w:rsidRPr="003225FD">
        <w:t>e</w:t>
      </w:r>
      <w:r w:rsidR="00D948B5" w:rsidRPr="003225FD">
        <w:t>;</w:t>
      </w:r>
    </w:p>
    <w:p w14:paraId="2B16EBA2" w14:textId="5DE1A298" w:rsidR="001A6BED" w:rsidRPr="003225FD" w:rsidRDefault="001A6BED" w:rsidP="00001B0D">
      <w:pPr>
        <w:pStyle w:val="SingleTxtG"/>
        <w:suppressAutoHyphens w:val="0"/>
        <w:autoSpaceDE w:val="0"/>
        <w:autoSpaceDN w:val="0"/>
        <w:adjustRightInd w:val="0"/>
        <w:spacing w:line="240" w:lineRule="auto"/>
        <w:ind w:left="1560" w:right="1188"/>
      </w:pPr>
      <w:r w:rsidRPr="003225FD">
        <w:t>(</w:t>
      </w:r>
      <w:r w:rsidR="00A308C3" w:rsidRPr="003225FD">
        <w:t>iv</w:t>
      </w:r>
      <w:r w:rsidRPr="003225FD">
        <w:t xml:space="preserve">) </w:t>
      </w:r>
      <w:r w:rsidRPr="003225FD">
        <w:tab/>
      </w:r>
      <w:r w:rsidR="00052ED9" w:rsidRPr="003225FD">
        <w:t xml:space="preserve">A clear requirement is established that comments </w:t>
      </w:r>
      <w:r w:rsidR="00953870" w:rsidRPr="003225FD">
        <w:t xml:space="preserve">submitted by the public </w:t>
      </w:r>
      <w:r w:rsidR="00052ED9" w:rsidRPr="003225FD">
        <w:t xml:space="preserve">are sent to the </w:t>
      </w:r>
      <w:r w:rsidR="003851C8" w:rsidRPr="003225FD">
        <w:t>competent</w:t>
      </w:r>
      <w:r w:rsidR="00052ED9" w:rsidRPr="003225FD">
        <w:t xml:space="preserve"> </w:t>
      </w:r>
      <w:r w:rsidR="00103F86" w:rsidRPr="003225FD">
        <w:t xml:space="preserve">public </w:t>
      </w:r>
      <w:r w:rsidR="00052ED9" w:rsidRPr="003225FD">
        <w:t>authority itself</w:t>
      </w:r>
      <w:r w:rsidR="00EF6196" w:rsidRPr="003225FD">
        <w:t>,</w:t>
      </w:r>
    </w:p>
    <w:p w14:paraId="6BB5E8C1" w14:textId="34278A0B" w:rsidR="001A6BED" w:rsidRPr="003225FD" w:rsidRDefault="001A6BED" w:rsidP="00001B0D">
      <w:pPr>
        <w:pStyle w:val="SingleTxtG"/>
        <w:suppressAutoHyphens w:val="0"/>
        <w:autoSpaceDE w:val="0"/>
        <w:autoSpaceDN w:val="0"/>
        <w:adjustRightInd w:val="0"/>
        <w:spacing w:line="240" w:lineRule="auto"/>
        <w:ind w:left="1560" w:right="1188"/>
      </w:pPr>
      <w:r w:rsidRPr="003225FD">
        <w:t>(</w:t>
      </w:r>
      <w:r w:rsidR="00A308C3" w:rsidRPr="003225FD">
        <w:t>v</w:t>
      </w:r>
      <w:r w:rsidRPr="003225FD">
        <w:t>)</w:t>
      </w:r>
      <w:r w:rsidRPr="003225FD">
        <w:tab/>
      </w:r>
      <w:r w:rsidR="00052ED9" w:rsidRPr="003225FD">
        <w:t>The obligation to take due account of the comments, information, analysis or opinions submitted by the public during the EIA procedure is placed on the competent public authority;</w:t>
      </w:r>
    </w:p>
    <w:p w14:paraId="7EE93A63" w14:textId="15A49513" w:rsidR="00052ED9" w:rsidRPr="003225FD" w:rsidRDefault="001A6BED" w:rsidP="00001B0D">
      <w:pPr>
        <w:pStyle w:val="SingleTxtG"/>
        <w:suppressAutoHyphens w:val="0"/>
        <w:autoSpaceDE w:val="0"/>
        <w:autoSpaceDN w:val="0"/>
        <w:adjustRightInd w:val="0"/>
        <w:spacing w:line="240" w:lineRule="auto"/>
        <w:ind w:left="1560" w:right="1188"/>
        <w:rPr>
          <w:iCs/>
        </w:rPr>
      </w:pPr>
      <w:r w:rsidRPr="003225FD">
        <w:t>(</w:t>
      </w:r>
      <w:r w:rsidR="00A308C3" w:rsidRPr="003225FD">
        <w:t>vi</w:t>
      </w:r>
      <w:r w:rsidRPr="003225FD">
        <w:t>)</w:t>
      </w:r>
      <w:r w:rsidRPr="003225FD">
        <w:tab/>
      </w:r>
      <w:r w:rsidR="00103F86" w:rsidRPr="003225FD">
        <w:t>When publishing the decision, the competent public authority</w:t>
      </w:r>
      <w:r w:rsidR="00285BD2" w:rsidRPr="003225FD">
        <w:t xml:space="preserve"> provides evidence</w:t>
      </w:r>
      <w:r w:rsidR="000A1F05" w:rsidRPr="003225FD">
        <w:t xml:space="preserve"> </w:t>
      </w:r>
      <w:r w:rsidR="00326FBA" w:rsidRPr="003225FD">
        <w:t xml:space="preserve">to the public, </w:t>
      </w:r>
      <w:r w:rsidR="00103F86" w:rsidRPr="00001B0D">
        <w:t xml:space="preserve">either in </w:t>
      </w:r>
      <w:r w:rsidR="00103F86" w:rsidRPr="003225FD">
        <w:t xml:space="preserve">or </w:t>
      </w:r>
      <w:r w:rsidR="00326FBA" w:rsidRPr="003225FD">
        <w:t>along</w:t>
      </w:r>
      <w:r w:rsidR="00103F86" w:rsidRPr="003225FD">
        <w:t xml:space="preserve"> with the decision</w:t>
      </w:r>
      <w:r w:rsidR="00326FBA" w:rsidRPr="003225FD">
        <w:t>,</w:t>
      </w:r>
      <w:r w:rsidR="00103F86" w:rsidRPr="003225FD">
        <w:t xml:space="preserve"> </w:t>
      </w:r>
      <w:r w:rsidR="00BB26D3" w:rsidRPr="003225FD">
        <w:t>o</w:t>
      </w:r>
      <w:r w:rsidR="000A1F05" w:rsidRPr="003225FD">
        <w:t>f</w:t>
      </w:r>
      <w:r w:rsidR="00BB26D3" w:rsidRPr="00001B0D">
        <w:t xml:space="preserve"> </w:t>
      </w:r>
      <w:r w:rsidR="00AE1617" w:rsidRPr="00001B0D">
        <w:t>how</w:t>
      </w:r>
      <w:r w:rsidR="00103F86" w:rsidRPr="003225FD">
        <w:t xml:space="preserve"> </w:t>
      </w:r>
      <w:r w:rsidR="0093389C" w:rsidRPr="003225FD">
        <w:t>due account was taken of the outcome of the public participation;</w:t>
      </w:r>
    </w:p>
    <w:p w14:paraId="62FBFECD" w14:textId="65F7ABCD" w:rsidR="00052ED9" w:rsidRPr="003225FD" w:rsidRDefault="00052ED9" w:rsidP="00001B0D">
      <w:pPr>
        <w:pStyle w:val="SingleTxtG"/>
        <w:suppressAutoHyphens w:val="0"/>
        <w:autoSpaceDE w:val="0"/>
        <w:autoSpaceDN w:val="0"/>
        <w:adjustRightInd w:val="0"/>
        <w:spacing w:line="240" w:lineRule="auto"/>
        <w:ind w:left="1560" w:right="1188"/>
        <w:rPr>
          <w:iCs/>
        </w:rPr>
      </w:pPr>
      <w:r w:rsidRPr="003225FD">
        <w:t>(</w:t>
      </w:r>
      <w:r w:rsidR="00A308C3" w:rsidRPr="003225FD">
        <w:t>vii</w:t>
      </w:r>
      <w:r w:rsidRPr="003225FD">
        <w:t>)</w:t>
      </w:r>
      <w:r w:rsidRPr="003225FD">
        <w:tab/>
      </w:r>
      <w:r w:rsidRPr="003225FD">
        <w:rPr>
          <w:iCs/>
        </w:rPr>
        <w:t>The time period within which the public must be notified of the decision is calculated from the date the decision is taken, not the date it is received by the developer;</w:t>
      </w:r>
    </w:p>
    <w:p w14:paraId="020AC947" w14:textId="6F31512F" w:rsidR="00052ED9" w:rsidRDefault="00052ED9" w:rsidP="00052ED9">
      <w:pPr>
        <w:pStyle w:val="SingleTxtG"/>
        <w:suppressAutoHyphens w:val="0"/>
        <w:autoSpaceDE w:val="0"/>
        <w:autoSpaceDN w:val="0"/>
        <w:adjustRightInd w:val="0"/>
        <w:spacing w:line="240" w:lineRule="auto"/>
        <w:ind w:right="1188"/>
      </w:pPr>
      <w:r w:rsidRPr="003225FD">
        <w:t>(</w:t>
      </w:r>
      <w:r w:rsidR="00A308C3" w:rsidRPr="003225FD">
        <w:t>b</w:t>
      </w:r>
      <w:r w:rsidRPr="003225FD">
        <w:t>)</w:t>
      </w:r>
      <w:r w:rsidRPr="003225FD">
        <w:tab/>
      </w:r>
      <w:r w:rsidR="00AD350B" w:rsidRPr="003225FD">
        <w:t>The State Security Department</w:t>
      </w:r>
      <w:r w:rsidR="00C45BF1" w:rsidRPr="003225FD">
        <w:rPr>
          <w:rFonts w:asciiTheme="majorBidi" w:hAnsiTheme="majorBidi" w:cstheme="majorBidi"/>
        </w:rPr>
        <w:t xml:space="preserve"> </w:t>
      </w:r>
      <w:r w:rsidRPr="003225FD">
        <w:t>receive</w:t>
      </w:r>
      <w:r w:rsidR="00AD350B" w:rsidRPr="003225FD">
        <w:t>s</w:t>
      </w:r>
      <w:r w:rsidRPr="003225FD">
        <w:t xml:space="preserve"> clear instructions not to contact or surveil persons seeking to exercise their rights to participate or seek access to justice under the Convention.</w:t>
      </w:r>
    </w:p>
    <w:p w14:paraId="31F51BA7" w14:textId="77777777" w:rsidR="00052ED9" w:rsidRPr="000B2CCD" w:rsidRDefault="00052ED9" w:rsidP="00052ED9">
      <w:pPr>
        <w:pStyle w:val="SingleTxtG"/>
        <w:suppressAutoHyphens w:val="0"/>
        <w:autoSpaceDE w:val="0"/>
        <w:autoSpaceDN w:val="0"/>
        <w:adjustRightInd w:val="0"/>
        <w:spacing w:line="240" w:lineRule="auto"/>
        <w:ind w:right="1188"/>
      </w:pPr>
    </w:p>
    <w:p w14:paraId="14C8D318" w14:textId="0B7784C0" w:rsidR="001C6663" w:rsidRPr="00A21891" w:rsidRDefault="001C6663" w:rsidP="00341686">
      <w:pPr>
        <w:pStyle w:val="SingleTxtG"/>
        <w:spacing w:before="240" w:after="0"/>
        <w:ind w:right="1188"/>
        <w:jc w:val="center"/>
        <w:rPr>
          <w:u w:val="single"/>
        </w:rPr>
      </w:pPr>
    </w:p>
    <w:sectPr w:rsidR="001C6663" w:rsidRPr="00A21891" w:rsidSect="001B70F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134" w:bottom="1418" w:left="1080" w:header="1134" w:footer="8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98617" w14:textId="77777777" w:rsidR="000A1AA5" w:rsidRDefault="000A1AA5"/>
  </w:endnote>
  <w:endnote w:type="continuationSeparator" w:id="0">
    <w:p w14:paraId="3B3EEEEA" w14:textId="77777777" w:rsidR="000A1AA5" w:rsidRDefault="000A1AA5"/>
  </w:endnote>
  <w:endnote w:type="continuationNotice" w:id="1">
    <w:p w14:paraId="248175BB" w14:textId="77777777" w:rsidR="000A1AA5" w:rsidRDefault="000A1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9450" w14:textId="507E2A37" w:rsidR="000A1AA5" w:rsidRPr="0023575C" w:rsidRDefault="000A1AA5" w:rsidP="0023575C">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20</w:t>
    </w:r>
    <w:r w:rsidRPr="002357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47BB" w14:textId="66063843" w:rsidR="000A1AA5" w:rsidRPr="0023575C" w:rsidRDefault="000A1AA5" w:rsidP="0023575C">
    <w:pPr>
      <w:pStyle w:val="Footer"/>
      <w:tabs>
        <w:tab w:val="right" w:pos="9638"/>
      </w:tabs>
      <w:rPr>
        <w:b/>
        <w:sz w:val="18"/>
      </w:rPr>
    </w:pPr>
    <w:r>
      <w:tab/>
    </w: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22</w:t>
    </w:r>
    <w:r w:rsidRPr="002357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F7E8" w14:textId="77777777" w:rsidR="000A1AA5" w:rsidRPr="0023575C" w:rsidRDefault="000A1AA5">
    <w:pPr>
      <w:pStyle w:val="Footer"/>
      <w:rPr>
        <w:sz w:val="20"/>
      </w:rPr>
    </w:pPr>
    <w:r w:rsidRPr="00001B0D">
      <w:rPr>
        <w:noProof/>
        <w:lang w:val="sv-SE"/>
      </w:rPr>
      <w:drawing>
        <wp:anchor distT="0" distB="0" distL="114300" distR="114300" simplePos="0" relativeHeight="251657728" behindDoc="0" locked="1" layoutInCell="1" allowOverlap="1" wp14:anchorId="5427E7E0" wp14:editId="19F74C53">
          <wp:simplePos x="0" y="0"/>
          <wp:positionH relativeFrom="column">
            <wp:posOffset>5148580</wp:posOffset>
          </wp:positionH>
          <wp:positionV relativeFrom="paragraph">
            <wp:posOffset>-114935</wp:posOffset>
          </wp:positionV>
          <wp:extent cx="930275" cy="230505"/>
          <wp:effectExtent l="0" t="0" r="3175"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4602" w14:textId="77777777" w:rsidR="000A1AA5" w:rsidRPr="000B175B" w:rsidRDefault="000A1AA5" w:rsidP="000B175B">
      <w:pPr>
        <w:tabs>
          <w:tab w:val="right" w:pos="2155"/>
        </w:tabs>
        <w:spacing w:after="80"/>
        <w:ind w:left="680"/>
        <w:rPr>
          <w:u w:val="single"/>
        </w:rPr>
      </w:pPr>
      <w:r>
        <w:rPr>
          <w:u w:val="single"/>
        </w:rPr>
        <w:tab/>
      </w:r>
    </w:p>
  </w:footnote>
  <w:footnote w:type="continuationSeparator" w:id="0">
    <w:p w14:paraId="6589F639" w14:textId="77777777" w:rsidR="000A1AA5" w:rsidRPr="00FC68B7" w:rsidRDefault="000A1AA5" w:rsidP="00FC68B7">
      <w:pPr>
        <w:tabs>
          <w:tab w:val="left" w:pos="2155"/>
        </w:tabs>
        <w:spacing w:after="80"/>
        <w:ind w:left="680"/>
        <w:rPr>
          <w:u w:val="single"/>
        </w:rPr>
      </w:pPr>
      <w:r>
        <w:rPr>
          <w:u w:val="single"/>
        </w:rPr>
        <w:tab/>
      </w:r>
    </w:p>
  </w:footnote>
  <w:footnote w:type="continuationNotice" w:id="1">
    <w:p w14:paraId="3E58B364" w14:textId="77777777" w:rsidR="000A1AA5" w:rsidRDefault="000A1AA5"/>
  </w:footnote>
  <w:footnote w:id="2">
    <w:p w14:paraId="4DDEAE24" w14:textId="77777777" w:rsidR="000A1AA5" w:rsidRPr="005F2A22" w:rsidRDefault="000A1AA5" w:rsidP="00473291">
      <w:pPr>
        <w:pStyle w:val="FootnoteText"/>
        <w:tabs>
          <w:tab w:val="clear" w:pos="1021"/>
        </w:tabs>
        <w:ind w:firstLine="0"/>
      </w:pPr>
      <w:r w:rsidRPr="005F2A22">
        <w:rPr>
          <w:rStyle w:val="FootnoteReference"/>
        </w:rPr>
        <w:footnoteRef/>
      </w:r>
      <w:r w:rsidRPr="005F2A22">
        <w:t xml:space="preserve"> This section summarizes only the main facts, evidence and issues considered to be relevant to the question of compliance, as presented to and considered by the Committee.</w:t>
      </w:r>
    </w:p>
  </w:footnote>
  <w:footnote w:id="3">
    <w:p w14:paraId="72B53C48" w14:textId="39910FA9" w:rsidR="000A1AA5" w:rsidRPr="001F31C4" w:rsidRDefault="000A1AA5">
      <w:pPr>
        <w:pStyle w:val="FootnoteText"/>
        <w:rPr>
          <w:lang w:val="en-US"/>
        </w:rPr>
      </w:pPr>
      <w:r>
        <w:tab/>
      </w:r>
      <w:r>
        <w:tab/>
      </w:r>
      <w:r>
        <w:rPr>
          <w:rStyle w:val="FootnoteReference"/>
        </w:rPr>
        <w:footnoteRef/>
      </w:r>
      <w:r>
        <w:t xml:space="preserve"> Email from Party concerned, 25 June 2015, annex 2, p. 1.</w:t>
      </w:r>
    </w:p>
  </w:footnote>
  <w:footnote w:id="4">
    <w:p w14:paraId="2A2A47DF" w14:textId="4786715E" w:rsidR="000A1AA5" w:rsidRPr="00001B0D" w:rsidRDefault="000A1AA5" w:rsidP="00001B0D">
      <w:pPr>
        <w:pStyle w:val="FootnoteText"/>
      </w:pPr>
      <w:r w:rsidRPr="007C3F5D">
        <w:tab/>
      </w:r>
      <w:r w:rsidRPr="007C3F5D">
        <w:tab/>
      </w:r>
      <w:r w:rsidRPr="007C3F5D">
        <w:rPr>
          <w:rStyle w:val="FootnoteReference"/>
        </w:rPr>
        <w:footnoteRef/>
      </w:r>
      <w:r w:rsidRPr="007C3F5D">
        <w:t xml:space="preserve"> Ibid. Text of </w:t>
      </w:r>
      <w:r>
        <w:t xml:space="preserve">the </w:t>
      </w:r>
      <w:r w:rsidRPr="00001B0D">
        <w:t xml:space="preserve">Public Participation Order provided </w:t>
      </w:r>
      <w:r w:rsidRPr="007C3F5D">
        <w:t xml:space="preserve">by the Party concerned on </w:t>
      </w:r>
      <w:r w:rsidRPr="00001B0D">
        <w:t>28 September 2018.</w:t>
      </w:r>
    </w:p>
  </w:footnote>
  <w:footnote w:id="5">
    <w:p w14:paraId="0C4E5856" w14:textId="64BD1B7F" w:rsidR="000A1AA5" w:rsidRPr="001F31C4" w:rsidRDefault="000A1AA5">
      <w:pPr>
        <w:pStyle w:val="FootnoteText"/>
        <w:rPr>
          <w:lang w:val="fr-CH"/>
        </w:rPr>
      </w:pPr>
      <w:r w:rsidRPr="007C3F5D">
        <w:tab/>
      </w:r>
      <w:r w:rsidRPr="007C3F5D">
        <w:tab/>
      </w:r>
      <w:r w:rsidRPr="007C3F5D">
        <w:rPr>
          <w:rStyle w:val="FootnoteReference"/>
        </w:rPr>
        <w:footnoteRef/>
      </w:r>
      <w:r w:rsidRPr="005107A4">
        <w:rPr>
          <w:lang w:val="fr-CH"/>
        </w:rPr>
        <w:t xml:space="preserve"> Communicant’s comments on national legislation, 5 June 2015, pp.</w:t>
      </w:r>
      <w:r>
        <w:rPr>
          <w:lang w:val="fr-CH"/>
        </w:rPr>
        <w:t xml:space="preserve"> 1-3.</w:t>
      </w:r>
    </w:p>
  </w:footnote>
  <w:footnote w:id="6">
    <w:p w14:paraId="4006BC47" w14:textId="7B73D730" w:rsidR="000A1AA5" w:rsidRPr="001F31C4" w:rsidRDefault="000A1AA5" w:rsidP="00473291">
      <w:pPr>
        <w:pStyle w:val="FootnoteText"/>
        <w:tabs>
          <w:tab w:val="clear" w:pos="1021"/>
        </w:tabs>
        <w:ind w:firstLine="0"/>
        <w:rPr>
          <w:lang w:val="fr-CH"/>
        </w:rPr>
      </w:pPr>
      <w:r w:rsidRPr="005F2A22">
        <w:rPr>
          <w:rStyle w:val="FootnoteReference"/>
        </w:rPr>
        <w:footnoteRef/>
      </w:r>
      <w:r w:rsidRPr="001F31C4">
        <w:rPr>
          <w:lang w:val="fr-CH"/>
        </w:rPr>
        <w:t xml:space="preserve"> Communication, p. 2.</w:t>
      </w:r>
    </w:p>
  </w:footnote>
  <w:footnote w:id="7">
    <w:p w14:paraId="1B39E109" w14:textId="15A6B484" w:rsidR="000A1AA5" w:rsidRPr="00001B0D" w:rsidRDefault="000A1AA5" w:rsidP="0096793D">
      <w:pPr>
        <w:pStyle w:val="FootnoteText"/>
        <w:tabs>
          <w:tab w:val="clear" w:pos="1021"/>
        </w:tabs>
        <w:ind w:firstLine="0"/>
        <w:rPr>
          <w:lang w:val="fr-CH"/>
        </w:rPr>
      </w:pPr>
      <w:r w:rsidRPr="00F23666">
        <w:rPr>
          <w:rStyle w:val="FootnoteReference"/>
        </w:rPr>
        <w:footnoteRef/>
      </w:r>
      <w:r w:rsidRPr="00001B0D">
        <w:rPr>
          <w:lang w:val="fr-CH"/>
        </w:rPr>
        <w:t xml:space="preserve"> Party’s reply to questions, 8 June 2015, annex 2, p. 32.</w:t>
      </w:r>
    </w:p>
  </w:footnote>
  <w:footnote w:id="8">
    <w:p w14:paraId="68A71F3C" w14:textId="4B5146C1" w:rsidR="000A1AA5" w:rsidRPr="005107A4" w:rsidRDefault="000A1AA5" w:rsidP="004F151E">
      <w:pPr>
        <w:pStyle w:val="FootnoteText"/>
        <w:tabs>
          <w:tab w:val="clear" w:pos="1021"/>
        </w:tabs>
        <w:ind w:firstLine="0"/>
        <w:rPr>
          <w:lang w:val="fr-CH"/>
        </w:rPr>
      </w:pPr>
      <w:r w:rsidRPr="000935EC">
        <w:rPr>
          <w:rStyle w:val="FootnoteReference"/>
        </w:rPr>
        <w:footnoteRef/>
      </w:r>
      <w:r w:rsidRPr="005107A4">
        <w:rPr>
          <w:lang w:val="fr-CH"/>
        </w:rPr>
        <w:t xml:space="preserve"> Communication, annex 1.</w:t>
      </w:r>
    </w:p>
  </w:footnote>
  <w:footnote w:id="9">
    <w:p w14:paraId="5D71D6D1" w14:textId="0BB8023C" w:rsidR="000A1AA5" w:rsidRPr="005107A4" w:rsidRDefault="000A1AA5" w:rsidP="00473291">
      <w:pPr>
        <w:pStyle w:val="FootnoteText"/>
        <w:tabs>
          <w:tab w:val="clear" w:pos="1021"/>
        </w:tabs>
        <w:ind w:firstLine="0"/>
        <w:rPr>
          <w:lang w:val="fr-CH"/>
        </w:rPr>
      </w:pPr>
      <w:r w:rsidRPr="000935EC">
        <w:rPr>
          <w:rStyle w:val="FootnoteReference"/>
        </w:rPr>
        <w:footnoteRef/>
      </w:r>
      <w:r w:rsidRPr="005107A4">
        <w:rPr>
          <w:lang w:val="fr-CH"/>
        </w:rPr>
        <w:t xml:space="preserve"> Communication, p. 5.</w:t>
      </w:r>
    </w:p>
  </w:footnote>
  <w:footnote w:id="10">
    <w:p w14:paraId="43511E72" w14:textId="58E2A0C3" w:rsidR="000A1AA5" w:rsidRPr="00001B0D" w:rsidRDefault="000A1AA5" w:rsidP="00274509">
      <w:pPr>
        <w:pStyle w:val="FootnoteText"/>
        <w:tabs>
          <w:tab w:val="clear" w:pos="1021"/>
        </w:tabs>
        <w:ind w:firstLine="0"/>
      </w:pPr>
      <w:r w:rsidRPr="000935EC">
        <w:rPr>
          <w:rStyle w:val="FootnoteReference"/>
        </w:rPr>
        <w:footnoteRef/>
      </w:r>
      <w:r w:rsidRPr="00001B0D">
        <w:t xml:space="preserve"> Party’s response to communication, p. 2.</w:t>
      </w:r>
    </w:p>
  </w:footnote>
  <w:footnote w:id="11">
    <w:p w14:paraId="52770168" w14:textId="1A04D940" w:rsidR="000A1AA5" w:rsidRPr="005F2A22" w:rsidRDefault="000A1AA5" w:rsidP="00473291">
      <w:pPr>
        <w:pStyle w:val="FootnoteText"/>
        <w:tabs>
          <w:tab w:val="clear" w:pos="1021"/>
        </w:tabs>
        <w:ind w:firstLine="0"/>
        <w:rPr>
          <w:lang w:val="en-US"/>
        </w:rPr>
      </w:pPr>
      <w:r w:rsidRPr="005F2A22">
        <w:rPr>
          <w:rStyle w:val="FootnoteReference"/>
        </w:rPr>
        <w:footnoteRef/>
      </w:r>
      <w:r w:rsidRPr="005F2A22">
        <w:t xml:space="preserve"> </w:t>
      </w:r>
      <w:r>
        <w:rPr>
          <w:lang w:val="en-US"/>
        </w:rPr>
        <w:t xml:space="preserve">Communicant’s </w:t>
      </w:r>
      <w:r w:rsidRPr="003A1B3B">
        <w:rPr>
          <w:lang w:val="en-US"/>
        </w:rPr>
        <w:t>a</w:t>
      </w:r>
      <w:r w:rsidRPr="005F2A22">
        <w:rPr>
          <w:lang w:val="en-US"/>
        </w:rPr>
        <w:t xml:space="preserve">dditional </w:t>
      </w:r>
      <w:r>
        <w:rPr>
          <w:lang w:val="en-US"/>
        </w:rPr>
        <w:t>remarks</w:t>
      </w:r>
      <w:r w:rsidRPr="005F2A22">
        <w:rPr>
          <w:lang w:val="en-US"/>
        </w:rPr>
        <w:t>, 25 February 2015, p. 5.</w:t>
      </w:r>
    </w:p>
  </w:footnote>
  <w:footnote w:id="12">
    <w:p w14:paraId="3A7DC487" w14:textId="0D40D2D9" w:rsidR="000A1AA5" w:rsidRPr="006554CE" w:rsidRDefault="000A1AA5" w:rsidP="00473291">
      <w:pPr>
        <w:pStyle w:val="FootnoteText"/>
        <w:tabs>
          <w:tab w:val="clear" w:pos="1021"/>
        </w:tabs>
        <w:ind w:firstLine="0"/>
        <w:rPr>
          <w:lang w:val="en-US"/>
        </w:rPr>
      </w:pPr>
      <w:r w:rsidRPr="005F2A22">
        <w:rPr>
          <w:rStyle w:val="FootnoteReference"/>
        </w:rPr>
        <w:footnoteRef/>
      </w:r>
      <w:r w:rsidRPr="006554CE">
        <w:rPr>
          <w:lang w:val="en-US"/>
        </w:rPr>
        <w:t xml:space="preserve"> </w:t>
      </w:r>
      <w:r>
        <w:rPr>
          <w:lang w:val="en-US"/>
        </w:rPr>
        <w:t>Communication, p. 3</w:t>
      </w:r>
      <w:r w:rsidRPr="006554CE">
        <w:rPr>
          <w:lang w:val="en-US"/>
        </w:rPr>
        <w:t>.</w:t>
      </w:r>
    </w:p>
  </w:footnote>
  <w:footnote w:id="13">
    <w:p w14:paraId="60CB5B46" w14:textId="265B9A06" w:rsidR="000A1AA5" w:rsidRPr="00A72100" w:rsidRDefault="000A1AA5" w:rsidP="00E52256">
      <w:pPr>
        <w:pStyle w:val="FootnoteText"/>
        <w:tabs>
          <w:tab w:val="clear" w:pos="1021"/>
        </w:tabs>
        <w:ind w:firstLine="0"/>
      </w:pPr>
      <w:r w:rsidRPr="005F2A22">
        <w:rPr>
          <w:rStyle w:val="FootnoteReference"/>
        </w:rPr>
        <w:footnoteRef/>
      </w:r>
      <w:r w:rsidRPr="00A72100">
        <w:t xml:space="preserve"> </w:t>
      </w:r>
      <w:r>
        <w:t>Party’s response to communication</w:t>
      </w:r>
      <w:r w:rsidRPr="00A72100">
        <w:t>, p. 2</w:t>
      </w:r>
      <w:r>
        <w:t>, footnote 3</w:t>
      </w:r>
      <w:r w:rsidRPr="00A72100">
        <w:t>.</w:t>
      </w:r>
    </w:p>
  </w:footnote>
  <w:footnote w:id="14">
    <w:p w14:paraId="05E94F68" w14:textId="779F17B3" w:rsidR="000A1AA5" w:rsidRPr="006554CE" w:rsidRDefault="000A1AA5" w:rsidP="00473291">
      <w:pPr>
        <w:pStyle w:val="FootnoteText"/>
        <w:tabs>
          <w:tab w:val="clear" w:pos="1021"/>
        </w:tabs>
        <w:ind w:firstLine="0"/>
        <w:rPr>
          <w:lang w:val="en-US"/>
        </w:rPr>
      </w:pPr>
      <w:r w:rsidRPr="005F2A22">
        <w:rPr>
          <w:rStyle w:val="FootnoteReference"/>
        </w:rPr>
        <w:footnoteRef/>
      </w:r>
      <w:r w:rsidRPr="006554CE">
        <w:rPr>
          <w:lang w:val="en-US"/>
        </w:rPr>
        <w:t xml:space="preserve"> </w:t>
      </w:r>
      <w:r>
        <w:rPr>
          <w:lang w:val="en-US"/>
        </w:rPr>
        <w:t>Ibid.</w:t>
      </w:r>
      <w:r w:rsidRPr="006554CE">
        <w:rPr>
          <w:lang w:val="en-US"/>
        </w:rPr>
        <w:t>, p. 2.</w:t>
      </w:r>
    </w:p>
  </w:footnote>
  <w:footnote w:id="15">
    <w:p w14:paraId="4E04EE62" w14:textId="47ACB5A5" w:rsidR="000A1AA5" w:rsidRPr="00A72100" w:rsidRDefault="000A1AA5" w:rsidP="00473291">
      <w:pPr>
        <w:pStyle w:val="FootnoteText"/>
        <w:tabs>
          <w:tab w:val="clear" w:pos="1021"/>
        </w:tabs>
        <w:ind w:firstLine="0"/>
      </w:pPr>
      <w:r w:rsidRPr="005F2A22">
        <w:rPr>
          <w:rStyle w:val="FootnoteReference"/>
        </w:rPr>
        <w:footnoteRef/>
      </w:r>
      <w:r w:rsidRPr="00A72100">
        <w:t xml:space="preserve"> </w:t>
      </w:r>
      <w:r>
        <w:t>Ibid.</w:t>
      </w:r>
      <w:r w:rsidRPr="00A72100">
        <w:t>, pp. 2-3.</w:t>
      </w:r>
    </w:p>
  </w:footnote>
  <w:footnote w:id="16">
    <w:p w14:paraId="17FDB741" w14:textId="700343F6" w:rsidR="000A1AA5" w:rsidRPr="00A72100" w:rsidRDefault="000A1AA5" w:rsidP="00277D93">
      <w:pPr>
        <w:pStyle w:val="FootnoteText"/>
        <w:tabs>
          <w:tab w:val="clear" w:pos="1021"/>
        </w:tabs>
        <w:ind w:firstLine="0"/>
      </w:pPr>
      <w:r w:rsidRPr="005F2A22">
        <w:rPr>
          <w:rStyle w:val="FootnoteReference"/>
        </w:rPr>
        <w:footnoteRef/>
      </w:r>
      <w:r w:rsidRPr="00A72100">
        <w:t xml:space="preserve"> Party’s re</w:t>
      </w:r>
      <w:r>
        <w:t>ply to questions, 31 August 2017</w:t>
      </w:r>
      <w:r w:rsidRPr="00A72100">
        <w:t xml:space="preserve">, p. </w:t>
      </w:r>
      <w:r>
        <w:t>3</w:t>
      </w:r>
      <w:r w:rsidRPr="00A72100">
        <w:t>.</w:t>
      </w:r>
    </w:p>
  </w:footnote>
  <w:footnote w:id="17">
    <w:p w14:paraId="2711706D" w14:textId="4E982C71" w:rsidR="000A1AA5" w:rsidRPr="005F2A22" w:rsidRDefault="000A1AA5" w:rsidP="00473291">
      <w:pPr>
        <w:pStyle w:val="FootnoteText"/>
        <w:tabs>
          <w:tab w:val="clear" w:pos="1021"/>
        </w:tabs>
        <w:ind w:firstLine="0"/>
        <w:rPr>
          <w:lang w:val="en-US"/>
        </w:rPr>
      </w:pPr>
      <w:r w:rsidRPr="005F2A22">
        <w:rPr>
          <w:rStyle w:val="FootnoteReference"/>
        </w:rPr>
        <w:footnoteRef/>
      </w:r>
      <w:r w:rsidRPr="005F2A22">
        <w:t xml:space="preserve"> </w:t>
      </w:r>
      <w:r>
        <w:t>Party’s response to communication,</w:t>
      </w:r>
      <w:r w:rsidRPr="005F2A22">
        <w:t xml:space="preserve"> p</w:t>
      </w:r>
      <w:r>
        <w:t>p</w:t>
      </w:r>
      <w:r w:rsidRPr="005F2A22">
        <w:t>. 3 and 8</w:t>
      </w:r>
      <w:r>
        <w:t>.</w:t>
      </w:r>
    </w:p>
  </w:footnote>
  <w:footnote w:id="18">
    <w:p w14:paraId="6312D9A1" w14:textId="741C637D" w:rsidR="000A1AA5" w:rsidRPr="001E0858" w:rsidRDefault="000A1AA5" w:rsidP="00473291">
      <w:pPr>
        <w:pStyle w:val="FootnoteText"/>
        <w:tabs>
          <w:tab w:val="clear" w:pos="1021"/>
        </w:tabs>
        <w:ind w:firstLine="0"/>
        <w:rPr>
          <w:lang w:val="en-US"/>
        </w:rPr>
      </w:pPr>
      <w:r w:rsidRPr="005F2A22">
        <w:rPr>
          <w:rStyle w:val="FootnoteReference"/>
        </w:rPr>
        <w:footnoteRef/>
      </w:r>
      <w:r w:rsidRPr="00A72100">
        <w:rPr>
          <w:lang w:val="en-US"/>
        </w:rPr>
        <w:t xml:space="preserve"> </w:t>
      </w:r>
      <w:r>
        <w:rPr>
          <w:lang w:val="en-US"/>
        </w:rPr>
        <w:t>Ibid.</w:t>
      </w:r>
      <w:r w:rsidRPr="00A72100">
        <w:rPr>
          <w:lang w:val="en-US"/>
        </w:rPr>
        <w:t xml:space="preserve">, p. 3. </w:t>
      </w:r>
    </w:p>
  </w:footnote>
  <w:footnote w:id="19">
    <w:p w14:paraId="2CCE83BE" w14:textId="3EEDD42D" w:rsidR="000A1AA5" w:rsidRPr="00466C86" w:rsidRDefault="000A1AA5">
      <w:pPr>
        <w:pStyle w:val="FootnoteText"/>
      </w:pPr>
      <w:r w:rsidRPr="00466C86">
        <w:tab/>
      </w:r>
      <w:r w:rsidRPr="00466C86">
        <w:tab/>
      </w:r>
      <w:r>
        <w:rPr>
          <w:rStyle w:val="FootnoteReference"/>
        </w:rPr>
        <w:footnoteRef/>
      </w:r>
      <w:r w:rsidRPr="00466C86">
        <w:t xml:space="preserve"> </w:t>
      </w:r>
      <w:r>
        <w:t>Ibid.</w:t>
      </w:r>
      <w:r w:rsidRPr="00A72100">
        <w:t>, p</w:t>
      </w:r>
      <w:r>
        <w:t>p</w:t>
      </w:r>
      <w:r w:rsidRPr="00A72100">
        <w:t xml:space="preserve">. </w:t>
      </w:r>
      <w:r>
        <w:t xml:space="preserve">3 and </w:t>
      </w:r>
      <w:r w:rsidRPr="00A72100">
        <w:t>7.</w:t>
      </w:r>
    </w:p>
  </w:footnote>
  <w:footnote w:id="20">
    <w:p w14:paraId="20673961" w14:textId="2D3A7E88" w:rsidR="000A1AA5" w:rsidRPr="005F2A22" w:rsidRDefault="000A1AA5" w:rsidP="00473291">
      <w:pPr>
        <w:pStyle w:val="FootnoteText"/>
        <w:tabs>
          <w:tab w:val="clear" w:pos="1021"/>
        </w:tabs>
        <w:ind w:firstLine="0"/>
        <w:rPr>
          <w:lang w:val="en-US"/>
        </w:rPr>
      </w:pPr>
      <w:r w:rsidRPr="005F2A22">
        <w:rPr>
          <w:rStyle w:val="FootnoteReference"/>
        </w:rPr>
        <w:footnoteRef/>
      </w:r>
      <w:r w:rsidRPr="005F2A22">
        <w:t xml:space="preserve"> </w:t>
      </w:r>
      <w:r>
        <w:t>Ibid.</w:t>
      </w:r>
    </w:p>
  </w:footnote>
  <w:footnote w:id="21">
    <w:p w14:paraId="33110280" w14:textId="13741A52" w:rsidR="000A1AA5" w:rsidRPr="005F2A22" w:rsidRDefault="000A1AA5" w:rsidP="00473291">
      <w:pPr>
        <w:pStyle w:val="FootnoteText"/>
        <w:tabs>
          <w:tab w:val="clear" w:pos="1021"/>
        </w:tabs>
        <w:ind w:firstLine="0"/>
        <w:rPr>
          <w:lang w:val="en-US"/>
        </w:rPr>
      </w:pPr>
      <w:r w:rsidRPr="005F2A22">
        <w:rPr>
          <w:rStyle w:val="FootnoteReference"/>
        </w:rPr>
        <w:footnoteRef/>
      </w:r>
      <w:r w:rsidRPr="005F2A22">
        <w:t xml:space="preserve"> </w:t>
      </w:r>
      <w:r>
        <w:t>Party’s reply to questions, 31 August 2017, p. 12</w:t>
      </w:r>
      <w:r w:rsidRPr="005F2A22">
        <w:t>.</w:t>
      </w:r>
    </w:p>
  </w:footnote>
  <w:footnote w:id="22">
    <w:p w14:paraId="2B353189" w14:textId="682278DA" w:rsidR="000A1AA5" w:rsidRPr="005F2A22" w:rsidRDefault="000A1AA5" w:rsidP="00B2391C">
      <w:pPr>
        <w:pStyle w:val="FootnoteText"/>
        <w:tabs>
          <w:tab w:val="clear" w:pos="1021"/>
        </w:tabs>
        <w:ind w:firstLine="0"/>
        <w:rPr>
          <w:lang w:val="en-US"/>
        </w:rPr>
      </w:pPr>
      <w:r w:rsidRPr="005F2A22">
        <w:rPr>
          <w:rStyle w:val="FootnoteReference"/>
        </w:rPr>
        <w:footnoteRef/>
      </w:r>
      <w:r w:rsidRPr="005F2A22">
        <w:t xml:space="preserve"> </w:t>
      </w:r>
      <w:r w:rsidRPr="00A72100">
        <w:t>Party’s reply to questions, 8 June 2015</w:t>
      </w:r>
      <w:r>
        <w:t>, annex 3, p. 13</w:t>
      </w:r>
      <w:r w:rsidRPr="005F2A22">
        <w:t>.</w:t>
      </w:r>
    </w:p>
  </w:footnote>
  <w:footnote w:id="23">
    <w:p w14:paraId="3DB4B996" w14:textId="4343EE78" w:rsidR="000A1AA5" w:rsidRPr="006C6872" w:rsidRDefault="000A1AA5" w:rsidP="00B85BAC">
      <w:pPr>
        <w:pStyle w:val="FootnoteText"/>
        <w:ind w:firstLine="0"/>
        <w:rPr>
          <w:lang w:val="en-US"/>
        </w:rPr>
      </w:pPr>
      <w:r>
        <w:rPr>
          <w:rStyle w:val="FootnoteReference"/>
        </w:rPr>
        <w:footnoteRef/>
      </w:r>
      <w:r>
        <w:rPr>
          <w:lang w:val="en-US"/>
        </w:rPr>
        <w:t xml:space="preserve"> Ibid.</w:t>
      </w:r>
      <w:r w:rsidRPr="006C6872">
        <w:rPr>
          <w:lang w:val="en-US"/>
        </w:rPr>
        <w:t xml:space="preserve">, </w:t>
      </w:r>
      <w:r>
        <w:rPr>
          <w:lang w:val="en-US"/>
        </w:rPr>
        <w:t xml:space="preserve">annex 1, </w:t>
      </w:r>
      <w:r w:rsidRPr="006C6872">
        <w:rPr>
          <w:lang w:val="en-US"/>
        </w:rPr>
        <w:t>p. 13</w:t>
      </w:r>
      <w:r>
        <w:rPr>
          <w:lang w:val="en-US"/>
        </w:rPr>
        <w:t>, and annex 4, p. 11.</w:t>
      </w:r>
    </w:p>
  </w:footnote>
  <w:footnote w:id="24">
    <w:p w14:paraId="4A52C74E" w14:textId="50FAA1E2" w:rsidR="000A1AA5" w:rsidRPr="005F2A22" w:rsidRDefault="000A1AA5" w:rsidP="00C8470B">
      <w:pPr>
        <w:pStyle w:val="FootnoteText"/>
        <w:tabs>
          <w:tab w:val="clear" w:pos="1021"/>
        </w:tabs>
        <w:ind w:firstLine="0"/>
        <w:rPr>
          <w:lang w:val="en-US"/>
        </w:rPr>
      </w:pPr>
      <w:r w:rsidRPr="005F2A22">
        <w:rPr>
          <w:rStyle w:val="FootnoteReference"/>
        </w:rPr>
        <w:footnoteRef/>
      </w:r>
      <w:r w:rsidRPr="005F2A22">
        <w:t xml:space="preserve"> </w:t>
      </w:r>
      <w:r>
        <w:t>Party’s response to communication, pp. 7-8, and annex 2, pp. 2-3</w:t>
      </w:r>
      <w:r w:rsidRPr="005F2A22">
        <w:t>.</w:t>
      </w:r>
    </w:p>
  </w:footnote>
  <w:footnote w:id="25">
    <w:p w14:paraId="2986B8C2" w14:textId="5A4B39A8" w:rsidR="000A1AA5" w:rsidRPr="00A15EB0" w:rsidRDefault="000A1AA5" w:rsidP="00473291">
      <w:pPr>
        <w:pStyle w:val="FootnoteText"/>
        <w:tabs>
          <w:tab w:val="clear" w:pos="1021"/>
        </w:tabs>
        <w:ind w:firstLine="0"/>
        <w:rPr>
          <w:lang w:val="en-US"/>
        </w:rPr>
      </w:pPr>
      <w:r w:rsidRPr="005F2A22">
        <w:rPr>
          <w:rStyle w:val="FootnoteReference"/>
        </w:rPr>
        <w:footnoteRef/>
      </w:r>
      <w:r w:rsidRPr="005F2A22">
        <w:t xml:space="preserve"> </w:t>
      </w:r>
      <w:r>
        <w:t>Ibid.</w:t>
      </w:r>
      <w:r w:rsidRPr="005F2A22">
        <w:t xml:space="preserve">, </w:t>
      </w:r>
      <w:r w:rsidRPr="00A15EB0">
        <w:t xml:space="preserve">annex </w:t>
      </w:r>
      <w:r>
        <w:t>3</w:t>
      </w:r>
      <w:r w:rsidRPr="00A15EB0">
        <w:t>, pp. 1-2.</w:t>
      </w:r>
    </w:p>
  </w:footnote>
  <w:footnote w:id="26">
    <w:p w14:paraId="34F5C655" w14:textId="3F91E851" w:rsidR="000A1AA5" w:rsidRPr="00A15EB0" w:rsidRDefault="000A1AA5" w:rsidP="000B4156">
      <w:pPr>
        <w:pStyle w:val="FootnoteText"/>
        <w:tabs>
          <w:tab w:val="clear" w:pos="1021"/>
        </w:tabs>
        <w:ind w:firstLine="0"/>
        <w:rPr>
          <w:lang w:val="en-US"/>
        </w:rPr>
      </w:pPr>
      <w:r w:rsidRPr="00A15EB0">
        <w:rPr>
          <w:rStyle w:val="FootnoteReference"/>
        </w:rPr>
        <w:footnoteRef/>
      </w:r>
      <w:r w:rsidRPr="00A15EB0">
        <w:t xml:space="preserve"> </w:t>
      </w:r>
      <w:r>
        <w:rPr>
          <w:lang w:val="en-US"/>
        </w:rPr>
        <w:t>Ibid., annex 3, p</w:t>
      </w:r>
      <w:r w:rsidRPr="00A15EB0">
        <w:rPr>
          <w:lang w:val="en-US"/>
        </w:rPr>
        <w:t>.</w:t>
      </w:r>
      <w:r>
        <w:rPr>
          <w:lang w:val="en-US"/>
        </w:rPr>
        <w:t xml:space="preserve"> 2.</w:t>
      </w:r>
    </w:p>
  </w:footnote>
  <w:footnote w:id="27">
    <w:p w14:paraId="071A75B8" w14:textId="0369C832" w:rsidR="000A1AA5" w:rsidRPr="00A15EB0" w:rsidRDefault="000A1AA5" w:rsidP="00473291">
      <w:pPr>
        <w:pStyle w:val="FootnoteText"/>
        <w:tabs>
          <w:tab w:val="clear" w:pos="1021"/>
        </w:tabs>
        <w:ind w:firstLine="0"/>
        <w:rPr>
          <w:lang w:val="en-US"/>
        </w:rPr>
      </w:pPr>
      <w:r w:rsidRPr="00A15EB0">
        <w:rPr>
          <w:rStyle w:val="FootnoteReference"/>
        </w:rPr>
        <w:footnoteRef/>
      </w:r>
      <w:r w:rsidRPr="00A15EB0">
        <w:t xml:space="preserve"> </w:t>
      </w:r>
      <w:r>
        <w:t>Party’s response to communication</w:t>
      </w:r>
      <w:r w:rsidRPr="00A15EB0">
        <w:t>, p. 4.</w:t>
      </w:r>
    </w:p>
  </w:footnote>
  <w:footnote w:id="28">
    <w:p w14:paraId="1D22C932" w14:textId="32E54B29" w:rsidR="000A1AA5" w:rsidRPr="00A72100" w:rsidRDefault="000A1AA5" w:rsidP="00473291">
      <w:pPr>
        <w:pStyle w:val="FootnoteText"/>
        <w:tabs>
          <w:tab w:val="clear" w:pos="1021"/>
        </w:tabs>
        <w:ind w:firstLine="0"/>
      </w:pPr>
      <w:r w:rsidRPr="00A15EB0">
        <w:rPr>
          <w:rStyle w:val="FootnoteReference"/>
        </w:rPr>
        <w:footnoteRef/>
      </w:r>
      <w:r w:rsidRPr="00A15EB0">
        <w:t xml:space="preserve"> </w:t>
      </w:r>
      <w:r>
        <w:t>Ibid.,</w:t>
      </w:r>
      <w:r>
        <w:rPr>
          <w:lang w:val="en-US"/>
        </w:rPr>
        <w:t xml:space="preserve"> annex 3, p. 5.</w:t>
      </w:r>
    </w:p>
  </w:footnote>
  <w:footnote w:id="29">
    <w:p w14:paraId="3EAA1C73" w14:textId="168F2B3C" w:rsidR="000A1AA5" w:rsidRPr="005F2A22" w:rsidRDefault="000A1AA5" w:rsidP="00473291">
      <w:pPr>
        <w:pStyle w:val="FootnoteText"/>
        <w:tabs>
          <w:tab w:val="clear" w:pos="1021"/>
        </w:tabs>
        <w:ind w:firstLine="0"/>
      </w:pPr>
      <w:r w:rsidRPr="005F2A22">
        <w:rPr>
          <w:rStyle w:val="FootnoteReference"/>
        </w:rPr>
        <w:footnoteRef/>
      </w:r>
      <w:r w:rsidRPr="005F2A22">
        <w:t xml:space="preserve"> </w:t>
      </w:r>
      <w:r>
        <w:rPr>
          <w:lang w:val="en-US"/>
        </w:rPr>
        <w:t>Communicant’s a</w:t>
      </w:r>
      <w:r w:rsidRPr="008D6DB7">
        <w:rPr>
          <w:lang w:val="en-US"/>
        </w:rPr>
        <w:t xml:space="preserve">dditional </w:t>
      </w:r>
      <w:r>
        <w:rPr>
          <w:lang w:val="en-US"/>
        </w:rPr>
        <w:t>remarks</w:t>
      </w:r>
      <w:r w:rsidRPr="008D6DB7">
        <w:rPr>
          <w:lang w:val="en-US"/>
        </w:rPr>
        <w:t>, 25 February 2015</w:t>
      </w:r>
      <w:r w:rsidRPr="005F2A22">
        <w:t>, p</w:t>
      </w:r>
      <w:r>
        <w:t>p</w:t>
      </w:r>
      <w:r w:rsidRPr="005F2A22">
        <w:t xml:space="preserve">. </w:t>
      </w:r>
      <w:r>
        <w:t>1-</w:t>
      </w:r>
      <w:r w:rsidRPr="005F2A22">
        <w:t>2</w:t>
      </w:r>
      <w:r>
        <w:t>, and</w:t>
      </w:r>
      <w:r w:rsidRPr="005F2A22">
        <w:t xml:space="preserve"> </w:t>
      </w:r>
      <w:r>
        <w:t>annex 10</w:t>
      </w:r>
      <w:r w:rsidRPr="005F2A22">
        <w:t>.</w:t>
      </w:r>
    </w:p>
  </w:footnote>
  <w:footnote w:id="30">
    <w:p w14:paraId="5C8F71C1" w14:textId="6A2FCB8D" w:rsidR="000A1AA5" w:rsidRPr="005F2A22" w:rsidRDefault="000A1AA5" w:rsidP="00EF6689">
      <w:pPr>
        <w:pStyle w:val="FootnoteText"/>
        <w:tabs>
          <w:tab w:val="clear" w:pos="1021"/>
        </w:tabs>
        <w:ind w:firstLine="0"/>
      </w:pPr>
      <w:r w:rsidRPr="005F2A22">
        <w:rPr>
          <w:rStyle w:val="FootnoteReference"/>
        </w:rPr>
        <w:footnoteRef/>
      </w:r>
      <w:r w:rsidRPr="005F2A22">
        <w:t xml:space="preserve"> </w:t>
      </w:r>
      <w:r>
        <w:t>Ibid., a</w:t>
      </w:r>
      <w:r w:rsidRPr="005F2A22">
        <w:t>nnex 11</w:t>
      </w:r>
      <w:r>
        <w:t>,</w:t>
      </w:r>
      <w:r w:rsidRPr="005F2A22">
        <w:t xml:space="preserve"> </w:t>
      </w:r>
      <w:r>
        <w:t>p</w:t>
      </w:r>
      <w:r w:rsidRPr="005F2A22">
        <w:t xml:space="preserve">. </w:t>
      </w:r>
      <w:r>
        <w:t>4</w:t>
      </w:r>
      <w:r w:rsidRPr="005F2A22">
        <w:t>.</w:t>
      </w:r>
    </w:p>
  </w:footnote>
  <w:footnote w:id="31">
    <w:p w14:paraId="3A4C974F" w14:textId="2AB96455" w:rsidR="000A1AA5" w:rsidRPr="00A72100" w:rsidRDefault="000A1AA5" w:rsidP="00473291">
      <w:pPr>
        <w:pStyle w:val="FootnoteText"/>
        <w:tabs>
          <w:tab w:val="clear" w:pos="1021"/>
        </w:tabs>
        <w:ind w:firstLine="0"/>
      </w:pPr>
      <w:r w:rsidRPr="005F2A22">
        <w:rPr>
          <w:rStyle w:val="FootnoteReference"/>
        </w:rPr>
        <w:footnoteRef/>
      </w:r>
      <w:r w:rsidRPr="00A72100">
        <w:t xml:space="preserve"> </w:t>
      </w:r>
      <w:r>
        <w:t>Party’s response to communication</w:t>
      </w:r>
      <w:r w:rsidRPr="00A72100">
        <w:t>, pp. 4-5.</w:t>
      </w:r>
    </w:p>
  </w:footnote>
  <w:footnote w:id="32">
    <w:p w14:paraId="5269EF6F" w14:textId="1B0FEDF5" w:rsidR="000A1AA5" w:rsidRPr="00BD31B9" w:rsidRDefault="000A1AA5">
      <w:pPr>
        <w:pStyle w:val="FootnoteText"/>
      </w:pPr>
      <w:r w:rsidRPr="00BD31B9">
        <w:tab/>
      </w:r>
      <w:r w:rsidRPr="00BD31B9">
        <w:tab/>
      </w:r>
      <w:r>
        <w:rPr>
          <w:rStyle w:val="FootnoteReference"/>
        </w:rPr>
        <w:footnoteRef/>
      </w:r>
      <w:r w:rsidRPr="00BD31B9">
        <w:t xml:space="preserve"> </w:t>
      </w:r>
      <w:r>
        <w:t>Ibid.</w:t>
      </w:r>
      <w:r w:rsidRPr="00A72100">
        <w:t>, p.</w:t>
      </w:r>
      <w:r>
        <w:t xml:space="preserve"> 5. </w:t>
      </w:r>
    </w:p>
  </w:footnote>
  <w:footnote w:id="33">
    <w:p w14:paraId="27559282" w14:textId="033A8BE9" w:rsidR="000A1AA5" w:rsidRPr="00A72100" w:rsidRDefault="000A1AA5" w:rsidP="00473291">
      <w:pPr>
        <w:pStyle w:val="FootnoteText"/>
        <w:tabs>
          <w:tab w:val="clear" w:pos="1021"/>
        </w:tabs>
        <w:ind w:firstLine="0"/>
      </w:pPr>
      <w:r w:rsidRPr="005F2A22">
        <w:rPr>
          <w:rStyle w:val="FootnoteReference"/>
        </w:rPr>
        <w:footnoteRef/>
      </w:r>
      <w:r w:rsidRPr="00A72100">
        <w:t xml:space="preserve"> </w:t>
      </w:r>
      <w:r>
        <w:t>Ibid.</w:t>
      </w:r>
    </w:p>
  </w:footnote>
  <w:footnote w:id="34">
    <w:p w14:paraId="18E252C8" w14:textId="6F4A273A" w:rsidR="000A1AA5" w:rsidRPr="00A72100" w:rsidRDefault="000A1AA5" w:rsidP="00473291">
      <w:pPr>
        <w:pStyle w:val="FootnoteText"/>
        <w:tabs>
          <w:tab w:val="clear" w:pos="1021"/>
        </w:tabs>
        <w:ind w:firstLine="0"/>
      </w:pPr>
      <w:r w:rsidRPr="005F2A22">
        <w:rPr>
          <w:rStyle w:val="FootnoteReference"/>
        </w:rPr>
        <w:footnoteRef/>
      </w:r>
      <w:r w:rsidRPr="00A72100">
        <w:t xml:space="preserve"> </w:t>
      </w:r>
      <w:r>
        <w:t>Ibid.</w:t>
      </w:r>
    </w:p>
  </w:footnote>
  <w:footnote w:id="35">
    <w:p w14:paraId="3D8E760F" w14:textId="709C6D78" w:rsidR="000A1AA5" w:rsidRPr="00A72100" w:rsidRDefault="000A1AA5" w:rsidP="00473291">
      <w:pPr>
        <w:pStyle w:val="FootnoteText"/>
        <w:tabs>
          <w:tab w:val="clear" w:pos="1021"/>
        </w:tabs>
        <w:ind w:firstLine="0"/>
      </w:pPr>
      <w:r w:rsidRPr="005F2A22">
        <w:rPr>
          <w:rStyle w:val="FootnoteReference"/>
        </w:rPr>
        <w:footnoteRef/>
      </w:r>
      <w:r w:rsidRPr="00A72100">
        <w:t xml:space="preserve"> Communication, annex 4.</w:t>
      </w:r>
    </w:p>
  </w:footnote>
  <w:footnote w:id="36">
    <w:p w14:paraId="31C99716" w14:textId="27A2053E" w:rsidR="000A1AA5" w:rsidRPr="005F2A22" w:rsidRDefault="000A1AA5" w:rsidP="00473291">
      <w:pPr>
        <w:pStyle w:val="FootnoteText"/>
        <w:tabs>
          <w:tab w:val="clear" w:pos="1021"/>
        </w:tabs>
        <w:ind w:firstLine="0"/>
        <w:rPr>
          <w:lang w:val="en-US"/>
        </w:rPr>
      </w:pPr>
      <w:r w:rsidRPr="005F2A22">
        <w:rPr>
          <w:rStyle w:val="FootnoteReference"/>
        </w:rPr>
        <w:footnoteRef/>
      </w:r>
      <w:r w:rsidRPr="005F2A22">
        <w:t xml:space="preserve"> </w:t>
      </w:r>
      <w:r>
        <w:t>Party’s response to communication</w:t>
      </w:r>
      <w:r w:rsidRPr="005F2A22">
        <w:t>, p. 6.</w:t>
      </w:r>
    </w:p>
  </w:footnote>
  <w:footnote w:id="37">
    <w:p w14:paraId="6FC4DA15" w14:textId="3965CB8F" w:rsidR="000A1AA5" w:rsidRPr="005F2A22" w:rsidRDefault="000A1AA5" w:rsidP="00473291">
      <w:pPr>
        <w:pStyle w:val="FootnoteText"/>
        <w:tabs>
          <w:tab w:val="clear" w:pos="1021"/>
        </w:tabs>
        <w:ind w:firstLine="0"/>
      </w:pPr>
      <w:r w:rsidRPr="005F2A22">
        <w:rPr>
          <w:rStyle w:val="FootnoteReference"/>
        </w:rPr>
        <w:footnoteRef/>
      </w:r>
      <w:r w:rsidRPr="005F2A22">
        <w:t xml:space="preserve"> </w:t>
      </w:r>
      <w:r>
        <w:t>Communicant’s additional remarks</w:t>
      </w:r>
      <w:r w:rsidRPr="005F2A22">
        <w:t>,</w:t>
      </w:r>
      <w:r>
        <w:t xml:space="preserve"> 25 </w:t>
      </w:r>
      <w:r w:rsidRPr="005F2A22">
        <w:t>February 2015, p</w:t>
      </w:r>
      <w:r>
        <w:t>. 5.</w:t>
      </w:r>
    </w:p>
  </w:footnote>
  <w:footnote w:id="38">
    <w:p w14:paraId="6DEF46AC" w14:textId="5235DA51" w:rsidR="000A1AA5" w:rsidRPr="003A1B3B" w:rsidRDefault="000A1AA5" w:rsidP="00473291">
      <w:pPr>
        <w:pStyle w:val="FootnoteText"/>
        <w:tabs>
          <w:tab w:val="clear" w:pos="1021"/>
        </w:tabs>
        <w:ind w:firstLine="0"/>
        <w:rPr>
          <w:lang w:val="en-US"/>
        </w:rPr>
      </w:pPr>
      <w:r>
        <w:rPr>
          <w:rStyle w:val="FootnoteReference"/>
        </w:rPr>
        <w:footnoteRef/>
      </w:r>
      <w:r>
        <w:t xml:space="preserve"> Ibid.</w:t>
      </w:r>
      <w:r w:rsidRPr="008D6DB7">
        <w:t>, p</w:t>
      </w:r>
      <w:r>
        <w:t>. 6</w:t>
      </w:r>
      <w:r w:rsidRPr="008D6DB7">
        <w:t>.</w:t>
      </w:r>
    </w:p>
  </w:footnote>
  <w:footnote w:id="39">
    <w:p w14:paraId="0F7715D2" w14:textId="7214318B" w:rsidR="000A1AA5" w:rsidRPr="005F2A22" w:rsidRDefault="000A1AA5" w:rsidP="00473291">
      <w:pPr>
        <w:pStyle w:val="FootnoteText"/>
        <w:tabs>
          <w:tab w:val="clear" w:pos="1021"/>
        </w:tabs>
        <w:ind w:firstLine="0"/>
        <w:rPr>
          <w:lang w:val="en-US"/>
        </w:rPr>
      </w:pPr>
      <w:r w:rsidRPr="005F2A22">
        <w:rPr>
          <w:rStyle w:val="FootnoteReference"/>
        </w:rPr>
        <w:footnoteRef/>
      </w:r>
      <w:r w:rsidRPr="005F2A22">
        <w:t xml:space="preserve"> </w:t>
      </w:r>
      <w:r>
        <w:t>Ibid</w:t>
      </w:r>
      <w:r w:rsidRPr="005F2A22">
        <w:t xml:space="preserve">. </w:t>
      </w:r>
    </w:p>
  </w:footnote>
  <w:footnote w:id="40">
    <w:p w14:paraId="7D4AD68F" w14:textId="5A61E435" w:rsidR="000A1AA5" w:rsidRPr="00466C86" w:rsidRDefault="000A1AA5" w:rsidP="00473291">
      <w:pPr>
        <w:pStyle w:val="FootnoteText"/>
        <w:tabs>
          <w:tab w:val="clear" w:pos="1021"/>
        </w:tabs>
        <w:ind w:firstLine="0"/>
      </w:pPr>
      <w:r w:rsidRPr="005F2A22">
        <w:rPr>
          <w:rStyle w:val="FootnoteReference"/>
        </w:rPr>
        <w:footnoteRef/>
      </w:r>
      <w:r w:rsidRPr="00466C86">
        <w:t xml:space="preserve"> </w:t>
      </w:r>
      <w:r>
        <w:t>Party’s response to communication</w:t>
      </w:r>
      <w:r w:rsidRPr="00466C86">
        <w:t>, p. 12.</w:t>
      </w:r>
    </w:p>
  </w:footnote>
  <w:footnote w:id="41">
    <w:p w14:paraId="2F40EA0C" w14:textId="3E0B3B79" w:rsidR="000A1AA5" w:rsidRPr="006C6872" w:rsidRDefault="000A1AA5" w:rsidP="002921DB">
      <w:pPr>
        <w:pStyle w:val="FootnoteText"/>
        <w:ind w:firstLine="0"/>
        <w:rPr>
          <w:lang w:val="en-US"/>
        </w:rPr>
      </w:pPr>
      <w:r>
        <w:rPr>
          <w:rStyle w:val="FootnoteReference"/>
        </w:rPr>
        <w:footnoteRef/>
      </w:r>
      <w:r>
        <w:rPr>
          <w:lang w:val="en-US"/>
        </w:rPr>
        <w:t xml:space="preserve"> Party’s reply to questions, 8 June 2015</w:t>
      </w:r>
      <w:r w:rsidRPr="006C6872">
        <w:rPr>
          <w:lang w:val="en-US"/>
        </w:rPr>
        <w:t xml:space="preserve">, </w:t>
      </w:r>
      <w:r>
        <w:rPr>
          <w:lang w:val="en-US"/>
        </w:rPr>
        <w:t xml:space="preserve">annex 1 </w:t>
      </w:r>
      <w:r w:rsidRPr="006C6872">
        <w:rPr>
          <w:lang w:val="en-US"/>
        </w:rPr>
        <w:t>p. 13</w:t>
      </w:r>
      <w:r>
        <w:rPr>
          <w:lang w:val="en-US"/>
        </w:rPr>
        <w:t>.</w:t>
      </w:r>
    </w:p>
  </w:footnote>
  <w:footnote w:id="42">
    <w:p w14:paraId="56FA0D18" w14:textId="3EE6F51E" w:rsidR="000A1AA5" w:rsidRPr="005F2A22" w:rsidRDefault="000A1AA5" w:rsidP="008048DF">
      <w:pPr>
        <w:pStyle w:val="FootnoteText"/>
        <w:tabs>
          <w:tab w:val="clear" w:pos="1021"/>
        </w:tabs>
        <w:ind w:firstLine="0"/>
        <w:rPr>
          <w:lang w:val="en-US"/>
        </w:rPr>
      </w:pPr>
      <w:r w:rsidRPr="005F2A22">
        <w:rPr>
          <w:rStyle w:val="FootnoteReference"/>
        </w:rPr>
        <w:footnoteRef/>
      </w:r>
      <w:r w:rsidRPr="005F2A22">
        <w:t xml:space="preserve"> </w:t>
      </w:r>
      <w:bookmarkStart w:id="25" w:name="_Hlk524430526"/>
      <w:r>
        <w:t xml:space="preserve">Communicant’s </w:t>
      </w:r>
      <w:r w:rsidRPr="005F2A22">
        <w:rPr>
          <w:lang w:val="en-US"/>
        </w:rPr>
        <w:t>additional remarks, 25 February 2015</w:t>
      </w:r>
      <w:bookmarkEnd w:id="25"/>
      <w:r w:rsidRPr="005F2A22">
        <w:rPr>
          <w:lang w:val="en-US"/>
        </w:rPr>
        <w:t>, p. 10.</w:t>
      </w:r>
    </w:p>
  </w:footnote>
  <w:footnote w:id="43">
    <w:p w14:paraId="6AFA1052" w14:textId="77777777" w:rsidR="000A1AA5" w:rsidRPr="0096793D" w:rsidRDefault="000A1AA5" w:rsidP="00204BE0">
      <w:pPr>
        <w:pStyle w:val="FootnoteText"/>
        <w:tabs>
          <w:tab w:val="clear" w:pos="1021"/>
        </w:tabs>
        <w:ind w:firstLine="0"/>
        <w:rPr>
          <w:lang w:val="en-US"/>
        </w:rPr>
      </w:pPr>
      <w:r w:rsidRPr="005F2A22">
        <w:rPr>
          <w:rStyle w:val="FootnoteReference"/>
        </w:rPr>
        <w:footnoteRef/>
      </w:r>
      <w:r w:rsidRPr="0096793D">
        <w:rPr>
          <w:lang w:val="en-US"/>
        </w:rPr>
        <w:t xml:space="preserve"> Communication, p. 10.</w:t>
      </w:r>
    </w:p>
  </w:footnote>
  <w:footnote w:id="44">
    <w:p w14:paraId="03B775F4" w14:textId="556F47D9" w:rsidR="000A1AA5" w:rsidRPr="00371D90" w:rsidRDefault="000A1AA5" w:rsidP="00371D90">
      <w:pPr>
        <w:pStyle w:val="FootnoteText"/>
        <w:tabs>
          <w:tab w:val="clear" w:pos="1021"/>
        </w:tabs>
        <w:ind w:firstLine="0"/>
      </w:pPr>
      <w:r>
        <w:rPr>
          <w:rStyle w:val="FootnoteReference"/>
        </w:rPr>
        <w:footnoteRef/>
      </w:r>
      <w:r w:rsidRPr="00371D90">
        <w:rPr>
          <w:rStyle w:val="FootnoteReference"/>
        </w:rPr>
        <w:t xml:space="preserve"> </w:t>
      </w:r>
      <w:r>
        <w:t>Party’s response to communication, pp. 6-11.</w:t>
      </w:r>
    </w:p>
  </w:footnote>
  <w:footnote w:id="45">
    <w:p w14:paraId="655C29E8" w14:textId="77777777" w:rsidR="000A1AA5" w:rsidRPr="003A1B3B" w:rsidRDefault="000A1AA5" w:rsidP="0096527B">
      <w:pPr>
        <w:pStyle w:val="FootnoteText"/>
        <w:tabs>
          <w:tab w:val="clear" w:pos="1021"/>
        </w:tabs>
        <w:ind w:firstLine="0"/>
        <w:rPr>
          <w:lang w:val="en-US"/>
        </w:rPr>
      </w:pPr>
      <w:r w:rsidRPr="005F2A22">
        <w:rPr>
          <w:rStyle w:val="FootnoteReference"/>
        </w:rPr>
        <w:footnoteRef/>
      </w:r>
      <w:r w:rsidRPr="003A1B3B">
        <w:rPr>
          <w:lang w:val="en-US"/>
        </w:rPr>
        <w:t xml:space="preserve"> </w:t>
      </w:r>
      <w:r>
        <w:rPr>
          <w:lang w:val="en-US"/>
        </w:rPr>
        <w:t>Communication, pp. 4 and 11.</w:t>
      </w:r>
    </w:p>
  </w:footnote>
  <w:footnote w:id="46">
    <w:p w14:paraId="35017B09" w14:textId="77777777" w:rsidR="000A1AA5" w:rsidRPr="00873C76" w:rsidRDefault="000A1AA5" w:rsidP="0096527B">
      <w:pPr>
        <w:pStyle w:val="FootnoteText"/>
        <w:tabs>
          <w:tab w:val="clear" w:pos="1021"/>
        </w:tabs>
        <w:ind w:firstLine="0"/>
        <w:rPr>
          <w:lang w:val="en-US"/>
        </w:rPr>
      </w:pPr>
      <w:r w:rsidRPr="00CD2784">
        <w:rPr>
          <w:rStyle w:val="FootnoteReference"/>
        </w:rPr>
        <w:footnoteRef/>
      </w:r>
      <w:r w:rsidRPr="00CD2784">
        <w:t xml:space="preserve"> Ibid., pp. 7 and </w:t>
      </w:r>
      <w:r w:rsidRPr="00873C76">
        <w:t>12.</w:t>
      </w:r>
    </w:p>
  </w:footnote>
  <w:footnote w:id="47">
    <w:p w14:paraId="1F3B2545" w14:textId="3814ECDE" w:rsidR="000A1AA5" w:rsidRPr="003225FD" w:rsidRDefault="000A1AA5" w:rsidP="006A210D">
      <w:pPr>
        <w:pStyle w:val="FootnoteText"/>
        <w:ind w:firstLine="0"/>
      </w:pPr>
      <w:r w:rsidRPr="00873C76">
        <w:rPr>
          <w:rStyle w:val="FootnoteReference"/>
        </w:rPr>
        <w:footnoteRef/>
      </w:r>
      <w:r w:rsidRPr="00873C76">
        <w:t xml:space="preserve"> </w:t>
      </w:r>
      <w:r w:rsidRPr="00001B0D">
        <w:t xml:space="preserve">Party’s response to communication, </w:t>
      </w:r>
      <w:r w:rsidRPr="003225FD">
        <w:t>pp. 7-9</w:t>
      </w:r>
      <w:bookmarkStart w:id="28" w:name="_Hlk524430545"/>
      <w:r w:rsidRPr="003225FD">
        <w:t>.</w:t>
      </w:r>
      <w:bookmarkEnd w:id="28"/>
    </w:p>
  </w:footnote>
  <w:footnote w:id="48">
    <w:p w14:paraId="0DEBC399" w14:textId="15CFC2BD" w:rsidR="000A1AA5" w:rsidRPr="00CD2784" w:rsidRDefault="000A1AA5" w:rsidP="00932D55">
      <w:pPr>
        <w:pStyle w:val="FootnoteText"/>
        <w:ind w:firstLine="0"/>
        <w:rPr>
          <w:lang w:val="en-US"/>
        </w:rPr>
      </w:pPr>
      <w:r w:rsidRPr="003225FD">
        <w:rPr>
          <w:rStyle w:val="FootnoteReference"/>
        </w:rPr>
        <w:footnoteRef/>
      </w:r>
      <w:r w:rsidRPr="003225FD">
        <w:t xml:space="preserve"> Ibid., p.</w:t>
      </w:r>
      <w:r w:rsidRPr="00873C76">
        <w:t xml:space="preserve"> 5.</w:t>
      </w:r>
    </w:p>
  </w:footnote>
  <w:footnote w:id="49">
    <w:p w14:paraId="355CB671" w14:textId="6C135F43" w:rsidR="000A1AA5" w:rsidRPr="00CD2784" w:rsidRDefault="000A1AA5" w:rsidP="00E97B0D">
      <w:pPr>
        <w:pStyle w:val="FootnoteText"/>
        <w:ind w:firstLine="0"/>
      </w:pPr>
      <w:r w:rsidRPr="00CD2784">
        <w:rPr>
          <w:rStyle w:val="FootnoteReference"/>
        </w:rPr>
        <w:footnoteRef/>
      </w:r>
      <w:r w:rsidRPr="00CD2784">
        <w:t xml:space="preserve"> Communicant’s comments, 5 June 2015, p. 1.</w:t>
      </w:r>
    </w:p>
  </w:footnote>
  <w:footnote w:id="50">
    <w:p w14:paraId="5A397CAC" w14:textId="5E6E8814" w:rsidR="000A1AA5" w:rsidRPr="003A1B3B" w:rsidRDefault="000A1AA5" w:rsidP="00473291">
      <w:pPr>
        <w:pStyle w:val="FootnoteText"/>
        <w:ind w:firstLine="0"/>
        <w:rPr>
          <w:lang w:val="en-US"/>
        </w:rPr>
      </w:pPr>
      <w:r w:rsidRPr="00CD2784">
        <w:rPr>
          <w:rStyle w:val="FootnoteReference"/>
        </w:rPr>
        <w:footnoteRef/>
      </w:r>
      <w:r w:rsidRPr="00CD2784">
        <w:t xml:space="preserve"> </w:t>
      </w:r>
      <w:bookmarkStart w:id="29" w:name="_Hlk524430610"/>
      <w:r w:rsidRPr="00CD2784">
        <w:rPr>
          <w:lang w:val="en-US"/>
        </w:rPr>
        <w:t>Party’s comments</w:t>
      </w:r>
      <w:r>
        <w:rPr>
          <w:lang w:val="en-US"/>
        </w:rPr>
        <w:t xml:space="preserve">, 13 March 2015, </w:t>
      </w:r>
      <w:bookmarkEnd w:id="29"/>
      <w:r>
        <w:rPr>
          <w:lang w:val="en-US"/>
        </w:rPr>
        <w:t>p. 8, citing ECE/MP.PP/2011/11/add.2, para. 89.</w:t>
      </w:r>
    </w:p>
  </w:footnote>
  <w:footnote w:id="51">
    <w:p w14:paraId="7CCEB21B" w14:textId="0AB2DA54" w:rsidR="000A1AA5" w:rsidRPr="005F2A22" w:rsidRDefault="000A1AA5" w:rsidP="00473291">
      <w:pPr>
        <w:pStyle w:val="FootnoteText"/>
        <w:tabs>
          <w:tab w:val="clear" w:pos="1021"/>
        </w:tabs>
        <w:ind w:firstLine="0"/>
      </w:pPr>
      <w:r w:rsidRPr="005F2A22">
        <w:rPr>
          <w:rStyle w:val="FootnoteReference"/>
        </w:rPr>
        <w:footnoteRef/>
      </w:r>
      <w:r w:rsidRPr="005F2A22">
        <w:t xml:space="preserve"> </w:t>
      </w:r>
      <w:r>
        <w:t>Communicant’s comments,</w:t>
      </w:r>
      <w:r w:rsidRPr="005F2A22">
        <w:t xml:space="preserve"> 12</w:t>
      </w:r>
      <w:r>
        <w:t xml:space="preserve"> December </w:t>
      </w:r>
      <w:r w:rsidRPr="005F2A22">
        <w:t xml:space="preserve">2014, </w:t>
      </w:r>
      <w:r>
        <w:t>p</w:t>
      </w:r>
      <w:r w:rsidRPr="005F2A22">
        <w:t>. 3</w:t>
      </w:r>
      <w:r>
        <w:t>.</w:t>
      </w:r>
    </w:p>
  </w:footnote>
  <w:footnote w:id="52">
    <w:p w14:paraId="2093B08B" w14:textId="1CC50478" w:rsidR="000A1AA5" w:rsidRPr="005F2A22" w:rsidRDefault="000A1AA5" w:rsidP="00473291">
      <w:pPr>
        <w:pStyle w:val="FootnoteText"/>
        <w:tabs>
          <w:tab w:val="clear" w:pos="1021"/>
        </w:tabs>
        <w:ind w:firstLine="0"/>
      </w:pPr>
      <w:r w:rsidRPr="005F2A22">
        <w:rPr>
          <w:rStyle w:val="FootnoteReference"/>
        </w:rPr>
        <w:footnoteRef/>
      </w:r>
      <w:r w:rsidRPr="005F2A22">
        <w:t xml:space="preserve"> </w:t>
      </w:r>
      <w:r>
        <w:t>Party’s response to communication</w:t>
      </w:r>
      <w:r w:rsidRPr="003A1B3B">
        <w:t xml:space="preserve">, p. </w:t>
      </w:r>
      <w:r w:rsidRPr="005F2A22">
        <w:t>7.</w:t>
      </w:r>
    </w:p>
  </w:footnote>
  <w:footnote w:id="53">
    <w:p w14:paraId="605D39F3" w14:textId="353AF087" w:rsidR="000A1AA5" w:rsidRPr="005F2A22" w:rsidRDefault="000A1AA5" w:rsidP="0096793D">
      <w:pPr>
        <w:pStyle w:val="FootnoteText"/>
        <w:tabs>
          <w:tab w:val="clear" w:pos="1021"/>
        </w:tabs>
        <w:ind w:firstLine="0"/>
      </w:pPr>
      <w:r w:rsidRPr="005F2A22">
        <w:rPr>
          <w:rStyle w:val="FootnoteReference"/>
        </w:rPr>
        <w:footnoteRef/>
      </w:r>
      <w:r w:rsidRPr="005F2A22">
        <w:t xml:space="preserve"> </w:t>
      </w:r>
      <w:r>
        <w:t>Ibid.</w:t>
      </w:r>
      <w:r w:rsidRPr="005F2A22">
        <w:t>, p. 8</w:t>
      </w:r>
      <w:r>
        <w:t>.</w:t>
      </w:r>
    </w:p>
  </w:footnote>
  <w:footnote w:id="54">
    <w:p w14:paraId="40BD7908" w14:textId="0A6E7AF2" w:rsidR="000A1AA5" w:rsidRPr="003D7E9D" w:rsidRDefault="000A1AA5" w:rsidP="00473291">
      <w:pPr>
        <w:pStyle w:val="FootnoteText"/>
        <w:tabs>
          <w:tab w:val="clear" w:pos="1021"/>
        </w:tabs>
        <w:ind w:firstLine="0"/>
      </w:pPr>
      <w:r w:rsidRPr="005F2A22">
        <w:rPr>
          <w:rStyle w:val="FootnoteReference"/>
        </w:rPr>
        <w:footnoteRef/>
      </w:r>
      <w:r w:rsidRPr="003D7E9D">
        <w:t xml:space="preserve"> Communication, </w:t>
      </w:r>
      <w:r w:rsidRPr="006E5E48">
        <w:t>pp. 3-5, 8-9 and</w:t>
      </w:r>
      <w:r w:rsidRPr="003D7E9D">
        <w:t xml:space="preserve"> 11.</w:t>
      </w:r>
    </w:p>
  </w:footnote>
  <w:footnote w:id="55">
    <w:p w14:paraId="5DFFA207" w14:textId="08EAEEC2" w:rsidR="000A1AA5" w:rsidRPr="003D7E9D" w:rsidRDefault="000A1AA5" w:rsidP="00473291">
      <w:pPr>
        <w:pStyle w:val="FootnoteText"/>
        <w:tabs>
          <w:tab w:val="clear" w:pos="1021"/>
        </w:tabs>
        <w:ind w:firstLine="0"/>
      </w:pPr>
      <w:r w:rsidRPr="005F2A22">
        <w:rPr>
          <w:rStyle w:val="FootnoteReference"/>
        </w:rPr>
        <w:footnoteRef/>
      </w:r>
      <w:r w:rsidRPr="003D7E9D">
        <w:t xml:space="preserve"> Ibid., pp. 1-2</w:t>
      </w:r>
      <w:r w:rsidRPr="00574FE5">
        <w:t xml:space="preserve"> and 6</w:t>
      </w:r>
      <w:r w:rsidRPr="003D7E9D">
        <w:t>.</w:t>
      </w:r>
    </w:p>
  </w:footnote>
  <w:footnote w:id="56">
    <w:p w14:paraId="047F226A" w14:textId="425029FB" w:rsidR="000A1AA5" w:rsidRPr="00A72100" w:rsidRDefault="000A1AA5" w:rsidP="00473291">
      <w:pPr>
        <w:pStyle w:val="FootnoteText"/>
        <w:ind w:firstLine="0"/>
      </w:pPr>
      <w:r>
        <w:rPr>
          <w:rStyle w:val="FootnoteReference"/>
        </w:rPr>
        <w:footnoteRef/>
      </w:r>
      <w:r w:rsidRPr="00A72100">
        <w:t xml:space="preserve"> </w:t>
      </w:r>
      <w:r>
        <w:t>Party’s response to communication</w:t>
      </w:r>
      <w:r w:rsidRPr="00A72100">
        <w:t>, p. 9.</w:t>
      </w:r>
    </w:p>
  </w:footnote>
  <w:footnote w:id="57">
    <w:p w14:paraId="7C8B9593" w14:textId="77777777" w:rsidR="000A1AA5" w:rsidRPr="005657A2" w:rsidRDefault="000A1AA5" w:rsidP="00EE43D7">
      <w:pPr>
        <w:pStyle w:val="FootnoteText"/>
        <w:ind w:firstLine="0"/>
        <w:rPr>
          <w:lang w:val="en-US"/>
        </w:rPr>
      </w:pPr>
      <w:r>
        <w:rPr>
          <w:rStyle w:val="FootnoteReference"/>
        </w:rPr>
        <w:footnoteRef/>
      </w:r>
      <w:r>
        <w:t xml:space="preserve"> Party’s </w:t>
      </w:r>
      <w:r w:rsidRPr="00F90A2F">
        <w:t>comments</w:t>
      </w:r>
      <w:r>
        <w:t>, 13 March 2015, pp. 2-3.</w:t>
      </w:r>
    </w:p>
  </w:footnote>
  <w:footnote w:id="58">
    <w:p w14:paraId="50E41077" w14:textId="0A5EF3E7" w:rsidR="000A1AA5" w:rsidRPr="003D7E9D" w:rsidRDefault="000A1AA5" w:rsidP="00EB483A">
      <w:pPr>
        <w:pStyle w:val="FootnoteText"/>
        <w:ind w:firstLine="0"/>
      </w:pPr>
      <w:r>
        <w:rPr>
          <w:rStyle w:val="FootnoteReference"/>
        </w:rPr>
        <w:footnoteRef/>
      </w:r>
      <w:r w:rsidRPr="00371D90">
        <w:rPr>
          <w:rStyle w:val="FootnoteReference"/>
        </w:rPr>
        <w:t xml:space="preserve"> </w:t>
      </w:r>
      <w:r>
        <w:t xml:space="preserve">Party’s </w:t>
      </w:r>
      <w:r w:rsidRPr="00A72100">
        <w:rPr>
          <w:rStyle w:val="FootnoteReference"/>
          <w:szCs w:val="18"/>
          <w:vertAlign w:val="baseline"/>
        </w:rPr>
        <w:t>reply to questions, 31 August 2017, p</w:t>
      </w:r>
      <w:r>
        <w:rPr>
          <w:szCs w:val="18"/>
        </w:rPr>
        <w:t>p</w:t>
      </w:r>
      <w:r w:rsidRPr="00A72100">
        <w:rPr>
          <w:rStyle w:val="FootnoteReference"/>
          <w:szCs w:val="18"/>
          <w:vertAlign w:val="baseline"/>
        </w:rPr>
        <w:t xml:space="preserve">. </w:t>
      </w:r>
      <w:r>
        <w:rPr>
          <w:szCs w:val="18"/>
        </w:rPr>
        <w:t>1-</w:t>
      </w:r>
      <w:r>
        <w:rPr>
          <w:rStyle w:val="FootnoteReference"/>
          <w:szCs w:val="18"/>
          <w:vertAlign w:val="baseline"/>
        </w:rPr>
        <w:t>2</w:t>
      </w:r>
      <w:r w:rsidRPr="00A72100">
        <w:rPr>
          <w:rStyle w:val="FootnoteReference"/>
          <w:szCs w:val="18"/>
          <w:vertAlign w:val="baseline"/>
        </w:rPr>
        <w:t>.</w:t>
      </w:r>
    </w:p>
  </w:footnote>
  <w:footnote w:id="59">
    <w:p w14:paraId="32F7DF7A" w14:textId="0D2F01E4" w:rsidR="000A1AA5" w:rsidRPr="00A72100" w:rsidRDefault="000A1AA5" w:rsidP="00473291">
      <w:pPr>
        <w:pStyle w:val="FootnoteText"/>
        <w:tabs>
          <w:tab w:val="clear" w:pos="1021"/>
        </w:tabs>
        <w:ind w:firstLine="0"/>
      </w:pPr>
      <w:r w:rsidRPr="005F2A22">
        <w:rPr>
          <w:rStyle w:val="FootnoteReference"/>
        </w:rPr>
        <w:footnoteRef/>
      </w:r>
      <w:r w:rsidRPr="00A72100">
        <w:t xml:space="preserve"> </w:t>
      </w:r>
      <w:r w:rsidRPr="00574FE5">
        <w:t>Party’s comments, 13 March 2015, p. 2.</w:t>
      </w:r>
    </w:p>
  </w:footnote>
  <w:footnote w:id="60">
    <w:p w14:paraId="10880170" w14:textId="1245D212" w:rsidR="000A1AA5" w:rsidRPr="00A72100" w:rsidRDefault="000A1AA5" w:rsidP="00473291">
      <w:pPr>
        <w:pStyle w:val="FootnoteText"/>
        <w:ind w:firstLine="0"/>
      </w:pPr>
      <w:r>
        <w:rPr>
          <w:rStyle w:val="FootnoteReference"/>
        </w:rPr>
        <w:footnoteRef/>
      </w:r>
      <w:r w:rsidRPr="00A72100">
        <w:t xml:space="preserve"> </w:t>
      </w:r>
      <w:r>
        <w:t>Party’s response to communication</w:t>
      </w:r>
      <w:r w:rsidRPr="00A72100">
        <w:t>, p. 9.</w:t>
      </w:r>
    </w:p>
  </w:footnote>
  <w:footnote w:id="61">
    <w:p w14:paraId="7AA69C71" w14:textId="4CFF7A1B" w:rsidR="000A1AA5" w:rsidRPr="005F2A22" w:rsidRDefault="000A1AA5" w:rsidP="00473291">
      <w:pPr>
        <w:pStyle w:val="FootnoteText"/>
        <w:tabs>
          <w:tab w:val="clear" w:pos="1021"/>
        </w:tabs>
        <w:ind w:firstLine="0"/>
        <w:rPr>
          <w:lang w:val="en-US"/>
        </w:rPr>
      </w:pPr>
      <w:r w:rsidRPr="005F2A22">
        <w:rPr>
          <w:rStyle w:val="FootnoteReference"/>
        </w:rPr>
        <w:footnoteRef/>
      </w:r>
      <w:r w:rsidRPr="005F2A22">
        <w:t xml:space="preserve"> </w:t>
      </w:r>
      <w:r>
        <w:t>Communicant’s a</w:t>
      </w:r>
      <w:r w:rsidRPr="005F2A22">
        <w:t xml:space="preserve">dditional </w:t>
      </w:r>
      <w:r>
        <w:t>remarks, 25 February 2015</w:t>
      </w:r>
      <w:r w:rsidRPr="005F2A22">
        <w:rPr>
          <w:lang w:val="en-US"/>
        </w:rPr>
        <w:t>, p. 14</w:t>
      </w:r>
      <w:r>
        <w:rPr>
          <w:lang w:val="en-US"/>
        </w:rPr>
        <w:t>.</w:t>
      </w:r>
    </w:p>
  </w:footnote>
  <w:footnote w:id="62">
    <w:p w14:paraId="00665DC7" w14:textId="3DC26319" w:rsidR="000A1AA5" w:rsidRPr="00371D90" w:rsidRDefault="000A1AA5" w:rsidP="00473291">
      <w:pPr>
        <w:pStyle w:val="FootnoteText"/>
        <w:tabs>
          <w:tab w:val="clear" w:pos="1021"/>
        </w:tabs>
        <w:ind w:firstLine="0"/>
        <w:rPr>
          <w:lang w:val="en-US"/>
        </w:rPr>
      </w:pPr>
      <w:r w:rsidRPr="005F2A22">
        <w:rPr>
          <w:rStyle w:val="FootnoteReference"/>
        </w:rPr>
        <w:footnoteRef/>
      </w:r>
      <w:r w:rsidRPr="00371D90">
        <w:rPr>
          <w:lang w:val="en-US"/>
        </w:rPr>
        <w:t xml:space="preserve"> </w:t>
      </w:r>
      <w:r>
        <w:rPr>
          <w:lang w:val="en-US"/>
        </w:rPr>
        <w:t>Ibid.</w:t>
      </w:r>
      <w:r w:rsidRPr="00371D90">
        <w:rPr>
          <w:lang w:val="en-US"/>
        </w:rPr>
        <w:t xml:space="preserve">, pp. 3, </w:t>
      </w:r>
      <w:r>
        <w:rPr>
          <w:lang w:val="en-US"/>
        </w:rPr>
        <w:t>7</w:t>
      </w:r>
      <w:r w:rsidRPr="00371D90">
        <w:rPr>
          <w:lang w:val="en-US"/>
        </w:rPr>
        <w:t xml:space="preserve"> and 10-11.</w:t>
      </w:r>
    </w:p>
  </w:footnote>
  <w:footnote w:id="63">
    <w:p w14:paraId="1ADACB28" w14:textId="57E25967" w:rsidR="000A1AA5" w:rsidRPr="00A72100" w:rsidRDefault="000A1AA5" w:rsidP="001B70F6">
      <w:pPr>
        <w:pStyle w:val="FootnoteText"/>
        <w:tabs>
          <w:tab w:val="clear" w:pos="1021"/>
        </w:tabs>
        <w:ind w:firstLine="0"/>
      </w:pPr>
      <w:r w:rsidRPr="005F2A22">
        <w:rPr>
          <w:rStyle w:val="FootnoteReference"/>
        </w:rPr>
        <w:footnoteRef/>
      </w:r>
      <w:r w:rsidRPr="00A72100">
        <w:t xml:space="preserve"> </w:t>
      </w:r>
      <w:r>
        <w:t xml:space="preserve">Party’s </w:t>
      </w:r>
      <w:r w:rsidRPr="00F90A2F">
        <w:t>comments</w:t>
      </w:r>
      <w:r>
        <w:t>, 13 March 2015</w:t>
      </w:r>
      <w:r w:rsidRPr="00A72100">
        <w:t>, p. 5.</w:t>
      </w:r>
    </w:p>
  </w:footnote>
  <w:footnote w:id="64">
    <w:p w14:paraId="68F3880C" w14:textId="77777777" w:rsidR="000A1AA5" w:rsidRPr="00A72100" w:rsidRDefault="000A1AA5" w:rsidP="00CF4795">
      <w:pPr>
        <w:pStyle w:val="FootnoteText"/>
        <w:tabs>
          <w:tab w:val="clear" w:pos="1021"/>
        </w:tabs>
        <w:ind w:firstLine="0"/>
      </w:pPr>
      <w:r w:rsidRPr="005F2A22">
        <w:rPr>
          <w:rStyle w:val="FootnoteReference"/>
        </w:rPr>
        <w:footnoteRef/>
      </w:r>
      <w:r w:rsidRPr="00A72100">
        <w:t xml:space="preserve"> </w:t>
      </w:r>
      <w:r>
        <w:t>ECE/MP.PP/2008/5/Add. 6</w:t>
      </w:r>
      <w:r w:rsidRPr="00A72100">
        <w:t>.</w:t>
      </w:r>
    </w:p>
  </w:footnote>
  <w:footnote w:id="65">
    <w:p w14:paraId="56B06EFC" w14:textId="2BD0CDF1" w:rsidR="000A1AA5" w:rsidRPr="00A72100" w:rsidRDefault="000A1AA5" w:rsidP="00473291">
      <w:pPr>
        <w:pStyle w:val="FootnoteText"/>
        <w:tabs>
          <w:tab w:val="clear" w:pos="1021"/>
        </w:tabs>
        <w:ind w:firstLine="0"/>
      </w:pPr>
      <w:r w:rsidRPr="005F2A22">
        <w:rPr>
          <w:rStyle w:val="FootnoteReference"/>
        </w:rPr>
        <w:footnoteRef/>
      </w:r>
      <w:r w:rsidRPr="00A72100">
        <w:t xml:space="preserve"> Communicant’s additional remarks, 25 February 2015,</w:t>
      </w:r>
      <w:r>
        <w:t xml:space="preserve"> </w:t>
      </w:r>
      <w:r w:rsidRPr="00A72100">
        <w:t>p. 15.</w:t>
      </w:r>
    </w:p>
  </w:footnote>
  <w:footnote w:id="66">
    <w:p w14:paraId="499E8EE4" w14:textId="0479611C" w:rsidR="000A1AA5" w:rsidRPr="00AE57B2" w:rsidRDefault="000A1AA5" w:rsidP="00473291">
      <w:pPr>
        <w:pStyle w:val="FootnoteText"/>
        <w:ind w:firstLine="0"/>
      </w:pPr>
      <w:r>
        <w:rPr>
          <w:rStyle w:val="FootnoteReference"/>
        </w:rPr>
        <w:footnoteRef/>
      </w:r>
      <w:r>
        <w:t xml:space="preserve"> Communicant’s </w:t>
      </w:r>
      <w:r w:rsidRPr="00AE57B2">
        <w:t>comments, 9 October 2017, p. 3.</w:t>
      </w:r>
    </w:p>
  </w:footnote>
  <w:footnote w:id="67">
    <w:p w14:paraId="246DA626" w14:textId="4725D01F" w:rsidR="000A1AA5" w:rsidRPr="0096793D" w:rsidRDefault="000A1AA5" w:rsidP="0096793D">
      <w:pPr>
        <w:pStyle w:val="FootnoteText"/>
        <w:ind w:firstLine="0"/>
      </w:pPr>
      <w:r w:rsidRPr="00AE57B2">
        <w:rPr>
          <w:rStyle w:val="FootnoteReference"/>
        </w:rPr>
        <w:footnoteRef/>
      </w:r>
      <w:r w:rsidRPr="00AE57B2">
        <w:t xml:space="preserve"> Party’s comments, 13 March 2015, pp. 6-7</w:t>
      </w:r>
      <w:r w:rsidRPr="003D7E9D">
        <w:t>.</w:t>
      </w:r>
    </w:p>
  </w:footnote>
  <w:footnote w:id="68">
    <w:p w14:paraId="6044FD61" w14:textId="18B128AD" w:rsidR="000A1AA5" w:rsidRPr="003A1B3B" w:rsidRDefault="000A1AA5" w:rsidP="00473291">
      <w:pPr>
        <w:pStyle w:val="FootnoteText"/>
        <w:tabs>
          <w:tab w:val="clear" w:pos="1021"/>
        </w:tabs>
        <w:ind w:firstLine="0"/>
        <w:rPr>
          <w:lang w:val="en-US"/>
        </w:rPr>
      </w:pPr>
      <w:r w:rsidRPr="005F2A22">
        <w:rPr>
          <w:rStyle w:val="FootnoteReference"/>
        </w:rPr>
        <w:footnoteRef/>
      </w:r>
      <w:r w:rsidRPr="005F2A22">
        <w:t xml:space="preserve"> </w:t>
      </w:r>
      <w:r>
        <w:t>Party’s email, 25 June 2015, annex 2, p</w:t>
      </w:r>
      <w:r w:rsidRPr="003D5404">
        <w:rPr>
          <w:lang w:val="en-US"/>
        </w:rPr>
        <w:t>. 2.</w:t>
      </w:r>
    </w:p>
  </w:footnote>
  <w:footnote w:id="69">
    <w:p w14:paraId="51B96D46" w14:textId="7B6AAF5C" w:rsidR="000A1AA5" w:rsidRPr="005F2A22" w:rsidRDefault="000A1AA5" w:rsidP="00473291">
      <w:pPr>
        <w:pStyle w:val="FootnoteText"/>
        <w:tabs>
          <w:tab w:val="clear" w:pos="1021"/>
        </w:tabs>
        <w:ind w:firstLine="0"/>
      </w:pPr>
      <w:r w:rsidRPr="005F2A22">
        <w:rPr>
          <w:rStyle w:val="FootnoteReference"/>
        </w:rPr>
        <w:footnoteRef/>
      </w:r>
      <w:r w:rsidRPr="005F2A22">
        <w:t xml:space="preserve"> </w:t>
      </w:r>
      <w:r>
        <w:t>Communicant’s a</w:t>
      </w:r>
      <w:r w:rsidRPr="00EB05FE">
        <w:t xml:space="preserve">dditional </w:t>
      </w:r>
      <w:r>
        <w:t>remarks,</w:t>
      </w:r>
      <w:r w:rsidRPr="00EB05FE">
        <w:t xml:space="preserve"> 25</w:t>
      </w:r>
      <w:r>
        <w:t xml:space="preserve"> February </w:t>
      </w:r>
      <w:r w:rsidRPr="00EB05FE">
        <w:t>2015, p</w:t>
      </w:r>
      <w:r>
        <w:t>.</w:t>
      </w:r>
      <w:r w:rsidRPr="00EB05FE">
        <w:t xml:space="preserve"> 15</w:t>
      </w:r>
      <w:r>
        <w:t>.</w:t>
      </w:r>
    </w:p>
  </w:footnote>
  <w:footnote w:id="70">
    <w:p w14:paraId="69833000" w14:textId="2EF53AC5" w:rsidR="000A1AA5" w:rsidRPr="006C6872" w:rsidRDefault="000A1AA5" w:rsidP="0071428C">
      <w:pPr>
        <w:pStyle w:val="FootnoteText"/>
        <w:ind w:firstLine="0"/>
        <w:rPr>
          <w:lang w:val="en-US"/>
        </w:rPr>
      </w:pPr>
      <w:r>
        <w:rPr>
          <w:rStyle w:val="FootnoteReference"/>
        </w:rPr>
        <w:footnoteRef/>
      </w:r>
      <w:r>
        <w:t xml:space="preserve"> </w:t>
      </w:r>
      <w:r w:rsidRPr="006C6872">
        <w:rPr>
          <w:lang w:val="en-US"/>
        </w:rPr>
        <w:t>Party’s comments, 9 June 2015, p. 4.</w:t>
      </w:r>
    </w:p>
  </w:footnote>
  <w:footnote w:id="71">
    <w:p w14:paraId="4A371E40" w14:textId="4D54193D" w:rsidR="000A1AA5" w:rsidRPr="006C6872" w:rsidRDefault="000A1AA5" w:rsidP="00473291">
      <w:pPr>
        <w:pStyle w:val="FootnoteText"/>
        <w:ind w:firstLine="0"/>
        <w:rPr>
          <w:lang w:val="en-US"/>
        </w:rPr>
      </w:pPr>
      <w:r>
        <w:rPr>
          <w:rStyle w:val="FootnoteReference"/>
        </w:rPr>
        <w:footnoteRef/>
      </w:r>
      <w:r>
        <w:t xml:space="preserve"> </w:t>
      </w:r>
      <w:r w:rsidRPr="006C6872">
        <w:rPr>
          <w:lang w:val="en-US"/>
        </w:rPr>
        <w:t>Party’s reply to questions, 8 June 2015, p. 1.</w:t>
      </w:r>
    </w:p>
  </w:footnote>
  <w:footnote w:id="72">
    <w:p w14:paraId="1F36215C" w14:textId="289FAB2B" w:rsidR="000A1AA5" w:rsidRPr="00371D90" w:rsidRDefault="000A1AA5" w:rsidP="00473291">
      <w:pPr>
        <w:pStyle w:val="FootnoteText"/>
        <w:tabs>
          <w:tab w:val="clear" w:pos="1021"/>
        </w:tabs>
        <w:ind w:firstLine="0"/>
        <w:rPr>
          <w:lang w:val="en-US"/>
        </w:rPr>
      </w:pPr>
      <w:r w:rsidRPr="005F2A22">
        <w:rPr>
          <w:rStyle w:val="FootnoteReference"/>
        </w:rPr>
        <w:footnoteRef/>
      </w:r>
      <w:r w:rsidRPr="00371D90">
        <w:rPr>
          <w:lang w:val="en-US"/>
        </w:rPr>
        <w:t xml:space="preserve"> Communication, p. 6.</w:t>
      </w:r>
    </w:p>
  </w:footnote>
  <w:footnote w:id="73">
    <w:p w14:paraId="257B77DB" w14:textId="79D983EE" w:rsidR="000A1AA5" w:rsidRPr="00A72100" w:rsidRDefault="000A1AA5" w:rsidP="00251124">
      <w:pPr>
        <w:pStyle w:val="FootnoteText"/>
        <w:tabs>
          <w:tab w:val="clear" w:pos="1021"/>
        </w:tabs>
        <w:ind w:firstLine="0"/>
      </w:pPr>
      <w:r w:rsidRPr="005F2A22">
        <w:rPr>
          <w:rStyle w:val="FootnoteReference"/>
        </w:rPr>
        <w:footnoteRef/>
      </w:r>
      <w:r w:rsidRPr="00A72100">
        <w:t xml:space="preserve"> </w:t>
      </w:r>
      <w:r>
        <w:t>Communicant’s a</w:t>
      </w:r>
      <w:r w:rsidRPr="00EB05FE">
        <w:t xml:space="preserve">dditional </w:t>
      </w:r>
      <w:r>
        <w:t>remarks,</w:t>
      </w:r>
      <w:r w:rsidRPr="00EB05FE">
        <w:t xml:space="preserve"> 25</w:t>
      </w:r>
      <w:r>
        <w:t xml:space="preserve"> February </w:t>
      </w:r>
      <w:r w:rsidRPr="00EB05FE">
        <w:t>2015</w:t>
      </w:r>
      <w:r w:rsidRPr="00A72100">
        <w:t>, p. 2.</w:t>
      </w:r>
    </w:p>
  </w:footnote>
  <w:footnote w:id="74">
    <w:p w14:paraId="1B51C88C" w14:textId="2979C43A" w:rsidR="000A1AA5" w:rsidRPr="00A72100" w:rsidRDefault="000A1AA5" w:rsidP="00473291">
      <w:pPr>
        <w:pStyle w:val="FootnoteText"/>
        <w:tabs>
          <w:tab w:val="clear" w:pos="1021"/>
        </w:tabs>
        <w:ind w:firstLine="0"/>
      </w:pPr>
      <w:r w:rsidRPr="005F2A22">
        <w:rPr>
          <w:rStyle w:val="FootnoteReference"/>
        </w:rPr>
        <w:footnoteRef/>
      </w:r>
      <w:r w:rsidRPr="00A72100">
        <w:t xml:space="preserve"> </w:t>
      </w:r>
      <w:r w:rsidRPr="00D22F9A">
        <w:t xml:space="preserve"> </w:t>
      </w:r>
      <w:r w:rsidRPr="00A72100">
        <w:t xml:space="preserve">Communication, pp. </w:t>
      </w:r>
      <w:r>
        <w:t>6-</w:t>
      </w:r>
      <w:r w:rsidRPr="00A72100">
        <w:t>7.</w:t>
      </w:r>
    </w:p>
  </w:footnote>
  <w:footnote w:id="75">
    <w:p w14:paraId="7254C15A" w14:textId="10AE1CBE" w:rsidR="000A1AA5" w:rsidRPr="00396CE2" w:rsidRDefault="000A1AA5" w:rsidP="00473291">
      <w:pPr>
        <w:pStyle w:val="FootnoteText"/>
        <w:ind w:firstLine="0"/>
      </w:pPr>
      <w:r w:rsidRPr="00A14EAC">
        <w:rPr>
          <w:rStyle w:val="FootnoteReference"/>
        </w:rPr>
        <w:footnoteRef/>
      </w:r>
      <w:r w:rsidRPr="00A14EAC">
        <w:t xml:space="preserve"> Party’s comments, 13 March 2015, pp. 6-7.</w:t>
      </w:r>
    </w:p>
  </w:footnote>
  <w:footnote w:id="76">
    <w:p w14:paraId="2B3903D1" w14:textId="02915295" w:rsidR="000A1AA5" w:rsidRPr="003D5404" w:rsidRDefault="000A1AA5" w:rsidP="00473291">
      <w:pPr>
        <w:pStyle w:val="FootnoteText"/>
        <w:ind w:firstLine="0"/>
        <w:rPr>
          <w:lang w:val="en-US"/>
        </w:rPr>
      </w:pPr>
      <w:r>
        <w:rPr>
          <w:rStyle w:val="FootnoteReference"/>
        </w:rPr>
        <w:footnoteRef/>
      </w:r>
      <w:r>
        <w:t xml:space="preserve"> </w:t>
      </w:r>
      <w:r w:rsidRPr="003D5404">
        <w:rPr>
          <w:lang w:val="en-US"/>
        </w:rPr>
        <w:t xml:space="preserve">Communicant’s comments, </w:t>
      </w:r>
      <w:r>
        <w:rPr>
          <w:lang w:val="en-US"/>
        </w:rPr>
        <w:t>9</w:t>
      </w:r>
      <w:r w:rsidRPr="003D5404">
        <w:rPr>
          <w:lang w:val="en-US"/>
        </w:rPr>
        <w:t xml:space="preserve"> October 2017, p. 3.</w:t>
      </w:r>
    </w:p>
  </w:footnote>
  <w:footnote w:id="77">
    <w:p w14:paraId="0C091094" w14:textId="145C1165" w:rsidR="000A1AA5" w:rsidRPr="003D5404" w:rsidRDefault="000A1AA5" w:rsidP="00F81E9C">
      <w:pPr>
        <w:pStyle w:val="FootnoteText"/>
        <w:ind w:firstLine="0"/>
        <w:rPr>
          <w:lang w:val="en-US"/>
        </w:rPr>
      </w:pPr>
      <w:r>
        <w:rPr>
          <w:rStyle w:val="FootnoteReference"/>
        </w:rPr>
        <w:footnoteRef/>
      </w:r>
      <w:r>
        <w:t xml:space="preserve"> Party’s </w:t>
      </w:r>
      <w:r w:rsidRPr="003D5404">
        <w:rPr>
          <w:lang w:val="en-US"/>
        </w:rPr>
        <w:t>reply to questions, 2 October 2017, p. 3.</w:t>
      </w:r>
    </w:p>
  </w:footnote>
  <w:footnote w:id="78">
    <w:p w14:paraId="71AD2955" w14:textId="5A234913" w:rsidR="000A1AA5" w:rsidRPr="003A1B3B" w:rsidRDefault="000A1AA5" w:rsidP="00473291">
      <w:pPr>
        <w:pStyle w:val="FootnoteText"/>
        <w:tabs>
          <w:tab w:val="clear" w:pos="1021"/>
        </w:tabs>
        <w:ind w:firstLine="0"/>
        <w:rPr>
          <w:lang w:val="en-US"/>
        </w:rPr>
      </w:pPr>
      <w:r w:rsidRPr="005F2A22">
        <w:rPr>
          <w:rStyle w:val="FootnoteReference"/>
        </w:rPr>
        <w:footnoteRef/>
      </w:r>
      <w:r w:rsidRPr="003A1B3B">
        <w:rPr>
          <w:lang w:val="en-US"/>
        </w:rPr>
        <w:t xml:space="preserve"> </w:t>
      </w:r>
      <w:r>
        <w:rPr>
          <w:lang w:val="en-US"/>
        </w:rPr>
        <w:t>Communicant’s c</w:t>
      </w:r>
      <w:r w:rsidRPr="003A1B3B">
        <w:rPr>
          <w:lang w:val="en-US"/>
        </w:rPr>
        <w:t xml:space="preserve">omments, </w:t>
      </w:r>
      <w:r w:rsidRPr="00333F76">
        <w:t>12 December 2014,</w:t>
      </w:r>
      <w:r>
        <w:t xml:space="preserve"> </w:t>
      </w:r>
      <w:r w:rsidRPr="003A1B3B">
        <w:rPr>
          <w:lang w:val="en-US"/>
        </w:rPr>
        <w:t>p. 4.</w:t>
      </w:r>
    </w:p>
  </w:footnote>
  <w:footnote w:id="79">
    <w:p w14:paraId="5FBEA131" w14:textId="53E8477D" w:rsidR="000A1AA5" w:rsidRPr="00371D90" w:rsidRDefault="000A1AA5" w:rsidP="00A10695">
      <w:pPr>
        <w:pStyle w:val="FootnoteText"/>
        <w:tabs>
          <w:tab w:val="clear" w:pos="1021"/>
        </w:tabs>
        <w:ind w:firstLine="0"/>
        <w:rPr>
          <w:lang w:val="en-US"/>
        </w:rPr>
      </w:pPr>
      <w:r w:rsidRPr="005F2A22">
        <w:rPr>
          <w:rStyle w:val="FootnoteReference"/>
        </w:rPr>
        <w:footnoteRef/>
      </w:r>
      <w:r w:rsidRPr="00371D90">
        <w:rPr>
          <w:lang w:val="en-US"/>
        </w:rPr>
        <w:t xml:space="preserve"> Communication, </w:t>
      </w:r>
      <w:r>
        <w:rPr>
          <w:lang w:val="en-US"/>
        </w:rPr>
        <w:t>p. 13</w:t>
      </w:r>
      <w:r w:rsidRPr="00371D90">
        <w:rPr>
          <w:lang w:val="en-US"/>
        </w:rPr>
        <w:t>.</w:t>
      </w:r>
    </w:p>
  </w:footnote>
  <w:footnote w:id="80">
    <w:p w14:paraId="0861626A" w14:textId="1C19E264" w:rsidR="000A1AA5" w:rsidRPr="005F2A22" w:rsidRDefault="000A1AA5" w:rsidP="00901C10">
      <w:pPr>
        <w:pStyle w:val="FootnoteText"/>
        <w:tabs>
          <w:tab w:val="clear" w:pos="1021"/>
        </w:tabs>
        <w:ind w:firstLine="0"/>
      </w:pPr>
      <w:r w:rsidRPr="005F2A22">
        <w:rPr>
          <w:rStyle w:val="FootnoteReference"/>
        </w:rPr>
        <w:footnoteRef/>
      </w:r>
      <w:r w:rsidRPr="005F2A22">
        <w:t xml:space="preserve"> </w:t>
      </w:r>
      <w:r>
        <w:t xml:space="preserve">Party’s </w:t>
      </w:r>
      <w:r w:rsidRPr="00574FE5">
        <w:t>comments, 13 March 2015, p. 7.</w:t>
      </w:r>
    </w:p>
  </w:footnote>
  <w:footnote w:id="81">
    <w:p w14:paraId="13DF4F60" w14:textId="35F1566C" w:rsidR="000A1AA5" w:rsidRPr="00333F76" w:rsidRDefault="000A1AA5" w:rsidP="00473291">
      <w:pPr>
        <w:pStyle w:val="FootnoteText"/>
        <w:tabs>
          <w:tab w:val="clear" w:pos="1021"/>
        </w:tabs>
        <w:ind w:firstLine="0"/>
      </w:pPr>
      <w:r w:rsidRPr="005F2A22">
        <w:rPr>
          <w:rStyle w:val="FootnoteReference"/>
        </w:rPr>
        <w:footnoteRef/>
      </w:r>
      <w:r w:rsidRPr="00333F76">
        <w:t xml:space="preserve"> Communicant’s comments, 12 December 2014, p. 4.</w:t>
      </w:r>
    </w:p>
  </w:footnote>
  <w:footnote w:id="82">
    <w:p w14:paraId="78F4D82F" w14:textId="5DEDE2B4" w:rsidR="000A1AA5" w:rsidRPr="00001B0D" w:rsidRDefault="000A1AA5" w:rsidP="00473291">
      <w:pPr>
        <w:pStyle w:val="FootnoteText"/>
        <w:tabs>
          <w:tab w:val="clear" w:pos="1021"/>
        </w:tabs>
        <w:ind w:firstLine="0"/>
        <w:rPr>
          <w:lang w:val="en-US"/>
        </w:rPr>
      </w:pPr>
      <w:r w:rsidRPr="005F2A22">
        <w:rPr>
          <w:rStyle w:val="FootnoteReference"/>
        </w:rPr>
        <w:footnoteRef/>
      </w:r>
      <w:r w:rsidRPr="00001B0D">
        <w:rPr>
          <w:lang w:val="en-US"/>
        </w:rPr>
        <w:t xml:space="preserve"> Party’s comments, </w:t>
      </w:r>
      <w:r w:rsidRPr="00574FE5">
        <w:t xml:space="preserve">13 March 2015, </w:t>
      </w:r>
      <w:r w:rsidRPr="00001B0D">
        <w:rPr>
          <w:lang w:val="en-US"/>
        </w:rPr>
        <w:t>pp. 7-8.</w:t>
      </w:r>
    </w:p>
  </w:footnote>
  <w:footnote w:id="83">
    <w:p w14:paraId="641679C2" w14:textId="418B7823" w:rsidR="000A1AA5" w:rsidRPr="00001B0D" w:rsidRDefault="000A1AA5" w:rsidP="00473291">
      <w:pPr>
        <w:pStyle w:val="FootnoteText"/>
        <w:tabs>
          <w:tab w:val="clear" w:pos="1021"/>
        </w:tabs>
        <w:ind w:firstLine="0"/>
        <w:rPr>
          <w:lang w:val="en-US"/>
        </w:rPr>
      </w:pPr>
      <w:r w:rsidRPr="005F2A22">
        <w:rPr>
          <w:rStyle w:val="FootnoteReference"/>
        </w:rPr>
        <w:footnoteRef/>
      </w:r>
      <w:r w:rsidRPr="00001B0D">
        <w:rPr>
          <w:lang w:val="en-US"/>
        </w:rPr>
        <w:t xml:space="preserve"> Communication, pp. 13-14.</w:t>
      </w:r>
    </w:p>
  </w:footnote>
  <w:footnote w:id="84">
    <w:p w14:paraId="2A778282" w14:textId="186EF177" w:rsidR="000A1AA5" w:rsidRPr="00A72100" w:rsidRDefault="000A1AA5" w:rsidP="00473291">
      <w:pPr>
        <w:pStyle w:val="FootnoteText"/>
        <w:tabs>
          <w:tab w:val="clear" w:pos="1021"/>
        </w:tabs>
        <w:ind w:firstLine="0"/>
      </w:pPr>
      <w:r w:rsidRPr="005F2A22">
        <w:rPr>
          <w:rStyle w:val="FootnoteReference"/>
        </w:rPr>
        <w:footnoteRef/>
      </w:r>
      <w:r w:rsidRPr="00A72100">
        <w:t xml:space="preserve"> </w:t>
      </w:r>
      <w:r>
        <w:t>Party’s response to communication</w:t>
      </w:r>
      <w:r w:rsidRPr="00A72100">
        <w:t>, p. 11.</w:t>
      </w:r>
    </w:p>
  </w:footnote>
  <w:footnote w:id="85">
    <w:p w14:paraId="45D67A3C" w14:textId="60BD760A" w:rsidR="000A1AA5" w:rsidRPr="00371D90" w:rsidRDefault="000A1AA5" w:rsidP="00473291">
      <w:pPr>
        <w:pStyle w:val="FootnoteText"/>
        <w:tabs>
          <w:tab w:val="clear" w:pos="1021"/>
        </w:tabs>
        <w:ind w:firstLine="0"/>
        <w:rPr>
          <w:lang w:val="en-US"/>
        </w:rPr>
      </w:pPr>
      <w:r w:rsidRPr="005F2A22">
        <w:rPr>
          <w:rStyle w:val="FootnoteReference"/>
        </w:rPr>
        <w:footnoteRef/>
      </w:r>
      <w:r w:rsidRPr="00371D90">
        <w:rPr>
          <w:lang w:val="en-US"/>
        </w:rPr>
        <w:t xml:space="preserve"> Communication, p. 14.</w:t>
      </w:r>
    </w:p>
  </w:footnote>
  <w:footnote w:id="86">
    <w:p w14:paraId="6522709D" w14:textId="18946087" w:rsidR="000A1AA5" w:rsidRPr="005F2A22" w:rsidRDefault="000A1AA5" w:rsidP="00473291">
      <w:pPr>
        <w:pStyle w:val="FootnoteText"/>
        <w:tabs>
          <w:tab w:val="clear" w:pos="1021"/>
        </w:tabs>
        <w:ind w:firstLine="0"/>
        <w:rPr>
          <w:lang w:val="en-US"/>
        </w:rPr>
      </w:pPr>
      <w:r w:rsidRPr="005F2A22">
        <w:rPr>
          <w:rStyle w:val="FootnoteReference"/>
        </w:rPr>
        <w:footnoteRef/>
      </w:r>
      <w:r w:rsidRPr="005F2A22">
        <w:t xml:space="preserve"> </w:t>
      </w:r>
      <w:r>
        <w:rPr>
          <w:lang w:val="en-US"/>
        </w:rPr>
        <w:t>Communicant’s comments,</w:t>
      </w:r>
      <w:r w:rsidRPr="005F2A22">
        <w:rPr>
          <w:lang w:val="en-US"/>
        </w:rPr>
        <w:t xml:space="preserve"> 25</w:t>
      </w:r>
      <w:r>
        <w:rPr>
          <w:lang w:val="en-US"/>
        </w:rPr>
        <w:t xml:space="preserve"> February 20</w:t>
      </w:r>
      <w:r w:rsidRPr="005F2A22">
        <w:rPr>
          <w:lang w:val="en-US"/>
        </w:rPr>
        <w:t>15, p. 10</w:t>
      </w:r>
      <w:r>
        <w:rPr>
          <w:lang w:val="en-US"/>
        </w:rPr>
        <w:t>.</w:t>
      </w:r>
    </w:p>
  </w:footnote>
  <w:footnote w:id="87">
    <w:p w14:paraId="7547368F" w14:textId="0F47C741" w:rsidR="000A1AA5" w:rsidRPr="003D7E9D" w:rsidRDefault="000A1AA5" w:rsidP="00473291">
      <w:pPr>
        <w:pStyle w:val="FootnoteText"/>
        <w:tabs>
          <w:tab w:val="clear" w:pos="1021"/>
        </w:tabs>
        <w:ind w:firstLine="0"/>
      </w:pPr>
      <w:r w:rsidRPr="005F2A22">
        <w:rPr>
          <w:rStyle w:val="FootnoteReference"/>
        </w:rPr>
        <w:footnoteRef/>
      </w:r>
      <w:r w:rsidRPr="003D7E9D">
        <w:t xml:space="preserve"> Party’s comments, 9 June 2015, p. 5.</w:t>
      </w:r>
    </w:p>
  </w:footnote>
  <w:footnote w:id="88">
    <w:p w14:paraId="379D493D" w14:textId="50AC8338" w:rsidR="000A1AA5" w:rsidRPr="003D7E9D" w:rsidRDefault="000A1AA5" w:rsidP="005C265F">
      <w:pPr>
        <w:pStyle w:val="FootnoteText"/>
      </w:pPr>
      <w:r w:rsidRPr="003D7E9D">
        <w:tab/>
      </w:r>
      <w:r w:rsidRPr="003D7E9D">
        <w:tab/>
      </w:r>
      <w:r>
        <w:rPr>
          <w:rStyle w:val="FootnoteReference"/>
        </w:rPr>
        <w:footnoteRef/>
      </w:r>
      <w:r w:rsidRPr="003D7E9D">
        <w:t xml:space="preserve"> Communicant’s comments, 9 October 2017, p. 3.</w:t>
      </w:r>
    </w:p>
  </w:footnote>
  <w:footnote w:id="89">
    <w:p w14:paraId="280F7092" w14:textId="5A2EBED4" w:rsidR="000A1AA5" w:rsidRPr="002F031C" w:rsidRDefault="000A1AA5" w:rsidP="005C265F">
      <w:pPr>
        <w:pStyle w:val="FootnoteText"/>
      </w:pPr>
      <w:r w:rsidRPr="003D7E9D">
        <w:tab/>
      </w:r>
      <w:r w:rsidRPr="003D7E9D">
        <w:tab/>
      </w:r>
      <w:r>
        <w:rPr>
          <w:rStyle w:val="FootnoteReference"/>
        </w:rPr>
        <w:footnoteRef/>
      </w:r>
      <w:r>
        <w:t xml:space="preserve"> Ibid., p. 2, and communicant’s additional remarks, 25 February 2015, p. 8.</w:t>
      </w:r>
    </w:p>
  </w:footnote>
  <w:footnote w:id="90">
    <w:p w14:paraId="030FA6C6" w14:textId="44AFE3FB" w:rsidR="000A1AA5" w:rsidRPr="00811C87" w:rsidRDefault="000A1AA5" w:rsidP="00901C10">
      <w:pPr>
        <w:pStyle w:val="FootnoteText"/>
      </w:pPr>
      <w:r>
        <w:tab/>
      </w:r>
      <w:r>
        <w:tab/>
      </w:r>
      <w:r>
        <w:rPr>
          <w:rStyle w:val="FootnoteReference"/>
        </w:rPr>
        <w:footnoteRef/>
      </w:r>
      <w:r>
        <w:t xml:space="preserve"> Communicant’s c</w:t>
      </w:r>
      <w:r w:rsidRPr="009E172A">
        <w:t>omments, 9 October 2017,</w:t>
      </w:r>
      <w:r>
        <w:t xml:space="preserve"> </w:t>
      </w:r>
      <w:r w:rsidRPr="009E172A">
        <w:t xml:space="preserve">p. </w:t>
      </w:r>
      <w:r>
        <w:t>3.</w:t>
      </w:r>
    </w:p>
  </w:footnote>
  <w:footnote w:id="91">
    <w:p w14:paraId="0A7DB8CC" w14:textId="64CC5000" w:rsidR="000A1AA5" w:rsidRPr="00B07B8D" w:rsidRDefault="000A1AA5" w:rsidP="005C265F">
      <w:pPr>
        <w:pStyle w:val="FootnoteText"/>
      </w:pPr>
      <w:r>
        <w:tab/>
      </w:r>
      <w:r>
        <w:tab/>
      </w:r>
      <w:r>
        <w:rPr>
          <w:rStyle w:val="FootnoteReference"/>
        </w:rPr>
        <w:footnoteRef/>
      </w:r>
      <w:r>
        <w:t xml:space="preserve"> Ibid.</w:t>
      </w:r>
    </w:p>
  </w:footnote>
  <w:footnote w:id="92">
    <w:p w14:paraId="3082D065" w14:textId="77777777" w:rsidR="000A1AA5" w:rsidRPr="00B07B8D" w:rsidRDefault="000A1AA5" w:rsidP="00AD350B">
      <w:pPr>
        <w:pStyle w:val="FootnoteText"/>
      </w:pPr>
      <w:r>
        <w:tab/>
      </w:r>
      <w:r>
        <w:tab/>
      </w:r>
      <w:r>
        <w:rPr>
          <w:rStyle w:val="FootnoteReference"/>
        </w:rPr>
        <w:footnoteRef/>
      </w:r>
      <w:r>
        <w:t xml:space="preserve"> </w:t>
      </w:r>
      <w:r w:rsidRPr="00B07B8D">
        <w:t xml:space="preserve">Party’s reply to questions, </w:t>
      </w:r>
      <w:r>
        <w:t xml:space="preserve">2 October 2017, </w:t>
      </w:r>
      <w:r w:rsidRPr="00B07B8D">
        <w:t>p</w:t>
      </w:r>
      <w:r>
        <w:t>. 2.</w:t>
      </w:r>
    </w:p>
  </w:footnote>
  <w:footnote w:id="93">
    <w:p w14:paraId="662E5013" w14:textId="77777777" w:rsidR="000A1AA5" w:rsidRPr="00001B0D" w:rsidRDefault="000A1AA5" w:rsidP="00FD5FBC">
      <w:pPr>
        <w:pStyle w:val="FootnoteText"/>
        <w:ind w:hanging="1418"/>
      </w:pPr>
      <w:r w:rsidRPr="00DB45B4">
        <w:rPr>
          <w:lang w:val="en-US"/>
        </w:rPr>
        <w:tab/>
      </w:r>
      <w:r w:rsidRPr="00DB45B4">
        <w:rPr>
          <w:lang w:val="en-US"/>
        </w:rPr>
        <w:tab/>
      </w:r>
      <w:r w:rsidRPr="00A21891">
        <w:rPr>
          <w:rStyle w:val="FootnoteReference"/>
        </w:rPr>
        <w:footnoteRef/>
      </w:r>
      <w:r w:rsidRPr="00001B0D">
        <w:t xml:space="preserve"> ECE/MP.PP/2017/35, para. 36 and 95(d). </w:t>
      </w:r>
    </w:p>
  </w:footnote>
  <w:footnote w:id="94">
    <w:p w14:paraId="0F956E57" w14:textId="7BA75877" w:rsidR="000A1AA5" w:rsidRPr="00FD5FBC" w:rsidRDefault="000A1AA5" w:rsidP="00E50D95">
      <w:pPr>
        <w:pStyle w:val="FootnoteText"/>
        <w:ind w:firstLine="0"/>
      </w:pPr>
      <w:r>
        <w:rPr>
          <w:rStyle w:val="FootnoteReference"/>
        </w:rPr>
        <w:footnoteRef/>
      </w:r>
      <w:r w:rsidRPr="00FD5FBC">
        <w:t xml:space="preserve"> Communication, annex 4, p. 1.</w:t>
      </w:r>
    </w:p>
  </w:footnote>
  <w:footnote w:id="95">
    <w:p w14:paraId="01DEA764" w14:textId="74CFF8A2" w:rsidR="000A1AA5" w:rsidRPr="00A72100" w:rsidRDefault="000A1AA5" w:rsidP="00B721B8">
      <w:pPr>
        <w:pStyle w:val="FootnoteText"/>
        <w:ind w:firstLine="0"/>
      </w:pPr>
      <w:r>
        <w:rPr>
          <w:rStyle w:val="FootnoteReference"/>
        </w:rPr>
        <w:footnoteRef/>
      </w:r>
      <w:r w:rsidRPr="00A72100">
        <w:t xml:space="preserve"> </w:t>
      </w:r>
      <w:r>
        <w:t>Ibid.</w:t>
      </w:r>
      <w:r w:rsidRPr="00A72100">
        <w:t>, annex 2</w:t>
      </w:r>
      <w:r>
        <w:t>, pp. 2-3 and 8-11</w:t>
      </w:r>
      <w:r w:rsidRPr="00A72100">
        <w:t>.</w:t>
      </w:r>
    </w:p>
  </w:footnote>
  <w:footnote w:id="96">
    <w:p w14:paraId="3FB39780" w14:textId="76E2D008" w:rsidR="000A1AA5" w:rsidRPr="00A72100" w:rsidRDefault="000A1AA5" w:rsidP="00473291">
      <w:pPr>
        <w:pStyle w:val="FootnoteText"/>
        <w:ind w:firstLine="0"/>
        <w:rPr>
          <w:lang w:val="en-US"/>
        </w:rPr>
      </w:pPr>
      <w:r>
        <w:rPr>
          <w:rStyle w:val="FootnoteReference"/>
        </w:rPr>
        <w:footnoteRef/>
      </w:r>
      <w:r w:rsidRPr="00A72100">
        <w:rPr>
          <w:lang w:val="en-US"/>
        </w:rPr>
        <w:t xml:space="preserve"> Party’s reply to questions, 2 October 2017, p. 3.</w:t>
      </w:r>
    </w:p>
  </w:footnote>
  <w:footnote w:id="97">
    <w:p w14:paraId="11B007C9" w14:textId="0C5BD52B" w:rsidR="000A1AA5" w:rsidRPr="00A72100" w:rsidRDefault="000A1AA5" w:rsidP="00AD2DA8">
      <w:pPr>
        <w:pStyle w:val="FootnoteText"/>
        <w:ind w:firstLine="0"/>
      </w:pPr>
      <w:r>
        <w:rPr>
          <w:rStyle w:val="FootnoteReference"/>
        </w:rPr>
        <w:footnoteRef/>
      </w:r>
      <w:r w:rsidRPr="00A72100">
        <w:t xml:space="preserve"> </w:t>
      </w:r>
      <w:r>
        <w:t>Party’s response to communication</w:t>
      </w:r>
      <w:r w:rsidRPr="00A72100">
        <w:t xml:space="preserve">, </w:t>
      </w:r>
      <w:r>
        <w:t>annexes 8(a)-8c)</w:t>
      </w:r>
      <w:r w:rsidRPr="00A72100">
        <w:t>.</w:t>
      </w:r>
    </w:p>
  </w:footnote>
  <w:footnote w:id="98">
    <w:p w14:paraId="6FB2E9B6" w14:textId="7D8B0D10" w:rsidR="000A1AA5" w:rsidRPr="003A1B3B" w:rsidRDefault="000A1AA5" w:rsidP="00473291">
      <w:pPr>
        <w:pStyle w:val="FootnoteText"/>
        <w:ind w:firstLine="0"/>
        <w:rPr>
          <w:lang w:val="en-US"/>
        </w:rPr>
      </w:pPr>
      <w:r>
        <w:rPr>
          <w:rStyle w:val="FootnoteReference"/>
        </w:rPr>
        <w:footnoteRef/>
      </w:r>
      <w:r>
        <w:t xml:space="preserve"> </w:t>
      </w:r>
      <w:r>
        <w:rPr>
          <w:lang w:val="en-US"/>
        </w:rPr>
        <w:t>Ibid</w:t>
      </w:r>
      <w:r w:rsidRPr="003A1B3B">
        <w:rPr>
          <w:lang w:val="en-US"/>
        </w:rPr>
        <w:t>.</w:t>
      </w:r>
    </w:p>
  </w:footnote>
  <w:footnote w:id="99">
    <w:p w14:paraId="26AAE138" w14:textId="1E8CCFDA" w:rsidR="000A1AA5" w:rsidRPr="00721300" w:rsidRDefault="000A1AA5" w:rsidP="00B6324C">
      <w:pPr>
        <w:pStyle w:val="FootnoteText"/>
        <w:ind w:firstLine="0"/>
      </w:pPr>
      <w:r>
        <w:rPr>
          <w:rStyle w:val="FootnoteReference"/>
        </w:rPr>
        <w:footnoteRef/>
      </w:r>
      <w:r>
        <w:t xml:space="preserve"> </w:t>
      </w:r>
      <w:r w:rsidRPr="006C6872">
        <w:rPr>
          <w:lang w:val="en-US"/>
        </w:rPr>
        <w:t>Party’s reply to questions, 8 June 2015, p</w:t>
      </w:r>
      <w:r>
        <w:rPr>
          <w:lang w:val="en-US"/>
        </w:rPr>
        <w:t>p</w:t>
      </w:r>
      <w:r w:rsidRPr="006C6872">
        <w:rPr>
          <w:lang w:val="en-US"/>
        </w:rPr>
        <w:t xml:space="preserve">. </w:t>
      </w:r>
      <w:r>
        <w:rPr>
          <w:lang w:val="en-US"/>
        </w:rPr>
        <w:t>2-3.</w:t>
      </w:r>
    </w:p>
  </w:footnote>
  <w:footnote w:id="100">
    <w:p w14:paraId="15EBE852" w14:textId="3C545814" w:rsidR="000A1AA5" w:rsidRPr="006A6866" w:rsidRDefault="000A1AA5">
      <w:pPr>
        <w:pStyle w:val="FootnoteText"/>
      </w:pPr>
      <w:r>
        <w:tab/>
      </w:r>
      <w:r>
        <w:tab/>
      </w:r>
      <w:r>
        <w:rPr>
          <w:rStyle w:val="FootnoteReference"/>
        </w:rPr>
        <w:footnoteRef/>
      </w:r>
      <w:r>
        <w:t xml:space="preserve"> See Maastricht Recommendations, para. 76.</w:t>
      </w:r>
    </w:p>
  </w:footnote>
  <w:footnote w:id="101">
    <w:p w14:paraId="7A173287" w14:textId="5D1B4D15" w:rsidR="000A1AA5" w:rsidRPr="003A1B3B" w:rsidRDefault="000A1AA5" w:rsidP="00BB4461">
      <w:pPr>
        <w:pStyle w:val="FootnoteText"/>
        <w:ind w:firstLine="0"/>
        <w:rPr>
          <w:lang w:val="en-US"/>
        </w:rPr>
      </w:pPr>
      <w:r>
        <w:rPr>
          <w:rStyle w:val="FootnoteReference"/>
        </w:rPr>
        <w:footnoteRef/>
      </w:r>
      <w:r w:rsidRPr="003D7E9D">
        <w:t xml:space="preserve"> </w:t>
      </w:r>
      <w:r w:rsidRPr="006C6872">
        <w:rPr>
          <w:lang w:val="en-US"/>
        </w:rPr>
        <w:t>Party’s comments</w:t>
      </w:r>
      <w:r>
        <w:rPr>
          <w:lang w:val="en-US"/>
        </w:rPr>
        <w:t>, 9 June 2015, p. 3.</w:t>
      </w:r>
    </w:p>
  </w:footnote>
  <w:footnote w:id="102">
    <w:p w14:paraId="36122E7E" w14:textId="77777777" w:rsidR="000A1AA5" w:rsidRPr="006C6872" w:rsidRDefault="000A1AA5" w:rsidP="00145C50">
      <w:pPr>
        <w:pStyle w:val="FootnoteText"/>
        <w:ind w:firstLine="0"/>
        <w:rPr>
          <w:lang w:val="en-US"/>
        </w:rPr>
      </w:pPr>
      <w:r>
        <w:rPr>
          <w:rStyle w:val="FootnoteReference"/>
        </w:rPr>
        <w:footnoteRef/>
      </w:r>
      <w:r>
        <w:rPr>
          <w:lang w:val="en-US"/>
        </w:rPr>
        <w:t xml:space="preserve"> Ibid.</w:t>
      </w:r>
      <w:r w:rsidRPr="006C6872">
        <w:rPr>
          <w:lang w:val="en-US"/>
        </w:rPr>
        <w:t xml:space="preserve">, </w:t>
      </w:r>
      <w:r>
        <w:rPr>
          <w:lang w:val="en-US"/>
        </w:rPr>
        <w:t>annex 4, p. 11.</w:t>
      </w:r>
    </w:p>
  </w:footnote>
  <w:footnote w:id="103">
    <w:p w14:paraId="23E8D2E5" w14:textId="0175D7C5" w:rsidR="000A1AA5" w:rsidRPr="008C79BF" w:rsidRDefault="000A1AA5" w:rsidP="005B057E">
      <w:pPr>
        <w:pStyle w:val="FootnoteText"/>
        <w:ind w:firstLine="0"/>
        <w:rPr>
          <w:lang w:val="en-US"/>
        </w:rPr>
      </w:pPr>
      <w:r>
        <w:rPr>
          <w:rStyle w:val="FootnoteReference"/>
        </w:rPr>
        <w:footnoteRef/>
      </w:r>
      <w:r>
        <w:rPr>
          <w:lang w:val="en-US"/>
        </w:rPr>
        <w:t xml:space="preserve"> See ECE/MP.PP/C.1/2009/8/Add. 1, para. 119(a) (iii), and Maastricht Recommendations, para. 80(d).</w:t>
      </w:r>
    </w:p>
  </w:footnote>
  <w:footnote w:id="104">
    <w:p w14:paraId="45F3D60A" w14:textId="68D62CAC" w:rsidR="000A1AA5" w:rsidRPr="00371D90" w:rsidRDefault="000A1AA5" w:rsidP="0066656C">
      <w:pPr>
        <w:pStyle w:val="FootnoteText"/>
        <w:rPr>
          <w:lang w:val="en-US"/>
        </w:rPr>
      </w:pPr>
      <w:r>
        <w:tab/>
      </w:r>
      <w:r>
        <w:tab/>
      </w:r>
      <w:r>
        <w:rPr>
          <w:rStyle w:val="FootnoteReference"/>
        </w:rPr>
        <w:footnoteRef/>
      </w:r>
      <w:r>
        <w:t xml:space="preserve"> </w:t>
      </w:r>
      <w:r w:rsidRPr="00371D90">
        <w:rPr>
          <w:lang w:val="en-US"/>
        </w:rPr>
        <w:t>Party’s response to communication, annex 8d.</w:t>
      </w:r>
    </w:p>
  </w:footnote>
  <w:footnote w:id="105">
    <w:p w14:paraId="414FD5F3" w14:textId="083028C4" w:rsidR="000A1AA5" w:rsidRPr="00A8707C" w:rsidRDefault="000A1AA5" w:rsidP="0087785B">
      <w:pPr>
        <w:pStyle w:val="FootnoteText"/>
      </w:pPr>
      <w:r>
        <w:tab/>
      </w:r>
      <w:r>
        <w:tab/>
      </w:r>
      <w:r>
        <w:rPr>
          <w:rStyle w:val="FootnoteReference"/>
        </w:rPr>
        <w:footnoteRef/>
      </w:r>
      <w:r>
        <w:t xml:space="preserve"> Ibid., annex 5, p. 1.</w:t>
      </w:r>
    </w:p>
  </w:footnote>
  <w:footnote w:id="106">
    <w:p w14:paraId="765AE657" w14:textId="3A988E9E" w:rsidR="000A1AA5" w:rsidRPr="006C6872" w:rsidRDefault="000A1AA5" w:rsidP="00B8421C">
      <w:pPr>
        <w:pStyle w:val="FootnoteText"/>
        <w:ind w:firstLine="0"/>
        <w:rPr>
          <w:lang w:val="en-US"/>
        </w:rPr>
      </w:pPr>
      <w:r>
        <w:rPr>
          <w:rStyle w:val="FootnoteReference"/>
        </w:rPr>
        <w:footnoteRef/>
      </w:r>
      <w:r>
        <w:t xml:space="preserve"> </w:t>
      </w:r>
      <w:r>
        <w:rPr>
          <w:lang w:val="en-US"/>
        </w:rPr>
        <w:t>Communicant’s a</w:t>
      </w:r>
      <w:r w:rsidRPr="006C6872">
        <w:rPr>
          <w:lang w:val="en-US"/>
        </w:rPr>
        <w:t>dditional remarks, 25 February 2015, p</w:t>
      </w:r>
      <w:r>
        <w:rPr>
          <w:lang w:val="en-US"/>
        </w:rPr>
        <w:t>p</w:t>
      </w:r>
      <w:r w:rsidRPr="006C6872">
        <w:rPr>
          <w:lang w:val="en-US"/>
        </w:rPr>
        <w:t>. 2-3</w:t>
      </w:r>
      <w:r>
        <w:rPr>
          <w:lang w:val="en-US"/>
        </w:rPr>
        <w:t>,</w:t>
      </w:r>
      <w:r w:rsidRPr="006C6872">
        <w:rPr>
          <w:lang w:val="en-US"/>
        </w:rPr>
        <w:t xml:space="preserve"> annex 11 p</w:t>
      </w:r>
      <w:r>
        <w:rPr>
          <w:lang w:val="en-US"/>
        </w:rPr>
        <w:t>p</w:t>
      </w:r>
      <w:r w:rsidRPr="006C6872">
        <w:rPr>
          <w:lang w:val="en-US"/>
        </w:rPr>
        <w:t>. 2-3.</w:t>
      </w:r>
    </w:p>
  </w:footnote>
  <w:footnote w:id="107">
    <w:p w14:paraId="1843A1C7" w14:textId="466BC05A" w:rsidR="000A1AA5" w:rsidRPr="003D5404" w:rsidRDefault="000A1AA5" w:rsidP="00B8421C">
      <w:pPr>
        <w:pStyle w:val="FootnoteText"/>
        <w:ind w:firstLine="0"/>
        <w:rPr>
          <w:lang w:val="en-US"/>
        </w:rPr>
      </w:pPr>
      <w:r>
        <w:rPr>
          <w:rStyle w:val="FootnoteReference"/>
        </w:rPr>
        <w:footnoteRef/>
      </w:r>
      <w:r>
        <w:t xml:space="preserve"> </w:t>
      </w:r>
      <w:r w:rsidRPr="006C6872">
        <w:rPr>
          <w:lang w:val="en-US"/>
        </w:rPr>
        <w:t>Party’s</w:t>
      </w:r>
      <w:r w:rsidRPr="0096793D">
        <w:rPr>
          <w:lang w:val="en-US"/>
        </w:rPr>
        <w:t xml:space="preserve"> reply to questions, 8 June 2015</w:t>
      </w:r>
      <w:r>
        <w:t xml:space="preserve">, </w:t>
      </w:r>
      <w:r w:rsidRPr="003D5404">
        <w:rPr>
          <w:lang w:val="en-US"/>
        </w:rPr>
        <w:t>p. 23.</w:t>
      </w:r>
    </w:p>
  </w:footnote>
  <w:footnote w:id="108">
    <w:p w14:paraId="75A200AB" w14:textId="77D4CFDE" w:rsidR="000A1AA5" w:rsidRPr="00191BEB" w:rsidRDefault="000A1AA5" w:rsidP="00B8421C">
      <w:pPr>
        <w:pStyle w:val="FootnoteText"/>
        <w:ind w:firstLine="0"/>
      </w:pPr>
      <w:r>
        <w:rPr>
          <w:rStyle w:val="FootnoteReference"/>
        </w:rPr>
        <w:footnoteRef/>
      </w:r>
      <w:r>
        <w:t xml:space="preserve"> </w:t>
      </w:r>
      <w:r>
        <w:rPr>
          <w:lang w:val="en-US"/>
        </w:rPr>
        <w:t>Party’s r</w:t>
      </w:r>
      <w:r w:rsidRPr="003D5404">
        <w:rPr>
          <w:lang w:val="en-US"/>
        </w:rPr>
        <w:t>epl</w:t>
      </w:r>
      <w:r>
        <w:rPr>
          <w:lang w:val="en-US"/>
        </w:rPr>
        <w:t>ies</w:t>
      </w:r>
      <w:r w:rsidRPr="003D5404">
        <w:rPr>
          <w:lang w:val="en-US"/>
        </w:rPr>
        <w:t xml:space="preserve"> to questions, 31 August 2017, pp. 1-2</w:t>
      </w:r>
      <w:r>
        <w:rPr>
          <w:lang w:val="en-US"/>
        </w:rPr>
        <w:t xml:space="preserve">, and </w:t>
      </w:r>
      <w:r w:rsidRPr="003D5404">
        <w:rPr>
          <w:lang w:val="en-US"/>
        </w:rPr>
        <w:t>2 October 2017, pp. 1-2</w:t>
      </w:r>
      <w:r>
        <w:rPr>
          <w:lang w:val="en-US"/>
        </w:rPr>
        <w:t xml:space="preserve">, and </w:t>
      </w:r>
      <w:r>
        <w:t>communicant’s comments</w:t>
      </w:r>
      <w:r w:rsidRPr="003D5404">
        <w:rPr>
          <w:lang w:val="en-US"/>
        </w:rPr>
        <w:t>, 9</w:t>
      </w:r>
      <w:r>
        <w:rPr>
          <w:lang w:val="en-US"/>
        </w:rPr>
        <w:t xml:space="preserve"> October </w:t>
      </w:r>
      <w:r w:rsidRPr="003D5404">
        <w:rPr>
          <w:lang w:val="en-US"/>
        </w:rPr>
        <w:t>2017</w:t>
      </w:r>
      <w:r>
        <w:rPr>
          <w:lang w:val="en-US"/>
        </w:rPr>
        <w:t>.</w:t>
      </w:r>
    </w:p>
  </w:footnote>
  <w:footnote w:id="109">
    <w:p w14:paraId="254EF165" w14:textId="0CDC08AA" w:rsidR="000A1AA5" w:rsidRPr="00A679A4" w:rsidRDefault="000A1AA5">
      <w:pPr>
        <w:pStyle w:val="FootnoteText"/>
      </w:pPr>
      <w:r>
        <w:tab/>
      </w:r>
      <w:r>
        <w:tab/>
      </w:r>
      <w:r>
        <w:rPr>
          <w:rStyle w:val="FootnoteReference"/>
        </w:rPr>
        <w:footnoteRef/>
      </w:r>
      <w:r>
        <w:t xml:space="preserve"> </w:t>
      </w:r>
      <w:r>
        <w:rPr>
          <w:lang w:val="en-US"/>
        </w:rPr>
        <w:t>Communicant’s a</w:t>
      </w:r>
      <w:r w:rsidRPr="006C6872">
        <w:rPr>
          <w:lang w:val="en-US"/>
        </w:rPr>
        <w:t>dditional remarks, 25 February 2015, p</w:t>
      </w:r>
      <w:r>
        <w:rPr>
          <w:lang w:val="en-US"/>
        </w:rPr>
        <w:t>. 14.</w:t>
      </w:r>
    </w:p>
  </w:footnote>
  <w:footnote w:id="110">
    <w:p w14:paraId="44CF70E9" w14:textId="75227AD0" w:rsidR="000A1AA5" w:rsidRPr="00AF1084" w:rsidRDefault="000A1AA5">
      <w:pPr>
        <w:pStyle w:val="FootnoteText"/>
        <w:rPr>
          <w:lang w:val="fr-FR"/>
        </w:rPr>
      </w:pPr>
      <w:r>
        <w:tab/>
      </w:r>
      <w:r>
        <w:tab/>
      </w:r>
      <w:r>
        <w:rPr>
          <w:rStyle w:val="FootnoteReference"/>
        </w:rPr>
        <w:footnoteRef/>
      </w:r>
      <w:r w:rsidRPr="00AF1084">
        <w:rPr>
          <w:lang w:val="fr-FR"/>
        </w:rPr>
        <w:t xml:space="preserve"> Communication, annex 3, p. 343.</w:t>
      </w:r>
    </w:p>
  </w:footnote>
  <w:footnote w:id="111">
    <w:p w14:paraId="0D2D871D" w14:textId="07F8242D" w:rsidR="000A1AA5" w:rsidRPr="00001B0D" w:rsidRDefault="000A1AA5">
      <w:pPr>
        <w:pStyle w:val="FootnoteText"/>
        <w:rPr>
          <w:lang w:val="fr-FR"/>
        </w:rPr>
      </w:pPr>
      <w:r w:rsidRPr="00001B0D">
        <w:rPr>
          <w:lang w:val="fr-FR"/>
        </w:rPr>
        <w:tab/>
      </w:r>
      <w:r w:rsidRPr="00001B0D">
        <w:rPr>
          <w:lang w:val="fr-FR"/>
        </w:rPr>
        <w:tab/>
      </w:r>
      <w:r>
        <w:rPr>
          <w:rStyle w:val="FootnoteReference"/>
        </w:rPr>
        <w:footnoteRef/>
      </w:r>
      <w:r w:rsidRPr="00001B0D">
        <w:rPr>
          <w:lang w:val="fr-FR"/>
        </w:rPr>
        <w:t xml:space="preserve"> Communication, annex 3, pp. 93-161.</w:t>
      </w:r>
    </w:p>
  </w:footnote>
  <w:footnote w:id="112">
    <w:p w14:paraId="6DA9D040" w14:textId="20E349C7" w:rsidR="000A1AA5" w:rsidRPr="00873C76" w:rsidRDefault="000A1AA5">
      <w:pPr>
        <w:pStyle w:val="FootnoteText"/>
      </w:pPr>
      <w:r w:rsidRPr="00001B0D">
        <w:rPr>
          <w:lang w:val="fr-FR"/>
        </w:rPr>
        <w:tab/>
      </w:r>
      <w:r w:rsidRPr="00001B0D">
        <w:rPr>
          <w:lang w:val="fr-FR"/>
        </w:rPr>
        <w:tab/>
      </w:r>
      <w:r>
        <w:rPr>
          <w:rStyle w:val="FootnoteReference"/>
        </w:rPr>
        <w:footnoteRef/>
      </w:r>
      <w:r w:rsidRPr="00001B0D">
        <w:rPr>
          <w:lang w:val="es-ES"/>
        </w:rPr>
        <w:t xml:space="preserve"> ECE/MP.</w:t>
      </w:r>
      <w:r w:rsidRPr="00AF1084">
        <w:rPr>
          <w:lang w:val="es-ES"/>
        </w:rPr>
        <w:t>PP/2008</w:t>
      </w:r>
      <w:r w:rsidRPr="00001B0D">
        <w:rPr>
          <w:lang w:val="es-ES"/>
        </w:rPr>
        <w:t xml:space="preserve">/5/Add.6, para. </w:t>
      </w:r>
      <w:r w:rsidRPr="00873C76">
        <w:rPr>
          <w:lang w:eastAsia="en-GB"/>
        </w:rPr>
        <w:t>79.</w:t>
      </w:r>
    </w:p>
  </w:footnote>
  <w:footnote w:id="113">
    <w:p w14:paraId="5AB35F12" w14:textId="4A922D63" w:rsidR="000A1AA5" w:rsidRPr="003D5404" w:rsidRDefault="000A1AA5" w:rsidP="00087E93">
      <w:pPr>
        <w:pStyle w:val="FootnoteText"/>
        <w:ind w:firstLine="0"/>
        <w:rPr>
          <w:lang w:val="en-US"/>
        </w:rPr>
      </w:pPr>
      <w:r>
        <w:rPr>
          <w:rStyle w:val="FootnoteReference"/>
        </w:rPr>
        <w:footnoteRef/>
      </w:r>
      <w:r w:rsidRPr="00DB45B4">
        <w:t xml:space="preserve"> </w:t>
      </w:r>
      <w:r>
        <w:t>Ibid.</w:t>
      </w:r>
      <w:r w:rsidRPr="0052423C">
        <w:rPr>
          <w:lang w:eastAsia="en-GB"/>
        </w:rPr>
        <w:t xml:space="preserve">, and </w:t>
      </w:r>
      <w:r>
        <w:t xml:space="preserve">ECE/MP.PP/C.1/2019/6, </w:t>
      </w:r>
      <w:r w:rsidRPr="0052423C">
        <w:rPr>
          <w:lang w:eastAsia="en-GB"/>
        </w:rPr>
        <w:t>paras. 100 and 102.</w:t>
      </w:r>
    </w:p>
  </w:footnote>
  <w:footnote w:id="114">
    <w:p w14:paraId="1143787C" w14:textId="64E408FD" w:rsidR="000A1AA5" w:rsidRPr="00001B0D" w:rsidRDefault="000A1AA5" w:rsidP="000B7169">
      <w:pPr>
        <w:pStyle w:val="FootnoteText"/>
        <w:ind w:firstLine="0"/>
      </w:pPr>
      <w:r>
        <w:rPr>
          <w:rStyle w:val="FootnoteReference"/>
        </w:rPr>
        <w:footnoteRef/>
      </w:r>
      <w:r w:rsidRPr="003A7C56">
        <w:rPr>
          <w:lang w:val="es-ES"/>
        </w:rPr>
        <w:t xml:space="preserve"> ECE/MP.PP/2008/5/Add.6, para. </w:t>
      </w:r>
      <w:r w:rsidRPr="00873C76">
        <w:rPr>
          <w:lang w:eastAsia="en-GB"/>
        </w:rPr>
        <w:t>80</w:t>
      </w:r>
      <w:r w:rsidRPr="00561E20">
        <w:rPr>
          <w:lang w:eastAsia="en-GB"/>
        </w:rPr>
        <w:t>.</w:t>
      </w:r>
    </w:p>
  </w:footnote>
  <w:footnote w:id="115">
    <w:p w14:paraId="7B7EEFFD" w14:textId="06F9F64E" w:rsidR="000A1AA5" w:rsidRPr="003D5404" w:rsidRDefault="000A1AA5" w:rsidP="005259F1">
      <w:pPr>
        <w:pStyle w:val="FootnoteText"/>
        <w:ind w:firstLine="0"/>
        <w:rPr>
          <w:lang w:val="en-US"/>
        </w:rPr>
      </w:pPr>
      <w:r>
        <w:rPr>
          <w:rStyle w:val="FootnoteReference"/>
        </w:rPr>
        <w:footnoteRef/>
      </w:r>
      <w:r>
        <w:t xml:space="preserve"> </w:t>
      </w:r>
      <w:r w:rsidRPr="00ED6462">
        <w:t>See the Maastricht Recommendations, paras</w:t>
      </w:r>
      <w:r>
        <w:t>.</w:t>
      </w:r>
      <w:r w:rsidRPr="00ED6462">
        <w:t xml:space="preserve"> 27-</w:t>
      </w:r>
      <w:r>
        <w:t>33 and annex.</w:t>
      </w:r>
    </w:p>
  </w:footnote>
  <w:footnote w:id="116">
    <w:p w14:paraId="0A7BE8D5" w14:textId="420761A2" w:rsidR="000A1AA5" w:rsidRPr="00953870" w:rsidRDefault="000A1AA5" w:rsidP="00356317">
      <w:pPr>
        <w:pStyle w:val="FootnoteText"/>
        <w:ind w:firstLine="0"/>
      </w:pPr>
      <w:r>
        <w:rPr>
          <w:rStyle w:val="FootnoteReference"/>
        </w:rPr>
        <w:footnoteRef/>
      </w:r>
      <w:r w:rsidRPr="000A1AA5">
        <w:t xml:space="preserve"> ECE/MP.PP/C.1/2011/6/Add.1, para. </w:t>
      </w:r>
      <w:r w:rsidRPr="00953870">
        <w:t>64.</w:t>
      </w:r>
    </w:p>
  </w:footnote>
  <w:footnote w:id="117">
    <w:p w14:paraId="41C5D54C" w14:textId="303969FB" w:rsidR="000A1AA5" w:rsidRPr="00953870" w:rsidRDefault="000A1AA5">
      <w:pPr>
        <w:pStyle w:val="FootnoteText"/>
      </w:pPr>
      <w:r w:rsidRPr="00953870">
        <w:tab/>
      </w:r>
      <w:r w:rsidRPr="00953870">
        <w:tab/>
      </w:r>
      <w:r>
        <w:rPr>
          <w:rStyle w:val="FootnoteReference"/>
        </w:rPr>
        <w:footnoteRef/>
      </w:r>
      <w:r w:rsidRPr="00953870">
        <w:t xml:space="preserve"> See Maastricht Recommendations, para. 124.</w:t>
      </w:r>
    </w:p>
  </w:footnote>
  <w:footnote w:id="118">
    <w:p w14:paraId="2D52FA32" w14:textId="05C827DB" w:rsidR="000A1AA5" w:rsidRPr="00953870" w:rsidRDefault="000A1AA5" w:rsidP="00FA4E76">
      <w:pPr>
        <w:pStyle w:val="FootnoteText"/>
        <w:tabs>
          <w:tab w:val="clear" w:pos="1021"/>
        </w:tabs>
        <w:ind w:firstLine="0"/>
      </w:pPr>
      <w:r w:rsidRPr="005F2A22">
        <w:rPr>
          <w:rStyle w:val="FootnoteReference"/>
        </w:rPr>
        <w:footnoteRef/>
      </w:r>
      <w:r w:rsidRPr="00953870">
        <w:t xml:space="preserve"> Party’s response to communication, p. 11.</w:t>
      </w:r>
    </w:p>
  </w:footnote>
  <w:footnote w:id="119">
    <w:p w14:paraId="27820379" w14:textId="17168023" w:rsidR="000A1AA5" w:rsidRPr="00953870" w:rsidRDefault="000A1AA5" w:rsidP="00C30F74">
      <w:pPr>
        <w:pStyle w:val="FootnoteText"/>
        <w:ind w:firstLine="0"/>
      </w:pPr>
      <w:r>
        <w:rPr>
          <w:rStyle w:val="FootnoteReference"/>
        </w:rPr>
        <w:footnoteRef/>
      </w:r>
      <w:r w:rsidRPr="000A1AA5">
        <w:t xml:space="preserve"> ECE/MP.PP2008/5/Add.6, para. </w:t>
      </w:r>
      <w:r w:rsidRPr="00953870">
        <w:t>82.</w:t>
      </w:r>
    </w:p>
  </w:footnote>
  <w:footnote w:id="120">
    <w:p w14:paraId="7F5F5581" w14:textId="278CFEE4" w:rsidR="000A1AA5" w:rsidRPr="00953870" w:rsidRDefault="000A1AA5">
      <w:pPr>
        <w:pStyle w:val="FootnoteText"/>
        <w:ind w:firstLine="0"/>
      </w:pPr>
      <w:r>
        <w:rPr>
          <w:rStyle w:val="FootnoteReference"/>
        </w:rPr>
        <w:footnoteRef/>
      </w:r>
      <w:r w:rsidRPr="00953870">
        <w:t xml:space="preserve"> Ibid., para. 81.</w:t>
      </w:r>
    </w:p>
  </w:footnote>
  <w:footnote w:id="121">
    <w:p w14:paraId="2689CEFE" w14:textId="0A2BF918" w:rsidR="000A1AA5" w:rsidRPr="00001B0D" w:rsidRDefault="000A1AA5" w:rsidP="004B6738">
      <w:pPr>
        <w:pStyle w:val="FootnoteText"/>
        <w:ind w:hanging="54"/>
      </w:pPr>
      <w:r>
        <w:rPr>
          <w:rStyle w:val="FootnoteReference"/>
        </w:rPr>
        <w:footnoteRef/>
      </w:r>
      <w:r w:rsidRPr="00953870">
        <w:t xml:space="preserve"> Communicant’s comments, 9 October 2017, p. 2.</w:t>
      </w:r>
    </w:p>
  </w:footnote>
  <w:footnote w:id="122">
    <w:p w14:paraId="0FD6A79D" w14:textId="25A38BC4" w:rsidR="000A1AA5" w:rsidRPr="00371D90" w:rsidRDefault="000A1AA5" w:rsidP="004B6738">
      <w:pPr>
        <w:pStyle w:val="FootnoteText"/>
        <w:ind w:hanging="54"/>
      </w:pPr>
      <w:r>
        <w:rPr>
          <w:rStyle w:val="FootnoteReference"/>
        </w:rPr>
        <w:footnoteRef/>
      </w:r>
      <w:r>
        <w:t xml:space="preserve"> Communicant’s additional remarks, 25 February 2015, p. 8.</w:t>
      </w:r>
    </w:p>
  </w:footnote>
  <w:footnote w:id="123">
    <w:p w14:paraId="0930F593" w14:textId="77777777" w:rsidR="000A1AA5" w:rsidRPr="006B07A9" w:rsidRDefault="000A1AA5" w:rsidP="00F515D7">
      <w:pPr>
        <w:pStyle w:val="FootnoteText"/>
        <w:rPr>
          <w:lang w:val="es-ES_tradnl"/>
        </w:rPr>
      </w:pPr>
      <w:r w:rsidRPr="00A30056">
        <w:tab/>
      </w:r>
      <w:r w:rsidRPr="00A30056">
        <w:tab/>
      </w:r>
      <w:r>
        <w:rPr>
          <w:rStyle w:val="FootnoteReference"/>
        </w:rPr>
        <w:footnoteRef/>
      </w:r>
      <w:r w:rsidRPr="006B07A9">
        <w:rPr>
          <w:lang w:val="es-ES_tradnl"/>
        </w:rPr>
        <w:t xml:space="preserve"> ECE/MP.PP/C.1/2017/19, para. 65</w:t>
      </w:r>
      <w:r>
        <w:rPr>
          <w:lang w:val="es-ES_tradnl"/>
        </w:rPr>
        <w:t>.</w:t>
      </w:r>
    </w:p>
  </w:footnote>
  <w:footnote w:id="124">
    <w:p w14:paraId="6CCC2B6D" w14:textId="4FFAE232" w:rsidR="000A1AA5" w:rsidRPr="006B07A9" w:rsidRDefault="000A1AA5" w:rsidP="00154246">
      <w:pPr>
        <w:pStyle w:val="FootnoteText"/>
        <w:rPr>
          <w:lang w:val="es-ES_tradnl"/>
        </w:rPr>
      </w:pPr>
      <w:r>
        <w:rPr>
          <w:lang w:val="es-ES_tradnl"/>
        </w:rPr>
        <w:tab/>
      </w:r>
      <w:r>
        <w:rPr>
          <w:lang w:val="es-ES_tradnl"/>
        </w:rPr>
        <w:tab/>
      </w:r>
      <w:r>
        <w:rPr>
          <w:rStyle w:val="FootnoteReference"/>
        </w:rPr>
        <w:footnoteRef/>
      </w:r>
      <w:r w:rsidRPr="006B07A9">
        <w:rPr>
          <w:lang w:val="es-ES_tradnl"/>
        </w:rPr>
        <w:t xml:space="preserve"> ECE/MP.PP/C.1/2017/19, para. 6</w:t>
      </w:r>
      <w:r>
        <w:rPr>
          <w:lang w:val="es-ES_tradnl"/>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D4EA" w14:textId="77777777" w:rsidR="000A1AA5" w:rsidRDefault="000A1AA5" w:rsidP="002208DD">
    <w:pPr>
      <w:pStyle w:val="Header"/>
      <w:jc w:val="right"/>
      <w:rPr>
        <w:b w:val="0"/>
      </w:rPr>
    </w:pPr>
    <w:r>
      <w:rPr>
        <w:b w:val="0"/>
      </w:rPr>
      <w:t>C98 draft findings</w:t>
    </w:r>
  </w:p>
  <w:p w14:paraId="3966FB49" w14:textId="50EEF573" w:rsidR="000A1AA5" w:rsidRPr="00DB21DC" w:rsidRDefault="000A1AA5" w:rsidP="002208DD">
    <w:pPr>
      <w:pStyle w:val="Header"/>
      <w:jc w:val="right"/>
      <w:rPr>
        <w:b w:val="0"/>
      </w:rPr>
    </w:pPr>
    <w:r>
      <w:rPr>
        <w:b w:val="0"/>
      </w:rPr>
      <w:t>Version 04.12.2017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6BC8" w14:textId="4208433E" w:rsidR="000A1AA5" w:rsidRDefault="003A7C56" w:rsidP="002208DD">
    <w:pPr>
      <w:pStyle w:val="Header"/>
      <w:jc w:val="right"/>
      <w:rPr>
        <w:b w:val="0"/>
      </w:rPr>
    </w:pPr>
    <w:r>
      <w:rPr>
        <w:b w:val="0"/>
      </w:rPr>
      <w:t>ACCC/C/2013/9</w:t>
    </w:r>
    <w:r w:rsidR="000A1AA5">
      <w:rPr>
        <w:b w:val="0"/>
      </w:rPr>
      <w:t xml:space="preserve">8 (Lithuania) </w:t>
    </w:r>
  </w:p>
  <w:p w14:paraId="588ED3F9" w14:textId="6FBADF24" w:rsidR="000A1AA5" w:rsidRPr="00C927BE" w:rsidRDefault="000A1AA5" w:rsidP="002208DD">
    <w:pPr>
      <w:pStyle w:val="Header"/>
      <w:jc w:val="right"/>
      <w:rPr>
        <w:b w:val="0"/>
      </w:rPr>
    </w:pPr>
    <w:r>
      <w:rPr>
        <w:b w:val="0"/>
      </w:rPr>
      <w:t>Draft findings for parties’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79A8" w14:textId="1BC52BA4" w:rsidR="000A1AA5" w:rsidRDefault="000A1AA5" w:rsidP="001F4990">
    <w:pPr>
      <w:pStyle w:val="Header"/>
      <w:jc w:val="right"/>
      <w:rPr>
        <w:b w:val="0"/>
      </w:rPr>
    </w:pPr>
    <w:r>
      <w:rPr>
        <w:b w:val="0"/>
      </w:rPr>
      <w:t>C98 (Lithuania)</w:t>
    </w:r>
  </w:p>
  <w:p w14:paraId="73DC1466" w14:textId="0DB5A6B9" w:rsidR="000A1AA5" w:rsidRPr="0003534F" w:rsidRDefault="000A1AA5" w:rsidP="001F4990">
    <w:pPr>
      <w:pStyle w:val="Header"/>
      <w:jc w:val="right"/>
      <w:rPr>
        <w:lang w:val="en-US"/>
      </w:rPr>
    </w:pPr>
    <w:r>
      <w:rPr>
        <w:b w:val="0"/>
      </w:rPr>
      <w:t>Draft findings for VC16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D1D"/>
    <w:multiLevelType w:val="hybridMultilevel"/>
    <w:tmpl w:val="93FE17B0"/>
    <w:lvl w:ilvl="0" w:tplc="4A004DEA">
      <w:start w:val="1"/>
      <w:numFmt w:val="decimal"/>
      <w:lvlText w:val="%1."/>
      <w:lvlJc w:val="left"/>
      <w:pPr>
        <w:tabs>
          <w:tab w:val="num" w:pos="1710"/>
        </w:tabs>
        <w:ind w:left="1710" w:hanging="576"/>
      </w:pPr>
      <w:rPr>
        <w:rFonts w:hint="default"/>
        <w:i w:val="0"/>
        <w:color w:val="auto"/>
      </w:rPr>
    </w:lvl>
    <w:lvl w:ilvl="1" w:tplc="0409001B">
      <w:start w:val="1"/>
      <w:numFmt w:val="lowerRoman"/>
      <w:lvlText w:val="%2."/>
      <w:lvlJc w:val="right"/>
      <w:pPr>
        <w:tabs>
          <w:tab w:val="num" w:pos="2617"/>
        </w:tabs>
        <w:ind w:left="2617" w:hanging="720"/>
      </w:pPr>
      <w:rPr>
        <w:rFonts w:hint="default"/>
        <w:sz w:val="20"/>
        <w:szCs w:val="20"/>
      </w:rPr>
    </w:lvl>
    <w:lvl w:ilvl="2" w:tplc="0409001B">
      <w:start w:val="1"/>
      <w:numFmt w:val="lowerRoman"/>
      <w:lvlText w:val="%3."/>
      <w:lvlJc w:val="right"/>
      <w:pPr>
        <w:tabs>
          <w:tab w:val="num" w:pos="2977"/>
        </w:tabs>
        <w:ind w:left="2977" w:hanging="180"/>
      </w:pPr>
    </w:lvl>
    <w:lvl w:ilvl="3" w:tplc="0409000F" w:tentative="1">
      <w:start w:val="1"/>
      <w:numFmt w:val="decimal"/>
      <w:lvlText w:val="%4."/>
      <w:lvlJc w:val="left"/>
      <w:pPr>
        <w:tabs>
          <w:tab w:val="num" w:pos="3697"/>
        </w:tabs>
        <w:ind w:left="3697" w:hanging="360"/>
      </w:pPr>
    </w:lvl>
    <w:lvl w:ilvl="4" w:tplc="04090019" w:tentative="1">
      <w:start w:val="1"/>
      <w:numFmt w:val="lowerLetter"/>
      <w:lvlText w:val="%5."/>
      <w:lvlJc w:val="left"/>
      <w:pPr>
        <w:tabs>
          <w:tab w:val="num" w:pos="4417"/>
        </w:tabs>
        <w:ind w:left="4417" w:hanging="360"/>
      </w:pPr>
    </w:lvl>
    <w:lvl w:ilvl="5" w:tplc="0409001B" w:tentative="1">
      <w:start w:val="1"/>
      <w:numFmt w:val="lowerRoman"/>
      <w:lvlText w:val="%6."/>
      <w:lvlJc w:val="right"/>
      <w:pPr>
        <w:tabs>
          <w:tab w:val="num" w:pos="5137"/>
        </w:tabs>
        <w:ind w:left="5137" w:hanging="180"/>
      </w:pPr>
    </w:lvl>
    <w:lvl w:ilvl="6" w:tplc="0409000F" w:tentative="1">
      <w:start w:val="1"/>
      <w:numFmt w:val="decimal"/>
      <w:lvlText w:val="%7."/>
      <w:lvlJc w:val="left"/>
      <w:pPr>
        <w:tabs>
          <w:tab w:val="num" w:pos="5857"/>
        </w:tabs>
        <w:ind w:left="5857" w:hanging="360"/>
      </w:pPr>
    </w:lvl>
    <w:lvl w:ilvl="7" w:tplc="04090019" w:tentative="1">
      <w:start w:val="1"/>
      <w:numFmt w:val="lowerLetter"/>
      <w:lvlText w:val="%8."/>
      <w:lvlJc w:val="left"/>
      <w:pPr>
        <w:tabs>
          <w:tab w:val="num" w:pos="6577"/>
        </w:tabs>
        <w:ind w:left="6577" w:hanging="360"/>
      </w:pPr>
    </w:lvl>
    <w:lvl w:ilvl="8" w:tplc="0409001B" w:tentative="1">
      <w:start w:val="1"/>
      <w:numFmt w:val="lowerRoman"/>
      <w:lvlText w:val="%9."/>
      <w:lvlJc w:val="right"/>
      <w:pPr>
        <w:tabs>
          <w:tab w:val="num" w:pos="7297"/>
        </w:tabs>
        <w:ind w:left="7297" w:hanging="180"/>
      </w:pPr>
    </w:lvl>
  </w:abstractNum>
  <w:abstractNum w:abstractNumId="1" w15:restartNumberingAfterBreak="0">
    <w:nsid w:val="05040D4B"/>
    <w:multiLevelType w:val="hybridMultilevel"/>
    <w:tmpl w:val="A8B483C6"/>
    <w:lvl w:ilvl="0" w:tplc="6F44E0E8">
      <w:start w:val="3"/>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9E84299"/>
    <w:multiLevelType w:val="hybridMultilevel"/>
    <w:tmpl w:val="D8EEB49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0B6565F0"/>
    <w:multiLevelType w:val="hybridMultilevel"/>
    <w:tmpl w:val="470AA4A8"/>
    <w:lvl w:ilvl="0" w:tplc="35BAA548">
      <w:start w:val="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C208B"/>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15:restartNumberingAfterBreak="0">
    <w:nsid w:val="147C1AF3"/>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15:restartNumberingAfterBreak="0">
    <w:nsid w:val="17820B97"/>
    <w:multiLevelType w:val="hybridMultilevel"/>
    <w:tmpl w:val="7D4AF57A"/>
    <w:lvl w:ilvl="0" w:tplc="0809001B">
      <w:start w:val="1"/>
      <w:numFmt w:val="lowerRoman"/>
      <w:lvlText w:val="%1."/>
      <w:lvlJc w:val="right"/>
      <w:pPr>
        <w:ind w:left="2558" w:hanging="360"/>
      </w:pPr>
    </w:lvl>
    <w:lvl w:ilvl="1" w:tplc="08090019" w:tentative="1">
      <w:start w:val="1"/>
      <w:numFmt w:val="lowerLetter"/>
      <w:lvlText w:val="%2."/>
      <w:lvlJc w:val="left"/>
      <w:pPr>
        <w:ind w:left="3278" w:hanging="360"/>
      </w:pPr>
    </w:lvl>
    <w:lvl w:ilvl="2" w:tplc="0809001B" w:tentative="1">
      <w:start w:val="1"/>
      <w:numFmt w:val="lowerRoman"/>
      <w:lvlText w:val="%3."/>
      <w:lvlJc w:val="right"/>
      <w:pPr>
        <w:ind w:left="3998" w:hanging="180"/>
      </w:pPr>
    </w:lvl>
    <w:lvl w:ilvl="3" w:tplc="0809000F" w:tentative="1">
      <w:start w:val="1"/>
      <w:numFmt w:val="decimal"/>
      <w:lvlText w:val="%4."/>
      <w:lvlJc w:val="left"/>
      <w:pPr>
        <w:ind w:left="4718" w:hanging="360"/>
      </w:pPr>
    </w:lvl>
    <w:lvl w:ilvl="4" w:tplc="08090019" w:tentative="1">
      <w:start w:val="1"/>
      <w:numFmt w:val="lowerLetter"/>
      <w:lvlText w:val="%5."/>
      <w:lvlJc w:val="left"/>
      <w:pPr>
        <w:ind w:left="5438" w:hanging="360"/>
      </w:pPr>
    </w:lvl>
    <w:lvl w:ilvl="5" w:tplc="0809001B" w:tentative="1">
      <w:start w:val="1"/>
      <w:numFmt w:val="lowerRoman"/>
      <w:lvlText w:val="%6."/>
      <w:lvlJc w:val="right"/>
      <w:pPr>
        <w:ind w:left="6158" w:hanging="180"/>
      </w:pPr>
    </w:lvl>
    <w:lvl w:ilvl="6" w:tplc="0809000F" w:tentative="1">
      <w:start w:val="1"/>
      <w:numFmt w:val="decimal"/>
      <w:lvlText w:val="%7."/>
      <w:lvlJc w:val="left"/>
      <w:pPr>
        <w:ind w:left="6878" w:hanging="360"/>
      </w:pPr>
    </w:lvl>
    <w:lvl w:ilvl="7" w:tplc="08090019" w:tentative="1">
      <w:start w:val="1"/>
      <w:numFmt w:val="lowerLetter"/>
      <w:lvlText w:val="%8."/>
      <w:lvlJc w:val="left"/>
      <w:pPr>
        <w:ind w:left="7598" w:hanging="360"/>
      </w:pPr>
    </w:lvl>
    <w:lvl w:ilvl="8" w:tplc="0809001B" w:tentative="1">
      <w:start w:val="1"/>
      <w:numFmt w:val="lowerRoman"/>
      <w:lvlText w:val="%9."/>
      <w:lvlJc w:val="right"/>
      <w:pPr>
        <w:ind w:left="8318" w:hanging="180"/>
      </w:pPr>
    </w:lvl>
  </w:abstractNum>
  <w:abstractNum w:abstractNumId="7" w15:restartNumberingAfterBreak="0">
    <w:nsid w:val="1B164607"/>
    <w:multiLevelType w:val="hybridMultilevel"/>
    <w:tmpl w:val="7298B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B4C97"/>
    <w:multiLevelType w:val="hybridMultilevel"/>
    <w:tmpl w:val="E3B64348"/>
    <w:lvl w:ilvl="0" w:tplc="B3DA647C">
      <w:start w:val="2"/>
      <w:numFmt w:val="lowerRoman"/>
      <w:lvlText w:val="%1."/>
      <w:lvlJc w:val="right"/>
      <w:pPr>
        <w:tabs>
          <w:tab w:val="num" w:pos="2574"/>
        </w:tabs>
        <w:ind w:left="2574"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E0596"/>
    <w:multiLevelType w:val="hybridMultilevel"/>
    <w:tmpl w:val="24D8B946"/>
    <w:lvl w:ilvl="0" w:tplc="B24817F2">
      <w:start w:val="1"/>
      <w:numFmt w:val="upperLetter"/>
      <w:lvlText w:val="%1."/>
      <w:lvlJc w:val="left"/>
      <w:pPr>
        <w:ind w:left="1413" w:hanging="360"/>
      </w:pPr>
      <w:rPr>
        <w:rFonts w:hint="default"/>
      </w:rPr>
    </w:lvl>
    <w:lvl w:ilvl="1" w:tplc="08090019" w:tentative="1">
      <w:start w:val="1"/>
      <w:numFmt w:val="lowerLetter"/>
      <w:lvlText w:val="%2."/>
      <w:lvlJc w:val="left"/>
      <w:pPr>
        <w:ind w:left="2133" w:hanging="360"/>
      </w:pPr>
    </w:lvl>
    <w:lvl w:ilvl="2" w:tplc="0809001B" w:tentative="1">
      <w:start w:val="1"/>
      <w:numFmt w:val="lowerRoman"/>
      <w:lvlText w:val="%3."/>
      <w:lvlJc w:val="right"/>
      <w:pPr>
        <w:ind w:left="2853" w:hanging="180"/>
      </w:pPr>
    </w:lvl>
    <w:lvl w:ilvl="3" w:tplc="0809000F" w:tentative="1">
      <w:start w:val="1"/>
      <w:numFmt w:val="decimal"/>
      <w:lvlText w:val="%4."/>
      <w:lvlJc w:val="left"/>
      <w:pPr>
        <w:ind w:left="3573" w:hanging="360"/>
      </w:pPr>
    </w:lvl>
    <w:lvl w:ilvl="4" w:tplc="08090019" w:tentative="1">
      <w:start w:val="1"/>
      <w:numFmt w:val="lowerLetter"/>
      <w:lvlText w:val="%5."/>
      <w:lvlJc w:val="left"/>
      <w:pPr>
        <w:ind w:left="4293" w:hanging="360"/>
      </w:pPr>
    </w:lvl>
    <w:lvl w:ilvl="5" w:tplc="0809001B" w:tentative="1">
      <w:start w:val="1"/>
      <w:numFmt w:val="lowerRoman"/>
      <w:lvlText w:val="%6."/>
      <w:lvlJc w:val="right"/>
      <w:pPr>
        <w:ind w:left="5013" w:hanging="180"/>
      </w:pPr>
    </w:lvl>
    <w:lvl w:ilvl="6" w:tplc="0809000F" w:tentative="1">
      <w:start w:val="1"/>
      <w:numFmt w:val="decimal"/>
      <w:lvlText w:val="%7."/>
      <w:lvlJc w:val="left"/>
      <w:pPr>
        <w:ind w:left="5733" w:hanging="360"/>
      </w:pPr>
    </w:lvl>
    <w:lvl w:ilvl="7" w:tplc="08090019" w:tentative="1">
      <w:start w:val="1"/>
      <w:numFmt w:val="lowerLetter"/>
      <w:lvlText w:val="%8."/>
      <w:lvlJc w:val="left"/>
      <w:pPr>
        <w:ind w:left="6453" w:hanging="360"/>
      </w:pPr>
    </w:lvl>
    <w:lvl w:ilvl="8" w:tplc="0809001B" w:tentative="1">
      <w:start w:val="1"/>
      <w:numFmt w:val="lowerRoman"/>
      <w:lvlText w:val="%9."/>
      <w:lvlJc w:val="right"/>
      <w:pPr>
        <w:ind w:left="7173" w:hanging="180"/>
      </w:pPr>
    </w:lvl>
  </w:abstractNum>
  <w:abstractNum w:abstractNumId="10" w15:restartNumberingAfterBreak="0">
    <w:nsid w:val="23FF352D"/>
    <w:multiLevelType w:val="hybridMultilevel"/>
    <w:tmpl w:val="D1982FD0"/>
    <w:lvl w:ilvl="0" w:tplc="13003AD8">
      <w:start w:val="1"/>
      <w:numFmt w:val="lowerLetter"/>
      <w:lvlText w:val="(%1)"/>
      <w:lvlJc w:val="left"/>
      <w:pPr>
        <w:ind w:left="1460" w:hanging="36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1" w15:restartNumberingAfterBreak="0">
    <w:nsid w:val="25D06532"/>
    <w:multiLevelType w:val="hybridMultilevel"/>
    <w:tmpl w:val="97ECBB20"/>
    <w:lvl w:ilvl="0" w:tplc="2B3AC5A8">
      <w:start w:val="1"/>
      <w:numFmt w:val="decimal"/>
      <w:lvlText w:val="%1."/>
      <w:lvlJc w:val="left"/>
      <w:pPr>
        <w:tabs>
          <w:tab w:val="num" w:pos="1569"/>
        </w:tabs>
        <w:ind w:left="1569" w:hanging="576"/>
      </w:pPr>
      <w:rPr>
        <w:rFonts w:hint="default"/>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15:restartNumberingAfterBreak="0">
    <w:nsid w:val="2A8910F1"/>
    <w:multiLevelType w:val="hybridMultilevel"/>
    <w:tmpl w:val="54FCD376"/>
    <w:lvl w:ilvl="0" w:tplc="2BB4F0FA">
      <w:start w:val="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F5918"/>
    <w:multiLevelType w:val="hybridMultilevel"/>
    <w:tmpl w:val="6E3C6BDE"/>
    <w:lvl w:ilvl="0" w:tplc="9D9E53E8">
      <w:start w:val="1"/>
      <w:numFmt w:val="lowerRoman"/>
      <w:lvlText w:val="(%1)"/>
      <w:lvlJc w:val="left"/>
      <w:pPr>
        <w:ind w:left="1820" w:hanging="72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4" w15:restartNumberingAfterBreak="0">
    <w:nsid w:val="31611AFB"/>
    <w:multiLevelType w:val="hybridMultilevel"/>
    <w:tmpl w:val="DFE63660"/>
    <w:lvl w:ilvl="0" w:tplc="4A004DEA">
      <w:start w:val="1"/>
      <w:numFmt w:val="decimal"/>
      <w:lvlText w:val="%1."/>
      <w:lvlJc w:val="left"/>
      <w:pPr>
        <w:tabs>
          <w:tab w:val="num" w:pos="1710"/>
        </w:tabs>
        <w:ind w:left="1710" w:hanging="576"/>
      </w:pPr>
      <w:rPr>
        <w:rFonts w:hint="default"/>
        <w:i w:val="0"/>
        <w:color w:val="auto"/>
      </w:rPr>
    </w:lvl>
    <w:lvl w:ilvl="1" w:tplc="0409001B">
      <w:start w:val="1"/>
      <w:numFmt w:val="lowerRoman"/>
      <w:lvlText w:val="%2."/>
      <w:lvlJc w:val="right"/>
      <w:pPr>
        <w:tabs>
          <w:tab w:val="num" w:pos="2617"/>
        </w:tabs>
        <w:ind w:left="2617" w:hanging="720"/>
      </w:pPr>
      <w:rPr>
        <w:rFonts w:hint="default"/>
        <w:sz w:val="20"/>
        <w:szCs w:val="20"/>
      </w:rPr>
    </w:lvl>
    <w:lvl w:ilvl="2" w:tplc="0409001B">
      <w:start w:val="1"/>
      <w:numFmt w:val="lowerRoman"/>
      <w:lvlText w:val="%3."/>
      <w:lvlJc w:val="right"/>
      <w:pPr>
        <w:tabs>
          <w:tab w:val="num" w:pos="2977"/>
        </w:tabs>
        <w:ind w:left="2977" w:hanging="180"/>
      </w:pPr>
    </w:lvl>
    <w:lvl w:ilvl="3" w:tplc="0409000F" w:tentative="1">
      <w:start w:val="1"/>
      <w:numFmt w:val="decimal"/>
      <w:lvlText w:val="%4."/>
      <w:lvlJc w:val="left"/>
      <w:pPr>
        <w:tabs>
          <w:tab w:val="num" w:pos="3697"/>
        </w:tabs>
        <w:ind w:left="3697" w:hanging="360"/>
      </w:pPr>
    </w:lvl>
    <w:lvl w:ilvl="4" w:tplc="04090019" w:tentative="1">
      <w:start w:val="1"/>
      <w:numFmt w:val="lowerLetter"/>
      <w:lvlText w:val="%5."/>
      <w:lvlJc w:val="left"/>
      <w:pPr>
        <w:tabs>
          <w:tab w:val="num" w:pos="4417"/>
        </w:tabs>
        <w:ind w:left="4417" w:hanging="360"/>
      </w:pPr>
    </w:lvl>
    <w:lvl w:ilvl="5" w:tplc="0409001B" w:tentative="1">
      <w:start w:val="1"/>
      <w:numFmt w:val="lowerRoman"/>
      <w:lvlText w:val="%6."/>
      <w:lvlJc w:val="right"/>
      <w:pPr>
        <w:tabs>
          <w:tab w:val="num" w:pos="5137"/>
        </w:tabs>
        <w:ind w:left="5137" w:hanging="180"/>
      </w:pPr>
    </w:lvl>
    <w:lvl w:ilvl="6" w:tplc="0409000F" w:tentative="1">
      <w:start w:val="1"/>
      <w:numFmt w:val="decimal"/>
      <w:lvlText w:val="%7."/>
      <w:lvlJc w:val="left"/>
      <w:pPr>
        <w:tabs>
          <w:tab w:val="num" w:pos="5857"/>
        </w:tabs>
        <w:ind w:left="5857" w:hanging="360"/>
      </w:pPr>
    </w:lvl>
    <w:lvl w:ilvl="7" w:tplc="04090019" w:tentative="1">
      <w:start w:val="1"/>
      <w:numFmt w:val="lowerLetter"/>
      <w:lvlText w:val="%8."/>
      <w:lvlJc w:val="left"/>
      <w:pPr>
        <w:tabs>
          <w:tab w:val="num" w:pos="6577"/>
        </w:tabs>
        <w:ind w:left="6577" w:hanging="360"/>
      </w:pPr>
    </w:lvl>
    <w:lvl w:ilvl="8" w:tplc="0409001B" w:tentative="1">
      <w:start w:val="1"/>
      <w:numFmt w:val="lowerRoman"/>
      <w:lvlText w:val="%9."/>
      <w:lvlJc w:val="right"/>
      <w:pPr>
        <w:tabs>
          <w:tab w:val="num" w:pos="7297"/>
        </w:tabs>
        <w:ind w:left="7297" w:hanging="180"/>
      </w:pPr>
    </w:lvl>
  </w:abstractNum>
  <w:abstractNum w:abstractNumId="15" w15:restartNumberingAfterBreak="0">
    <w:nsid w:val="326A59DD"/>
    <w:multiLevelType w:val="hybridMultilevel"/>
    <w:tmpl w:val="218E8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86E1414"/>
    <w:multiLevelType w:val="hybridMultilevel"/>
    <w:tmpl w:val="5B08DE46"/>
    <w:lvl w:ilvl="0" w:tplc="C73E0F46">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7" w15:restartNumberingAfterBreak="0">
    <w:nsid w:val="3C716985"/>
    <w:multiLevelType w:val="hybridMultilevel"/>
    <w:tmpl w:val="D5826A1A"/>
    <w:lvl w:ilvl="0" w:tplc="BCE8CB7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29B7F87"/>
    <w:multiLevelType w:val="multilevel"/>
    <w:tmpl w:val="7FA09834"/>
    <w:lvl w:ilvl="0">
      <w:start w:val="1"/>
      <w:numFmt w:val="none"/>
      <w:lvlText w:val="%1."/>
      <w:lvlJc w:val="left"/>
      <w:pPr>
        <w:ind w:left="0" w:firstLine="0"/>
      </w:pPr>
      <w:rPr>
        <w:rFonts w:hint="default"/>
      </w:rPr>
    </w:lvl>
    <w:lvl w:ilvl="1">
      <w:start w:val="1"/>
      <w:numFmt w:val="upperRoman"/>
      <w:lvlText w:val="%2."/>
      <w:lvlJc w:val="left"/>
      <w:pPr>
        <w:ind w:left="1134" w:hanging="454"/>
      </w:pPr>
      <w:rPr>
        <w:rFonts w:hint="default"/>
      </w:rPr>
    </w:lvl>
    <w:lvl w:ilvl="2">
      <w:start w:val="1"/>
      <w:numFmt w:val="upperLetter"/>
      <w:lvlText w:val="%3."/>
      <w:lvlJc w:val="left"/>
      <w:pPr>
        <w:tabs>
          <w:tab w:val="num" w:pos="2268"/>
        </w:tabs>
        <w:ind w:left="1134" w:hanging="414"/>
      </w:pPr>
      <w:rPr>
        <w:rFonts w:hint="default"/>
      </w:rPr>
    </w:lvl>
    <w:lvl w:ilvl="3">
      <w:start w:val="1"/>
      <w:numFmt w:val="decimal"/>
      <w:lvlText w:val="%4."/>
      <w:lvlJc w:val="left"/>
      <w:pPr>
        <w:ind w:left="2160" w:firstLine="0"/>
      </w:pPr>
      <w:rPr>
        <w:rFonts w:hint="default"/>
        <w:b w:val="0"/>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45D5399E"/>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15:restartNumberingAfterBreak="0">
    <w:nsid w:val="4FEB2036"/>
    <w:multiLevelType w:val="hybridMultilevel"/>
    <w:tmpl w:val="A96C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34438"/>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15:restartNumberingAfterBreak="0">
    <w:nsid w:val="506C074E"/>
    <w:multiLevelType w:val="hybridMultilevel"/>
    <w:tmpl w:val="934E834C"/>
    <w:lvl w:ilvl="0" w:tplc="6D7A47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41584"/>
    <w:multiLevelType w:val="hybridMultilevel"/>
    <w:tmpl w:val="D8EEB49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15:restartNumberingAfterBreak="0">
    <w:nsid w:val="54CF3E75"/>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15:restartNumberingAfterBreak="0">
    <w:nsid w:val="555B4578"/>
    <w:multiLevelType w:val="hybridMultilevel"/>
    <w:tmpl w:val="9CF8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E5538"/>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15:restartNumberingAfterBreak="0">
    <w:nsid w:val="5A595C9A"/>
    <w:multiLevelType w:val="hybridMultilevel"/>
    <w:tmpl w:val="5A54AA68"/>
    <w:lvl w:ilvl="0" w:tplc="34F89090">
      <w:start w:val="1"/>
      <w:numFmt w:val="upperLetter"/>
      <w:lvlText w:val="%1."/>
      <w:lvlJc w:val="left"/>
      <w:pPr>
        <w:tabs>
          <w:tab w:val="num" w:pos="1140"/>
        </w:tabs>
        <w:ind w:left="1140" w:hanging="52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8" w15:restartNumberingAfterBreak="0">
    <w:nsid w:val="5E732D6A"/>
    <w:multiLevelType w:val="hybridMultilevel"/>
    <w:tmpl w:val="599658FE"/>
    <w:lvl w:ilvl="0" w:tplc="79ECD754">
      <w:start w:val="1"/>
      <w:numFmt w:val="decimal"/>
      <w:lvlText w:val="%1."/>
      <w:lvlJc w:val="left"/>
      <w:pPr>
        <w:tabs>
          <w:tab w:val="num" w:pos="1853"/>
        </w:tabs>
        <w:ind w:left="1853" w:hanging="576"/>
      </w:pPr>
      <w:rPr>
        <w:rFonts w:hint="default"/>
        <w:b w:val="0"/>
        <w:i w:val="0"/>
        <w:color w:val="auto"/>
      </w:rPr>
    </w:lvl>
    <w:lvl w:ilvl="1" w:tplc="0409001B">
      <w:start w:val="1"/>
      <w:numFmt w:val="lowerRoman"/>
      <w:lvlText w:val="%2."/>
      <w:lvlJc w:val="right"/>
      <w:pPr>
        <w:tabs>
          <w:tab w:val="num" w:pos="2617"/>
        </w:tabs>
        <w:ind w:left="2617" w:hanging="720"/>
      </w:pPr>
      <w:rPr>
        <w:rFonts w:hint="default"/>
        <w:sz w:val="20"/>
        <w:szCs w:val="20"/>
      </w:rPr>
    </w:lvl>
    <w:lvl w:ilvl="2" w:tplc="0409001B">
      <w:start w:val="1"/>
      <w:numFmt w:val="lowerRoman"/>
      <w:lvlText w:val="%3."/>
      <w:lvlJc w:val="right"/>
      <w:pPr>
        <w:tabs>
          <w:tab w:val="num" w:pos="2977"/>
        </w:tabs>
        <w:ind w:left="2977" w:hanging="180"/>
      </w:pPr>
    </w:lvl>
    <w:lvl w:ilvl="3" w:tplc="0409000F" w:tentative="1">
      <w:start w:val="1"/>
      <w:numFmt w:val="decimal"/>
      <w:lvlText w:val="%4."/>
      <w:lvlJc w:val="left"/>
      <w:pPr>
        <w:tabs>
          <w:tab w:val="num" w:pos="3697"/>
        </w:tabs>
        <w:ind w:left="3697" w:hanging="360"/>
      </w:pPr>
    </w:lvl>
    <w:lvl w:ilvl="4" w:tplc="04090019" w:tentative="1">
      <w:start w:val="1"/>
      <w:numFmt w:val="lowerLetter"/>
      <w:lvlText w:val="%5."/>
      <w:lvlJc w:val="left"/>
      <w:pPr>
        <w:tabs>
          <w:tab w:val="num" w:pos="4417"/>
        </w:tabs>
        <w:ind w:left="4417" w:hanging="360"/>
      </w:pPr>
    </w:lvl>
    <w:lvl w:ilvl="5" w:tplc="0409001B" w:tentative="1">
      <w:start w:val="1"/>
      <w:numFmt w:val="lowerRoman"/>
      <w:lvlText w:val="%6."/>
      <w:lvlJc w:val="right"/>
      <w:pPr>
        <w:tabs>
          <w:tab w:val="num" w:pos="5137"/>
        </w:tabs>
        <w:ind w:left="5137" w:hanging="180"/>
      </w:pPr>
    </w:lvl>
    <w:lvl w:ilvl="6" w:tplc="0409000F" w:tentative="1">
      <w:start w:val="1"/>
      <w:numFmt w:val="decimal"/>
      <w:lvlText w:val="%7."/>
      <w:lvlJc w:val="left"/>
      <w:pPr>
        <w:tabs>
          <w:tab w:val="num" w:pos="5857"/>
        </w:tabs>
        <w:ind w:left="5857" w:hanging="360"/>
      </w:pPr>
    </w:lvl>
    <w:lvl w:ilvl="7" w:tplc="04090019" w:tentative="1">
      <w:start w:val="1"/>
      <w:numFmt w:val="lowerLetter"/>
      <w:lvlText w:val="%8."/>
      <w:lvlJc w:val="left"/>
      <w:pPr>
        <w:tabs>
          <w:tab w:val="num" w:pos="6577"/>
        </w:tabs>
        <w:ind w:left="6577" w:hanging="360"/>
      </w:pPr>
    </w:lvl>
    <w:lvl w:ilvl="8" w:tplc="0409001B" w:tentative="1">
      <w:start w:val="1"/>
      <w:numFmt w:val="lowerRoman"/>
      <w:lvlText w:val="%9."/>
      <w:lvlJc w:val="right"/>
      <w:pPr>
        <w:tabs>
          <w:tab w:val="num" w:pos="7297"/>
        </w:tabs>
        <w:ind w:left="7297" w:hanging="180"/>
      </w:pPr>
    </w:lvl>
  </w:abstractNum>
  <w:abstractNum w:abstractNumId="29" w15:restartNumberingAfterBreak="0">
    <w:nsid w:val="5FF50FD0"/>
    <w:multiLevelType w:val="hybridMultilevel"/>
    <w:tmpl w:val="6E4CB3BA"/>
    <w:lvl w:ilvl="0" w:tplc="4BD8F6D2">
      <w:start w:val="1"/>
      <w:numFmt w:val="upperLetter"/>
      <w:lvlText w:val="%1."/>
      <w:lvlJc w:val="left"/>
      <w:pPr>
        <w:ind w:left="1755" w:hanging="360"/>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30" w15:restartNumberingAfterBreak="0">
    <w:nsid w:val="614A1263"/>
    <w:multiLevelType w:val="hybridMultilevel"/>
    <w:tmpl w:val="29BEC922"/>
    <w:lvl w:ilvl="0" w:tplc="88E4FE6A">
      <w:start w:val="1"/>
      <w:numFmt w:val="lowerLetter"/>
      <w:lvlText w:val="(%1)"/>
      <w:lvlJc w:val="lef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EE0F20"/>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6A12"/>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4" w15:restartNumberingAfterBreak="0">
    <w:nsid w:val="660E788A"/>
    <w:multiLevelType w:val="hybridMultilevel"/>
    <w:tmpl w:val="DF7639C6"/>
    <w:lvl w:ilvl="0" w:tplc="E408919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D25F2"/>
    <w:multiLevelType w:val="hybridMultilevel"/>
    <w:tmpl w:val="95763EC6"/>
    <w:lvl w:ilvl="0" w:tplc="FFFFFFFF">
      <w:start w:val="1"/>
      <w:numFmt w:val="decimal"/>
      <w:lvlText w:val="%1."/>
      <w:lvlJc w:val="left"/>
      <w:pPr>
        <w:tabs>
          <w:tab w:val="num" w:pos="720"/>
        </w:tabs>
        <w:ind w:left="720" w:hanging="360"/>
      </w:pPr>
    </w:lvl>
    <w:lvl w:ilvl="1" w:tplc="5CA8FD3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E5F7104"/>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7" w15:restartNumberingAfterBreak="0">
    <w:nsid w:val="6FC65C5D"/>
    <w:multiLevelType w:val="hybridMultilevel"/>
    <w:tmpl w:val="97ECBB20"/>
    <w:lvl w:ilvl="0" w:tplc="2B3AC5A8">
      <w:start w:val="1"/>
      <w:numFmt w:val="decimal"/>
      <w:lvlText w:val="%1."/>
      <w:lvlJc w:val="left"/>
      <w:pPr>
        <w:tabs>
          <w:tab w:val="num" w:pos="1569"/>
        </w:tabs>
        <w:ind w:left="1569" w:hanging="576"/>
      </w:pPr>
      <w:rPr>
        <w:rFonts w:hint="default"/>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C02F2F"/>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0" w15:restartNumberingAfterBreak="0">
    <w:nsid w:val="7AF25C0C"/>
    <w:multiLevelType w:val="hybridMultilevel"/>
    <w:tmpl w:val="110C5D2C"/>
    <w:lvl w:ilvl="0" w:tplc="476C705C">
      <w:start w:val="3"/>
      <w:numFmt w:val="lowerRoman"/>
      <w:lvlText w:val="%1."/>
      <w:lvlJc w:val="right"/>
      <w:pPr>
        <w:tabs>
          <w:tab w:val="num" w:pos="2574"/>
        </w:tabs>
        <w:ind w:left="2574"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F4E02"/>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32"/>
  </w:num>
  <w:num w:numId="2">
    <w:abstractNumId w:val="38"/>
  </w:num>
  <w:num w:numId="3">
    <w:abstractNumId w:val="28"/>
  </w:num>
  <w:num w:numId="4">
    <w:abstractNumId w:val="27"/>
  </w:num>
  <w:num w:numId="5">
    <w:abstractNumId w:val="16"/>
  </w:num>
  <w:num w:numId="6">
    <w:abstractNumId w:val="31"/>
  </w:num>
  <w:num w:numId="7">
    <w:abstractNumId w:val="29"/>
  </w:num>
  <w:num w:numId="8">
    <w:abstractNumId w:val="36"/>
  </w:num>
  <w:num w:numId="9">
    <w:abstractNumId w:val="19"/>
  </w:num>
  <w:num w:numId="10">
    <w:abstractNumId w:val="39"/>
  </w:num>
  <w:num w:numId="11">
    <w:abstractNumId w:val="21"/>
  </w:num>
  <w:num w:numId="12">
    <w:abstractNumId w:val="23"/>
  </w:num>
  <w:num w:numId="13">
    <w:abstractNumId w:val="2"/>
  </w:num>
  <w:num w:numId="14">
    <w:abstractNumId w:val="33"/>
  </w:num>
  <w:num w:numId="15">
    <w:abstractNumId w:val="15"/>
  </w:num>
  <w:num w:numId="16">
    <w:abstractNumId w:val="12"/>
  </w:num>
  <w:num w:numId="17">
    <w:abstractNumId w:val="5"/>
  </w:num>
  <w:num w:numId="18">
    <w:abstractNumId w:val="6"/>
  </w:num>
  <w:num w:numId="19">
    <w:abstractNumId w:val="35"/>
  </w:num>
  <w:num w:numId="20">
    <w:abstractNumId w:val="17"/>
  </w:num>
  <w:num w:numId="21">
    <w:abstractNumId w:val="13"/>
  </w:num>
  <w:num w:numId="22">
    <w:abstractNumId w:val="30"/>
  </w:num>
  <w:num w:numId="23">
    <w:abstractNumId w:val="26"/>
  </w:num>
  <w:num w:numId="24">
    <w:abstractNumId w:val="4"/>
  </w:num>
  <w:num w:numId="25">
    <w:abstractNumId w:val="41"/>
  </w:num>
  <w:num w:numId="26">
    <w:abstractNumId w:val="24"/>
  </w:num>
  <w:num w:numId="27">
    <w:abstractNumId w:val="1"/>
  </w:num>
  <w:num w:numId="28">
    <w:abstractNumId w:val="11"/>
  </w:num>
  <w:num w:numId="29">
    <w:abstractNumId w:val="9"/>
  </w:num>
  <w:num w:numId="30">
    <w:abstractNumId w:val="37"/>
  </w:num>
  <w:num w:numId="31">
    <w:abstractNumId w:val="3"/>
  </w:num>
  <w:num w:numId="32">
    <w:abstractNumId w:val="18"/>
  </w:num>
  <w:num w:numId="33">
    <w:abstractNumId w:val="7"/>
  </w:num>
  <w:num w:numId="34">
    <w:abstractNumId w:val="8"/>
  </w:num>
  <w:num w:numId="35">
    <w:abstractNumId w:val="40"/>
  </w:num>
  <w:num w:numId="36">
    <w:abstractNumId w:val="20"/>
  </w:num>
  <w:num w:numId="37">
    <w:abstractNumId w:val="25"/>
  </w:num>
  <w:num w:numId="38">
    <w:abstractNumId w:val="14"/>
  </w:num>
  <w:num w:numId="39">
    <w:abstractNumId w:val="0"/>
  </w:num>
  <w:num w:numId="40">
    <w:abstractNumId w:val="34"/>
  </w:num>
  <w:num w:numId="41">
    <w:abstractNumId w:val="10"/>
  </w:num>
  <w:num w:numId="4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ar-SA" w:vendorID="64" w:dllVersion="0" w:nlCheck="1" w:checkStyle="0"/>
  <w:activeWritingStyle w:appName="MSWord" w:lang="ar-SA" w:vendorID="64" w:dllVersion="6" w:nlCheck="1" w:checkStyle="0"/>
  <w:activeWritingStyle w:appName="MSWord" w:lang="de-AT" w:vendorID="64" w:dllVersion="6" w:nlCheck="1" w:checkStyle="0"/>
  <w:activeWritingStyle w:appName="MSWord" w:lang="de-AT"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GB" w:vendorID="64" w:dllVersion="4096" w:nlCheck="1" w:checkStyle="0"/>
  <w:activeWritingStyle w:appName="MSWord" w:lang="ar-SA"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es-ES_tradnl"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5C"/>
    <w:rsid w:val="00000A75"/>
    <w:rsid w:val="00000FA4"/>
    <w:rsid w:val="00001B0D"/>
    <w:rsid w:val="00001F5C"/>
    <w:rsid w:val="00002189"/>
    <w:rsid w:val="000022C2"/>
    <w:rsid w:val="00002853"/>
    <w:rsid w:val="00002A7D"/>
    <w:rsid w:val="000038A8"/>
    <w:rsid w:val="000038E3"/>
    <w:rsid w:val="00003B5C"/>
    <w:rsid w:val="0000463D"/>
    <w:rsid w:val="00004967"/>
    <w:rsid w:val="00004B28"/>
    <w:rsid w:val="0000527C"/>
    <w:rsid w:val="00006790"/>
    <w:rsid w:val="000067FB"/>
    <w:rsid w:val="0000792E"/>
    <w:rsid w:val="00007C9A"/>
    <w:rsid w:val="0001004E"/>
    <w:rsid w:val="00010802"/>
    <w:rsid w:val="00010EE6"/>
    <w:rsid w:val="00011703"/>
    <w:rsid w:val="00012205"/>
    <w:rsid w:val="00012612"/>
    <w:rsid w:val="00012D44"/>
    <w:rsid w:val="00012D55"/>
    <w:rsid w:val="0001435C"/>
    <w:rsid w:val="00015CE1"/>
    <w:rsid w:val="00016473"/>
    <w:rsid w:val="00016A74"/>
    <w:rsid w:val="00016BFF"/>
    <w:rsid w:val="00016DC3"/>
    <w:rsid w:val="00017DB8"/>
    <w:rsid w:val="00021BEC"/>
    <w:rsid w:val="00022CC0"/>
    <w:rsid w:val="00022FB5"/>
    <w:rsid w:val="000246CE"/>
    <w:rsid w:val="00024B87"/>
    <w:rsid w:val="0002576A"/>
    <w:rsid w:val="00025911"/>
    <w:rsid w:val="00025E2E"/>
    <w:rsid w:val="00026043"/>
    <w:rsid w:val="000266AC"/>
    <w:rsid w:val="000269C5"/>
    <w:rsid w:val="00027624"/>
    <w:rsid w:val="00027BBF"/>
    <w:rsid w:val="000300F7"/>
    <w:rsid w:val="00030744"/>
    <w:rsid w:val="00030BE0"/>
    <w:rsid w:val="000312A8"/>
    <w:rsid w:val="00031404"/>
    <w:rsid w:val="000316D0"/>
    <w:rsid w:val="0003379A"/>
    <w:rsid w:val="00033B11"/>
    <w:rsid w:val="00034DFE"/>
    <w:rsid w:val="00035055"/>
    <w:rsid w:val="0003534F"/>
    <w:rsid w:val="000354ED"/>
    <w:rsid w:val="00035740"/>
    <w:rsid w:val="00036BC0"/>
    <w:rsid w:val="0003764F"/>
    <w:rsid w:val="00040137"/>
    <w:rsid w:val="0004065D"/>
    <w:rsid w:val="000406E1"/>
    <w:rsid w:val="0004136D"/>
    <w:rsid w:val="00041E20"/>
    <w:rsid w:val="000423D3"/>
    <w:rsid w:val="00043388"/>
    <w:rsid w:val="000434CE"/>
    <w:rsid w:val="0004421E"/>
    <w:rsid w:val="000447A5"/>
    <w:rsid w:val="00044DDA"/>
    <w:rsid w:val="000452CB"/>
    <w:rsid w:val="00045658"/>
    <w:rsid w:val="00045B8F"/>
    <w:rsid w:val="00045C9E"/>
    <w:rsid w:val="000461D4"/>
    <w:rsid w:val="00046945"/>
    <w:rsid w:val="000504C9"/>
    <w:rsid w:val="000506B0"/>
    <w:rsid w:val="00050903"/>
    <w:rsid w:val="00050F6B"/>
    <w:rsid w:val="00051036"/>
    <w:rsid w:val="0005111B"/>
    <w:rsid w:val="00051B68"/>
    <w:rsid w:val="000521BB"/>
    <w:rsid w:val="00052A10"/>
    <w:rsid w:val="00052ABD"/>
    <w:rsid w:val="00052ED9"/>
    <w:rsid w:val="0005311D"/>
    <w:rsid w:val="00053451"/>
    <w:rsid w:val="000546E8"/>
    <w:rsid w:val="00054A26"/>
    <w:rsid w:val="00055D26"/>
    <w:rsid w:val="00056874"/>
    <w:rsid w:val="00057595"/>
    <w:rsid w:val="00060145"/>
    <w:rsid w:val="000602AF"/>
    <w:rsid w:val="000605E8"/>
    <w:rsid w:val="00060D95"/>
    <w:rsid w:val="00061A3A"/>
    <w:rsid w:val="00061FEF"/>
    <w:rsid w:val="000635AF"/>
    <w:rsid w:val="000643BC"/>
    <w:rsid w:val="00064AE2"/>
    <w:rsid w:val="00064D10"/>
    <w:rsid w:val="00064E73"/>
    <w:rsid w:val="000656D4"/>
    <w:rsid w:val="00065CD6"/>
    <w:rsid w:val="0006695D"/>
    <w:rsid w:val="00066961"/>
    <w:rsid w:val="00066E03"/>
    <w:rsid w:val="000672FA"/>
    <w:rsid w:val="000678CD"/>
    <w:rsid w:val="000702E9"/>
    <w:rsid w:val="00070795"/>
    <w:rsid w:val="00070BC5"/>
    <w:rsid w:val="00070E4C"/>
    <w:rsid w:val="000710CD"/>
    <w:rsid w:val="00071940"/>
    <w:rsid w:val="00072085"/>
    <w:rsid w:val="00072C8C"/>
    <w:rsid w:val="000737F0"/>
    <w:rsid w:val="00073E6B"/>
    <w:rsid w:val="00074602"/>
    <w:rsid w:val="00075641"/>
    <w:rsid w:val="000756E0"/>
    <w:rsid w:val="00075812"/>
    <w:rsid w:val="000758C8"/>
    <w:rsid w:val="00075D4A"/>
    <w:rsid w:val="00075F4A"/>
    <w:rsid w:val="0007602B"/>
    <w:rsid w:val="00076493"/>
    <w:rsid w:val="00080648"/>
    <w:rsid w:val="000809B7"/>
    <w:rsid w:val="00080E13"/>
    <w:rsid w:val="00081CE0"/>
    <w:rsid w:val="00082644"/>
    <w:rsid w:val="0008357A"/>
    <w:rsid w:val="00083710"/>
    <w:rsid w:val="00084D30"/>
    <w:rsid w:val="00085123"/>
    <w:rsid w:val="000862AD"/>
    <w:rsid w:val="000878D1"/>
    <w:rsid w:val="00087E93"/>
    <w:rsid w:val="00090198"/>
    <w:rsid w:val="00090320"/>
    <w:rsid w:val="000904C5"/>
    <w:rsid w:val="00090584"/>
    <w:rsid w:val="00090745"/>
    <w:rsid w:val="00090D28"/>
    <w:rsid w:val="00090E71"/>
    <w:rsid w:val="00091B80"/>
    <w:rsid w:val="000926D8"/>
    <w:rsid w:val="00092F94"/>
    <w:rsid w:val="000931C0"/>
    <w:rsid w:val="000931E4"/>
    <w:rsid w:val="000935EC"/>
    <w:rsid w:val="0009387B"/>
    <w:rsid w:val="00093DB7"/>
    <w:rsid w:val="00094017"/>
    <w:rsid w:val="00094123"/>
    <w:rsid w:val="00094AAE"/>
    <w:rsid w:val="000965E2"/>
    <w:rsid w:val="00096E5C"/>
    <w:rsid w:val="000971DB"/>
    <w:rsid w:val="00097280"/>
    <w:rsid w:val="00097413"/>
    <w:rsid w:val="00097869"/>
    <w:rsid w:val="000A0087"/>
    <w:rsid w:val="000A0552"/>
    <w:rsid w:val="000A0FF9"/>
    <w:rsid w:val="000A1AA5"/>
    <w:rsid w:val="000A1F05"/>
    <w:rsid w:val="000A2570"/>
    <w:rsid w:val="000A2ACA"/>
    <w:rsid w:val="000A2CBD"/>
    <w:rsid w:val="000A2E09"/>
    <w:rsid w:val="000A4024"/>
    <w:rsid w:val="000A46FB"/>
    <w:rsid w:val="000A46FD"/>
    <w:rsid w:val="000A4768"/>
    <w:rsid w:val="000A49F4"/>
    <w:rsid w:val="000A54ED"/>
    <w:rsid w:val="000A682E"/>
    <w:rsid w:val="000A698C"/>
    <w:rsid w:val="000A6ED7"/>
    <w:rsid w:val="000A6F91"/>
    <w:rsid w:val="000A73C2"/>
    <w:rsid w:val="000A7F14"/>
    <w:rsid w:val="000B024F"/>
    <w:rsid w:val="000B06E0"/>
    <w:rsid w:val="000B0B63"/>
    <w:rsid w:val="000B0B85"/>
    <w:rsid w:val="000B175B"/>
    <w:rsid w:val="000B22EB"/>
    <w:rsid w:val="000B23CB"/>
    <w:rsid w:val="000B2CCD"/>
    <w:rsid w:val="000B32A0"/>
    <w:rsid w:val="000B3441"/>
    <w:rsid w:val="000B3A0F"/>
    <w:rsid w:val="000B4156"/>
    <w:rsid w:val="000B45F7"/>
    <w:rsid w:val="000B4AE6"/>
    <w:rsid w:val="000B5012"/>
    <w:rsid w:val="000B50A2"/>
    <w:rsid w:val="000B526A"/>
    <w:rsid w:val="000B53D9"/>
    <w:rsid w:val="000B549A"/>
    <w:rsid w:val="000B5C9B"/>
    <w:rsid w:val="000B6299"/>
    <w:rsid w:val="000B7169"/>
    <w:rsid w:val="000B76CF"/>
    <w:rsid w:val="000B7A38"/>
    <w:rsid w:val="000C0287"/>
    <w:rsid w:val="000C2B8B"/>
    <w:rsid w:val="000C32D2"/>
    <w:rsid w:val="000C3AEC"/>
    <w:rsid w:val="000C3C0C"/>
    <w:rsid w:val="000C3C1D"/>
    <w:rsid w:val="000C428E"/>
    <w:rsid w:val="000C490F"/>
    <w:rsid w:val="000C4C2E"/>
    <w:rsid w:val="000C53BC"/>
    <w:rsid w:val="000C61C2"/>
    <w:rsid w:val="000C622F"/>
    <w:rsid w:val="000C6C2B"/>
    <w:rsid w:val="000C7300"/>
    <w:rsid w:val="000C7440"/>
    <w:rsid w:val="000C74A4"/>
    <w:rsid w:val="000D000D"/>
    <w:rsid w:val="000D0B6C"/>
    <w:rsid w:val="000D1156"/>
    <w:rsid w:val="000D1EC8"/>
    <w:rsid w:val="000D2013"/>
    <w:rsid w:val="000D27CE"/>
    <w:rsid w:val="000D3B63"/>
    <w:rsid w:val="000D3C34"/>
    <w:rsid w:val="000D45AD"/>
    <w:rsid w:val="000D4D6B"/>
    <w:rsid w:val="000D5100"/>
    <w:rsid w:val="000D51C9"/>
    <w:rsid w:val="000D5D65"/>
    <w:rsid w:val="000D602E"/>
    <w:rsid w:val="000D67CE"/>
    <w:rsid w:val="000D6A26"/>
    <w:rsid w:val="000D6ADD"/>
    <w:rsid w:val="000D74CA"/>
    <w:rsid w:val="000D7E44"/>
    <w:rsid w:val="000E0415"/>
    <w:rsid w:val="000E0880"/>
    <w:rsid w:val="000E24A2"/>
    <w:rsid w:val="000E25F2"/>
    <w:rsid w:val="000E28E8"/>
    <w:rsid w:val="000E2A0D"/>
    <w:rsid w:val="000E3771"/>
    <w:rsid w:val="000E488A"/>
    <w:rsid w:val="000E4A86"/>
    <w:rsid w:val="000E4C59"/>
    <w:rsid w:val="000E53C7"/>
    <w:rsid w:val="000E5CD5"/>
    <w:rsid w:val="000E60B6"/>
    <w:rsid w:val="000E6714"/>
    <w:rsid w:val="000E6E46"/>
    <w:rsid w:val="000E7270"/>
    <w:rsid w:val="000E74E9"/>
    <w:rsid w:val="000F05EA"/>
    <w:rsid w:val="000F0B84"/>
    <w:rsid w:val="000F1050"/>
    <w:rsid w:val="000F18F5"/>
    <w:rsid w:val="000F1B8C"/>
    <w:rsid w:val="000F1F2B"/>
    <w:rsid w:val="000F34D8"/>
    <w:rsid w:val="000F36D2"/>
    <w:rsid w:val="000F4582"/>
    <w:rsid w:val="000F46FC"/>
    <w:rsid w:val="000F4E64"/>
    <w:rsid w:val="000F5B62"/>
    <w:rsid w:val="000F5B94"/>
    <w:rsid w:val="000F5B9D"/>
    <w:rsid w:val="000F638F"/>
    <w:rsid w:val="000F64F5"/>
    <w:rsid w:val="000F68C7"/>
    <w:rsid w:val="000F7210"/>
    <w:rsid w:val="000F7715"/>
    <w:rsid w:val="000F7DD1"/>
    <w:rsid w:val="00100F01"/>
    <w:rsid w:val="00101257"/>
    <w:rsid w:val="00101BAB"/>
    <w:rsid w:val="001021DF"/>
    <w:rsid w:val="001033F5"/>
    <w:rsid w:val="0010366B"/>
    <w:rsid w:val="00103CF7"/>
    <w:rsid w:val="00103F86"/>
    <w:rsid w:val="0010480E"/>
    <w:rsid w:val="00104847"/>
    <w:rsid w:val="00105321"/>
    <w:rsid w:val="00105428"/>
    <w:rsid w:val="00105B21"/>
    <w:rsid w:val="001064E9"/>
    <w:rsid w:val="001067DE"/>
    <w:rsid w:val="00106960"/>
    <w:rsid w:val="00107A4F"/>
    <w:rsid w:val="001102C5"/>
    <w:rsid w:val="001103C2"/>
    <w:rsid w:val="00110E39"/>
    <w:rsid w:val="001113EE"/>
    <w:rsid w:val="00111C87"/>
    <w:rsid w:val="00112E41"/>
    <w:rsid w:val="00113AD9"/>
    <w:rsid w:val="001146DD"/>
    <w:rsid w:val="001146E6"/>
    <w:rsid w:val="001150D5"/>
    <w:rsid w:val="00116128"/>
    <w:rsid w:val="001175D6"/>
    <w:rsid w:val="001178E6"/>
    <w:rsid w:val="00117C2E"/>
    <w:rsid w:val="0012025E"/>
    <w:rsid w:val="0012184B"/>
    <w:rsid w:val="001223C3"/>
    <w:rsid w:val="00123032"/>
    <w:rsid w:val="00123597"/>
    <w:rsid w:val="0012376E"/>
    <w:rsid w:val="001237BA"/>
    <w:rsid w:val="00124ABC"/>
    <w:rsid w:val="00126398"/>
    <w:rsid w:val="001277F7"/>
    <w:rsid w:val="00127F4C"/>
    <w:rsid w:val="00130EB4"/>
    <w:rsid w:val="00130FC7"/>
    <w:rsid w:val="00131AD3"/>
    <w:rsid w:val="00132402"/>
    <w:rsid w:val="0013259A"/>
    <w:rsid w:val="0013261A"/>
    <w:rsid w:val="00133878"/>
    <w:rsid w:val="00133B2B"/>
    <w:rsid w:val="00134AB3"/>
    <w:rsid w:val="00134E0E"/>
    <w:rsid w:val="0013500A"/>
    <w:rsid w:val="00135200"/>
    <w:rsid w:val="00135446"/>
    <w:rsid w:val="00135C2F"/>
    <w:rsid w:val="00136CFA"/>
    <w:rsid w:val="00137CE2"/>
    <w:rsid w:val="00143B06"/>
    <w:rsid w:val="00143C60"/>
    <w:rsid w:val="00143FFD"/>
    <w:rsid w:val="001441DB"/>
    <w:rsid w:val="001449E7"/>
    <w:rsid w:val="00144EF4"/>
    <w:rsid w:val="001450C8"/>
    <w:rsid w:val="00145C50"/>
    <w:rsid w:val="00145DB9"/>
    <w:rsid w:val="001466E9"/>
    <w:rsid w:val="00146814"/>
    <w:rsid w:val="00146884"/>
    <w:rsid w:val="001469C6"/>
    <w:rsid w:val="0014775D"/>
    <w:rsid w:val="001479E0"/>
    <w:rsid w:val="00147EDC"/>
    <w:rsid w:val="00151423"/>
    <w:rsid w:val="00151E12"/>
    <w:rsid w:val="00151E21"/>
    <w:rsid w:val="00152016"/>
    <w:rsid w:val="0015252C"/>
    <w:rsid w:val="00152726"/>
    <w:rsid w:val="00152AFE"/>
    <w:rsid w:val="00153ADF"/>
    <w:rsid w:val="00154246"/>
    <w:rsid w:val="00154D2C"/>
    <w:rsid w:val="001557A8"/>
    <w:rsid w:val="00155F22"/>
    <w:rsid w:val="001564E7"/>
    <w:rsid w:val="00156B99"/>
    <w:rsid w:val="0015765A"/>
    <w:rsid w:val="0015780F"/>
    <w:rsid w:val="00157BC2"/>
    <w:rsid w:val="001600B0"/>
    <w:rsid w:val="0016021D"/>
    <w:rsid w:val="0016249C"/>
    <w:rsid w:val="001631C7"/>
    <w:rsid w:val="00164261"/>
    <w:rsid w:val="00165B38"/>
    <w:rsid w:val="00166124"/>
    <w:rsid w:val="00166818"/>
    <w:rsid w:val="0016721F"/>
    <w:rsid w:val="0016734C"/>
    <w:rsid w:val="001676CA"/>
    <w:rsid w:val="00167825"/>
    <w:rsid w:val="00167B4D"/>
    <w:rsid w:val="00170FEF"/>
    <w:rsid w:val="00171509"/>
    <w:rsid w:val="00172044"/>
    <w:rsid w:val="001727B1"/>
    <w:rsid w:val="001751A2"/>
    <w:rsid w:val="00175AD0"/>
    <w:rsid w:val="001769B7"/>
    <w:rsid w:val="00176C4B"/>
    <w:rsid w:val="00176C97"/>
    <w:rsid w:val="00177CA9"/>
    <w:rsid w:val="0018064E"/>
    <w:rsid w:val="00180686"/>
    <w:rsid w:val="001808B7"/>
    <w:rsid w:val="0018098C"/>
    <w:rsid w:val="0018126D"/>
    <w:rsid w:val="0018171F"/>
    <w:rsid w:val="001817CE"/>
    <w:rsid w:val="00182990"/>
    <w:rsid w:val="0018343A"/>
    <w:rsid w:val="00184713"/>
    <w:rsid w:val="00184C5F"/>
    <w:rsid w:val="00184DDA"/>
    <w:rsid w:val="00184E90"/>
    <w:rsid w:val="00184EE2"/>
    <w:rsid w:val="001857B6"/>
    <w:rsid w:val="00185938"/>
    <w:rsid w:val="001859D9"/>
    <w:rsid w:val="00185F3B"/>
    <w:rsid w:val="0018730D"/>
    <w:rsid w:val="001876CB"/>
    <w:rsid w:val="0018791D"/>
    <w:rsid w:val="001900CD"/>
    <w:rsid w:val="001905FD"/>
    <w:rsid w:val="0019068C"/>
    <w:rsid w:val="00190C51"/>
    <w:rsid w:val="0019156A"/>
    <w:rsid w:val="00191BEB"/>
    <w:rsid w:val="0019336B"/>
    <w:rsid w:val="00194246"/>
    <w:rsid w:val="00194590"/>
    <w:rsid w:val="0019582F"/>
    <w:rsid w:val="00196165"/>
    <w:rsid w:val="001964EB"/>
    <w:rsid w:val="001967A8"/>
    <w:rsid w:val="00196BAF"/>
    <w:rsid w:val="00196C26"/>
    <w:rsid w:val="00197ACE"/>
    <w:rsid w:val="001A0452"/>
    <w:rsid w:val="001A0754"/>
    <w:rsid w:val="001A0CB5"/>
    <w:rsid w:val="001A1EF2"/>
    <w:rsid w:val="001A26C3"/>
    <w:rsid w:val="001A2E85"/>
    <w:rsid w:val="001A4026"/>
    <w:rsid w:val="001A417A"/>
    <w:rsid w:val="001A4B8E"/>
    <w:rsid w:val="001A4E6F"/>
    <w:rsid w:val="001A5027"/>
    <w:rsid w:val="001A5D6D"/>
    <w:rsid w:val="001A64A5"/>
    <w:rsid w:val="001A672C"/>
    <w:rsid w:val="001A6BED"/>
    <w:rsid w:val="001A6C8F"/>
    <w:rsid w:val="001A7334"/>
    <w:rsid w:val="001A7383"/>
    <w:rsid w:val="001A7E04"/>
    <w:rsid w:val="001B0663"/>
    <w:rsid w:val="001B0FAF"/>
    <w:rsid w:val="001B0FB9"/>
    <w:rsid w:val="001B1061"/>
    <w:rsid w:val="001B16DF"/>
    <w:rsid w:val="001B27E2"/>
    <w:rsid w:val="001B2FA1"/>
    <w:rsid w:val="001B331E"/>
    <w:rsid w:val="001B3441"/>
    <w:rsid w:val="001B3A9F"/>
    <w:rsid w:val="001B3BF5"/>
    <w:rsid w:val="001B4B04"/>
    <w:rsid w:val="001B4EA1"/>
    <w:rsid w:val="001B5170"/>
    <w:rsid w:val="001B5875"/>
    <w:rsid w:val="001B59D0"/>
    <w:rsid w:val="001B5BC1"/>
    <w:rsid w:val="001B661B"/>
    <w:rsid w:val="001B6645"/>
    <w:rsid w:val="001B6C91"/>
    <w:rsid w:val="001B70F6"/>
    <w:rsid w:val="001B7F08"/>
    <w:rsid w:val="001C06D4"/>
    <w:rsid w:val="001C0752"/>
    <w:rsid w:val="001C0AA3"/>
    <w:rsid w:val="001C121D"/>
    <w:rsid w:val="001C148C"/>
    <w:rsid w:val="001C15E0"/>
    <w:rsid w:val="001C1FA9"/>
    <w:rsid w:val="001C261F"/>
    <w:rsid w:val="001C2842"/>
    <w:rsid w:val="001C2A1C"/>
    <w:rsid w:val="001C2E00"/>
    <w:rsid w:val="001C3378"/>
    <w:rsid w:val="001C3436"/>
    <w:rsid w:val="001C3763"/>
    <w:rsid w:val="001C37BF"/>
    <w:rsid w:val="001C3AB5"/>
    <w:rsid w:val="001C3B5D"/>
    <w:rsid w:val="001C483D"/>
    <w:rsid w:val="001C4B9C"/>
    <w:rsid w:val="001C538B"/>
    <w:rsid w:val="001C53E5"/>
    <w:rsid w:val="001C5458"/>
    <w:rsid w:val="001C5783"/>
    <w:rsid w:val="001C5D99"/>
    <w:rsid w:val="001C6663"/>
    <w:rsid w:val="001C733D"/>
    <w:rsid w:val="001C7855"/>
    <w:rsid w:val="001C7895"/>
    <w:rsid w:val="001D00F7"/>
    <w:rsid w:val="001D0156"/>
    <w:rsid w:val="001D0658"/>
    <w:rsid w:val="001D1A44"/>
    <w:rsid w:val="001D26DF"/>
    <w:rsid w:val="001D2EF8"/>
    <w:rsid w:val="001D2FB2"/>
    <w:rsid w:val="001D34F9"/>
    <w:rsid w:val="001D3825"/>
    <w:rsid w:val="001D3A46"/>
    <w:rsid w:val="001D3E8F"/>
    <w:rsid w:val="001D4AB2"/>
    <w:rsid w:val="001D4B92"/>
    <w:rsid w:val="001D4E54"/>
    <w:rsid w:val="001D519C"/>
    <w:rsid w:val="001D5F42"/>
    <w:rsid w:val="001D6509"/>
    <w:rsid w:val="001D6707"/>
    <w:rsid w:val="001D68E2"/>
    <w:rsid w:val="001D72F9"/>
    <w:rsid w:val="001D7C36"/>
    <w:rsid w:val="001E0858"/>
    <w:rsid w:val="001E0928"/>
    <w:rsid w:val="001E1507"/>
    <w:rsid w:val="001E1853"/>
    <w:rsid w:val="001E204D"/>
    <w:rsid w:val="001E20F5"/>
    <w:rsid w:val="001E2F62"/>
    <w:rsid w:val="001E2FF4"/>
    <w:rsid w:val="001E30DD"/>
    <w:rsid w:val="001E341D"/>
    <w:rsid w:val="001E35D8"/>
    <w:rsid w:val="001E3755"/>
    <w:rsid w:val="001E38BC"/>
    <w:rsid w:val="001E3FD0"/>
    <w:rsid w:val="001E4058"/>
    <w:rsid w:val="001E4486"/>
    <w:rsid w:val="001E44AA"/>
    <w:rsid w:val="001E44EE"/>
    <w:rsid w:val="001E4B4D"/>
    <w:rsid w:val="001E5681"/>
    <w:rsid w:val="001E5F28"/>
    <w:rsid w:val="001E60B5"/>
    <w:rsid w:val="001E6889"/>
    <w:rsid w:val="001E7133"/>
    <w:rsid w:val="001E7248"/>
    <w:rsid w:val="001F057D"/>
    <w:rsid w:val="001F07D8"/>
    <w:rsid w:val="001F0C25"/>
    <w:rsid w:val="001F1599"/>
    <w:rsid w:val="001F19C4"/>
    <w:rsid w:val="001F1A71"/>
    <w:rsid w:val="001F1C68"/>
    <w:rsid w:val="001F21D9"/>
    <w:rsid w:val="001F245A"/>
    <w:rsid w:val="001F2769"/>
    <w:rsid w:val="001F29BF"/>
    <w:rsid w:val="001F2C82"/>
    <w:rsid w:val="001F31C4"/>
    <w:rsid w:val="001F39AF"/>
    <w:rsid w:val="001F3C59"/>
    <w:rsid w:val="001F4990"/>
    <w:rsid w:val="001F6117"/>
    <w:rsid w:val="001F62A8"/>
    <w:rsid w:val="001F65E9"/>
    <w:rsid w:val="001F7BAC"/>
    <w:rsid w:val="0020002F"/>
    <w:rsid w:val="00200218"/>
    <w:rsid w:val="002007E9"/>
    <w:rsid w:val="00201477"/>
    <w:rsid w:val="002014D1"/>
    <w:rsid w:val="00201DF2"/>
    <w:rsid w:val="00202922"/>
    <w:rsid w:val="00203183"/>
    <w:rsid w:val="002043F0"/>
    <w:rsid w:val="00204BE0"/>
    <w:rsid w:val="00204E87"/>
    <w:rsid w:val="0020503A"/>
    <w:rsid w:val="002051FE"/>
    <w:rsid w:val="002057A4"/>
    <w:rsid w:val="002058DA"/>
    <w:rsid w:val="002059F6"/>
    <w:rsid w:val="00205C4A"/>
    <w:rsid w:val="00205DF4"/>
    <w:rsid w:val="0020603C"/>
    <w:rsid w:val="002069F4"/>
    <w:rsid w:val="00206CFB"/>
    <w:rsid w:val="0020714C"/>
    <w:rsid w:val="00207586"/>
    <w:rsid w:val="002077B8"/>
    <w:rsid w:val="00207B84"/>
    <w:rsid w:val="00207E3E"/>
    <w:rsid w:val="0021080A"/>
    <w:rsid w:val="00210C6F"/>
    <w:rsid w:val="00211D37"/>
    <w:rsid w:val="00211E0B"/>
    <w:rsid w:val="0021202A"/>
    <w:rsid w:val="002120E4"/>
    <w:rsid w:val="00212329"/>
    <w:rsid w:val="0021239D"/>
    <w:rsid w:val="00212C1E"/>
    <w:rsid w:val="0021355B"/>
    <w:rsid w:val="002140E7"/>
    <w:rsid w:val="00214308"/>
    <w:rsid w:val="002153C7"/>
    <w:rsid w:val="002155D8"/>
    <w:rsid w:val="00215A0A"/>
    <w:rsid w:val="00216AF2"/>
    <w:rsid w:val="00216CFC"/>
    <w:rsid w:val="0021772E"/>
    <w:rsid w:val="0021780A"/>
    <w:rsid w:val="00217BAF"/>
    <w:rsid w:val="002205AF"/>
    <w:rsid w:val="00220653"/>
    <w:rsid w:val="002208DD"/>
    <w:rsid w:val="00220BE6"/>
    <w:rsid w:val="00220F57"/>
    <w:rsid w:val="00221992"/>
    <w:rsid w:val="00222283"/>
    <w:rsid w:val="002234CF"/>
    <w:rsid w:val="00224838"/>
    <w:rsid w:val="00224D80"/>
    <w:rsid w:val="0022543F"/>
    <w:rsid w:val="00225880"/>
    <w:rsid w:val="00227624"/>
    <w:rsid w:val="002278EE"/>
    <w:rsid w:val="00227AB7"/>
    <w:rsid w:val="00227F69"/>
    <w:rsid w:val="00230279"/>
    <w:rsid w:val="00230A91"/>
    <w:rsid w:val="00231EFB"/>
    <w:rsid w:val="002320D2"/>
    <w:rsid w:val="00232575"/>
    <w:rsid w:val="00232729"/>
    <w:rsid w:val="00232893"/>
    <w:rsid w:val="00232AED"/>
    <w:rsid w:val="00232B7E"/>
    <w:rsid w:val="00232D16"/>
    <w:rsid w:val="00232D9C"/>
    <w:rsid w:val="00232FCB"/>
    <w:rsid w:val="002333B6"/>
    <w:rsid w:val="0023380D"/>
    <w:rsid w:val="002356CA"/>
    <w:rsid w:val="0023575C"/>
    <w:rsid w:val="00235766"/>
    <w:rsid w:val="002359BA"/>
    <w:rsid w:val="00235AB1"/>
    <w:rsid w:val="0023637B"/>
    <w:rsid w:val="0023647C"/>
    <w:rsid w:val="002367FB"/>
    <w:rsid w:val="00237A39"/>
    <w:rsid w:val="00240885"/>
    <w:rsid w:val="002409E1"/>
    <w:rsid w:val="00240E76"/>
    <w:rsid w:val="00241C31"/>
    <w:rsid w:val="00241F6B"/>
    <w:rsid w:val="00242F84"/>
    <w:rsid w:val="00243D15"/>
    <w:rsid w:val="00243DEE"/>
    <w:rsid w:val="00243E83"/>
    <w:rsid w:val="00243EB0"/>
    <w:rsid w:val="00244D9B"/>
    <w:rsid w:val="00245D22"/>
    <w:rsid w:val="0024608A"/>
    <w:rsid w:val="00246C69"/>
    <w:rsid w:val="00247258"/>
    <w:rsid w:val="00247B00"/>
    <w:rsid w:val="00247EC2"/>
    <w:rsid w:val="00250506"/>
    <w:rsid w:val="00251124"/>
    <w:rsid w:val="0025128A"/>
    <w:rsid w:val="002516FB"/>
    <w:rsid w:val="00251789"/>
    <w:rsid w:val="00252D3E"/>
    <w:rsid w:val="002535FC"/>
    <w:rsid w:val="00253B96"/>
    <w:rsid w:val="00254825"/>
    <w:rsid w:val="00254AE1"/>
    <w:rsid w:val="00254B3C"/>
    <w:rsid w:val="00254BB2"/>
    <w:rsid w:val="00255F74"/>
    <w:rsid w:val="00256423"/>
    <w:rsid w:val="0025672F"/>
    <w:rsid w:val="00257CA1"/>
    <w:rsid w:val="00257CAC"/>
    <w:rsid w:val="00257EA0"/>
    <w:rsid w:val="00261341"/>
    <w:rsid w:val="00262D22"/>
    <w:rsid w:val="002635EA"/>
    <w:rsid w:val="00263D99"/>
    <w:rsid w:val="002651FC"/>
    <w:rsid w:val="0026529C"/>
    <w:rsid w:val="00265CF5"/>
    <w:rsid w:val="002660E3"/>
    <w:rsid w:val="002664FB"/>
    <w:rsid w:val="00267BFB"/>
    <w:rsid w:val="00270614"/>
    <w:rsid w:val="00270721"/>
    <w:rsid w:val="0027083D"/>
    <w:rsid w:val="00271078"/>
    <w:rsid w:val="002721ED"/>
    <w:rsid w:val="00272259"/>
    <w:rsid w:val="0027237A"/>
    <w:rsid w:val="0027248C"/>
    <w:rsid w:val="00272FAD"/>
    <w:rsid w:val="002735A2"/>
    <w:rsid w:val="00273D1F"/>
    <w:rsid w:val="0027447F"/>
    <w:rsid w:val="00274509"/>
    <w:rsid w:val="002745A9"/>
    <w:rsid w:val="00274602"/>
    <w:rsid w:val="00274C30"/>
    <w:rsid w:val="0027512D"/>
    <w:rsid w:val="0027535C"/>
    <w:rsid w:val="0027541F"/>
    <w:rsid w:val="0027662D"/>
    <w:rsid w:val="00277D93"/>
    <w:rsid w:val="00277D96"/>
    <w:rsid w:val="00277F9F"/>
    <w:rsid w:val="00281BEA"/>
    <w:rsid w:val="00281DE6"/>
    <w:rsid w:val="0028239A"/>
    <w:rsid w:val="002826AE"/>
    <w:rsid w:val="00283288"/>
    <w:rsid w:val="00283712"/>
    <w:rsid w:val="002837CF"/>
    <w:rsid w:val="00283C2C"/>
    <w:rsid w:val="00285BD2"/>
    <w:rsid w:val="00285E8F"/>
    <w:rsid w:val="002862A9"/>
    <w:rsid w:val="0029097B"/>
    <w:rsid w:val="00290A25"/>
    <w:rsid w:val="00291A25"/>
    <w:rsid w:val="00291D43"/>
    <w:rsid w:val="002921DB"/>
    <w:rsid w:val="00292325"/>
    <w:rsid w:val="00292902"/>
    <w:rsid w:val="00292D26"/>
    <w:rsid w:val="0029301E"/>
    <w:rsid w:val="0029366E"/>
    <w:rsid w:val="00294A8A"/>
    <w:rsid w:val="00294AB3"/>
    <w:rsid w:val="00294BD7"/>
    <w:rsid w:val="00294FBB"/>
    <w:rsid w:val="002958A4"/>
    <w:rsid w:val="00295CFF"/>
    <w:rsid w:val="002962D8"/>
    <w:rsid w:val="00296ADE"/>
    <w:rsid w:val="00296EDE"/>
    <w:rsid w:val="00296EFE"/>
    <w:rsid w:val="0029708A"/>
    <w:rsid w:val="00297308"/>
    <w:rsid w:val="002974E9"/>
    <w:rsid w:val="00297B82"/>
    <w:rsid w:val="002A022C"/>
    <w:rsid w:val="002A0D21"/>
    <w:rsid w:val="002A0F61"/>
    <w:rsid w:val="002A12FA"/>
    <w:rsid w:val="002A156A"/>
    <w:rsid w:val="002A30D0"/>
    <w:rsid w:val="002A3271"/>
    <w:rsid w:val="002A3EE1"/>
    <w:rsid w:val="002A451D"/>
    <w:rsid w:val="002A4D45"/>
    <w:rsid w:val="002A51F5"/>
    <w:rsid w:val="002A5274"/>
    <w:rsid w:val="002A5850"/>
    <w:rsid w:val="002A5895"/>
    <w:rsid w:val="002A58EC"/>
    <w:rsid w:val="002A5CB5"/>
    <w:rsid w:val="002A67B1"/>
    <w:rsid w:val="002A7377"/>
    <w:rsid w:val="002A75C2"/>
    <w:rsid w:val="002A7683"/>
    <w:rsid w:val="002A7F94"/>
    <w:rsid w:val="002B0396"/>
    <w:rsid w:val="002B05C5"/>
    <w:rsid w:val="002B0F6F"/>
    <w:rsid w:val="002B109A"/>
    <w:rsid w:val="002B13D1"/>
    <w:rsid w:val="002B140F"/>
    <w:rsid w:val="002B17D1"/>
    <w:rsid w:val="002B185B"/>
    <w:rsid w:val="002B1B04"/>
    <w:rsid w:val="002B1E7C"/>
    <w:rsid w:val="002B2B07"/>
    <w:rsid w:val="002B3DEE"/>
    <w:rsid w:val="002B3EB7"/>
    <w:rsid w:val="002B4045"/>
    <w:rsid w:val="002B41CC"/>
    <w:rsid w:val="002B4845"/>
    <w:rsid w:val="002B4A29"/>
    <w:rsid w:val="002B4B2D"/>
    <w:rsid w:val="002B5DE0"/>
    <w:rsid w:val="002B649D"/>
    <w:rsid w:val="002B6B18"/>
    <w:rsid w:val="002B6DAE"/>
    <w:rsid w:val="002B6F42"/>
    <w:rsid w:val="002B789A"/>
    <w:rsid w:val="002C0020"/>
    <w:rsid w:val="002C011F"/>
    <w:rsid w:val="002C05B4"/>
    <w:rsid w:val="002C2030"/>
    <w:rsid w:val="002C221D"/>
    <w:rsid w:val="002C4BE6"/>
    <w:rsid w:val="002C4EB3"/>
    <w:rsid w:val="002C584E"/>
    <w:rsid w:val="002C5DE5"/>
    <w:rsid w:val="002C6D45"/>
    <w:rsid w:val="002C6E6E"/>
    <w:rsid w:val="002C7BBC"/>
    <w:rsid w:val="002D05D5"/>
    <w:rsid w:val="002D0CDF"/>
    <w:rsid w:val="002D1243"/>
    <w:rsid w:val="002D16A5"/>
    <w:rsid w:val="002D1D63"/>
    <w:rsid w:val="002D1D82"/>
    <w:rsid w:val="002D3580"/>
    <w:rsid w:val="002D3E35"/>
    <w:rsid w:val="002D3EAA"/>
    <w:rsid w:val="002D42C0"/>
    <w:rsid w:val="002D45EE"/>
    <w:rsid w:val="002D6221"/>
    <w:rsid w:val="002D66D5"/>
    <w:rsid w:val="002D6B3F"/>
    <w:rsid w:val="002D6D60"/>
    <w:rsid w:val="002D6E46"/>
    <w:rsid w:val="002D6E53"/>
    <w:rsid w:val="002D6ECB"/>
    <w:rsid w:val="002D72A8"/>
    <w:rsid w:val="002D7782"/>
    <w:rsid w:val="002D7C56"/>
    <w:rsid w:val="002D7E98"/>
    <w:rsid w:val="002E0619"/>
    <w:rsid w:val="002E06FA"/>
    <w:rsid w:val="002E07BD"/>
    <w:rsid w:val="002E085C"/>
    <w:rsid w:val="002E1253"/>
    <w:rsid w:val="002E1364"/>
    <w:rsid w:val="002E19A1"/>
    <w:rsid w:val="002E1ED5"/>
    <w:rsid w:val="002E26B2"/>
    <w:rsid w:val="002E2DBC"/>
    <w:rsid w:val="002E365D"/>
    <w:rsid w:val="002E3DC2"/>
    <w:rsid w:val="002E3F1C"/>
    <w:rsid w:val="002E4103"/>
    <w:rsid w:val="002E4821"/>
    <w:rsid w:val="002E5404"/>
    <w:rsid w:val="002E5558"/>
    <w:rsid w:val="002E5762"/>
    <w:rsid w:val="002E62EF"/>
    <w:rsid w:val="002E6510"/>
    <w:rsid w:val="002E6710"/>
    <w:rsid w:val="002E7566"/>
    <w:rsid w:val="002E76F9"/>
    <w:rsid w:val="002F0163"/>
    <w:rsid w:val="002F046D"/>
    <w:rsid w:val="002F052A"/>
    <w:rsid w:val="002F2054"/>
    <w:rsid w:val="002F2079"/>
    <w:rsid w:val="002F3BD5"/>
    <w:rsid w:val="002F3C6D"/>
    <w:rsid w:val="002F3EB3"/>
    <w:rsid w:val="002F4658"/>
    <w:rsid w:val="002F4742"/>
    <w:rsid w:val="002F4FC7"/>
    <w:rsid w:val="002F5577"/>
    <w:rsid w:val="002F6094"/>
    <w:rsid w:val="002F7265"/>
    <w:rsid w:val="00300313"/>
    <w:rsid w:val="00300B26"/>
    <w:rsid w:val="00301764"/>
    <w:rsid w:val="00301C2F"/>
    <w:rsid w:val="00301D2A"/>
    <w:rsid w:val="00302750"/>
    <w:rsid w:val="003036F9"/>
    <w:rsid w:val="00303EC6"/>
    <w:rsid w:val="0030467D"/>
    <w:rsid w:val="003054F2"/>
    <w:rsid w:val="00305F7C"/>
    <w:rsid w:val="0030626B"/>
    <w:rsid w:val="003065C2"/>
    <w:rsid w:val="00306D64"/>
    <w:rsid w:val="00306DE1"/>
    <w:rsid w:val="003073F3"/>
    <w:rsid w:val="00307B2B"/>
    <w:rsid w:val="0031024D"/>
    <w:rsid w:val="003103CD"/>
    <w:rsid w:val="00310714"/>
    <w:rsid w:val="00311362"/>
    <w:rsid w:val="00311926"/>
    <w:rsid w:val="0031235D"/>
    <w:rsid w:val="00312A1F"/>
    <w:rsid w:val="00312F49"/>
    <w:rsid w:val="003130AF"/>
    <w:rsid w:val="00313E62"/>
    <w:rsid w:val="003141B9"/>
    <w:rsid w:val="00314BCF"/>
    <w:rsid w:val="0031512A"/>
    <w:rsid w:val="00315974"/>
    <w:rsid w:val="00317172"/>
    <w:rsid w:val="00320197"/>
    <w:rsid w:val="00320652"/>
    <w:rsid w:val="00320F16"/>
    <w:rsid w:val="00321AAF"/>
    <w:rsid w:val="003223D6"/>
    <w:rsid w:val="003225FD"/>
    <w:rsid w:val="003229D8"/>
    <w:rsid w:val="003231F8"/>
    <w:rsid w:val="00323378"/>
    <w:rsid w:val="003234DD"/>
    <w:rsid w:val="00324004"/>
    <w:rsid w:val="003240E3"/>
    <w:rsid w:val="00324A54"/>
    <w:rsid w:val="0032598E"/>
    <w:rsid w:val="00326072"/>
    <w:rsid w:val="00326FBA"/>
    <w:rsid w:val="003271C0"/>
    <w:rsid w:val="003303E6"/>
    <w:rsid w:val="00330A8B"/>
    <w:rsid w:val="003310D1"/>
    <w:rsid w:val="003316D6"/>
    <w:rsid w:val="003329BE"/>
    <w:rsid w:val="00333736"/>
    <w:rsid w:val="003338BC"/>
    <w:rsid w:val="00333B72"/>
    <w:rsid w:val="00333C0C"/>
    <w:rsid w:val="00333C64"/>
    <w:rsid w:val="00333F76"/>
    <w:rsid w:val="00334144"/>
    <w:rsid w:val="003342FF"/>
    <w:rsid w:val="00334676"/>
    <w:rsid w:val="00334EDF"/>
    <w:rsid w:val="003350B1"/>
    <w:rsid w:val="00335FC8"/>
    <w:rsid w:val="00336362"/>
    <w:rsid w:val="00336C97"/>
    <w:rsid w:val="00336EDD"/>
    <w:rsid w:val="00336FB4"/>
    <w:rsid w:val="003379A4"/>
    <w:rsid w:val="00337E69"/>
    <w:rsid w:val="00337F88"/>
    <w:rsid w:val="00340231"/>
    <w:rsid w:val="003406DC"/>
    <w:rsid w:val="00340826"/>
    <w:rsid w:val="00340F2B"/>
    <w:rsid w:val="00341686"/>
    <w:rsid w:val="00341BC3"/>
    <w:rsid w:val="00341C77"/>
    <w:rsid w:val="00342432"/>
    <w:rsid w:val="00342CD0"/>
    <w:rsid w:val="00342E5A"/>
    <w:rsid w:val="00343540"/>
    <w:rsid w:val="00343A4C"/>
    <w:rsid w:val="00344265"/>
    <w:rsid w:val="00344866"/>
    <w:rsid w:val="00344B47"/>
    <w:rsid w:val="00344FD8"/>
    <w:rsid w:val="00345239"/>
    <w:rsid w:val="00345594"/>
    <w:rsid w:val="003455C6"/>
    <w:rsid w:val="00346889"/>
    <w:rsid w:val="003469B1"/>
    <w:rsid w:val="003470D4"/>
    <w:rsid w:val="00347A6C"/>
    <w:rsid w:val="00347B06"/>
    <w:rsid w:val="00347DD4"/>
    <w:rsid w:val="00350112"/>
    <w:rsid w:val="00350551"/>
    <w:rsid w:val="003505BD"/>
    <w:rsid w:val="00351F7E"/>
    <w:rsid w:val="00352125"/>
    <w:rsid w:val="0035223F"/>
    <w:rsid w:val="003525E5"/>
    <w:rsid w:val="00352795"/>
    <w:rsid w:val="00352D4B"/>
    <w:rsid w:val="0035363D"/>
    <w:rsid w:val="00353A0E"/>
    <w:rsid w:val="003553F9"/>
    <w:rsid w:val="003556BA"/>
    <w:rsid w:val="00355E80"/>
    <w:rsid w:val="0035622B"/>
    <w:rsid w:val="00356317"/>
    <w:rsid w:val="0035638C"/>
    <w:rsid w:val="00357611"/>
    <w:rsid w:val="003578B9"/>
    <w:rsid w:val="00357ABF"/>
    <w:rsid w:val="0036052C"/>
    <w:rsid w:val="003614C4"/>
    <w:rsid w:val="00361821"/>
    <w:rsid w:val="00361C7E"/>
    <w:rsid w:val="003621D9"/>
    <w:rsid w:val="00362E0A"/>
    <w:rsid w:val="003644F3"/>
    <w:rsid w:val="003646AA"/>
    <w:rsid w:val="00364938"/>
    <w:rsid w:val="003649F6"/>
    <w:rsid w:val="00365B88"/>
    <w:rsid w:val="00365F92"/>
    <w:rsid w:val="00366575"/>
    <w:rsid w:val="00367992"/>
    <w:rsid w:val="00367A3E"/>
    <w:rsid w:val="00367E06"/>
    <w:rsid w:val="0037058A"/>
    <w:rsid w:val="003706F2"/>
    <w:rsid w:val="00370B1E"/>
    <w:rsid w:val="00371D90"/>
    <w:rsid w:val="003723A5"/>
    <w:rsid w:val="00373726"/>
    <w:rsid w:val="00374118"/>
    <w:rsid w:val="00375387"/>
    <w:rsid w:val="00375564"/>
    <w:rsid w:val="00376115"/>
    <w:rsid w:val="00376353"/>
    <w:rsid w:val="00376415"/>
    <w:rsid w:val="00376E68"/>
    <w:rsid w:val="00377292"/>
    <w:rsid w:val="00377474"/>
    <w:rsid w:val="00380864"/>
    <w:rsid w:val="00380E5E"/>
    <w:rsid w:val="00381733"/>
    <w:rsid w:val="0038175C"/>
    <w:rsid w:val="0038255E"/>
    <w:rsid w:val="00382AA3"/>
    <w:rsid w:val="00384368"/>
    <w:rsid w:val="003843A0"/>
    <w:rsid w:val="003845F1"/>
    <w:rsid w:val="00384E03"/>
    <w:rsid w:val="00384E91"/>
    <w:rsid w:val="003851C8"/>
    <w:rsid w:val="003856A5"/>
    <w:rsid w:val="003860A8"/>
    <w:rsid w:val="00386543"/>
    <w:rsid w:val="00386BE9"/>
    <w:rsid w:val="00386DF8"/>
    <w:rsid w:val="00387411"/>
    <w:rsid w:val="003901D0"/>
    <w:rsid w:val="00390769"/>
    <w:rsid w:val="003916FA"/>
    <w:rsid w:val="003918E6"/>
    <w:rsid w:val="00391A15"/>
    <w:rsid w:val="00393117"/>
    <w:rsid w:val="0039325F"/>
    <w:rsid w:val="0039404E"/>
    <w:rsid w:val="00394CFF"/>
    <w:rsid w:val="0039553E"/>
    <w:rsid w:val="003956FC"/>
    <w:rsid w:val="00396398"/>
    <w:rsid w:val="0039695D"/>
    <w:rsid w:val="00396CE2"/>
    <w:rsid w:val="003A14E0"/>
    <w:rsid w:val="003A1B3B"/>
    <w:rsid w:val="003A1D89"/>
    <w:rsid w:val="003A1FD4"/>
    <w:rsid w:val="003A2415"/>
    <w:rsid w:val="003A27E9"/>
    <w:rsid w:val="003A342A"/>
    <w:rsid w:val="003A46BB"/>
    <w:rsid w:val="003A4EC7"/>
    <w:rsid w:val="003A4F16"/>
    <w:rsid w:val="003A51FF"/>
    <w:rsid w:val="003A5852"/>
    <w:rsid w:val="003A58FA"/>
    <w:rsid w:val="003A5ED9"/>
    <w:rsid w:val="003A6563"/>
    <w:rsid w:val="003A6834"/>
    <w:rsid w:val="003A6AB7"/>
    <w:rsid w:val="003A6E87"/>
    <w:rsid w:val="003A7295"/>
    <w:rsid w:val="003A76E3"/>
    <w:rsid w:val="003A7C56"/>
    <w:rsid w:val="003A7C5E"/>
    <w:rsid w:val="003A7F75"/>
    <w:rsid w:val="003B0193"/>
    <w:rsid w:val="003B04DD"/>
    <w:rsid w:val="003B065C"/>
    <w:rsid w:val="003B0968"/>
    <w:rsid w:val="003B1290"/>
    <w:rsid w:val="003B1649"/>
    <w:rsid w:val="003B1743"/>
    <w:rsid w:val="003B17C8"/>
    <w:rsid w:val="003B1F60"/>
    <w:rsid w:val="003B2B81"/>
    <w:rsid w:val="003B2C73"/>
    <w:rsid w:val="003B2DAD"/>
    <w:rsid w:val="003B3299"/>
    <w:rsid w:val="003B3766"/>
    <w:rsid w:val="003B3B89"/>
    <w:rsid w:val="003B4558"/>
    <w:rsid w:val="003B4D03"/>
    <w:rsid w:val="003B4D59"/>
    <w:rsid w:val="003B544F"/>
    <w:rsid w:val="003B5BE2"/>
    <w:rsid w:val="003B5E44"/>
    <w:rsid w:val="003B5F55"/>
    <w:rsid w:val="003B61F6"/>
    <w:rsid w:val="003B6622"/>
    <w:rsid w:val="003B6DAD"/>
    <w:rsid w:val="003B762A"/>
    <w:rsid w:val="003B7B9C"/>
    <w:rsid w:val="003C03B0"/>
    <w:rsid w:val="003C0B02"/>
    <w:rsid w:val="003C0FB0"/>
    <w:rsid w:val="003C140A"/>
    <w:rsid w:val="003C14A7"/>
    <w:rsid w:val="003C18D8"/>
    <w:rsid w:val="003C2622"/>
    <w:rsid w:val="003C2BFB"/>
    <w:rsid w:val="003C2CC4"/>
    <w:rsid w:val="003C2EAE"/>
    <w:rsid w:val="003C3576"/>
    <w:rsid w:val="003C3820"/>
    <w:rsid w:val="003C385A"/>
    <w:rsid w:val="003C473A"/>
    <w:rsid w:val="003C4C02"/>
    <w:rsid w:val="003C5A90"/>
    <w:rsid w:val="003C60C0"/>
    <w:rsid w:val="003C7418"/>
    <w:rsid w:val="003C79DB"/>
    <w:rsid w:val="003D0019"/>
    <w:rsid w:val="003D039F"/>
    <w:rsid w:val="003D0BF1"/>
    <w:rsid w:val="003D18CF"/>
    <w:rsid w:val="003D1BD3"/>
    <w:rsid w:val="003D29BA"/>
    <w:rsid w:val="003D2BDC"/>
    <w:rsid w:val="003D2D7C"/>
    <w:rsid w:val="003D3453"/>
    <w:rsid w:val="003D356E"/>
    <w:rsid w:val="003D389C"/>
    <w:rsid w:val="003D3C57"/>
    <w:rsid w:val="003D44BA"/>
    <w:rsid w:val="003D4B23"/>
    <w:rsid w:val="003D51B4"/>
    <w:rsid w:val="003D56FB"/>
    <w:rsid w:val="003D6D1C"/>
    <w:rsid w:val="003D7A0D"/>
    <w:rsid w:val="003D7E11"/>
    <w:rsid w:val="003D7E9D"/>
    <w:rsid w:val="003E1286"/>
    <w:rsid w:val="003E161B"/>
    <w:rsid w:val="003E188E"/>
    <w:rsid w:val="003E1913"/>
    <w:rsid w:val="003E1946"/>
    <w:rsid w:val="003E1AA0"/>
    <w:rsid w:val="003E20F6"/>
    <w:rsid w:val="003E278A"/>
    <w:rsid w:val="003E3387"/>
    <w:rsid w:val="003E39BA"/>
    <w:rsid w:val="003E4349"/>
    <w:rsid w:val="003E5473"/>
    <w:rsid w:val="003E5A99"/>
    <w:rsid w:val="003E5B12"/>
    <w:rsid w:val="003E6177"/>
    <w:rsid w:val="003E66C5"/>
    <w:rsid w:val="003E686E"/>
    <w:rsid w:val="003E692A"/>
    <w:rsid w:val="003E7516"/>
    <w:rsid w:val="003F050F"/>
    <w:rsid w:val="003F23C1"/>
    <w:rsid w:val="003F27B7"/>
    <w:rsid w:val="003F2B21"/>
    <w:rsid w:val="003F2EE5"/>
    <w:rsid w:val="003F2F65"/>
    <w:rsid w:val="003F3377"/>
    <w:rsid w:val="003F4E65"/>
    <w:rsid w:val="003F55A2"/>
    <w:rsid w:val="003F59C0"/>
    <w:rsid w:val="003F6E08"/>
    <w:rsid w:val="003F7C1A"/>
    <w:rsid w:val="004008BC"/>
    <w:rsid w:val="004025BD"/>
    <w:rsid w:val="00402654"/>
    <w:rsid w:val="00403BD8"/>
    <w:rsid w:val="004041D5"/>
    <w:rsid w:val="00404220"/>
    <w:rsid w:val="00404846"/>
    <w:rsid w:val="00405EEB"/>
    <w:rsid w:val="00407793"/>
    <w:rsid w:val="00407A2C"/>
    <w:rsid w:val="00407AC6"/>
    <w:rsid w:val="00410A5D"/>
    <w:rsid w:val="00410BC0"/>
    <w:rsid w:val="00410F0F"/>
    <w:rsid w:val="00410FC0"/>
    <w:rsid w:val="0041149F"/>
    <w:rsid w:val="004114AC"/>
    <w:rsid w:val="00411533"/>
    <w:rsid w:val="00411A72"/>
    <w:rsid w:val="00411AD9"/>
    <w:rsid w:val="00412717"/>
    <w:rsid w:val="00412F48"/>
    <w:rsid w:val="00413520"/>
    <w:rsid w:val="004135F7"/>
    <w:rsid w:val="0041514C"/>
    <w:rsid w:val="00415288"/>
    <w:rsid w:val="00416BF4"/>
    <w:rsid w:val="00417408"/>
    <w:rsid w:val="00417635"/>
    <w:rsid w:val="004179A9"/>
    <w:rsid w:val="00417D61"/>
    <w:rsid w:val="00420C80"/>
    <w:rsid w:val="00420E85"/>
    <w:rsid w:val="00421588"/>
    <w:rsid w:val="00421962"/>
    <w:rsid w:val="0042250E"/>
    <w:rsid w:val="00423C54"/>
    <w:rsid w:val="0042433A"/>
    <w:rsid w:val="0042435A"/>
    <w:rsid w:val="00424835"/>
    <w:rsid w:val="00424995"/>
    <w:rsid w:val="00425A72"/>
    <w:rsid w:val="00426489"/>
    <w:rsid w:val="00427060"/>
    <w:rsid w:val="00427D92"/>
    <w:rsid w:val="00427E4E"/>
    <w:rsid w:val="00432123"/>
    <w:rsid w:val="00432233"/>
    <w:rsid w:val="004325CB"/>
    <w:rsid w:val="00432852"/>
    <w:rsid w:val="00432BB8"/>
    <w:rsid w:val="00433627"/>
    <w:rsid w:val="004346BE"/>
    <w:rsid w:val="00434F37"/>
    <w:rsid w:val="00435E74"/>
    <w:rsid w:val="004363CA"/>
    <w:rsid w:val="00436AA7"/>
    <w:rsid w:val="00436F7B"/>
    <w:rsid w:val="00437A83"/>
    <w:rsid w:val="00440068"/>
    <w:rsid w:val="00440A07"/>
    <w:rsid w:val="004410C0"/>
    <w:rsid w:val="004421E2"/>
    <w:rsid w:val="00442D07"/>
    <w:rsid w:val="0044328D"/>
    <w:rsid w:val="0044332B"/>
    <w:rsid w:val="004436C1"/>
    <w:rsid w:val="004438D9"/>
    <w:rsid w:val="00443D6D"/>
    <w:rsid w:val="00443ED3"/>
    <w:rsid w:val="0044426D"/>
    <w:rsid w:val="00444B81"/>
    <w:rsid w:val="00444EBA"/>
    <w:rsid w:val="004450DF"/>
    <w:rsid w:val="004465DE"/>
    <w:rsid w:val="00446906"/>
    <w:rsid w:val="00446D4E"/>
    <w:rsid w:val="00446ED8"/>
    <w:rsid w:val="004476F1"/>
    <w:rsid w:val="004507B1"/>
    <w:rsid w:val="00451005"/>
    <w:rsid w:val="004517CC"/>
    <w:rsid w:val="0045180A"/>
    <w:rsid w:val="00451B39"/>
    <w:rsid w:val="0045228B"/>
    <w:rsid w:val="004527AD"/>
    <w:rsid w:val="004528C2"/>
    <w:rsid w:val="00452B1D"/>
    <w:rsid w:val="00452E2E"/>
    <w:rsid w:val="00453848"/>
    <w:rsid w:val="00453D01"/>
    <w:rsid w:val="004549B1"/>
    <w:rsid w:val="00456263"/>
    <w:rsid w:val="00456FCA"/>
    <w:rsid w:val="004571B8"/>
    <w:rsid w:val="00457253"/>
    <w:rsid w:val="00462880"/>
    <w:rsid w:val="00463344"/>
    <w:rsid w:val="004634B7"/>
    <w:rsid w:val="004635DB"/>
    <w:rsid w:val="00463E77"/>
    <w:rsid w:val="00464854"/>
    <w:rsid w:val="00464A5B"/>
    <w:rsid w:val="00464BFE"/>
    <w:rsid w:val="0046539A"/>
    <w:rsid w:val="00465AAC"/>
    <w:rsid w:val="00466119"/>
    <w:rsid w:val="0046676F"/>
    <w:rsid w:val="004667CC"/>
    <w:rsid w:val="00466C86"/>
    <w:rsid w:val="00473291"/>
    <w:rsid w:val="00473C79"/>
    <w:rsid w:val="00473D14"/>
    <w:rsid w:val="00473E8B"/>
    <w:rsid w:val="004744B4"/>
    <w:rsid w:val="00475D47"/>
    <w:rsid w:val="004761A3"/>
    <w:rsid w:val="00476D3B"/>
    <w:rsid w:val="00476E85"/>
    <w:rsid w:val="00476F24"/>
    <w:rsid w:val="004777F3"/>
    <w:rsid w:val="00477F7A"/>
    <w:rsid w:val="0048021F"/>
    <w:rsid w:val="0048073C"/>
    <w:rsid w:val="004807B7"/>
    <w:rsid w:val="0048082D"/>
    <w:rsid w:val="0048092E"/>
    <w:rsid w:val="00481FAB"/>
    <w:rsid w:val="00482AFF"/>
    <w:rsid w:val="00483117"/>
    <w:rsid w:val="00484823"/>
    <w:rsid w:val="004849E1"/>
    <w:rsid w:val="00485233"/>
    <w:rsid w:val="004862CD"/>
    <w:rsid w:val="004862F0"/>
    <w:rsid w:val="00486632"/>
    <w:rsid w:val="00486C55"/>
    <w:rsid w:val="00487D6A"/>
    <w:rsid w:val="00487E5A"/>
    <w:rsid w:val="0049008A"/>
    <w:rsid w:val="0049030D"/>
    <w:rsid w:val="0049063A"/>
    <w:rsid w:val="004908A4"/>
    <w:rsid w:val="00491D39"/>
    <w:rsid w:val="00492C5B"/>
    <w:rsid w:val="00493563"/>
    <w:rsid w:val="00494536"/>
    <w:rsid w:val="00494B86"/>
    <w:rsid w:val="0049582A"/>
    <w:rsid w:val="004958AF"/>
    <w:rsid w:val="00495995"/>
    <w:rsid w:val="004961B8"/>
    <w:rsid w:val="00496294"/>
    <w:rsid w:val="00496D4A"/>
    <w:rsid w:val="004972BC"/>
    <w:rsid w:val="00497952"/>
    <w:rsid w:val="004A09F1"/>
    <w:rsid w:val="004A12C7"/>
    <w:rsid w:val="004A1BBB"/>
    <w:rsid w:val="004A2CF4"/>
    <w:rsid w:val="004A3D6C"/>
    <w:rsid w:val="004A3DAA"/>
    <w:rsid w:val="004A3FF1"/>
    <w:rsid w:val="004A419C"/>
    <w:rsid w:val="004A4C12"/>
    <w:rsid w:val="004A4CBC"/>
    <w:rsid w:val="004A53B0"/>
    <w:rsid w:val="004A5AC7"/>
    <w:rsid w:val="004A60EA"/>
    <w:rsid w:val="004A6483"/>
    <w:rsid w:val="004A6D3B"/>
    <w:rsid w:val="004B0C16"/>
    <w:rsid w:val="004B0CED"/>
    <w:rsid w:val="004B10DC"/>
    <w:rsid w:val="004B1E39"/>
    <w:rsid w:val="004B29F7"/>
    <w:rsid w:val="004B2D1D"/>
    <w:rsid w:val="004B37AD"/>
    <w:rsid w:val="004B38AB"/>
    <w:rsid w:val="004B391D"/>
    <w:rsid w:val="004B391F"/>
    <w:rsid w:val="004B3BA2"/>
    <w:rsid w:val="004B3F76"/>
    <w:rsid w:val="004B3FED"/>
    <w:rsid w:val="004B552F"/>
    <w:rsid w:val="004B57CC"/>
    <w:rsid w:val="004B6442"/>
    <w:rsid w:val="004B6738"/>
    <w:rsid w:val="004B7721"/>
    <w:rsid w:val="004B78B6"/>
    <w:rsid w:val="004C0002"/>
    <w:rsid w:val="004C002F"/>
    <w:rsid w:val="004C0310"/>
    <w:rsid w:val="004C0C06"/>
    <w:rsid w:val="004C0EAB"/>
    <w:rsid w:val="004C1458"/>
    <w:rsid w:val="004C1C20"/>
    <w:rsid w:val="004C1C9F"/>
    <w:rsid w:val="004C20E1"/>
    <w:rsid w:val="004C2ED7"/>
    <w:rsid w:val="004C3246"/>
    <w:rsid w:val="004C365B"/>
    <w:rsid w:val="004C37B4"/>
    <w:rsid w:val="004C4CF1"/>
    <w:rsid w:val="004C5381"/>
    <w:rsid w:val="004C55B0"/>
    <w:rsid w:val="004C5BFB"/>
    <w:rsid w:val="004C6247"/>
    <w:rsid w:val="004C6420"/>
    <w:rsid w:val="004D0866"/>
    <w:rsid w:val="004D0A80"/>
    <w:rsid w:val="004D1198"/>
    <w:rsid w:val="004D13C5"/>
    <w:rsid w:val="004D1952"/>
    <w:rsid w:val="004D279C"/>
    <w:rsid w:val="004D28B0"/>
    <w:rsid w:val="004D38E6"/>
    <w:rsid w:val="004D3B38"/>
    <w:rsid w:val="004D400C"/>
    <w:rsid w:val="004D441A"/>
    <w:rsid w:val="004D4599"/>
    <w:rsid w:val="004D46FD"/>
    <w:rsid w:val="004D5D2C"/>
    <w:rsid w:val="004D5E0E"/>
    <w:rsid w:val="004D5F42"/>
    <w:rsid w:val="004D690B"/>
    <w:rsid w:val="004D69A6"/>
    <w:rsid w:val="004D6E5B"/>
    <w:rsid w:val="004D74CB"/>
    <w:rsid w:val="004D7BEE"/>
    <w:rsid w:val="004D7FA4"/>
    <w:rsid w:val="004E097F"/>
    <w:rsid w:val="004E0FFE"/>
    <w:rsid w:val="004E1D34"/>
    <w:rsid w:val="004E3F1B"/>
    <w:rsid w:val="004E4315"/>
    <w:rsid w:val="004E45A9"/>
    <w:rsid w:val="004E4C36"/>
    <w:rsid w:val="004E6009"/>
    <w:rsid w:val="004E6820"/>
    <w:rsid w:val="004E6D06"/>
    <w:rsid w:val="004E6D18"/>
    <w:rsid w:val="004E71C2"/>
    <w:rsid w:val="004E73EA"/>
    <w:rsid w:val="004E7779"/>
    <w:rsid w:val="004E7E5F"/>
    <w:rsid w:val="004F061C"/>
    <w:rsid w:val="004F06CF"/>
    <w:rsid w:val="004F0A6F"/>
    <w:rsid w:val="004F151E"/>
    <w:rsid w:val="004F155B"/>
    <w:rsid w:val="004F1856"/>
    <w:rsid w:val="004F27A7"/>
    <w:rsid w:val="004F2AC8"/>
    <w:rsid w:val="004F2E37"/>
    <w:rsid w:val="004F3597"/>
    <w:rsid w:val="004F3B0A"/>
    <w:rsid w:val="004F3DB7"/>
    <w:rsid w:val="004F4A23"/>
    <w:rsid w:val="004F4F12"/>
    <w:rsid w:val="004F5577"/>
    <w:rsid w:val="004F5BB6"/>
    <w:rsid w:val="004F6B69"/>
    <w:rsid w:val="004F6BA0"/>
    <w:rsid w:val="004F74FF"/>
    <w:rsid w:val="004F7FA5"/>
    <w:rsid w:val="00500485"/>
    <w:rsid w:val="0050067E"/>
    <w:rsid w:val="00500D0D"/>
    <w:rsid w:val="005013B2"/>
    <w:rsid w:val="00501F57"/>
    <w:rsid w:val="00502724"/>
    <w:rsid w:val="00502B20"/>
    <w:rsid w:val="00502E9A"/>
    <w:rsid w:val="00503B24"/>
    <w:rsid w:val="00503BEA"/>
    <w:rsid w:val="005040D8"/>
    <w:rsid w:val="005042DF"/>
    <w:rsid w:val="0050499A"/>
    <w:rsid w:val="00505B5C"/>
    <w:rsid w:val="00505E65"/>
    <w:rsid w:val="0050603C"/>
    <w:rsid w:val="0050627E"/>
    <w:rsid w:val="00506870"/>
    <w:rsid w:val="005074D1"/>
    <w:rsid w:val="00507D24"/>
    <w:rsid w:val="00510206"/>
    <w:rsid w:val="00510259"/>
    <w:rsid w:val="005105F0"/>
    <w:rsid w:val="005107A4"/>
    <w:rsid w:val="00510867"/>
    <w:rsid w:val="00510C84"/>
    <w:rsid w:val="00510E57"/>
    <w:rsid w:val="00511222"/>
    <w:rsid w:val="00511975"/>
    <w:rsid w:val="00511BE6"/>
    <w:rsid w:val="005121A4"/>
    <w:rsid w:val="00512243"/>
    <w:rsid w:val="0051256D"/>
    <w:rsid w:val="00512898"/>
    <w:rsid w:val="00512985"/>
    <w:rsid w:val="00513103"/>
    <w:rsid w:val="00513724"/>
    <w:rsid w:val="00513BDB"/>
    <w:rsid w:val="00514388"/>
    <w:rsid w:val="005156AF"/>
    <w:rsid w:val="00517CCE"/>
    <w:rsid w:val="0052180E"/>
    <w:rsid w:val="00522388"/>
    <w:rsid w:val="005225D9"/>
    <w:rsid w:val="0052267B"/>
    <w:rsid w:val="00523177"/>
    <w:rsid w:val="0052329E"/>
    <w:rsid w:val="0052346E"/>
    <w:rsid w:val="00523482"/>
    <w:rsid w:val="00524193"/>
    <w:rsid w:val="0052423C"/>
    <w:rsid w:val="005259F1"/>
    <w:rsid w:val="00525E51"/>
    <w:rsid w:val="00525F4F"/>
    <w:rsid w:val="005269A9"/>
    <w:rsid w:val="005269EF"/>
    <w:rsid w:val="00526F46"/>
    <w:rsid w:val="00526FE3"/>
    <w:rsid w:val="005274BB"/>
    <w:rsid w:val="0052769C"/>
    <w:rsid w:val="00527EA4"/>
    <w:rsid w:val="0053087B"/>
    <w:rsid w:val="005309A1"/>
    <w:rsid w:val="005311C1"/>
    <w:rsid w:val="00531F0C"/>
    <w:rsid w:val="005321FD"/>
    <w:rsid w:val="005327E0"/>
    <w:rsid w:val="005327EA"/>
    <w:rsid w:val="0053285C"/>
    <w:rsid w:val="00532F7F"/>
    <w:rsid w:val="005331E8"/>
    <w:rsid w:val="00533274"/>
    <w:rsid w:val="00533616"/>
    <w:rsid w:val="00533945"/>
    <w:rsid w:val="0053462C"/>
    <w:rsid w:val="00534951"/>
    <w:rsid w:val="00534C37"/>
    <w:rsid w:val="00534E21"/>
    <w:rsid w:val="00535807"/>
    <w:rsid w:val="00535832"/>
    <w:rsid w:val="00535ABA"/>
    <w:rsid w:val="005360A3"/>
    <w:rsid w:val="0053642F"/>
    <w:rsid w:val="0053768B"/>
    <w:rsid w:val="0054018E"/>
    <w:rsid w:val="00540909"/>
    <w:rsid w:val="00540CF5"/>
    <w:rsid w:val="00541BB7"/>
    <w:rsid w:val="005420F2"/>
    <w:rsid w:val="0054214A"/>
    <w:rsid w:val="0054285C"/>
    <w:rsid w:val="005436E9"/>
    <w:rsid w:val="005439ED"/>
    <w:rsid w:val="005441D4"/>
    <w:rsid w:val="00544F05"/>
    <w:rsid w:val="00544FDC"/>
    <w:rsid w:val="00545E41"/>
    <w:rsid w:val="00546751"/>
    <w:rsid w:val="00546CA5"/>
    <w:rsid w:val="00546E33"/>
    <w:rsid w:val="00547EC6"/>
    <w:rsid w:val="005519C4"/>
    <w:rsid w:val="00551FCC"/>
    <w:rsid w:val="00552878"/>
    <w:rsid w:val="005528F2"/>
    <w:rsid w:val="00552AED"/>
    <w:rsid w:val="00552C73"/>
    <w:rsid w:val="00552EC7"/>
    <w:rsid w:val="00552F98"/>
    <w:rsid w:val="00553474"/>
    <w:rsid w:val="00553502"/>
    <w:rsid w:val="00554057"/>
    <w:rsid w:val="005546EB"/>
    <w:rsid w:val="00554D85"/>
    <w:rsid w:val="00554F1B"/>
    <w:rsid w:val="005551A0"/>
    <w:rsid w:val="00555488"/>
    <w:rsid w:val="00555597"/>
    <w:rsid w:val="00555D44"/>
    <w:rsid w:val="00555E14"/>
    <w:rsid w:val="00556146"/>
    <w:rsid w:val="005562A5"/>
    <w:rsid w:val="005568AC"/>
    <w:rsid w:val="005574AF"/>
    <w:rsid w:val="00560769"/>
    <w:rsid w:val="00560B30"/>
    <w:rsid w:val="00560DB6"/>
    <w:rsid w:val="00561615"/>
    <w:rsid w:val="005616C8"/>
    <w:rsid w:val="00561C92"/>
    <w:rsid w:val="00561E20"/>
    <w:rsid w:val="005623D4"/>
    <w:rsid w:val="005627F7"/>
    <w:rsid w:val="00562958"/>
    <w:rsid w:val="005635EE"/>
    <w:rsid w:val="00563E07"/>
    <w:rsid w:val="0056417B"/>
    <w:rsid w:val="00564BC6"/>
    <w:rsid w:val="00564DAD"/>
    <w:rsid w:val="00564E6B"/>
    <w:rsid w:val="005657A2"/>
    <w:rsid w:val="00565E16"/>
    <w:rsid w:val="00566FC6"/>
    <w:rsid w:val="0056717E"/>
    <w:rsid w:val="0057029C"/>
    <w:rsid w:val="00570AA4"/>
    <w:rsid w:val="00571522"/>
    <w:rsid w:val="00571AA3"/>
    <w:rsid w:val="0057205E"/>
    <w:rsid w:val="00572759"/>
    <w:rsid w:val="00572910"/>
    <w:rsid w:val="00572DDF"/>
    <w:rsid w:val="0057318D"/>
    <w:rsid w:val="00573978"/>
    <w:rsid w:val="00573A7D"/>
    <w:rsid w:val="00573C6F"/>
    <w:rsid w:val="0057406F"/>
    <w:rsid w:val="00574849"/>
    <w:rsid w:val="00574FB5"/>
    <w:rsid w:val="00574FE5"/>
    <w:rsid w:val="0057627B"/>
    <w:rsid w:val="00576CC0"/>
    <w:rsid w:val="005770E8"/>
    <w:rsid w:val="00577326"/>
    <w:rsid w:val="00577B1E"/>
    <w:rsid w:val="00577C01"/>
    <w:rsid w:val="00577DD2"/>
    <w:rsid w:val="00577F76"/>
    <w:rsid w:val="005805B0"/>
    <w:rsid w:val="00580D5E"/>
    <w:rsid w:val="00582F9D"/>
    <w:rsid w:val="00582FDE"/>
    <w:rsid w:val="00583035"/>
    <w:rsid w:val="00583D01"/>
    <w:rsid w:val="0058404B"/>
    <w:rsid w:val="00584173"/>
    <w:rsid w:val="00584B36"/>
    <w:rsid w:val="00584F6E"/>
    <w:rsid w:val="005861A6"/>
    <w:rsid w:val="00586341"/>
    <w:rsid w:val="00586CE1"/>
    <w:rsid w:val="00587C4B"/>
    <w:rsid w:val="00587D94"/>
    <w:rsid w:val="00590077"/>
    <w:rsid w:val="0059070E"/>
    <w:rsid w:val="005909D2"/>
    <w:rsid w:val="00591405"/>
    <w:rsid w:val="00591F4A"/>
    <w:rsid w:val="00592453"/>
    <w:rsid w:val="0059265A"/>
    <w:rsid w:val="0059318E"/>
    <w:rsid w:val="005936FF"/>
    <w:rsid w:val="00593BF8"/>
    <w:rsid w:val="00593DB8"/>
    <w:rsid w:val="005942A8"/>
    <w:rsid w:val="005943EE"/>
    <w:rsid w:val="00594593"/>
    <w:rsid w:val="0059513F"/>
    <w:rsid w:val="005953D3"/>
    <w:rsid w:val="00595520"/>
    <w:rsid w:val="00595CB0"/>
    <w:rsid w:val="005967A9"/>
    <w:rsid w:val="00597002"/>
    <w:rsid w:val="005A056D"/>
    <w:rsid w:val="005A0673"/>
    <w:rsid w:val="005A103A"/>
    <w:rsid w:val="005A1424"/>
    <w:rsid w:val="005A1C0C"/>
    <w:rsid w:val="005A2255"/>
    <w:rsid w:val="005A233D"/>
    <w:rsid w:val="005A3455"/>
    <w:rsid w:val="005A3E47"/>
    <w:rsid w:val="005A44B9"/>
    <w:rsid w:val="005A47CA"/>
    <w:rsid w:val="005A4ABA"/>
    <w:rsid w:val="005A7327"/>
    <w:rsid w:val="005A7C26"/>
    <w:rsid w:val="005B0269"/>
    <w:rsid w:val="005B057E"/>
    <w:rsid w:val="005B086C"/>
    <w:rsid w:val="005B1A85"/>
    <w:rsid w:val="005B1BA0"/>
    <w:rsid w:val="005B1E58"/>
    <w:rsid w:val="005B27C3"/>
    <w:rsid w:val="005B2897"/>
    <w:rsid w:val="005B336F"/>
    <w:rsid w:val="005B3C6A"/>
    <w:rsid w:val="005B3DB3"/>
    <w:rsid w:val="005B4980"/>
    <w:rsid w:val="005B532A"/>
    <w:rsid w:val="005B57C5"/>
    <w:rsid w:val="005B73B9"/>
    <w:rsid w:val="005B7C56"/>
    <w:rsid w:val="005B7D69"/>
    <w:rsid w:val="005C1055"/>
    <w:rsid w:val="005C1992"/>
    <w:rsid w:val="005C265F"/>
    <w:rsid w:val="005C28CC"/>
    <w:rsid w:val="005C2A6F"/>
    <w:rsid w:val="005C2A86"/>
    <w:rsid w:val="005C3B34"/>
    <w:rsid w:val="005C4D02"/>
    <w:rsid w:val="005C5743"/>
    <w:rsid w:val="005C5A1D"/>
    <w:rsid w:val="005C5CBB"/>
    <w:rsid w:val="005C5F41"/>
    <w:rsid w:val="005C61E8"/>
    <w:rsid w:val="005C6884"/>
    <w:rsid w:val="005C6AE3"/>
    <w:rsid w:val="005C7174"/>
    <w:rsid w:val="005C7CE7"/>
    <w:rsid w:val="005D000F"/>
    <w:rsid w:val="005D05B6"/>
    <w:rsid w:val="005D0799"/>
    <w:rsid w:val="005D07FD"/>
    <w:rsid w:val="005D0996"/>
    <w:rsid w:val="005D14AA"/>
    <w:rsid w:val="005D15CA"/>
    <w:rsid w:val="005D2EB2"/>
    <w:rsid w:val="005D2FC8"/>
    <w:rsid w:val="005D3348"/>
    <w:rsid w:val="005D4ED1"/>
    <w:rsid w:val="005D5440"/>
    <w:rsid w:val="005D6DC0"/>
    <w:rsid w:val="005D73A7"/>
    <w:rsid w:val="005D76BD"/>
    <w:rsid w:val="005D79B3"/>
    <w:rsid w:val="005E2071"/>
    <w:rsid w:val="005E2356"/>
    <w:rsid w:val="005E3B52"/>
    <w:rsid w:val="005E56CD"/>
    <w:rsid w:val="005E57C3"/>
    <w:rsid w:val="005E5CF5"/>
    <w:rsid w:val="005E70EA"/>
    <w:rsid w:val="005F0701"/>
    <w:rsid w:val="005F0F7C"/>
    <w:rsid w:val="005F14EB"/>
    <w:rsid w:val="005F1A1E"/>
    <w:rsid w:val="005F200A"/>
    <w:rsid w:val="005F20FD"/>
    <w:rsid w:val="005F2A22"/>
    <w:rsid w:val="005F2A64"/>
    <w:rsid w:val="005F3066"/>
    <w:rsid w:val="005F3C5B"/>
    <w:rsid w:val="005F3E61"/>
    <w:rsid w:val="005F48E8"/>
    <w:rsid w:val="005F4FA5"/>
    <w:rsid w:val="005F4FE7"/>
    <w:rsid w:val="005F53CC"/>
    <w:rsid w:val="005F568A"/>
    <w:rsid w:val="005F5920"/>
    <w:rsid w:val="005F5F36"/>
    <w:rsid w:val="005F5F8A"/>
    <w:rsid w:val="005F745F"/>
    <w:rsid w:val="005F799D"/>
    <w:rsid w:val="00600384"/>
    <w:rsid w:val="00600F73"/>
    <w:rsid w:val="00601186"/>
    <w:rsid w:val="00601389"/>
    <w:rsid w:val="00601393"/>
    <w:rsid w:val="0060207C"/>
    <w:rsid w:val="00603295"/>
    <w:rsid w:val="00603A2F"/>
    <w:rsid w:val="00604735"/>
    <w:rsid w:val="00604815"/>
    <w:rsid w:val="00604DDD"/>
    <w:rsid w:val="00604E19"/>
    <w:rsid w:val="00605724"/>
    <w:rsid w:val="00605A8A"/>
    <w:rsid w:val="00605BAA"/>
    <w:rsid w:val="00606380"/>
    <w:rsid w:val="006066EE"/>
    <w:rsid w:val="006073EB"/>
    <w:rsid w:val="00607A98"/>
    <w:rsid w:val="006109C8"/>
    <w:rsid w:val="006115CC"/>
    <w:rsid w:val="00611FC4"/>
    <w:rsid w:val="006128E4"/>
    <w:rsid w:val="00614105"/>
    <w:rsid w:val="00614380"/>
    <w:rsid w:val="006149E2"/>
    <w:rsid w:val="006151F6"/>
    <w:rsid w:val="00615448"/>
    <w:rsid w:val="00615B65"/>
    <w:rsid w:val="006160CE"/>
    <w:rsid w:val="00616567"/>
    <w:rsid w:val="00616979"/>
    <w:rsid w:val="00616F19"/>
    <w:rsid w:val="006176FB"/>
    <w:rsid w:val="00621278"/>
    <w:rsid w:val="0062179C"/>
    <w:rsid w:val="00621A2A"/>
    <w:rsid w:val="00623656"/>
    <w:rsid w:val="006236D0"/>
    <w:rsid w:val="0062508A"/>
    <w:rsid w:val="006252D2"/>
    <w:rsid w:val="0062578E"/>
    <w:rsid w:val="00626B06"/>
    <w:rsid w:val="00627420"/>
    <w:rsid w:val="006278BD"/>
    <w:rsid w:val="00630D05"/>
    <w:rsid w:val="00630FCB"/>
    <w:rsid w:val="006318F1"/>
    <w:rsid w:val="00631C64"/>
    <w:rsid w:val="0063229B"/>
    <w:rsid w:val="00634406"/>
    <w:rsid w:val="006350C8"/>
    <w:rsid w:val="0063530D"/>
    <w:rsid w:val="00635773"/>
    <w:rsid w:val="00635BDB"/>
    <w:rsid w:val="00635D42"/>
    <w:rsid w:val="00636471"/>
    <w:rsid w:val="0063729E"/>
    <w:rsid w:val="006373B8"/>
    <w:rsid w:val="00637E48"/>
    <w:rsid w:val="0064002E"/>
    <w:rsid w:val="006402F1"/>
    <w:rsid w:val="006403F0"/>
    <w:rsid w:val="006404ED"/>
    <w:rsid w:val="00640587"/>
    <w:rsid w:val="00640B26"/>
    <w:rsid w:val="00640ECA"/>
    <w:rsid w:val="006411A3"/>
    <w:rsid w:val="006423A3"/>
    <w:rsid w:val="006436E1"/>
    <w:rsid w:val="0064370E"/>
    <w:rsid w:val="00643D64"/>
    <w:rsid w:val="006443A7"/>
    <w:rsid w:val="0064443E"/>
    <w:rsid w:val="00644854"/>
    <w:rsid w:val="00644E1A"/>
    <w:rsid w:val="006457D2"/>
    <w:rsid w:val="006459DE"/>
    <w:rsid w:val="00645CD0"/>
    <w:rsid w:val="0064635A"/>
    <w:rsid w:val="00646597"/>
    <w:rsid w:val="00646C92"/>
    <w:rsid w:val="00646CF8"/>
    <w:rsid w:val="00646D55"/>
    <w:rsid w:val="00647D43"/>
    <w:rsid w:val="0065078A"/>
    <w:rsid w:val="00651BCE"/>
    <w:rsid w:val="00651E05"/>
    <w:rsid w:val="00652ED1"/>
    <w:rsid w:val="00653605"/>
    <w:rsid w:val="00653723"/>
    <w:rsid w:val="006540FE"/>
    <w:rsid w:val="00654B99"/>
    <w:rsid w:val="00654EF8"/>
    <w:rsid w:val="006554CE"/>
    <w:rsid w:val="00655FDE"/>
    <w:rsid w:val="00656F48"/>
    <w:rsid w:val="00657CAF"/>
    <w:rsid w:val="00660516"/>
    <w:rsid w:val="00660C5D"/>
    <w:rsid w:val="00661141"/>
    <w:rsid w:val="0066118B"/>
    <w:rsid w:val="0066132B"/>
    <w:rsid w:val="00661A4B"/>
    <w:rsid w:val="006621AD"/>
    <w:rsid w:val="00662F3B"/>
    <w:rsid w:val="0066362A"/>
    <w:rsid w:val="00663F89"/>
    <w:rsid w:val="0066440B"/>
    <w:rsid w:val="006644D9"/>
    <w:rsid w:val="00664A5A"/>
    <w:rsid w:val="00664DE6"/>
    <w:rsid w:val="006656F4"/>
    <w:rsid w:val="00665811"/>
    <w:rsid w:val="006660E5"/>
    <w:rsid w:val="0066656C"/>
    <w:rsid w:val="0066713E"/>
    <w:rsid w:val="0066753F"/>
    <w:rsid w:val="00667E95"/>
    <w:rsid w:val="00667FA2"/>
    <w:rsid w:val="006756D5"/>
    <w:rsid w:val="006757B4"/>
    <w:rsid w:val="00675DBD"/>
    <w:rsid w:val="0067671E"/>
    <w:rsid w:val="00676E81"/>
    <w:rsid w:val="00676ECE"/>
    <w:rsid w:val="006770B2"/>
    <w:rsid w:val="00677A63"/>
    <w:rsid w:val="00677BA3"/>
    <w:rsid w:val="00677D70"/>
    <w:rsid w:val="00677DF4"/>
    <w:rsid w:val="006807A4"/>
    <w:rsid w:val="00680A25"/>
    <w:rsid w:val="00681EC4"/>
    <w:rsid w:val="00683167"/>
    <w:rsid w:val="00683419"/>
    <w:rsid w:val="00683C0A"/>
    <w:rsid w:val="00684468"/>
    <w:rsid w:val="00684582"/>
    <w:rsid w:val="00684ADC"/>
    <w:rsid w:val="00684BFA"/>
    <w:rsid w:val="00684F93"/>
    <w:rsid w:val="0068607E"/>
    <w:rsid w:val="00686533"/>
    <w:rsid w:val="0068672A"/>
    <w:rsid w:val="006873A3"/>
    <w:rsid w:val="0068782B"/>
    <w:rsid w:val="00690DD3"/>
    <w:rsid w:val="0069129E"/>
    <w:rsid w:val="006913E1"/>
    <w:rsid w:val="00691D51"/>
    <w:rsid w:val="00691D9A"/>
    <w:rsid w:val="0069261C"/>
    <w:rsid w:val="006929EE"/>
    <w:rsid w:val="0069319A"/>
    <w:rsid w:val="006938DA"/>
    <w:rsid w:val="006940E1"/>
    <w:rsid w:val="006952E3"/>
    <w:rsid w:val="00696757"/>
    <w:rsid w:val="00696934"/>
    <w:rsid w:val="006A06F7"/>
    <w:rsid w:val="006A1843"/>
    <w:rsid w:val="006A1F0D"/>
    <w:rsid w:val="006A210D"/>
    <w:rsid w:val="006A23FF"/>
    <w:rsid w:val="006A26FC"/>
    <w:rsid w:val="006A28A3"/>
    <w:rsid w:val="006A3044"/>
    <w:rsid w:val="006A3446"/>
    <w:rsid w:val="006A3C72"/>
    <w:rsid w:val="006A48F6"/>
    <w:rsid w:val="006A5423"/>
    <w:rsid w:val="006A60D7"/>
    <w:rsid w:val="006A6866"/>
    <w:rsid w:val="006A6D38"/>
    <w:rsid w:val="006A7392"/>
    <w:rsid w:val="006A7975"/>
    <w:rsid w:val="006B0381"/>
    <w:rsid w:val="006B03A1"/>
    <w:rsid w:val="006B1814"/>
    <w:rsid w:val="006B2159"/>
    <w:rsid w:val="006B2C24"/>
    <w:rsid w:val="006B3019"/>
    <w:rsid w:val="006B381B"/>
    <w:rsid w:val="006B3DDD"/>
    <w:rsid w:val="006B3E69"/>
    <w:rsid w:val="006B3EFA"/>
    <w:rsid w:val="006B4414"/>
    <w:rsid w:val="006B4B83"/>
    <w:rsid w:val="006B4D0C"/>
    <w:rsid w:val="006B67D9"/>
    <w:rsid w:val="006B6B10"/>
    <w:rsid w:val="006B6F51"/>
    <w:rsid w:val="006C1169"/>
    <w:rsid w:val="006C12A8"/>
    <w:rsid w:val="006C1436"/>
    <w:rsid w:val="006C1B49"/>
    <w:rsid w:val="006C2AA6"/>
    <w:rsid w:val="006C2E89"/>
    <w:rsid w:val="006C350B"/>
    <w:rsid w:val="006C43A4"/>
    <w:rsid w:val="006C5535"/>
    <w:rsid w:val="006C6708"/>
    <w:rsid w:val="006C7381"/>
    <w:rsid w:val="006C7DBA"/>
    <w:rsid w:val="006D0589"/>
    <w:rsid w:val="006D068B"/>
    <w:rsid w:val="006D08AE"/>
    <w:rsid w:val="006D0D23"/>
    <w:rsid w:val="006D1348"/>
    <w:rsid w:val="006D15BB"/>
    <w:rsid w:val="006D1655"/>
    <w:rsid w:val="006D17D3"/>
    <w:rsid w:val="006D1CCC"/>
    <w:rsid w:val="006D1E17"/>
    <w:rsid w:val="006D1E6D"/>
    <w:rsid w:val="006D2932"/>
    <w:rsid w:val="006D293C"/>
    <w:rsid w:val="006D366B"/>
    <w:rsid w:val="006D3774"/>
    <w:rsid w:val="006D40FA"/>
    <w:rsid w:val="006D4F4B"/>
    <w:rsid w:val="006D5619"/>
    <w:rsid w:val="006D5624"/>
    <w:rsid w:val="006D592C"/>
    <w:rsid w:val="006D639C"/>
    <w:rsid w:val="006D6A2E"/>
    <w:rsid w:val="006D6D9D"/>
    <w:rsid w:val="006D6ED2"/>
    <w:rsid w:val="006D7270"/>
    <w:rsid w:val="006D75E3"/>
    <w:rsid w:val="006D79B0"/>
    <w:rsid w:val="006D7BB5"/>
    <w:rsid w:val="006E0B0C"/>
    <w:rsid w:val="006E0DA0"/>
    <w:rsid w:val="006E1362"/>
    <w:rsid w:val="006E1689"/>
    <w:rsid w:val="006E189C"/>
    <w:rsid w:val="006E4992"/>
    <w:rsid w:val="006E4C73"/>
    <w:rsid w:val="006E4D92"/>
    <w:rsid w:val="006E4FEC"/>
    <w:rsid w:val="006E508F"/>
    <w:rsid w:val="006E564B"/>
    <w:rsid w:val="006E5DFA"/>
    <w:rsid w:val="006E5E48"/>
    <w:rsid w:val="006E5E9A"/>
    <w:rsid w:val="006E6E23"/>
    <w:rsid w:val="006E6F55"/>
    <w:rsid w:val="006E7154"/>
    <w:rsid w:val="006E7A2A"/>
    <w:rsid w:val="006E7CB7"/>
    <w:rsid w:val="006F20D3"/>
    <w:rsid w:val="006F23E9"/>
    <w:rsid w:val="006F35EF"/>
    <w:rsid w:val="006F3667"/>
    <w:rsid w:val="006F47E5"/>
    <w:rsid w:val="006F4C26"/>
    <w:rsid w:val="006F54AF"/>
    <w:rsid w:val="006F5A8D"/>
    <w:rsid w:val="006F68CC"/>
    <w:rsid w:val="006F7379"/>
    <w:rsid w:val="006F7606"/>
    <w:rsid w:val="006F7A38"/>
    <w:rsid w:val="006F7E76"/>
    <w:rsid w:val="007003CD"/>
    <w:rsid w:val="007007D3"/>
    <w:rsid w:val="00700DA2"/>
    <w:rsid w:val="007020E3"/>
    <w:rsid w:val="00703065"/>
    <w:rsid w:val="00703DAE"/>
    <w:rsid w:val="00703DF3"/>
    <w:rsid w:val="00705017"/>
    <w:rsid w:val="007056AF"/>
    <w:rsid w:val="00705B19"/>
    <w:rsid w:val="007062A9"/>
    <w:rsid w:val="00706FC1"/>
    <w:rsid w:val="0070701E"/>
    <w:rsid w:val="00707576"/>
    <w:rsid w:val="00707615"/>
    <w:rsid w:val="0071002A"/>
    <w:rsid w:val="0071002B"/>
    <w:rsid w:val="00710054"/>
    <w:rsid w:val="0071087A"/>
    <w:rsid w:val="007108B4"/>
    <w:rsid w:val="00710E5C"/>
    <w:rsid w:val="00711569"/>
    <w:rsid w:val="00711956"/>
    <w:rsid w:val="00712122"/>
    <w:rsid w:val="00712167"/>
    <w:rsid w:val="00712C76"/>
    <w:rsid w:val="00712E9B"/>
    <w:rsid w:val="00712FEC"/>
    <w:rsid w:val="007131D6"/>
    <w:rsid w:val="007134BB"/>
    <w:rsid w:val="00713686"/>
    <w:rsid w:val="00713D03"/>
    <w:rsid w:val="007140EF"/>
    <w:rsid w:val="0071428C"/>
    <w:rsid w:val="00716946"/>
    <w:rsid w:val="007170A9"/>
    <w:rsid w:val="007175C9"/>
    <w:rsid w:val="007200B5"/>
    <w:rsid w:val="0072016E"/>
    <w:rsid w:val="00720426"/>
    <w:rsid w:val="00720799"/>
    <w:rsid w:val="00721128"/>
    <w:rsid w:val="007211B1"/>
    <w:rsid w:val="00721281"/>
    <w:rsid w:val="00721300"/>
    <w:rsid w:val="00721863"/>
    <w:rsid w:val="0072271A"/>
    <w:rsid w:val="007249CA"/>
    <w:rsid w:val="00724AE6"/>
    <w:rsid w:val="00724CF9"/>
    <w:rsid w:val="00725947"/>
    <w:rsid w:val="00726140"/>
    <w:rsid w:val="00726202"/>
    <w:rsid w:val="0072632A"/>
    <w:rsid w:val="00727032"/>
    <w:rsid w:val="007272D0"/>
    <w:rsid w:val="007273F1"/>
    <w:rsid w:val="007303A8"/>
    <w:rsid w:val="007303AF"/>
    <w:rsid w:val="00730C7D"/>
    <w:rsid w:val="00732F4B"/>
    <w:rsid w:val="007337AC"/>
    <w:rsid w:val="007339F1"/>
    <w:rsid w:val="00733C38"/>
    <w:rsid w:val="00734703"/>
    <w:rsid w:val="007358E8"/>
    <w:rsid w:val="00735A5C"/>
    <w:rsid w:val="00735E86"/>
    <w:rsid w:val="00735F0D"/>
    <w:rsid w:val="0073606A"/>
    <w:rsid w:val="007365BA"/>
    <w:rsid w:val="00736ECE"/>
    <w:rsid w:val="007372B4"/>
    <w:rsid w:val="00740F2D"/>
    <w:rsid w:val="0074169F"/>
    <w:rsid w:val="00743044"/>
    <w:rsid w:val="00743572"/>
    <w:rsid w:val="0074438F"/>
    <w:rsid w:val="00744391"/>
    <w:rsid w:val="0074454C"/>
    <w:rsid w:val="0074476E"/>
    <w:rsid w:val="0074533B"/>
    <w:rsid w:val="00745DAA"/>
    <w:rsid w:val="0074600D"/>
    <w:rsid w:val="00746268"/>
    <w:rsid w:val="007464BC"/>
    <w:rsid w:val="007464D3"/>
    <w:rsid w:val="007468AE"/>
    <w:rsid w:val="00746974"/>
    <w:rsid w:val="00746BF4"/>
    <w:rsid w:val="00746E98"/>
    <w:rsid w:val="00747268"/>
    <w:rsid w:val="007474C1"/>
    <w:rsid w:val="007503FA"/>
    <w:rsid w:val="007506C0"/>
    <w:rsid w:val="00750827"/>
    <w:rsid w:val="007519A9"/>
    <w:rsid w:val="00752FC9"/>
    <w:rsid w:val="0075409D"/>
    <w:rsid w:val="00754666"/>
    <w:rsid w:val="00754904"/>
    <w:rsid w:val="0075565C"/>
    <w:rsid w:val="00755DF3"/>
    <w:rsid w:val="00756070"/>
    <w:rsid w:val="00756759"/>
    <w:rsid w:val="00757199"/>
    <w:rsid w:val="00757B22"/>
    <w:rsid w:val="00757F82"/>
    <w:rsid w:val="007609F3"/>
    <w:rsid w:val="00760F5C"/>
    <w:rsid w:val="00761282"/>
    <w:rsid w:val="00762A26"/>
    <w:rsid w:val="00762A4C"/>
    <w:rsid w:val="00762CAC"/>
    <w:rsid w:val="007637C6"/>
    <w:rsid w:val="00763954"/>
    <w:rsid w:val="007643BC"/>
    <w:rsid w:val="007644F6"/>
    <w:rsid w:val="00764A4C"/>
    <w:rsid w:val="007650F9"/>
    <w:rsid w:val="00765F1E"/>
    <w:rsid w:val="00767202"/>
    <w:rsid w:val="00767334"/>
    <w:rsid w:val="0076737C"/>
    <w:rsid w:val="0076784E"/>
    <w:rsid w:val="00767C3F"/>
    <w:rsid w:val="00770596"/>
    <w:rsid w:val="00770F5C"/>
    <w:rsid w:val="00771356"/>
    <w:rsid w:val="007716AC"/>
    <w:rsid w:val="007733BC"/>
    <w:rsid w:val="00775CF8"/>
    <w:rsid w:val="00775E15"/>
    <w:rsid w:val="00776065"/>
    <w:rsid w:val="0077656E"/>
    <w:rsid w:val="0077688F"/>
    <w:rsid w:val="00776AB8"/>
    <w:rsid w:val="00776BBE"/>
    <w:rsid w:val="007773AB"/>
    <w:rsid w:val="007773F3"/>
    <w:rsid w:val="0078043E"/>
    <w:rsid w:val="00780DE8"/>
    <w:rsid w:val="007831A4"/>
    <w:rsid w:val="0078358F"/>
    <w:rsid w:val="00783DCF"/>
    <w:rsid w:val="00783E00"/>
    <w:rsid w:val="0078427D"/>
    <w:rsid w:val="007856ED"/>
    <w:rsid w:val="0078599C"/>
    <w:rsid w:val="00785D6A"/>
    <w:rsid w:val="00786676"/>
    <w:rsid w:val="007900FD"/>
    <w:rsid w:val="00790A29"/>
    <w:rsid w:val="00791214"/>
    <w:rsid w:val="007924DF"/>
    <w:rsid w:val="00793292"/>
    <w:rsid w:val="007933A2"/>
    <w:rsid w:val="0079391D"/>
    <w:rsid w:val="00793FD1"/>
    <w:rsid w:val="007940F4"/>
    <w:rsid w:val="0079445B"/>
    <w:rsid w:val="0079456E"/>
    <w:rsid w:val="00794F12"/>
    <w:rsid w:val="00795746"/>
    <w:rsid w:val="007959FE"/>
    <w:rsid w:val="00797B1D"/>
    <w:rsid w:val="00797BE3"/>
    <w:rsid w:val="00797D19"/>
    <w:rsid w:val="007A0757"/>
    <w:rsid w:val="007A0CF1"/>
    <w:rsid w:val="007A133F"/>
    <w:rsid w:val="007A14B3"/>
    <w:rsid w:val="007A1E16"/>
    <w:rsid w:val="007A1E77"/>
    <w:rsid w:val="007A1F0E"/>
    <w:rsid w:val="007A23BF"/>
    <w:rsid w:val="007A257E"/>
    <w:rsid w:val="007A26AA"/>
    <w:rsid w:val="007A371B"/>
    <w:rsid w:val="007A37C9"/>
    <w:rsid w:val="007A38D4"/>
    <w:rsid w:val="007A3AB8"/>
    <w:rsid w:val="007A3B11"/>
    <w:rsid w:val="007A43F5"/>
    <w:rsid w:val="007A4610"/>
    <w:rsid w:val="007A51E2"/>
    <w:rsid w:val="007A574D"/>
    <w:rsid w:val="007A57D8"/>
    <w:rsid w:val="007A5F11"/>
    <w:rsid w:val="007A7311"/>
    <w:rsid w:val="007A75AF"/>
    <w:rsid w:val="007A7F2C"/>
    <w:rsid w:val="007B004A"/>
    <w:rsid w:val="007B0351"/>
    <w:rsid w:val="007B039A"/>
    <w:rsid w:val="007B0506"/>
    <w:rsid w:val="007B0699"/>
    <w:rsid w:val="007B21C0"/>
    <w:rsid w:val="007B228B"/>
    <w:rsid w:val="007B25B2"/>
    <w:rsid w:val="007B2D24"/>
    <w:rsid w:val="007B3393"/>
    <w:rsid w:val="007B3538"/>
    <w:rsid w:val="007B4ACB"/>
    <w:rsid w:val="007B518F"/>
    <w:rsid w:val="007B5A23"/>
    <w:rsid w:val="007B6A03"/>
    <w:rsid w:val="007B6BA5"/>
    <w:rsid w:val="007B73D0"/>
    <w:rsid w:val="007B7503"/>
    <w:rsid w:val="007B7D86"/>
    <w:rsid w:val="007C003D"/>
    <w:rsid w:val="007C1390"/>
    <w:rsid w:val="007C32BD"/>
    <w:rsid w:val="007C3390"/>
    <w:rsid w:val="007C3443"/>
    <w:rsid w:val="007C3F5D"/>
    <w:rsid w:val="007C42D8"/>
    <w:rsid w:val="007C4DF7"/>
    <w:rsid w:val="007C4F4B"/>
    <w:rsid w:val="007C5AD8"/>
    <w:rsid w:val="007C689F"/>
    <w:rsid w:val="007C735A"/>
    <w:rsid w:val="007C7A69"/>
    <w:rsid w:val="007D11CE"/>
    <w:rsid w:val="007D13B0"/>
    <w:rsid w:val="007D1459"/>
    <w:rsid w:val="007D2223"/>
    <w:rsid w:val="007D2E95"/>
    <w:rsid w:val="007D39FC"/>
    <w:rsid w:val="007D3EF7"/>
    <w:rsid w:val="007D48DB"/>
    <w:rsid w:val="007D4D75"/>
    <w:rsid w:val="007D4E5A"/>
    <w:rsid w:val="007D542B"/>
    <w:rsid w:val="007D5632"/>
    <w:rsid w:val="007D59EE"/>
    <w:rsid w:val="007D66C3"/>
    <w:rsid w:val="007D6BDD"/>
    <w:rsid w:val="007D7362"/>
    <w:rsid w:val="007D750A"/>
    <w:rsid w:val="007D78B6"/>
    <w:rsid w:val="007D7B8A"/>
    <w:rsid w:val="007E0837"/>
    <w:rsid w:val="007E0C26"/>
    <w:rsid w:val="007E0E23"/>
    <w:rsid w:val="007E18F5"/>
    <w:rsid w:val="007E23B2"/>
    <w:rsid w:val="007E3673"/>
    <w:rsid w:val="007E3A95"/>
    <w:rsid w:val="007E4048"/>
    <w:rsid w:val="007E442B"/>
    <w:rsid w:val="007E4C76"/>
    <w:rsid w:val="007E4F0E"/>
    <w:rsid w:val="007E551D"/>
    <w:rsid w:val="007E74CD"/>
    <w:rsid w:val="007E766D"/>
    <w:rsid w:val="007E7A96"/>
    <w:rsid w:val="007E7D0F"/>
    <w:rsid w:val="007F004C"/>
    <w:rsid w:val="007F074D"/>
    <w:rsid w:val="007F0BE6"/>
    <w:rsid w:val="007F1C04"/>
    <w:rsid w:val="007F23B3"/>
    <w:rsid w:val="007F2A65"/>
    <w:rsid w:val="007F3304"/>
    <w:rsid w:val="007F3849"/>
    <w:rsid w:val="007F4298"/>
    <w:rsid w:val="007F5028"/>
    <w:rsid w:val="007F515D"/>
    <w:rsid w:val="007F5444"/>
    <w:rsid w:val="007F5791"/>
    <w:rsid w:val="007F5B69"/>
    <w:rsid w:val="007F5CE2"/>
    <w:rsid w:val="007F6611"/>
    <w:rsid w:val="007F6C5B"/>
    <w:rsid w:val="007F77AA"/>
    <w:rsid w:val="007F7CEB"/>
    <w:rsid w:val="00800135"/>
    <w:rsid w:val="00800714"/>
    <w:rsid w:val="008009EC"/>
    <w:rsid w:val="00800BB7"/>
    <w:rsid w:val="00801761"/>
    <w:rsid w:val="00803446"/>
    <w:rsid w:val="00803856"/>
    <w:rsid w:val="00804242"/>
    <w:rsid w:val="00804716"/>
    <w:rsid w:val="008048DF"/>
    <w:rsid w:val="00804B8A"/>
    <w:rsid w:val="00806168"/>
    <w:rsid w:val="00806BBA"/>
    <w:rsid w:val="00806F0D"/>
    <w:rsid w:val="0080725A"/>
    <w:rsid w:val="0080738A"/>
    <w:rsid w:val="00807CB4"/>
    <w:rsid w:val="00810BAC"/>
    <w:rsid w:val="00811150"/>
    <w:rsid w:val="008114BA"/>
    <w:rsid w:val="008118F9"/>
    <w:rsid w:val="00811F5B"/>
    <w:rsid w:val="0081268F"/>
    <w:rsid w:val="0081298D"/>
    <w:rsid w:val="00812C75"/>
    <w:rsid w:val="00812FBB"/>
    <w:rsid w:val="00813929"/>
    <w:rsid w:val="00815EE4"/>
    <w:rsid w:val="008160FE"/>
    <w:rsid w:val="008164BD"/>
    <w:rsid w:val="00816A6D"/>
    <w:rsid w:val="00817465"/>
    <w:rsid w:val="008175E9"/>
    <w:rsid w:val="00817968"/>
    <w:rsid w:val="00820453"/>
    <w:rsid w:val="00820586"/>
    <w:rsid w:val="00820626"/>
    <w:rsid w:val="0082073F"/>
    <w:rsid w:val="00820A5B"/>
    <w:rsid w:val="00821377"/>
    <w:rsid w:val="00821F28"/>
    <w:rsid w:val="00822999"/>
    <w:rsid w:val="00823028"/>
    <w:rsid w:val="0082376F"/>
    <w:rsid w:val="00824165"/>
    <w:rsid w:val="008242D7"/>
    <w:rsid w:val="00825265"/>
    <w:rsid w:val="0082577B"/>
    <w:rsid w:val="00825912"/>
    <w:rsid w:val="00825DE2"/>
    <w:rsid w:val="00825E12"/>
    <w:rsid w:val="00825F0C"/>
    <w:rsid w:val="008262C6"/>
    <w:rsid w:val="00826CEF"/>
    <w:rsid w:val="00827799"/>
    <w:rsid w:val="00827DBC"/>
    <w:rsid w:val="00830739"/>
    <w:rsid w:val="00831006"/>
    <w:rsid w:val="00831060"/>
    <w:rsid w:val="00831CD7"/>
    <w:rsid w:val="00831E31"/>
    <w:rsid w:val="0083261E"/>
    <w:rsid w:val="00833401"/>
    <w:rsid w:val="0083346C"/>
    <w:rsid w:val="00834430"/>
    <w:rsid w:val="008344C8"/>
    <w:rsid w:val="0083533F"/>
    <w:rsid w:val="00836772"/>
    <w:rsid w:val="00836A74"/>
    <w:rsid w:val="00836AF6"/>
    <w:rsid w:val="00837433"/>
    <w:rsid w:val="008376B8"/>
    <w:rsid w:val="008408DF"/>
    <w:rsid w:val="00841ABA"/>
    <w:rsid w:val="008424BF"/>
    <w:rsid w:val="00842764"/>
    <w:rsid w:val="008441E3"/>
    <w:rsid w:val="00844D58"/>
    <w:rsid w:val="008451FE"/>
    <w:rsid w:val="00845445"/>
    <w:rsid w:val="0084589F"/>
    <w:rsid w:val="008466EA"/>
    <w:rsid w:val="00846D33"/>
    <w:rsid w:val="00847B75"/>
    <w:rsid w:val="0085036B"/>
    <w:rsid w:val="008507FB"/>
    <w:rsid w:val="00850F72"/>
    <w:rsid w:val="0085105C"/>
    <w:rsid w:val="00852083"/>
    <w:rsid w:val="0085252D"/>
    <w:rsid w:val="00852A8E"/>
    <w:rsid w:val="00852C65"/>
    <w:rsid w:val="00852CB8"/>
    <w:rsid w:val="00853822"/>
    <w:rsid w:val="00853AB8"/>
    <w:rsid w:val="00853F72"/>
    <w:rsid w:val="00854B1F"/>
    <w:rsid w:val="00854C8D"/>
    <w:rsid w:val="00854FEA"/>
    <w:rsid w:val="00855F1D"/>
    <w:rsid w:val="0085639E"/>
    <w:rsid w:val="0085694B"/>
    <w:rsid w:val="0085719D"/>
    <w:rsid w:val="008574D7"/>
    <w:rsid w:val="00857792"/>
    <w:rsid w:val="00857A12"/>
    <w:rsid w:val="00861DBC"/>
    <w:rsid w:val="00861F1B"/>
    <w:rsid w:val="008622AB"/>
    <w:rsid w:val="00862510"/>
    <w:rsid w:val="008626AF"/>
    <w:rsid w:val="00862A98"/>
    <w:rsid w:val="00864B3E"/>
    <w:rsid w:val="00864CFE"/>
    <w:rsid w:val="00864F55"/>
    <w:rsid w:val="00866893"/>
    <w:rsid w:val="00866F02"/>
    <w:rsid w:val="008672C5"/>
    <w:rsid w:val="00867A97"/>
    <w:rsid w:val="00867BE1"/>
    <w:rsid w:val="00867D18"/>
    <w:rsid w:val="00870795"/>
    <w:rsid w:val="00870B9B"/>
    <w:rsid w:val="00870C04"/>
    <w:rsid w:val="00871F9A"/>
    <w:rsid w:val="00871FD5"/>
    <w:rsid w:val="00872005"/>
    <w:rsid w:val="00872F57"/>
    <w:rsid w:val="00873C76"/>
    <w:rsid w:val="0087460F"/>
    <w:rsid w:val="00874621"/>
    <w:rsid w:val="00877022"/>
    <w:rsid w:val="0087785B"/>
    <w:rsid w:val="00877D39"/>
    <w:rsid w:val="00880387"/>
    <w:rsid w:val="0088082C"/>
    <w:rsid w:val="00880864"/>
    <w:rsid w:val="0088172E"/>
    <w:rsid w:val="00881B87"/>
    <w:rsid w:val="00881EAA"/>
    <w:rsid w:val="00881EFA"/>
    <w:rsid w:val="0088248C"/>
    <w:rsid w:val="00882597"/>
    <w:rsid w:val="0088281B"/>
    <w:rsid w:val="00882856"/>
    <w:rsid w:val="008828BA"/>
    <w:rsid w:val="00882D2F"/>
    <w:rsid w:val="00882F23"/>
    <w:rsid w:val="008831CB"/>
    <w:rsid w:val="00883A33"/>
    <w:rsid w:val="00883E35"/>
    <w:rsid w:val="00885277"/>
    <w:rsid w:val="00885C77"/>
    <w:rsid w:val="00885F19"/>
    <w:rsid w:val="008868D1"/>
    <w:rsid w:val="00886F7A"/>
    <w:rsid w:val="00887235"/>
    <w:rsid w:val="0088735D"/>
    <w:rsid w:val="00887900"/>
    <w:rsid w:val="008879CB"/>
    <w:rsid w:val="00890931"/>
    <w:rsid w:val="00890EB1"/>
    <w:rsid w:val="0089115F"/>
    <w:rsid w:val="00891413"/>
    <w:rsid w:val="008919F3"/>
    <w:rsid w:val="008926A3"/>
    <w:rsid w:val="00892904"/>
    <w:rsid w:val="00892D9F"/>
    <w:rsid w:val="00892DFA"/>
    <w:rsid w:val="00893207"/>
    <w:rsid w:val="00893AF8"/>
    <w:rsid w:val="00896D82"/>
    <w:rsid w:val="008971AC"/>
    <w:rsid w:val="0089750D"/>
    <w:rsid w:val="008979B1"/>
    <w:rsid w:val="00897ACD"/>
    <w:rsid w:val="008A00AA"/>
    <w:rsid w:val="008A03AA"/>
    <w:rsid w:val="008A053F"/>
    <w:rsid w:val="008A05ED"/>
    <w:rsid w:val="008A06C9"/>
    <w:rsid w:val="008A1913"/>
    <w:rsid w:val="008A3124"/>
    <w:rsid w:val="008A428B"/>
    <w:rsid w:val="008A4DEA"/>
    <w:rsid w:val="008A507C"/>
    <w:rsid w:val="008A536B"/>
    <w:rsid w:val="008A5AF7"/>
    <w:rsid w:val="008A6B25"/>
    <w:rsid w:val="008A6C4F"/>
    <w:rsid w:val="008A79D3"/>
    <w:rsid w:val="008A7A88"/>
    <w:rsid w:val="008B0174"/>
    <w:rsid w:val="008B0319"/>
    <w:rsid w:val="008B091D"/>
    <w:rsid w:val="008B1892"/>
    <w:rsid w:val="008B1AEA"/>
    <w:rsid w:val="008B25D6"/>
    <w:rsid w:val="008B2EF2"/>
    <w:rsid w:val="008B333A"/>
    <w:rsid w:val="008B3367"/>
    <w:rsid w:val="008B389E"/>
    <w:rsid w:val="008B3DFA"/>
    <w:rsid w:val="008B3F05"/>
    <w:rsid w:val="008B4542"/>
    <w:rsid w:val="008B4947"/>
    <w:rsid w:val="008B4E57"/>
    <w:rsid w:val="008B54BC"/>
    <w:rsid w:val="008B5531"/>
    <w:rsid w:val="008B57EC"/>
    <w:rsid w:val="008B5FE0"/>
    <w:rsid w:val="008B6400"/>
    <w:rsid w:val="008B6944"/>
    <w:rsid w:val="008B6B67"/>
    <w:rsid w:val="008B7619"/>
    <w:rsid w:val="008C073A"/>
    <w:rsid w:val="008C0F36"/>
    <w:rsid w:val="008C1034"/>
    <w:rsid w:val="008C1ADD"/>
    <w:rsid w:val="008C34FD"/>
    <w:rsid w:val="008C353E"/>
    <w:rsid w:val="008C3A15"/>
    <w:rsid w:val="008C4394"/>
    <w:rsid w:val="008C468A"/>
    <w:rsid w:val="008C5499"/>
    <w:rsid w:val="008C5BA0"/>
    <w:rsid w:val="008C6C31"/>
    <w:rsid w:val="008C713F"/>
    <w:rsid w:val="008C7D5B"/>
    <w:rsid w:val="008D045E"/>
    <w:rsid w:val="008D12BF"/>
    <w:rsid w:val="008D16EF"/>
    <w:rsid w:val="008D1B96"/>
    <w:rsid w:val="008D1D09"/>
    <w:rsid w:val="008D1EDF"/>
    <w:rsid w:val="008D282B"/>
    <w:rsid w:val="008D2C08"/>
    <w:rsid w:val="008D2FE6"/>
    <w:rsid w:val="008D36DC"/>
    <w:rsid w:val="008D3F25"/>
    <w:rsid w:val="008D4339"/>
    <w:rsid w:val="008D4546"/>
    <w:rsid w:val="008D4ABC"/>
    <w:rsid w:val="008D4D82"/>
    <w:rsid w:val="008D57F5"/>
    <w:rsid w:val="008D65C0"/>
    <w:rsid w:val="008D6EA9"/>
    <w:rsid w:val="008D76BD"/>
    <w:rsid w:val="008D76EA"/>
    <w:rsid w:val="008E0A3F"/>
    <w:rsid w:val="008E0E46"/>
    <w:rsid w:val="008E312B"/>
    <w:rsid w:val="008E31AA"/>
    <w:rsid w:val="008E34B9"/>
    <w:rsid w:val="008E3F25"/>
    <w:rsid w:val="008E42CC"/>
    <w:rsid w:val="008E504D"/>
    <w:rsid w:val="008E58AB"/>
    <w:rsid w:val="008E5BB5"/>
    <w:rsid w:val="008E6D6B"/>
    <w:rsid w:val="008E7116"/>
    <w:rsid w:val="008E7E29"/>
    <w:rsid w:val="008F09EE"/>
    <w:rsid w:val="008F143B"/>
    <w:rsid w:val="008F183D"/>
    <w:rsid w:val="008F195C"/>
    <w:rsid w:val="008F1A96"/>
    <w:rsid w:val="008F1E65"/>
    <w:rsid w:val="008F1FC4"/>
    <w:rsid w:val="008F2DEF"/>
    <w:rsid w:val="008F3612"/>
    <w:rsid w:val="008F3882"/>
    <w:rsid w:val="008F3979"/>
    <w:rsid w:val="008F4584"/>
    <w:rsid w:val="008F46B6"/>
    <w:rsid w:val="008F4B7C"/>
    <w:rsid w:val="008F6281"/>
    <w:rsid w:val="008F650D"/>
    <w:rsid w:val="008F6DB8"/>
    <w:rsid w:val="008F7C1E"/>
    <w:rsid w:val="0090081A"/>
    <w:rsid w:val="009009F0"/>
    <w:rsid w:val="00900A0C"/>
    <w:rsid w:val="00901863"/>
    <w:rsid w:val="0090195C"/>
    <w:rsid w:val="00901C10"/>
    <w:rsid w:val="00901D30"/>
    <w:rsid w:val="00901F6F"/>
    <w:rsid w:val="00902338"/>
    <w:rsid w:val="00902A20"/>
    <w:rsid w:val="00902A31"/>
    <w:rsid w:val="009037D6"/>
    <w:rsid w:val="009044F9"/>
    <w:rsid w:val="00904A9C"/>
    <w:rsid w:val="00905E5E"/>
    <w:rsid w:val="00906D6A"/>
    <w:rsid w:val="00907255"/>
    <w:rsid w:val="00907461"/>
    <w:rsid w:val="009077EF"/>
    <w:rsid w:val="00907DA9"/>
    <w:rsid w:val="009103B4"/>
    <w:rsid w:val="00910507"/>
    <w:rsid w:val="00910695"/>
    <w:rsid w:val="00910C49"/>
    <w:rsid w:val="00911CD3"/>
    <w:rsid w:val="00912547"/>
    <w:rsid w:val="009125DF"/>
    <w:rsid w:val="0091279A"/>
    <w:rsid w:val="00912A64"/>
    <w:rsid w:val="00912CEE"/>
    <w:rsid w:val="009130BD"/>
    <w:rsid w:val="00913394"/>
    <w:rsid w:val="009133C8"/>
    <w:rsid w:val="00913982"/>
    <w:rsid w:val="00913BA9"/>
    <w:rsid w:val="00913C16"/>
    <w:rsid w:val="00913D69"/>
    <w:rsid w:val="00913DCA"/>
    <w:rsid w:val="009142D5"/>
    <w:rsid w:val="009146FF"/>
    <w:rsid w:val="00914B7F"/>
    <w:rsid w:val="00914BD1"/>
    <w:rsid w:val="00914D5B"/>
    <w:rsid w:val="00914F84"/>
    <w:rsid w:val="00915B42"/>
    <w:rsid w:val="00915CB4"/>
    <w:rsid w:val="009165E5"/>
    <w:rsid w:val="00916D67"/>
    <w:rsid w:val="009173DA"/>
    <w:rsid w:val="00920202"/>
    <w:rsid w:val="00920AF2"/>
    <w:rsid w:val="00920D5E"/>
    <w:rsid w:val="009213DF"/>
    <w:rsid w:val="009213FD"/>
    <w:rsid w:val="00921572"/>
    <w:rsid w:val="00921A05"/>
    <w:rsid w:val="009225C4"/>
    <w:rsid w:val="00922C23"/>
    <w:rsid w:val="00923E82"/>
    <w:rsid w:val="0092437D"/>
    <w:rsid w:val="00925979"/>
    <w:rsid w:val="00925A4C"/>
    <w:rsid w:val="00926697"/>
    <w:rsid w:val="00926756"/>
    <w:rsid w:val="009268C7"/>
    <w:rsid w:val="00926E37"/>
    <w:rsid w:val="00926E47"/>
    <w:rsid w:val="00927F98"/>
    <w:rsid w:val="00930497"/>
    <w:rsid w:val="0093050C"/>
    <w:rsid w:val="0093147F"/>
    <w:rsid w:val="00931642"/>
    <w:rsid w:val="00932D55"/>
    <w:rsid w:val="0093389C"/>
    <w:rsid w:val="00934683"/>
    <w:rsid w:val="00934C66"/>
    <w:rsid w:val="0093525F"/>
    <w:rsid w:val="009352B8"/>
    <w:rsid w:val="0093581D"/>
    <w:rsid w:val="0093671D"/>
    <w:rsid w:val="009370B8"/>
    <w:rsid w:val="00937A89"/>
    <w:rsid w:val="00937B95"/>
    <w:rsid w:val="00937FFC"/>
    <w:rsid w:val="00940ABE"/>
    <w:rsid w:val="00940BDC"/>
    <w:rsid w:val="009416B0"/>
    <w:rsid w:val="00941A7A"/>
    <w:rsid w:val="00941A9B"/>
    <w:rsid w:val="00942566"/>
    <w:rsid w:val="009430C5"/>
    <w:rsid w:val="00943BD0"/>
    <w:rsid w:val="0094440B"/>
    <w:rsid w:val="00944A8A"/>
    <w:rsid w:val="00944F1C"/>
    <w:rsid w:val="00945165"/>
    <w:rsid w:val="00945631"/>
    <w:rsid w:val="00945A74"/>
    <w:rsid w:val="00945A87"/>
    <w:rsid w:val="0094684F"/>
    <w:rsid w:val="00946EA8"/>
    <w:rsid w:val="00947162"/>
    <w:rsid w:val="009476C8"/>
    <w:rsid w:val="00950346"/>
    <w:rsid w:val="009503CC"/>
    <w:rsid w:val="00950A2A"/>
    <w:rsid w:val="00950A5A"/>
    <w:rsid w:val="00950DBB"/>
    <w:rsid w:val="0095261B"/>
    <w:rsid w:val="00952BF2"/>
    <w:rsid w:val="00952CC3"/>
    <w:rsid w:val="009533F6"/>
    <w:rsid w:val="00953870"/>
    <w:rsid w:val="00953CF8"/>
    <w:rsid w:val="009542A2"/>
    <w:rsid w:val="00954588"/>
    <w:rsid w:val="00954E99"/>
    <w:rsid w:val="009557E7"/>
    <w:rsid w:val="00955D5F"/>
    <w:rsid w:val="00956BC9"/>
    <w:rsid w:val="00956F82"/>
    <w:rsid w:val="00960150"/>
    <w:rsid w:val="0096019E"/>
    <w:rsid w:val="00960AE4"/>
    <w:rsid w:val="009610D0"/>
    <w:rsid w:val="0096375C"/>
    <w:rsid w:val="00963C08"/>
    <w:rsid w:val="00964775"/>
    <w:rsid w:val="00965147"/>
    <w:rsid w:val="0096527B"/>
    <w:rsid w:val="009652D8"/>
    <w:rsid w:val="009659E2"/>
    <w:rsid w:val="00965E8F"/>
    <w:rsid w:val="0096614A"/>
    <w:rsid w:val="009662E6"/>
    <w:rsid w:val="00966ABE"/>
    <w:rsid w:val="009677EF"/>
    <w:rsid w:val="0096793D"/>
    <w:rsid w:val="00967E0A"/>
    <w:rsid w:val="009707C3"/>
    <w:rsid w:val="0097095E"/>
    <w:rsid w:val="00970F16"/>
    <w:rsid w:val="00971040"/>
    <w:rsid w:val="009714DB"/>
    <w:rsid w:val="00971AF0"/>
    <w:rsid w:val="00971D32"/>
    <w:rsid w:val="00972340"/>
    <w:rsid w:val="009728E2"/>
    <w:rsid w:val="00973655"/>
    <w:rsid w:val="009739E8"/>
    <w:rsid w:val="0097425E"/>
    <w:rsid w:val="009742DF"/>
    <w:rsid w:val="00974F4D"/>
    <w:rsid w:val="00975F24"/>
    <w:rsid w:val="0097673E"/>
    <w:rsid w:val="009768CA"/>
    <w:rsid w:val="00976B40"/>
    <w:rsid w:val="009772C4"/>
    <w:rsid w:val="0098061C"/>
    <w:rsid w:val="009819C8"/>
    <w:rsid w:val="00982676"/>
    <w:rsid w:val="00983A00"/>
    <w:rsid w:val="00983FFA"/>
    <w:rsid w:val="0098480F"/>
    <w:rsid w:val="0098592B"/>
    <w:rsid w:val="00985FC4"/>
    <w:rsid w:val="00986298"/>
    <w:rsid w:val="00986498"/>
    <w:rsid w:val="00987370"/>
    <w:rsid w:val="009876B3"/>
    <w:rsid w:val="00987ACC"/>
    <w:rsid w:val="00990386"/>
    <w:rsid w:val="00990766"/>
    <w:rsid w:val="00991198"/>
    <w:rsid w:val="00991261"/>
    <w:rsid w:val="00993493"/>
    <w:rsid w:val="009935D3"/>
    <w:rsid w:val="009937FE"/>
    <w:rsid w:val="00994DCB"/>
    <w:rsid w:val="0099508E"/>
    <w:rsid w:val="009953D9"/>
    <w:rsid w:val="00995964"/>
    <w:rsid w:val="009964C4"/>
    <w:rsid w:val="00997D4F"/>
    <w:rsid w:val="009A0506"/>
    <w:rsid w:val="009A052A"/>
    <w:rsid w:val="009A055C"/>
    <w:rsid w:val="009A0EBE"/>
    <w:rsid w:val="009A0F2F"/>
    <w:rsid w:val="009A1327"/>
    <w:rsid w:val="009A1447"/>
    <w:rsid w:val="009A14C2"/>
    <w:rsid w:val="009A1816"/>
    <w:rsid w:val="009A217F"/>
    <w:rsid w:val="009A241D"/>
    <w:rsid w:val="009A3157"/>
    <w:rsid w:val="009A3976"/>
    <w:rsid w:val="009A3DD1"/>
    <w:rsid w:val="009A4217"/>
    <w:rsid w:val="009A5241"/>
    <w:rsid w:val="009A53BA"/>
    <w:rsid w:val="009A53E5"/>
    <w:rsid w:val="009A57FC"/>
    <w:rsid w:val="009A6481"/>
    <w:rsid w:val="009A648A"/>
    <w:rsid w:val="009A6531"/>
    <w:rsid w:val="009A75EC"/>
    <w:rsid w:val="009A77A0"/>
    <w:rsid w:val="009A782B"/>
    <w:rsid w:val="009A7A5E"/>
    <w:rsid w:val="009A7B81"/>
    <w:rsid w:val="009A7C12"/>
    <w:rsid w:val="009A7C5A"/>
    <w:rsid w:val="009A7DEE"/>
    <w:rsid w:val="009A7F03"/>
    <w:rsid w:val="009B02A4"/>
    <w:rsid w:val="009B08B5"/>
    <w:rsid w:val="009B1825"/>
    <w:rsid w:val="009B201C"/>
    <w:rsid w:val="009B2249"/>
    <w:rsid w:val="009B2E85"/>
    <w:rsid w:val="009B3027"/>
    <w:rsid w:val="009B454A"/>
    <w:rsid w:val="009B4EEA"/>
    <w:rsid w:val="009B7859"/>
    <w:rsid w:val="009B78F3"/>
    <w:rsid w:val="009C07BC"/>
    <w:rsid w:val="009C0AB5"/>
    <w:rsid w:val="009C0BEF"/>
    <w:rsid w:val="009C10D5"/>
    <w:rsid w:val="009C1FDC"/>
    <w:rsid w:val="009C237B"/>
    <w:rsid w:val="009C24E1"/>
    <w:rsid w:val="009C25D5"/>
    <w:rsid w:val="009C2E5B"/>
    <w:rsid w:val="009C393E"/>
    <w:rsid w:val="009C3966"/>
    <w:rsid w:val="009C4679"/>
    <w:rsid w:val="009C512C"/>
    <w:rsid w:val="009C5CCD"/>
    <w:rsid w:val="009C7440"/>
    <w:rsid w:val="009C7702"/>
    <w:rsid w:val="009C7C0A"/>
    <w:rsid w:val="009D01C0"/>
    <w:rsid w:val="009D06EB"/>
    <w:rsid w:val="009D08A3"/>
    <w:rsid w:val="009D0DE4"/>
    <w:rsid w:val="009D24EA"/>
    <w:rsid w:val="009D358A"/>
    <w:rsid w:val="009D35CE"/>
    <w:rsid w:val="009D46EE"/>
    <w:rsid w:val="009D47D5"/>
    <w:rsid w:val="009D5004"/>
    <w:rsid w:val="009D56C3"/>
    <w:rsid w:val="009D5776"/>
    <w:rsid w:val="009D5933"/>
    <w:rsid w:val="009D6A08"/>
    <w:rsid w:val="009D7891"/>
    <w:rsid w:val="009E07D4"/>
    <w:rsid w:val="009E0A16"/>
    <w:rsid w:val="009E0EAD"/>
    <w:rsid w:val="009E302C"/>
    <w:rsid w:val="009E305F"/>
    <w:rsid w:val="009E30CF"/>
    <w:rsid w:val="009E36BF"/>
    <w:rsid w:val="009E3FCC"/>
    <w:rsid w:val="009E4016"/>
    <w:rsid w:val="009E47F3"/>
    <w:rsid w:val="009E521D"/>
    <w:rsid w:val="009E5900"/>
    <w:rsid w:val="009E67E3"/>
    <w:rsid w:val="009E6801"/>
    <w:rsid w:val="009E6CB7"/>
    <w:rsid w:val="009E6FBB"/>
    <w:rsid w:val="009E71C8"/>
    <w:rsid w:val="009E7431"/>
    <w:rsid w:val="009E7970"/>
    <w:rsid w:val="009E7C1D"/>
    <w:rsid w:val="009F137F"/>
    <w:rsid w:val="009F15F5"/>
    <w:rsid w:val="009F1762"/>
    <w:rsid w:val="009F183D"/>
    <w:rsid w:val="009F254C"/>
    <w:rsid w:val="009F2793"/>
    <w:rsid w:val="009F2EAC"/>
    <w:rsid w:val="009F3690"/>
    <w:rsid w:val="009F4542"/>
    <w:rsid w:val="009F46DB"/>
    <w:rsid w:val="009F48A4"/>
    <w:rsid w:val="009F57E3"/>
    <w:rsid w:val="009F7143"/>
    <w:rsid w:val="009F7885"/>
    <w:rsid w:val="00A000D9"/>
    <w:rsid w:val="00A00437"/>
    <w:rsid w:val="00A0046A"/>
    <w:rsid w:val="00A00D5A"/>
    <w:rsid w:val="00A01200"/>
    <w:rsid w:val="00A0122F"/>
    <w:rsid w:val="00A01CD1"/>
    <w:rsid w:val="00A022D0"/>
    <w:rsid w:val="00A0286C"/>
    <w:rsid w:val="00A031F3"/>
    <w:rsid w:val="00A033C8"/>
    <w:rsid w:val="00A037FD"/>
    <w:rsid w:val="00A03908"/>
    <w:rsid w:val="00A05617"/>
    <w:rsid w:val="00A05BAB"/>
    <w:rsid w:val="00A05CD5"/>
    <w:rsid w:val="00A06297"/>
    <w:rsid w:val="00A062C5"/>
    <w:rsid w:val="00A065AC"/>
    <w:rsid w:val="00A06A31"/>
    <w:rsid w:val="00A06C9C"/>
    <w:rsid w:val="00A06E96"/>
    <w:rsid w:val="00A07172"/>
    <w:rsid w:val="00A07744"/>
    <w:rsid w:val="00A10695"/>
    <w:rsid w:val="00A107DE"/>
    <w:rsid w:val="00A10A51"/>
    <w:rsid w:val="00A10F4F"/>
    <w:rsid w:val="00A11067"/>
    <w:rsid w:val="00A112F8"/>
    <w:rsid w:val="00A11B7F"/>
    <w:rsid w:val="00A13B44"/>
    <w:rsid w:val="00A1431F"/>
    <w:rsid w:val="00A1444E"/>
    <w:rsid w:val="00A14EAC"/>
    <w:rsid w:val="00A1574B"/>
    <w:rsid w:val="00A15C3A"/>
    <w:rsid w:val="00A15EB0"/>
    <w:rsid w:val="00A169CE"/>
    <w:rsid w:val="00A1704A"/>
    <w:rsid w:val="00A1736E"/>
    <w:rsid w:val="00A175D2"/>
    <w:rsid w:val="00A17D9F"/>
    <w:rsid w:val="00A205BF"/>
    <w:rsid w:val="00A206EC"/>
    <w:rsid w:val="00A21891"/>
    <w:rsid w:val="00A21EBA"/>
    <w:rsid w:val="00A21FE1"/>
    <w:rsid w:val="00A22B52"/>
    <w:rsid w:val="00A22C63"/>
    <w:rsid w:val="00A22E7E"/>
    <w:rsid w:val="00A234B4"/>
    <w:rsid w:val="00A23A33"/>
    <w:rsid w:val="00A23C0E"/>
    <w:rsid w:val="00A23C7D"/>
    <w:rsid w:val="00A23D27"/>
    <w:rsid w:val="00A243B5"/>
    <w:rsid w:val="00A245C2"/>
    <w:rsid w:val="00A24DD7"/>
    <w:rsid w:val="00A25015"/>
    <w:rsid w:val="00A25147"/>
    <w:rsid w:val="00A25DA2"/>
    <w:rsid w:val="00A26615"/>
    <w:rsid w:val="00A2668A"/>
    <w:rsid w:val="00A26B2C"/>
    <w:rsid w:val="00A27C04"/>
    <w:rsid w:val="00A27F84"/>
    <w:rsid w:val="00A30056"/>
    <w:rsid w:val="00A30293"/>
    <w:rsid w:val="00A308C3"/>
    <w:rsid w:val="00A31CB1"/>
    <w:rsid w:val="00A322DB"/>
    <w:rsid w:val="00A3230F"/>
    <w:rsid w:val="00A33029"/>
    <w:rsid w:val="00A3346C"/>
    <w:rsid w:val="00A3450C"/>
    <w:rsid w:val="00A35056"/>
    <w:rsid w:val="00A35205"/>
    <w:rsid w:val="00A3550B"/>
    <w:rsid w:val="00A35537"/>
    <w:rsid w:val="00A35887"/>
    <w:rsid w:val="00A35C0F"/>
    <w:rsid w:val="00A35DF8"/>
    <w:rsid w:val="00A37578"/>
    <w:rsid w:val="00A378F6"/>
    <w:rsid w:val="00A40007"/>
    <w:rsid w:val="00A40BAA"/>
    <w:rsid w:val="00A40C99"/>
    <w:rsid w:val="00A41608"/>
    <w:rsid w:val="00A417F4"/>
    <w:rsid w:val="00A41A3D"/>
    <w:rsid w:val="00A41AF8"/>
    <w:rsid w:val="00A42116"/>
    <w:rsid w:val="00A425EB"/>
    <w:rsid w:val="00A426DD"/>
    <w:rsid w:val="00A43351"/>
    <w:rsid w:val="00A4373C"/>
    <w:rsid w:val="00A43BF7"/>
    <w:rsid w:val="00A44301"/>
    <w:rsid w:val="00A44BD7"/>
    <w:rsid w:val="00A44CF0"/>
    <w:rsid w:val="00A44D80"/>
    <w:rsid w:val="00A46410"/>
    <w:rsid w:val="00A4680B"/>
    <w:rsid w:val="00A475AC"/>
    <w:rsid w:val="00A5044F"/>
    <w:rsid w:val="00A506DA"/>
    <w:rsid w:val="00A50C89"/>
    <w:rsid w:val="00A523F0"/>
    <w:rsid w:val="00A524F1"/>
    <w:rsid w:val="00A52AA3"/>
    <w:rsid w:val="00A538F3"/>
    <w:rsid w:val="00A552BD"/>
    <w:rsid w:val="00A554E9"/>
    <w:rsid w:val="00A5577E"/>
    <w:rsid w:val="00A55FE1"/>
    <w:rsid w:val="00A56160"/>
    <w:rsid w:val="00A56C4A"/>
    <w:rsid w:val="00A57E06"/>
    <w:rsid w:val="00A6047A"/>
    <w:rsid w:val="00A60E4A"/>
    <w:rsid w:val="00A612AE"/>
    <w:rsid w:val="00A614A5"/>
    <w:rsid w:val="00A62996"/>
    <w:rsid w:val="00A62E83"/>
    <w:rsid w:val="00A65E47"/>
    <w:rsid w:val="00A6648A"/>
    <w:rsid w:val="00A66C50"/>
    <w:rsid w:val="00A6729A"/>
    <w:rsid w:val="00A67409"/>
    <w:rsid w:val="00A6775C"/>
    <w:rsid w:val="00A679A4"/>
    <w:rsid w:val="00A70398"/>
    <w:rsid w:val="00A709E3"/>
    <w:rsid w:val="00A7134D"/>
    <w:rsid w:val="00A71DC2"/>
    <w:rsid w:val="00A72100"/>
    <w:rsid w:val="00A725EA"/>
    <w:rsid w:val="00A72F22"/>
    <w:rsid w:val="00A733BC"/>
    <w:rsid w:val="00A73579"/>
    <w:rsid w:val="00A736D8"/>
    <w:rsid w:val="00A737EF"/>
    <w:rsid w:val="00A73E56"/>
    <w:rsid w:val="00A74183"/>
    <w:rsid w:val="00A744D5"/>
    <w:rsid w:val="00A748A6"/>
    <w:rsid w:val="00A75BBE"/>
    <w:rsid w:val="00A75FEA"/>
    <w:rsid w:val="00A763DE"/>
    <w:rsid w:val="00A76A69"/>
    <w:rsid w:val="00A76D0F"/>
    <w:rsid w:val="00A77238"/>
    <w:rsid w:val="00A77914"/>
    <w:rsid w:val="00A77F1A"/>
    <w:rsid w:val="00A80268"/>
    <w:rsid w:val="00A808BD"/>
    <w:rsid w:val="00A80DF4"/>
    <w:rsid w:val="00A81CCA"/>
    <w:rsid w:val="00A81E6F"/>
    <w:rsid w:val="00A81F10"/>
    <w:rsid w:val="00A8223F"/>
    <w:rsid w:val="00A82D88"/>
    <w:rsid w:val="00A830D2"/>
    <w:rsid w:val="00A8387D"/>
    <w:rsid w:val="00A84555"/>
    <w:rsid w:val="00A846D5"/>
    <w:rsid w:val="00A8472D"/>
    <w:rsid w:val="00A84B4C"/>
    <w:rsid w:val="00A84C97"/>
    <w:rsid w:val="00A84FEF"/>
    <w:rsid w:val="00A850CE"/>
    <w:rsid w:val="00A8521A"/>
    <w:rsid w:val="00A85CD2"/>
    <w:rsid w:val="00A86698"/>
    <w:rsid w:val="00A876EA"/>
    <w:rsid w:val="00A879A4"/>
    <w:rsid w:val="00A9197D"/>
    <w:rsid w:val="00A9356B"/>
    <w:rsid w:val="00A93669"/>
    <w:rsid w:val="00A93805"/>
    <w:rsid w:val="00A9381D"/>
    <w:rsid w:val="00A94276"/>
    <w:rsid w:val="00A94959"/>
    <w:rsid w:val="00A95106"/>
    <w:rsid w:val="00A95167"/>
    <w:rsid w:val="00A95600"/>
    <w:rsid w:val="00A95699"/>
    <w:rsid w:val="00A96FD9"/>
    <w:rsid w:val="00AA0FF8"/>
    <w:rsid w:val="00AA1B50"/>
    <w:rsid w:val="00AA1F26"/>
    <w:rsid w:val="00AA4727"/>
    <w:rsid w:val="00AA4914"/>
    <w:rsid w:val="00AA5047"/>
    <w:rsid w:val="00AA50AD"/>
    <w:rsid w:val="00AA51FB"/>
    <w:rsid w:val="00AA52FC"/>
    <w:rsid w:val="00AA5CBC"/>
    <w:rsid w:val="00AA5FB5"/>
    <w:rsid w:val="00AA614D"/>
    <w:rsid w:val="00AA61A3"/>
    <w:rsid w:val="00AA7277"/>
    <w:rsid w:val="00AA7800"/>
    <w:rsid w:val="00AB032F"/>
    <w:rsid w:val="00AB06F3"/>
    <w:rsid w:val="00AB1185"/>
    <w:rsid w:val="00AB170F"/>
    <w:rsid w:val="00AB1B2E"/>
    <w:rsid w:val="00AB2622"/>
    <w:rsid w:val="00AB33B0"/>
    <w:rsid w:val="00AB3660"/>
    <w:rsid w:val="00AB4814"/>
    <w:rsid w:val="00AB49DD"/>
    <w:rsid w:val="00AB4D96"/>
    <w:rsid w:val="00AB5788"/>
    <w:rsid w:val="00AB5CD0"/>
    <w:rsid w:val="00AB5D12"/>
    <w:rsid w:val="00AB5DCD"/>
    <w:rsid w:val="00AB6755"/>
    <w:rsid w:val="00AB688F"/>
    <w:rsid w:val="00AB7DFC"/>
    <w:rsid w:val="00AC0409"/>
    <w:rsid w:val="00AC05F3"/>
    <w:rsid w:val="00AC0F2C"/>
    <w:rsid w:val="00AC1183"/>
    <w:rsid w:val="00AC1AEC"/>
    <w:rsid w:val="00AC1C0E"/>
    <w:rsid w:val="00AC1D1D"/>
    <w:rsid w:val="00AC2154"/>
    <w:rsid w:val="00AC21FE"/>
    <w:rsid w:val="00AC2262"/>
    <w:rsid w:val="00AC2AF4"/>
    <w:rsid w:val="00AC2FF5"/>
    <w:rsid w:val="00AC3806"/>
    <w:rsid w:val="00AC38BE"/>
    <w:rsid w:val="00AC4007"/>
    <w:rsid w:val="00AC4105"/>
    <w:rsid w:val="00AC4A19"/>
    <w:rsid w:val="00AC4AD6"/>
    <w:rsid w:val="00AC4B67"/>
    <w:rsid w:val="00AC502A"/>
    <w:rsid w:val="00AC68E4"/>
    <w:rsid w:val="00AC7521"/>
    <w:rsid w:val="00AC7679"/>
    <w:rsid w:val="00AD0B69"/>
    <w:rsid w:val="00AD2DA8"/>
    <w:rsid w:val="00AD350B"/>
    <w:rsid w:val="00AD3929"/>
    <w:rsid w:val="00AD3ED5"/>
    <w:rsid w:val="00AD4EB7"/>
    <w:rsid w:val="00AD5909"/>
    <w:rsid w:val="00AD6327"/>
    <w:rsid w:val="00AD66F8"/>
    <w:rsid w:val="00AD6F03"/>
    <w:rsid w:val="00AD6F1F"/>
    <w:rsid w:val="00AD7B0D"/>
    <w:rsid w:val="00AD7B94"/>
    <w:rsid w:val="00AE0A5F"/>
    <w:rsid w:val="00AE11B5"/>
    <w:rsid w:val="00AE1617"/>
    <w:rsid w:val="00AE34AD"/>
    <w:rsid w:val="00AE3929"/>
    <w:rsid w:val="00AE4311"/>
    <w:rsid w:val="00AE44F5"/>
    <w:rsid w:val="00AE4821"/>
    <w:rsid w:val="00AE484E"/>
    <w:rsid w:val="00AE4C79"/>
    <w:rsid w:val="00AE557B"/>
    <w:rsid w:val="00AE57B2"/>
    <w:rsid w:val="00AE5850"/>
    <w:rsid w:val="00AE5889"/>
    <w:rsid w:val="00AE58BF"/>
    <w:rsid w:val="00AE5CC4"/>
    <w:rsid w:val="00AE5DEB"/>
    <w:rsid w:val="00AE6D75"/>
    <w:rsid w:val="00AE7D74"/>
    <w:rsid w:val="00AF09E7"/>
    <w:rsid w:val="00AF0D3E"/>
    <w:rsid w:val="00AF1084"/>
    <w:rsid w:val="00AF1973"/>
    <w:rsid w:val="00AF1A1D"/>
    <w:rsid w:val="00AF1BAE"/>
    <w:rsid w:val="00AF1C47"/>
    <w:rsid w:val="00AF1E96"/>
    <w:rsid w:val="00AF2260"/>
    <w:rsid w:val="00AF2D78"/>
    <w:rsid w:val="00AF2F5C"/>
    <w:rsid w:val="00AF3546"/>
    <w:rsid w:val="00AF36D1"/>
    <w:rsid w:val="00AF41A5"/>
    <w:rsid w:val="00AF4C7B"/>
    <w:rsid w:val="00AF58C1"/>
    <w:rsid w:val="00AF69F2"/>
    <w:rsid w:val="00AF6D50"/>
    <w:rsid w:val="00B007CF"/>
    <w:rsid w:val="00B0094E"/>
    <w:rsid w:val="00B01B03"/>
    <w:rsid w:val="00B03D09"/>
    <w:rsid w:val="00B040C0"/>
    <w:rsid w:val="00B042E8"/>
    <w:rsid w:val="00B04911"/>
    <w:rsid w:val="00B04A3F"/>
    <w:rsid w:val="00B04E0F"/>
    <w:rsid w:val="00B0501A"/>
    <w:rsid w:val="00B06643"/>
    <w:rsid w:val="00B06BF3"/>
    <w:rsid w:val="00B06E40"/>
    <w:rsid w:val="00B074B9"/>
    <w:rsid w:val="00B074FD"/>
    <w:rsid w:val="00B078BA"/>
    <w:rsid w:val="00B079AF"/>
    <w:rsid w:val="00B07AF7"/>
    <w:rsid w:val="00B107FF"/>
    <w:rsid w:val="00B10D96"/>
    <w:rsid w:val="00B114DD"/>
    <w:rsid w:val="00B12491"/>
    <w:rsid w:val="00B15055"/>
    <w:rsid w:val="00B150A7"/>
    <w:rsid w:val="00B15B83"/>
    <w:rsid w:val="00B15DD0"/>
    <w:rsid w:val="00B162CE"/>
    <w:rsid w:val="00B1659D"/>
    <w:rsid w:val="00B16B1D"/>
    <w:rsid w:val="00B172B0"/>
    <w:rsid w:val="00B20CE4"/>
    <w:rsid w:val="00B20F92"/>
    <w:rsid w:val="00B228B9"/>
    <w:rsid w:val="00B230B1"/>
    <w:rsid w:val="00B2391C"/>
    <w:rsid w:val="00B2481C"/>
    <w:rsid w:val="00B24AFF"/>
    <w:rsid w:val="00B25428"/>
    <w:rsid w:val="00B257F1"/>
    <w:rsid w:val="00B2708A"/>
    <w:rsid w:val="00B30179"/>
    <w:rsid w:val="00B30994"/>
    <w:rsid w:val="00B31C93"/>
    <w:rsid w:val="00B32449"/>
    <w:rsid w:val="00B33475"/>
    <w:rsid w:val="00B34BAC"/>
    <w:rsid w:val="00B3636E"/>
    <w:rsid w:val="00B3667C"/>
    <w:rsid w:val="00B36F91"/>
    <w:rsid w:val="00B37B15"/>
    <w:rsid w:val="00B40C94"/>
    <w:rsid w:val="00B40D09"/>
    <w:rsid w:val="00B412AE"/>
    <w:rsid w:val="00B41E7F"/>
    <w:rsid w:val="00B42B5F"/>
    <w:rsid w:val="00B4317C"/>
    <w:rsid w:val="00B43673"/>
    <w:rsid w:val="00B43A64"/>
    <w:rsid w:val="00B44247"/>
    <w:rsid w:val="00B443EC"/>
    <w:rsid w:val="00B44E48"/>
    <w:rsid w:val="00B44FAF"/>
    <w:rsid w:val="00B45C02"/>
    <w:rsid w:val="00B45D66"/>
    <w:rsid w:val="00B45FC4"/>
    <w:rsid w:val="00B464EA"/>
    <w:rsid w:val="00B469F3"/>
    <w:rsid w:val="00B46A64"/>
    <w:rsid w:val="00B4731D"/>
    <w:rsid w:val="00B5028C"/>
    <w:rsid w:val="00B506AB"/>
    <w:rsid w:val="00B5102A"/>
    <w:rsid w:val="00B512F3"/>
    <w:rsid w:val="00B524B5"/>
    <w:rsid w:val="00B52F5F"/>
    <w:rsid w:val="00B53257"/>
    <w:rsid w:val="00B53297"/>
    <w:rsid w:val="00B5337F"/>
    <w:rsid w:val="00B53FD4"/>
    <w:rsid w:val="00B5457C"/>
    <w:rsid w:val="00B5461A"/>
    <w:rsid w:val="00B5477A"/>
    <w:rsid w:val="00B55004"/>
    <w:rsid w:val="00B55280"/>
    <w:rsid w:val="00B57837"/>
    <w:rsid w:val="00B5792A"/>
    <w:rsid w:val="00B60B10"/>
    <w:rsid w:val="00B61E75"/>
    <w:rsid w:val="00B6286F"/>
    <w:rsid w:val="00B62BF0"/>
    <w:rsid w:val="00B6324C"/>
    <w:rsid w:val="00B634C8"/>
    <w:rsid w:val="00B636ED"/>
    <w:rsid w:val="00B63839"/>
    <w:rsid w:val="00B63E86"/>
    <w:rsid w:val="00B649B0"/>
    <w:rsid w:val="00B65473"/>
    <w:rsid w:val="00B657B7"/>
    <w:rsid w:val="00B65913"/>
    <w:rsid w:val="00B675BC"/>
    <w:rsid w:val="00B67735"/>
    <w:rsid w:val="00B67A6F"/>
    <w:rsid w:val="00B70F28"/>
    <w:rsid w:val="00B717AD"/>
    <w:rsid w:val="00B71D39"/>
    <w:rsid w:val="00B721B8"/>
    <w:rsid w:val="00B725E0"/>
    <w:rsid w:val="00B72A1E"/>
    <w:rsid w:val="00B735E2"/>
    <w:rsid w:val="00B73ED1"/>
    <w:rsid w:val="00B742BF"/>
    <w:rsid w:val="00B7438D"/>
    <w:rsid w:val="00B75119"/>
    <w:rsid w:val="00B75464"/>
    <w:rsid w:val="00B7556B"/>
    <w:rsid w:val="00B75A73"/>
    <w:rsid w:val="00B760B2"/>
    <w:rsid w:val="00B76DC2"/>
    <w:rsid w:val="00B775C9"/>
    <w:rsid w:val="00B77BB5"/>
    <w:rsid w:val="00B8043B"/>
    <w:rsid w:val="00B8080B"/>
    <w:rsid w:val="00B80BA3"/>
    <w:rsid w:val="00B80D85"/>
    <w:rsid w:val="00B8103B"/>
    <w:rsid w:val="00B819EC"/>
    <w:rsid w:val="00B81E12"/>
    <w:rsid w:val="00B8207C"/>
    <w:rsid w:val="00B8221C"/>
    <w:rsid w:val="00B82263"/>
    <w:rsid w:val="00B82AB9"/>
    <w:rsid w:val="00B82CD1"/>
    <w:rsid w:val="00B837D1"/>
    <w:rsid w:val="00B83E79"/>
    <w:rsid w:val="00B84103"/>
    <w:rsid w:val="00B84118"/>
    <w:rsid w:val="00B8421C"/>
    <w:rsid w:val="00B84750"/>
    <w:rsid w:val="00B84957"/>
    <w:rsid w:val="00B84ADB"/>
    <w:rsid w:val="00B84F25"/>
    <w:rsid w:val="00B85678"/>
    <w:rsid w:val="00B85BAC"/>
    <w:rsid w:val="00B86251"/>
    <w:rsid w:val="00B86321"/>
    <w:rsid w:val="00B86449"/>
    <w:rsid w:val="00B874C6"/>
    <w:rsid w:val="00B91D10"/>
    <w:rsid w:val="00B9402A"/>
    <w:rsid w:val="00B940C1"/>
    <w:rsid w:val="00B94151"/>
    <w:rsid w:val="00B946AD"/>
    <w:rsid w:val="00B950F5"/>
    <w:rsid w:val="00B95384"/>
    <w:rsid w:val="00B95901"/>
    <w:rsid w:val="00B95AD2"/>
    <w:rsid w:val="00B95AF9"/>
    <w:rsid w:val="00B95C53"/>
    <w:rsid w:val="00B9638D"/>
    <w:rsid w:val="00B96511"/>
    <w:rsid w:val="00B9654A"/>
    <w:rsid w:val="00B96625"/>
    <w:rsid w:val="00B97226"/>
    <w:rsid w:val="00B975B1"/>
    <w:rsid w:val="00B978C3"/>
    <w:rsid w:val="00B97C62"/>
    <w:rsid w:val="00B97D68"/>
    <w:rsid w:val="00B97E98"/>
    <w:rsid w:val="00BA0836"/>
    <w:rsid w:val="00BA16F2"/>
    <w:rsid w:val="00BA258F"/>
    <w:rsid w:val="00BA28B5"/>
    <w:rsid w:val="00BA2BCE"/>
    <w:rsid w:val="00BA31B0"/>
    <w:rsid w:val="00BA339B"/>
    <w:rsid w:val="00BA33F2"/>
    <w:rsid w:val="00BA351A"/>
    <w:rsid w:val="00BA4326"/>
    <w:rsid w:val="00BA4C82"/>
    <w:rsid w:val="00BA5C1B"/>
    <w:rsid w:val="00BA5F89"/>
    <w:rsid w:val="00BA6443"/>
    <w:rsid w:val="00BA6F15"/>
    <w:rsid w:val="00BA6F69"/>
    <w:rsid w:val="00BA735D"/>
    <w:rsid w:val="00BA736C"/>
    <w:rsid w:val="00BA779E"/>
    <w:rsid w:val="00BB0410"/>
    <w:rsid w:val="00BB0F78"/>
    <w:rsid w:val="00BB1952"/>
    <w:rsid w:val="00BB1EBD"/>
    <w:rsid w:val="00BB26D3"/>
    <w:rsid w:val="00BB2F69"/>
    <w:rsid w:val="00BB2F89"/>
    <w:rsid w:val="00BB3214"/>
    <w:rsid w:val="00BB33B3"/>
    <w:rsid w:val="00BB389F"/>
    <w:rsid w:val="00BB4461"/>
    <w:rsid w:val="00BB522F"/>
    <w:rsid w:val="00BB557B"/>
    <w:rsid w:val="00BB5EA3"/>
    <w:rsid w:val="00BB629B"/>
    <w:rsid w:val="00BB646F"/>
    <w:rsid w:val="00BB64A8"/>
    <w:rsid w:val="00BB6D19"/>
    <w:rsid w:val="00BB78BD"/>
    <w:rsid w:val="00BB7976"/>
    <w:rsid w:val="00BB7BF7"/>
    <w:rsid w:val="00BC019F"/>
    <w:rsid w:val="00BC0237"/>
    <w:rsid w:val="00BC0676"/>
    <w:rsid w:val="00BC095A"/>
    <w:rsid w:val="00BC155A"/>
    <w:rsid w:val="00BC1E7E"/>
    <w:rsid w:val="00BC29EA"/>
    <w:rsid w:val="00BC3A0E"/>
    <w:rsid w:val="00BC3BBA"/>
    <w:rsid w:val="00BC4D70"/>
    <w:rsid w:val="00BC5440"/>
    <w:rsid w:val="00BC5823"/>
    <w:rsid w:val="00BC5C5A"/>
    <w:rsid w:val="00BC5D87"/>
    <w:rsid w:val="00BC5DE9"/>
    <w:rsid w:val="00BC6210"/>
    <w:rsid w:val="00BC658D"/>
    <w:rsid w:val="00BC69FD"/>
    <w:rsid w:val="00BC7327"/>
    <w:rsid w:val="00BC74E9"/>
    <w:rsid w:val="00BC7943"/>
    <w:rsid w:val="00BC79E2"/>
    <w:rsid w:val="00BC7BB0"/>
    <w:rsid w:val="00BC7CD6"/>
    <w:rsid w:val="00BC7D8A"/>
    <w:rsid w:val="00BD0C86"/>
    <w:rsid w:val="00BD0DD2"/>
    <w:rsid w:val="00BD2263"/>
    <w:rsid w:val="00BD2C50"/>
    <w:rsid w:val="00BD2E59"/>
    <w:rsid w:val="00BD31B9"/>
    <w:rsid w:val="00BD3274"/>
    <w:rsid w:val="00BD3F6C"/>
    <w:rsid w:val="00BD4545"/>
    <w:rsid w:val="00BD4614"/>
    <w:rsid w:val="00BD4C8E"/>
    <w:rsid w:val="00BD51D4"/>
    <w:rsid w:val="00BD5BFD"/>
    <w:rsid w:val="00BD5D29"/>
    <w:rsid w:val="00BD652D"/>
    <w:rsid w:val="00BD6565"/>
    <w:rsid w:val="00BD69DB"/>
    <w:rsid w:val="00BD754A"/>
    <w:rsid w:val="00BD786F"/>
    <w:rsid w:val="00BD78F6"/>
    <w:rsid w:val="00BD7FEF"/>
    <w:rsid w:val="00BE00BF"/>
    <w:rsid w:val="00BE046A"/>
    <w:rsid w:val="00BE19DF"/>
    <w:rsid w:val="00BE218E"/>
    <w:rsid w:val="00BE2DB7"/>
    <w:rsid w:val="00BE363E"/>
    <w:rsid w:val="00BE36A9"/>
    <w:rsid w:val="00BE45A2"/>
    <w:rsid w:val="00BE523C"/>
    <w:rsid w:val="00BE5CE9"/>
    <w:rsid w:val="00BE618E"/>
    <w:rsid w:val="00BE6881"/>
    <w:rsid w:val="00BE6E2A"/>
    <w:rsid w:val="00BE7A13"/>
    <w:rsid w:val="00BE7BEC"/>
    <w:rsid w:val="00BF08CC"/>
    <w:rsid w:val="00BF0A5A"/>
    <w:rsid w:val="00BF0E63"/>
    <w:rsid w:val="00BF12A3"/>
    <w:rsid w:val="00BF16D7"/>
    <w:rsid w:val="00BF1B59"/>
    <w:rsid w:val="00BF1D8B"/>
    <w:rsid w:val="00BF21E3"/>
    <w:rsid w:val="00BF221A"/>
    <w:rsid w:val="00BF2236"/>
    <w:rsid w:val="00BF2373"/>
    <w:rsid w:val="00BF2628"/>
    <w:rsid w:val="00BF2E6E"/>
    <w:rsid w:val="00BF3064"/>
    <w:rsid w:val="00BF306A"/>
    <w:rsid w:val="00BF370D"/>
    <w:rsid w:val="00BF3777"/>
    <w:rsid w:val="00BF4347"/>
    <w:rsid w:val="00BF5C21"/>
    <w:rsid w:val="00BF6733"/>
    <w:rsid w:val="00BF679A"/>
    <w:rsid w:val="00C00EAF"/>
    <w:rsid w:val="00C00F10"/>
    <w:rsid w:val="00C01372"/>
    <w:rsid w:val="00C015D0"/>
    <w:rsid w:val="00C03266"/>
    <w:rsid w:val="00C04005"/>
    <w:rsid w:val="00C044E2"/>
    <w:rsid w:val="00C048CB"/>
    <w:rsid w:val="00C04FF9"/>
    <w:rsid w:val="00C055B9"/>
    <w:rsid w:val="00C066F3"/>
    <w:rsid w:val="00C06CC9"/>
    <w:rsid w:val="00C070BC"/>
    <w:rsid w:val="00C07248"/>
    <w:rsid w:val="00C07D88"/>
    <w:rsid w:val="00C10F0D"/>
    <w:rsid w:val="00C11617"/>
    <w:rsid w:val="00C118BB"/>
    <w:rsid w:val="00C11E0D"/>
    <w:rsid w:val="00C11E80"/>
    <w:rsid w:val="00C142AA"/>
    <w:rsid w:val="00C149CE"/>
    <w:rsid w:val="00C15130"/>
    <w:rsid w:val="00C15C60"/>
    <w:rsid w:val="00C16AE6"/>
    <w:rsid w:val="00C16C13"/>
    <w:rsid w:val="00C17093"/>
    <w:rsid w:val="00C171C6"/>
    <w:rsid w:val="00C17440"/>
    <w:rsid w:val="00C206C1"/>
    <w:rsid w:val="00C21EB5"/>
    <w:rsid w:val="00C21F68"/>
    <w:rsid w:val="00C221D4"/>
    <w:rsid w:val="00C22289"/>
    <w:rsid w:val="00C22CF7"/>
    <w:rsid w:val="00C24342"/>
    <w:rsid w:val="00C24650"/>
    <w:rsid w:val="00C2487A"/>
    <w:rsid w:val="00C263C3"/>
    <w:rsid w:val="00C26781"/>
    <w:rsid w:val="00C26A28"/>
    <w:rsid w:val="00C26CA2"/>
    <w:rsid w:val="00C30AE0"/>
    <w:rsid w:val="00C30BF7"/>
    <w:rsid w:val="00C30F74"/>
    <w:rsid w:val="00C31730"/>
    <w:rsid w:val="00C31821"/>
    <w:rsid w:val="00C324E2"/>
    <w:rsid w:val="00C326D1"/>
    <w:rsid w:val="00C32E63"/>
    <w:rsid w:val="00C33EFF"/>
    <w:rsid w:val="00C351A8"/>
    <w:rsid w:val="00C358D7"/>
    <w:rsid w:val="00C35C13"/>
    <w:rsid w:val="00C35D32"/>
    <w:rsid w:val="00C35E4F"/>
    <w:rsid w:val="00C362D4"/>
    <w:rsid w:val="00C364C0"/>
    <w:rsid w:val="00C36B0F"/>
    <w:rsid w:val="00C37AAD"/>
    <w:rsid w:val="00C403E8"/>
    <w:rsid w:val="00C407E7"/>
    <w:rsid w:val="00C40BB3"/>
    <w:rsid w:val="00C40C0D"/>
    <w:rsid w:val="00C41187"/>
    <w:rsid w:val="00C41741"/>
    <w:rsid w:val="00C41AF8"/>
    <w:rsid w:val="00C42B0F"/>
    <w:rsid w:val="00C42DD1"/>
    <w:rsid w:val="00C42ED0"/>
    <w:rsid w:val="00C436BB"/>
    <w:rsid w:val="00C43735"/>
    <w:rsid w:val="00C43CCF"/>
    <w:rsid w:val="00C4453B"/>
    <w:rsid w:val="00C4488C"/>
    <w:rsid w:val="00C4491F"/>
    <w:rsid w:val="00C44E34"/>
    <w:rsid w:val="00C44E59"/>
    <w:rsid w:val="00C45361"/>
    <w:rsid w:val="00C45A19"/>
    <w:rsid w:val="00C45BF1"/>
    <w:rsid w:val="00C45F4A"/>
    <w:rsid w:val="00C45F58"/>
    <w:rsid w:val="00C46006"/>
    <w:rsid w:val="00C460B3"/>
    <w:rsid w:val="00C463DD"/>
    <w:rsid w:val="00C47315"/>
    <w:rsid w:val="00C47AE0"/>
    <w:rsid w:val="00C47C2C"/>
    <w:rsid w:val="00C51623"/>
    <w:rsid w:val="00C529A1"/>
    <w:rsid w:val="00C534CA"/>
    <w:rsid w:val="00C536D7"/>
    <w:rsid w:val="00C53D4A"/>
    <w:rsid w:val="00C53D83"/>
    <w:rsid w:val="00C54482"/>
    <w:rsid w:val="00C545B5"/>
    <w:rsid w:val="00C556CB"/>
    <w:rsid w:val="00C55B7E"/>
    <w:rsid w:val="00C56AE5"/>
    <w:rsid w:val="00C57199"/>
    <w:rsid w:val="00C5741B"/>
    <w:rsid w:val="00C600F0"/>
    <w:rsid w:val="00C602D7"/>
    <w:rsid w:val="00C606F3"/>
    <w:rsid w:val="00C6085E"/>
    <w:rsid w:val="00C63930"/>
    <w:rsid w:val="00C63FEA"/>
    <w:rsid w:val="00C6701E"/>
    <w:rsid w:val="00C674A7"/>
    <w:rsid w:val="00C67510"/>
    <w:rsid w:val="00C679F3"/>
    <w:rsid w:val="00C67B4D"/>
    <w:rsid w:val="00C7004C"/>
    <w:rsid w:val="00C7035A"/>
    <w:rsid w:val="00C70786"/>
    <w:rsid w:val="00C70AF1"/>
    <w:rsid w:val="00C70E2B"/>
    <w:rsid w:val="00C710FE"/>
    <w:rsid w:val="00C7115A"/>
    <w:rsid w:val="00C7122D"/>
    <w:rsid w:val="00C71C8B"/>
    <w:rsid w:val="00C72EA6"/>
    <w:rsid w:val="00C73179"/>
    <w:rsid w:val="00C7325C"/>
    <w:rsid w:val="00C73CCA"/>
    <w:rsid w:val="00C745C3"/>
    <w:rsid w:val="00C74E56"/>
    <w:rsid w:val="00C75CF8"/>
    <w:rsid w:val="00C77348"/>
    <w:rsid w:val="00C77795"/>
    <w:rsid w:val="00C77C93"/>
    <w:rsid w:val="00C80A6D"/>
    <w:rsid w:val="00C814CE"/>
    <w:rsid w:val="00C815EE"/>
    <w:rsid w:val="00C81767"/>
    <w:rsid w:val="00C8181D"/>
    <w:rsid w:val="00C8192C"/>
    <w:rsid w:val="00C820E2"/>
    <w:rsid w:val="00C82862"/>
    <w:rsid w:val="00C835E5"/>
    <w:rsid w:val="00C84321"/>
    <w:rsid w:val="00C8470B"/>
    <w:rsid w:val="00C84EA1"/>
    <w:rsid w:val="00C84F29"/>
    <w:rsid w:val="00C851C8"/>
    <w:rsid w:val="00C854C5"/>
    <w:rsid w:val="00C863C1"/>
    <w:rsid w:val="00C86788"/>
    <w:rsid w:val="00C868A6"/>
    <w:rsid w:val="00C8702D"/>
    <w:rsid w:val="00C87A84"/>
    <w:rsid w:val="00C87CC4"/>
    <w:rsid w:val="00C87D55"/>
    <w:rsid w:val="00C904F0"/>
    <w:rsid w:val="00C90CF7"/>
    <w:rsid w:val="00C90CFC"/>
    <w:rsid w:val="00C91920"/>
    <w:rsid w:val="00C91FF9"/>
    <w:rsid w:val="00C927BE"/>
    <w:rsid w:val="00C929C6"/>
    <w:rsid w:val="00C92F87"/>
    <w:rsid w:val="00C930C7"/>
    <w:rsid w:val="00C93611"/>
    <w:rsid w:val="00C9366F"/>
    <w:rsid w:val="00C93786"/>
    <w:rsid w:val="00C941AC"/>
    <w:rsid w:val="00C947C6"/>
    <w:rsid w:val="00C948C0"/>
    <w:rsid w:val="00C94E99"/>
    <w:rsid w:val="00C94F5F"/>
    <w:rsid w:val="00C95095"/>
    <w:rsid w:val="00C95252"/>
    <w:rsid w:val="00C9571B"/>
    <w:rsid w:val="00C958A0"/>
    <w:rsid w:val="00C95CD1"/>
    <w:rsid w:val="00C96246"/>
    <w:rsid w:val="00C96395"/>
    <w:rsid w:val="00C96D35"/>
    <w:rsid w:val="00CA0B2B"/>
    <w:rsid w:val="00CA1761"/>
    <w:rsid w:val="00CA24A4"/>
    <w:rsid w:val="00CA27CA"/>
    <w:rsid w:val="00CA36E6"/>
    <w:rsid w:val="00CA4102"/>
    <w:rsid w:val="00CA4A21"/>
    <w:rsid w:val="00CA4A90"/>
    <w:rsid w:val="00CA56D1"/>
    <w:rsid w:val="00CA5A97"/>
    <w:rsid w:val="00CA5AF0"/>
    <w:rsid w:val="00CA653F"/>
    <w:rsid w:val="00CA739C"/>
    <w:rsid w:val="00CA74A6"/>
    <w:rsid w:val="00CA7F10"/>
    <w:rsid w:val="00CB00B4"/>
    <w:rsid w:val="00CB0BB2"/>
    <w:rsid w:val="00CB171F"/>
    <w:rsid w:val="00CB1A78"/>
    <w:rsid w:val="00CB1B27"/>
    <w:rsid w:val="00CB1E35"/>
    <w:rsid w:val="00CB1FE7"/>
    <w:rsid w:val="00CB239D"/>
    <w:rsid w:val="00CB23DD"/>
    <w:rsid w:val="00CB2E39"/>
    <w:rsid w:val="00CB348D"/>
    <w:rsid w:val="00CB3D2C"/>
    <w:rsid w:val="00CB3FDA"/>
    <w:rsid w:val="00CB59E0"/>
    <w:rsid w:val="00CB62CF"/>
    <w:rsid w:val="00CB6CB7"/>
    <w:rsid w:val="00CC0533"/>
    <w:rsid w:val="00CC1177"/>
    <w:rsid w:val="00CC1192"/>
    <w:rsid w:val="00CC1FD3"/>
    <w:rsid w:val="00CC20B4"/>
    <w:rsid w:val="00CC264A"/>
    <w:rsid w:val="00CC2868"/>
    <w:rsid w:val="00CC3517"/>
    <w:rsid w:val="00CC3690"/>
    <w:rsid w:val="00CC3703"/>
    <w:rsid w:val="00CC377D"/>
    <w:rsid w:val="00CC3B46"/>
    <w:rsid w:val="00CC3F92"/>
    <w:rsid w:val="00CC5100"/>
    <w:rsid w:val="00CC641A"/>
    <w:rsid w:val="00CC777B"/>
    <w:rsid w:val="00CC7E96"/>
    <w:rsid w:val="00CC7FC7"/>
    <w:rsid w:val="00CD05DA"/>
    <w:rsid w:val="00CD0766"/>
    <w:rsid w:val="00CD0C82"/>
    <w:rsid w:val="00CD0CFA"/>
    <w:rsid w:val="00CD1522"/>
    <w:rsid w:val="00CD16F7"/>
    <w:rsid w:val="00CD1DF5"/>
    <w:rsid w:val="00CD227C"/>
    <w:rsid w:val="00CD2296"/>
    <w:rsid w:val="00CD2784"/>
    <w:rsid w:val="00CD28A0"/>
    <w:rsid w:val="00CD297A"/>
    <w:rsid w:val="00CD320C"/>
    <w:rsid w:val="00CD32FC"/>
    <w:rsid w:val="00CD3F48"/>
    <w:rsid w:val="00CD46F5"/>
    <w:rsid w:val="00CD491B"/>
    <w:rsid w:val="00CD55E5"/>
    <w:rsid w:val="00CD59B2"/>
    <w:rsid w:val="00CD60E8"/>
    <w:rsid w:val="00CD65FE"/>
    <w:rsid w:val="00CD6D29"/>
    <w:rsid w:val="00CD6D83"/>
    <w:rsid w:val="00CD7495"/>
    <w:rsid w:val="00CE1748"/>
    <w:rsid w:val="00CE19DA"/>
    <w:rsid w:val="00CE21F6"/>
    <w:rsid w:val="00CE2850"/>
    <w:rsid w:val="00CE2F0B"/>
    <w:rsid w:val="00CE32A2"/>
    <w:rsid w:val="00CE32ED"/>
    <w:rsid w:val="00CE4A8F"/>
    <w:rsid w:val="00CE4C21"/>
    <w:rsid w:val="00CE55A9"/>
    <w:rsid w:val="00CE63CA"/>
    <w:rsid w:val="00CE66F4"/>
    <w:rsid w:val="00CE70F7"/>
    <w:rsid w:val="00CE7CF6"/>
    <w:rsid w:val="00CE7E8A"/>
    <w:rsid w:val="00CF04B7"/>
    <w:rsid w:val="00CF06F8"/>
    <w:rsid w:val="00CF071D"/>
    <w:rsid w:val="00CF0A2D"/>
    <w:rsid w:val="00CF0F86"/>
    <w:rsid w:val="00CF119F"/>
    <w:rsid w:val="00CF122D"/>
    <w:rsid w:val="00CF1618"/>
    <w:rsid w:val="00CF1873"/>
    <w:rsid w:val="00CF20CD"/>
    <w:rsid w:val="00CF2DF1"/>
    <w:rsid w:val="00CF2E1F"/>
    <w:rsid w:val="00CF3631"/>
    <w:rsid w:val="00CF39D3"/>
    <w:rsid w:val="00CF3A0D"/>
    <w:rsid w:val="00CF3FC9"/>
    <w:rsid w:val="00CF4664"/>
    <w:rsid w:val="00CF4795"/>
    <w:rsid w:val="00CF47CB"/>
    <w:rsid w:val="00CF5411"/>
    <w:rsid w:val="00CF542F"/>
    <w:rsid w:val="00CF55A8"/>
    <w:rsid w:val="00CF5900"/>
    <w:rsid w:val="00CF6B8C"/>
    <w:rsid w:val="00CF71EA"/>
    <w:rsid w:val="00CF7201"/>
    <w:rsid w:val="00CF7738"/>
    <w:rsid w:val="00CF7B95"/>
    <w:rsid w:val="00CF7C8E"/>
    <w:rsid w:val="00D010C9"/>
    <w:rsid w:val="00D0148A"/>
    <w:rsid w:val="00D01622"/>
    <w:rsid w:val="00D016A4"/>
    <w:rsid w:val="00D02FED"/>
    <w:rsid w:val="00D035C6"/>
    <w:rsid w:val="00D0446F"/>
    <w:rsid w:val="00D048DA"/>
    <w:rsid w:val="00D04AFC"/>
    <w:rsid w:val="00D05138"/>
    <w:rsid w:val="00D052CD"/>
    <w:rsid w:val="00D054F0"/>
    <w:rsid w:val="00D059E2"/>
    <w:rsid w:val="00D064FC"/>
    <w:rsid w:val="00D06911"/>
    <w:rsid w:val="00D06DED"/>
    <w:rsid w:val="00D07198"/>
    <w:rsid w:val="00D10567"/>
    <w:rsid w:val="00D1070C"/>
    <w:rsid w:val="00D10F1F"/>
    <w:rsid w:val="00D11F43"/>
    <w:rsid w:val="00D12F8F"/>
    <w:rsid w:val="00D1415B"/>
    <w:rsid w:val="00D15265"/>
    <w:rsid w:val="00D154FA"/>
    <w:rsid w:val="00D15B04"/>
    <w:rsid w:val="00D15B7B"/>
    <w:rsid w:val="00D15FF7"/>
    <w:rsid w:val="00D16117"/>
    <w:rsid w:val="00D163A7"/>
    <w:rsid w:val="00D16CBB"/>
    <w:rsid w:val="00D17429"/>
    <w:rsid w:val="00D17465"/>
    <w:rsid w:val="00D177F4"/>
    <w:rsid w:val="00D17E77"/>
    <w:rsid w:val="00D2031B"/>
    <w:rsid w:val="00D2095C"/>
    <w:rsid w:val="00D22234"/>
    <w:rsid w:val="00D22359"/>
    <w:rsid w:val="00D226FA"/>
    <w:rsid w:val="00D228BA"/>
    <w:rsid w:val="00D22989"/>
    <w:rsid w:val="00D22F9A"/>
    <w:rsid w:val="00D23D2C"/>
    <w:rsid w:val="00D25560"/>
    <w:rsid w:val="00D25FE2"/>
    <w:rsid w:val="00D26466"/>
    <w:rsid w:val="00D26B97"/>
    <w:rsid w:val="00D26BF6"/>
    <w:rsid w:val="00D27655"/>
    <w:rsid w:val="00D27A3B"/>
    <w:rsid w:val="00D308D9"/>
    <w:rsid w:val="00D30C19"/>
    <w:rsid w:val="00D310E6"/>
    <w:rsid w:val="00D316D2"/>
    <w:rsid w:val="00D31736"/>
    <w:rsid w:val="00D31EF1"/>
    <w:rsid w:val="00D326A5"/>
    <w:rsid w:val="00D327D9"/>
    <w:rsid w:val="00D33831"/>
    <w:rsid w:val="00D347B7"/>
    <w:rsid w:val="00D348CF"/>
    <w:rsid w:val="00D350EE"/>
    <w:rsid w:val="00D35DA1"/>
    <w:rsid w:val="00D36034"/>
    <w:rsid w:val="00D3611B"/>
    <w:rsid w:val="00D36189"/>
    <w:rsid w:val="00D36250"/>
    <w:rsid w:val="00D372C7"/>
    <w:rsid w:val="00D378B2"/>
    <w:rsid w:val="00D37DA9"/>
    <w:rsid w:val="00D406A7"/>
    <w:rsid w:val="00D40FE6"/>
    <w:rsid w:val="00D41270"/>
    <w:rsid w:val="00D4155A"/>
    <w:rsid w:val="00D416E7"/>
    <w:rsid w:val="00D424A7"/>
    <w:rsid w:val="00D42752"/>
    <w:rsid w:val="00D42B5A"/>
    <w:rsid w:val="00D42CB6"/>
    <w:rsid w:val="00D43252"/>
    <w:rsid w:val="00D43302"/>
    <w:rsid w:val="00D44CE8"/>
    <w:rsid w:val="00D44D86"/>
    <w:rsid w:val="00D45006"/>
    <w:rsid w:val="00D454C0"/>
    <w:rsid w:val="00D45518"/>
    <w:rsid w:val="00D4555D"/>
    <w:rsid w:val="00D45740"/>
    <w:rsid w:val="00D45C7F"/>
    <w:rsid w:val="00D462B7"/>
    <w:rsid w:val="00D465F9"/>
    <w:rsid w:val="00D46A11"/>
    <w:rsid w:val="00D46A7A"/>
    <w:rsid w:val="00D46AA6"/>
    <w:rsid w:val="00D473BF"/>
    <w:rsid w:val="00D47AC8"/>
    <w:rsid w:val="00D47EE2"/>
    <w:rsid w:val="00D50B7D"/>
    <w:rsid w:val="00D50C4F"/>
    <w:rsid w:val="00D51129"/>
    <w:rsid w:val="00D51F89"/>
    <w:rsid w:val="00D52012"/>
    <w:rsid w:val="00D529F8"/>
    <w:rsid w:val="00D5405F"/>
    <w:rsid w:val="00D54790"/>
    <w:rsid w:val="00D549BB"/>
    <w:rsid w:val="00D54B61"/>
    <w:rsid w:val="00D55EE2"/>
    <w:rsid w:val="00D56029"/>
    <w:rsid w:val="00D5702E"/>
    <w:rsid w:val="00D57782"/>
    <w:rsid w:val="00D57D4B"/>
    <w:rsid w:val="00D603C8"/>
    <w:rsid w:val="00D604EC"/>
    <w:rsid w:val="00D60A37"/>
    <w:rsid w:val="00D60C9D"/>
    <w:rsid w:val="00D6102F"/>
    <w:rsid w:val="00D615C0"/>
    <w:rsid w:val="00D61C42"/>
    <w:rsid w:val="00D63F6F"/>
    <w:rsid w:val="00D6426D"/>
    <w:rsid w:val="00D64460"/>
    <w:rsid w:val="00D64E0D"/>
    <w:rsid w:val="00D65397"/>
    <w:rsid w:val="00D6571E"/>
    <w:rsid w:val="00D658E1"/>
    <w:rsid w:val="00D65B32"/>
    <w:rsid w:val="00D65B4C"/>
    <w:rsid w:val="00D65E83"/>
    <w:rsid w:val="00D66087"/>
    <w:rsid w:val="00D66522"/>
    <w:rsid w:val="00D67013"/>
    <w:rsid w:val="00D67ED3"/>
    <w:rsid w:val="00D67F31"/>
    <w:rsid w:val="00D704E5"/>
    <w:rsid w:val="00D71145"/>
    <w:rsid w:val="00D71312"/>
    <w:rsid w:val="00D71383"/>
    <w:rsid w:val="00D71525"/>
    <w:rsid w:val="00D72727"/>
    <w:rsid w:val="00D737D7"/>
    <w:rsid w:val="00D73A19"/>
    <w:rsid w:val="00D743CB"/>
    <w:rsid w:val="00D74697"/>
    <w:rsid w:val="00D76720"/>
    <w:rsid w:val="00D775BB"/>
    <w:rsid w:val="00D77D05"/>
    <w:rsid w:val="00D77D7B"/>
    <w:rsid w:val="00D803C7"/>
    <w:rsid w:val="00D81398"/>
    <w:rsid w:val="00D81551"/>
    <w:rsid w:val="00D815C7"/>
    <w:rsid w:val="00D81F5D"/>
    <w:rsid w:val="00D828B2"/>
    <w:rsid w:val="00D82BC9"/>
    <w:rsid w:val="00D82EA4"/>
    <w:rsid w:val="00D8314F"/>
    <w:rsid w:val="00D83911"/>
    <w:rsid w:val="00D83A0D"/>
    <w:rsid w:val="00D85774"/>
    <w:rsid w:val="00D86462"/>
    <w:rsid w:val="00D868B4"/>
    <w:rsid w:val="00D87C88"/>
    <w:rsid w:val="00D904E3"/>
    <w:rsid w:val="00D90651"/>
    <w:rsid w:val="00D909C3"/>
    <w:rsid w:val="00D90BC3"/>
    <w:rsid w:val="00D90F7D"/>
    <w:rsid w:val="00D91135"/>
    <w:rsid w:val="00D92427"/>
    <w:rsid w:val="00D929AC"/>
    <w:rsid w:val="00D93135"/>
    <w:rsid w:val="00D93A46"/>
    <w:rsid w:val="00D93BB7"/>
    <w:rsid w:val="00D93EF3"/>
    <w:rsid w:val="00D941F0"/>
    <w:rsid w:val="00D948B5"/>
    <w:rsid w:val="00D94CA2"/>
    <w:rsid w:val="00D94F7A"/>
    <w:rsid w:val="00D952BD"/>
    <w:rsid w:val="00D9552C"/>
    <w:rsid w:val="00D95F7D"/>
    <w:rsid w:val="00D963E0"/>
    <w:rsid w:val="00D971FB"/>
    <w:rsid w:val="00D9785E"/>
    <w:rsid w:val="00D978C6"/>
    <w:rsid w:val="00DA05C2"/>
    <w:rsid w:val="00DA0707"/>
    <w:rsid w:val="00DA0956"/>
    <w:rsid w:val="00DA0FD2"/>
    <w:rsid w:val="00DA13A2"/>
    <w:rsid w:val="00DA16FC"/>
    <w:rsid w:val="00DA18F4"/>
    <w:rsid w:val="00DA195C"/>
    <w:rsid w:val="00DA270A"/>
    <w:rsid w:val="00DA2A18"/>
    <w:rsid w:val="00DA3487"/>
    <w:rsid w:val="00DA357F"/>
    <w:rsid w:val="00DA3902"/>
    <w:rsid w:val="00DA3C61"/>
    <w:rsid w:val="00DA3E12"/>
    <w:rsid w:val="00DA4AE7"/>
    <w:rsid w:val="00DA561B"/>
    <w:rsid w:val="00DA5803"/>
    <w:rsid w:val="00DA594A"/>
    <w:rsid w:val="00DA5C8A"/>
    <w:rsid w:val="00DA6179"/>
    <w:rsid w:val="00DA6BB2"/>
    <w:rsid w:val="00DA6E0B"/>
    <w:rsid w:val="00DA6E2A"/>
    <w:rsid w:val="00DA7758"/>
    <w:rsid w:val="00DB05AE"/>
    <w:rsid w:val="00DB1F24"/>
    <w:rsid w:val="00DB1FB6"/>
    <w:rsid w:val="00DB21DC"/>
    <w:rsid w:val="00DB2766"/>
    <w:rsid w:val="00DB3D35"/>
    <w:rsid w:val="00DB3F27"/>
    <w:rsid w:val="00DB425D"/>
    <w:rsid w:val="00DB45B4"/>
    <w:rsid w:val="00DB4D0C"/>
    <w:rsid w:val="00DB67AD"/>
    <w:rsid w:val="00DB7CD0"/>
    <w:rsid w:val="00DC11E3"/>
    <w:rsid w:val="00DC14FC"/>
    <w:rsid w:val="00DC18AD"/>
    <w:rsid w:val="00DC2192"/>
    <w:rsid w:val="00DC265F"/>
    <w:rsid w:val="00DC2DCE"/>
    <w:rsid w:val="00DC40CE"/>
    <w:rsid w:val="00DC5AA4"/>
    <w:rsid w:val="00DC64EB"/>
    <w:rsid w:val="00DC6812"/>
    <w:rsid w:val="00DC6A5C"/>
    <w:rsid w:val="00DC7EDE"/>
    <w:rsid w:val="00DD045C"/>
    <w:rsid w:val="00DD0628"/>
    <w:rsid w:val="00DD168B"/>
    <w:rsid w:val="00DD1715"/>
    <w:rsid w:val="00DD2094"/>
    <w:rsid w:val="00DD25CB"/>
    <w:rsid w:val="00DD265E"/>
    <w:rsid w:val="00DD2C36"/>
    <w:rsid w:val="00DD2D30"/>
    <w:rsid w:val="00DD3004"/>
    <w:rsid w:val="00DD4D81"/>
    <w:rsid w:val="00DD6D4E"/>
    <w:rsid w:val="00DD6D98"/>
    <w:rsid w:val="00DD725C"/>
    <w:rsid w:val="00DD77BE"/>
    <w:rsid w:val="00DD7AC3"/>
    <w:rsid w:val="00DD7B3A"/>
    <w:rsid w:val="00DE05F4"/>
    <w:rsid w:val="00DE098C"/>
    <w:rsid w:val="00DE0AD8"/>
    <w:rsid w:val="00DE1549"/>
    <w:rsid w:val="00DE2297"/>
    <w:rsid w:val="00DE2566"/>
    <w:rsid w:val="00DE26EC"/>
    <w:rsid w:val="00DE3D51"/>
    <w:rsid w:val="00DE41B2"/>
    <w:rsid w:val="00DE4B1C"/>
    <w:rsid w:val="00DE4CAF"/>
    <w:rsid w:val="00DE4F63"/>
    <w:rsid w:val="00DE50F2"/>
    <w:rsid w:val="00DE5197"/>
    <w:rsid w:val="00DE554F"/>
    <w:rsid w:val="00DE5D36"/>
    <w:rsid w:val="00DE73DE"/>
    <w:rsid w:val="00DE7455"/>
    <w:rsid w:val="00DE75E9"/>
    <w:rsid w:val="00DE760B"/>
    <w:rsid w:val="00DE7746"/>
    <w:rsid w:val="00DE7851"/>
    <w:rsid w:val="00DE7A46"/>
    <w:rsid w:val="00DF0470"/>
    <w:rsid w:val="00DF0748"/>
    <w:rsid w:val="00DF20B8"/>
    <w:rsid w:val="00DF38F3"/>
    <w:rsid w:val="00DF392B"/>
    <w:rsid w:val="00DF4A0F"/>
    <w:rsid w:val="00DF4A60"/>
    <w:rsid w:val="00DF57AF"/>
    <w:rsid w:val="00DF665A"/>
    <w:rsid w:val="00DF69F9"/>
    <w:rsid w:val="00DF6FB6"/>
    <w:rsid w:val="00DF70B7"/>
    <w:rsid w:val="00DF7344"/>
    <w:rsid w:val="00DF7CAE"/>
    <w:rsid w:val="00DF7DF4"/>
    <w:rsid w:val="00DF7FB2"/>
    <w:rsid w:val="00E0358C"/>
    <w:rsid w:val="00E03C35"/>
    <w:rsid w:val="00E041EE"/>
    <w:rsid w:val="00E042D6"/>
    <w:rsid w:val="00E05119"/>
    <w:rsid w:val="00E06ABC"/>
    <w:rsid w:val="00E0710D"/>
    <w:rsid w:val="00E0743E"/>
    <w:rsid w:val="00E076C9"/>
    <w:rsid w:val="00E07A5A"/>
    <w:rsid w:val="00E106C1"/>
    <w:rsid w:val="00E10EA9"/>
    <w:rsid w:val="00E11595"/>
    <w:rsid w:val="00E11ABE"/>
    <w:rsid w:val="00E11E49"/>
    <w:rsid w:val="00E11E8F"/>
    <w:rsid w:val="00E12159"/>
    <w:rsid w:val="00E124C5"/>
    <w:rsid w:val="00E12D4E"/>
    <w:rsid w:val="00E1312F"/>
    <w:rsid w:val="00E13388"/>
    <w:rsid w:val="00E14A15"/>
    <w:rsid w:val="00E14C36"/>
    <w:rsid w:val="00E14DFD"/>
    <w:rsid w:val="00E14F00"/>
    <w:rsid w:val="00E1558B"/>
    <w:rsid w:val="00E16D5D"/>
    <w:rsid w:val="00E16FAF"/>
    <w:rsid w:val="00E172E4"/>
    <w:rsid w:val="00E174AF"/>
    <w:rsid w:val="00E17801"/>
    <w:rsid w:val="00E17EB4"/>
    <w:rsid w:val="00E20745"/>
    <w:rsid w:val="00E217BA"/>
    <w:rsid w:val="00E21C04"/>
    <w:rsid w:val="00E22291"/>
    <w:rsid w:val="00E22D97"/>
    <w:rsid w:val="00E23587"/>
    <w:rsid w:val="00E23EDC"/>
    <w:rsid w:val="00E23EF8"/>
    <w:rsid w:val="00E245C5"/>
    <w:rsid w:val="00E25766"/>
    <w:rsid w:val="00E26A00"/>
    <w:rsid w:val="00E2722A"/>
    <w:rsid w:val="00E27274"/>
    <w:rsid w:val="00E2750B"/>
    <w:rsid w:val="00E27AA7"/>
    <w:rsid w:val="00E306BE"/>
    <w:rsid w:val="00E31057"/>
    <w:rsid w:val="00E31525"/>
    <w:rsid w:val="00E319CA"/>
    <w:rsid w:val="00E31DD3"/>
    <w:rsid w:val="00E327DD"/>
    <w:rsid w:val="00E339E8"/>
    <w:rsid w:val="00E34549"/>
    <w:rsid w:val="00E34B2C"/>
    <w:rsid w:val="00E363CD"/>
    <w:rsid w:val="00E365BD"/>
    <w:rsid w:val="00E365EB"/>
    <w:rsid w:val="00E367F0"/>
    <w:rsid w:val="00E368AE"/>
    <w:rsid w:val="00E36991"/>
    <w:rsid w:val="00E36ABE"/>
    <w:rsid w:val="00E37AA4"/>
    <w:rsid w:val="00E4174A"/>
    <w:rsid w:val="00E42054"/>
    <w:rsid w:val="00E423C0"/>
    <w:rsid w:val="00E42D71"/>
    <w:rsid w:val="00E43ED3"/>
    <w:rsid w:val="00E4413B"/>
    <w:rsid w:val="00E442A1"/>
    <w:rsid w:val="00E45327"/>
    <w:rsid w:val="00E4542E"/>
    <w:rsid w:val="00E4570C"/>
    <w:rsid w:val="00E46449"/>
    <w:rsid w:val="00E46898"/>
    <w:rsid w:val="00E4781A"/>
    <w:rsid w:val="00E50D0B"/>
    <w:rsid w:val="00E50D8C"/>
    <w:rsid w:val="00E50D95"/>
    <w:rsid w:val="00E50F12"/>
    <w:rsid w:val="00E5194D"/>
    <w:rsid w:val="00E52256"/>
    <w:rsid w:val="00E53706"/>
    <w:rsid w:val="00E5532A"/>
    <w:rsid w:val="00E56447"/>
    <w:rsid w:val="00E56548"/>
    <w:rsid w:val="00E56618"/>
    <w:rsid w:val="00E57668"/>
    <w:rsid w:val="00E6231F"/>
    <w:rsid w:val="00E62599"/>
    <w:rsid w:val="00E636A7"/>
    <w:rsid w:val="00E637D1"/>
    <w:rsid w:val="00E6414C"/>
    <w:rsid w:val="00E6456A"/>
    <w:rsid w:val="00E64770"/>
    <w:rsid w:val="00E64975"/>
    <w:rsid w:val="00E65733"/>
    <w:rsid w:val="00E65B6F"/>
    <w:rsid w:val="00E670A1"/>
    <w:rsid w:val="00E70608"/>
    <w:rsid w:val="00E713C9"/>
    <w:rsid w:val="00E713CB"/>
    <w:rsid w:val="00E72186"/>
    <w:rsid w:val="00E7260F"/>
    <w:rsid w:val="00E7294B"/>
    <w:rsid w:val="00E73361"/>
    <w:rsid w:val="00E734B4"/>
    <w:rsid w:val="00E739C7"/>
    <w:rsid w:val="00E73CC1"/>
    <w:rsid w:val="00E751CB"/>
    <w:rsid w:val="00E76D41"/>
    <w:rsid w:val="00E76F0C"/>
    <w:rsid w:val="00E77057"/>
    <w:rsid w:val="00E77167"/>
    <w:rsid w:val="00E7749F"/>
    <w:rsid w:val="00E7786C"/>
    <w:rsid w:val="00E77B22"/>
    <w:rsid w:val="00E77D39"/>
    <w:rsid w:val="00E806FE"/>
    <w:rsid w:val="00E81674"/>
    <w:rsid w:val="00E817FF"/>
    <w:rsid w:val="00E819D7"/>
    <w:rsid w:val="00E824B0"/>
    <w:rsid w:val="00E82F72"/>
    <w:rsid w:val="00E833FB"/>
    <w:rsid w:val="00E83B99"/>
    <w:rsid w:val="00E83D34"/>
    <w:rsid w:val="00E84187"/>
    <w:rsid w:val="00E84F07"/>
    <w:rsid w:val="00E85151"/>
    <w:rsid w:val="00E85338"/>
    <w:rsid w:val="00E857FF"/>
    <w:rsid w:val="00E85FC8"/>
    <w:rsid w:val="00E86D11"/>
    <w:rsid w:val="00E8702D"/>
    <w:rsid w:val="00E90010"/>
    <w:rsid w:val="00E9068F"/>
    <w:rsid w:val="00E90874"/>
    <w:rsid w:val="00E90D49"/>
    <w:rsid w:val="00E916A9"/>
    <w:rsid w:val="00E916DE"/>
    <w:rsid w:val="00E91E00"/>
    <w:rsid w:val="00E91E29"/>
    <w:rsid w:val="00E92492"/>
    <w:rsid w:val="00E925AD"/>
    <w:rsid w:val="00E9316D"/>
    <w:rsid w:val="00E93CBF"/>
    <w:rsid w:val="00E94F55"/>
    <w:rsid w:val="00E95C3E"/>
    <w:rsid w:val="00E95E5D"/>
    <w:rsid w:val="00E96630"/>
    <w:rsid w:val="00E96DF0"/>
    <w:rsid w:val="00E97433"/>
    <w:rsid w:val="00E97B0D"/>
    <w:rsid w:val="00E97DAB"/>
    <w:rsid w:val="00EA058F"/>
    <w:rsid w:val="00EA155E"/>
    <w:rsid w:val="00EA1B66"/>
    <w:rsid w:val="00EA1D7F"/>
    <w:rsid w:val="00EA1FAD"/>
    <w:rsid w:val="00EA25AE"/>
    <w:rsid w:val="00EA3ACD"/>
    <w:rsid w:val="00EA4416"/>
    <w:rsid w:val="00EA45EF"/>
    <w:rsid w:val="00EA5503"/>
    <w:rsid w:val="00EA5D02"/>
    <w:rsid w:val="00EA6668"/>
    <w:rsid w:val="00EA6ECB"/>
    <w:rsid w:val="00EA7797"/>
    <w:rsid w:val="00EA7D7C"/>
    <w:rsid w:val="00EB1583"/>
    <w:rsid w:val="00EB18EB"/>
    <w:rsid w:val="00EB27E8"/>
    <w:rsid w:val="00EB2C47"/>
    <w:rsid w:val="00EB2C51"/>
    <w:rsid w:val="00EB3429"/>
    <w:rsid w:val="00EB35F6"/>
    <w:rsid w:val="00EB37E9"/>
    <w:rsid w:val="00EB381A"/>
    <w:rsid w:val="00EB3A7A"/>
    <w:rsid w:val="00EB3B06"/>
    <w:rsid w:val="00EB3B3C"/>
    <w:rsid w:val="00EB4714"/>
    <w:rsid w:val="00EB483A"/>
    <w:rsid w:val="00EB4BD8"/>
    <w:rsid w:val="00EB507A"/>
    <w:rsid w:val="00EB5B7E"/>
    <w:rsid w:val="00EB60A7"/>
    <w:rsid w:val="00EB68DC"/>
    <w:rsid w:val="00EB70A3"/>
    <w:rsid w:val="00EB72EE"/>
    <w:rsid w:val="00EB730E"/>
    <w:rsid w:val="00EB736C"/>
    <w:rsid w:val="00EB73A0"/>
    <w:rsid w:val="00EB770E"/>
    <w:rsid w:val="00EB7C3E"/>
    <w:rsid w:val="00EB7E6B"/>
    <w:rsid w:val="00EC0356"/>
    <w:rsid w:val="00EC08C2"/>
    <w:rsid w:val="00EC0C7B"/>
    <w:rsid w:val="00EC0FE5"/>
    <w:rsid w:val="00EC1BA2"/>
    <w:rsid w:val="00EC1C70"/>
    <w:rsid w:val="00EC1E67"/>
    <w:rsid w:val="00EC2D7B"/>
    <w:rsid w:val="00EC2EFD"/>
    <w:rsid w:val="00EC332D"/>
    <w:rsid w:val="00EC4338"/>
    <w:rsid w:val="00EC49AE"/>
    <w:rsid w:val="00EC57FC"/>
    <w:rsid w:val="00EC5816"/>
    <w:rsid w:val="00EC5942"/>
    <w:rsid w:val="00EC5F13"/>
    <w:rsid w:val="00EC6044"/>
    <w:rsid w:val="00EC6970"/>
    <w:rsid w:val="00EC6A53"/>
    <w:rsid w:val="00EC789D"/>
    <w:rsid w:val="00ED01E1"/>
    <w:rsid w:val="00ED0A7B"/>
    <w:rsid w:val="00ED139A"/>
    <w:rsid w:val="00ED153C"/>
    <w:rsid w:val="00ED18DC"/>
    <w:rsid w:val="00ED1A83"/>
    <w:rsid w:val="00ED1C8A"/>
    <w:rsid w:val="00ED1CBE"/>
    <w:rsid w:val="00ED2003"/>
    <w:rsid w:val="00ED31CC"/>
    <w:rsid w:val="00ED36D5"/>
    <w:rsid w:val="00ED50C4"/>
    <w:rsid w:val="00ED53E9"/>
    <w:rsid w:val="00ED6201"/>
    <w:rsid w:val="00ED72BB"/>
    <w:rsid w:val="00ED7A2A"/>
    <w:rsid w:val="00EE0ECC"/>
    <w:rsid w:val="00EE21F7"/>
    <w:rsid w:val="00EE30C7"/>
    <w:rsid w:val="00EE43D7"/>
    <w:rsid w:val="00EE4AB9"/>
    <w:rsid w:val="00EE4CED"/>
    <w:rsid w:val="00EE50BC"/>
    <w:rsid w:val="00EE5A49"/>
    <w:rsid w:val="00EE6202"/>
    <w:rsid w:val="00EE6644"/>
    <w:rsid w:val="00EE6AD5"/>
    <w:rsid w:val="00EF0060"/>
    <w:rsid w:val="00EF0E7F"/>
    <w:rsid w:val="00EF133E"/>
    <w:rsid w:val="00EF19A7"/>
    <w:rsid w:val="00EF1D7F"/>
    <w:rsid w:val="00EF2247"/>
    <w:rsid w:val="00EF2A09"/>
    <w:rsid w:val="00EF2B7E"/>
    <w:rsid w:val="00EF306E"/>
    <w:rsid w:val="00EF30C6"/>
    <w:rsid w:val="00EF33E4"/>
    <w:rsid w:val="00EF3590"/>
    <w:rsid w:val="00EF39DD"/>
    <w:rsid w:val="00EF3A49"/>
    <w:rsid w:val="00EF57E4"/>
    <w:rsid w:val="00EF6196"/>
    <w:rsid w:val="00EF6689"/>
    <w:rsid w:val="00EF7C9E"/>
    <w:rsid w:val="00F0009D"/>
    <w:rsid w:val="00F0029B"/>
    <w:rsid w:val="00F00D39"/>
    <w:rsid w:val="00F00EAF"/>
    <w:rsid w:val="00F0102D"/>
    <w:rsid w:val="00F011C7"/>
    <w:rsid w:val="00F0137E"/>
    <w:rsid w:val="00F016A5"/>
    <w:rsid w:val="00F0171A"/>
    <w:rsid w:val="00F02741"/>
    <w:rsid w:val="00F04406"/>
    <w:rsid w:val="00F04826"/>
    <w:rsid w:val="00F04B63"/>
    <w:rsid w:val="00F04BF4"/>
    <w:rsid w:val="00F04D6B"/>
    <w:rsid w:val="00F05A54"/>
    <w:rsid w:val="00F05C18"/>
    <w:rsid w:val="00F06F98"/>
    <w:rsid w:val="00F073D5"/>
    <w:rsid w:val="00F07FCE"/>
    <w:rsid w:val="00F10FC6"/>
    <w:rsid w:val="00F12103"/>
    <w:rsid w:val="00F12296"/>
    <w:rsid w:val="00F12A4A"/>
    <w:rsid w:val="00F13402"/>
    <w:rsid w:val="00F1403E"/>
    <w:rsid w:val="00F14A01"/>
    <w:rsid w:val="00F14ADF"/>
    <w:rsid w:val="00F1566A"/>
    <w:rsid w:val="00F16166"/>
    <w:rsid w:val="00F1624B"/>
    <w:rsid w:val="00F169D0"/>
    <w:rsid w:val="00F16AB6"/>
    <w:rsid w:val="00F171D4"/>
    <w:rsid w:val="00F173D9"/>
    <w:rsid w:val="00F1756C"/>
    <w:rsid w:val="00F20201"/>
    <w:rsid w:val="00F2065C"/>
    <w:rsid w:val="00F2069D"/>
    <w:rsid w:val="00F20B8C"/>
    <w:rsid w:val="00F20F4F"/>
    <w:rsid w:val="00F21085"/>
    <w:rsid w:val="00F21786"/>
    <w:rsid w:val="00F2206E"/>
    <w:rsid w:val="00F22D37"/>
    <w:rsid w:val="00F2320B"/>
    <w:rsid w:val="00F23666"/>
    <w:rsid w:val="00F23C37"/>
    <w:rsid w:val="00F24CB0"/>
    <w:rsid w:val="00F24EDE"/>
    <w:rsid w:val="00F25A02"/>
    <w:rsid w:val="00F273D3"/>
    <w:rsid w:val="00F27746"/>
    <w:rsid w:val="00F27896"/>
    <w:rsid w:val="00F3023A"/>
    <w:rsid w:val="00F307BC"/>
    <w:rsid w:val="00F3191D"/>
    <w:rsid w:val="00F31ACF"/>
    <w:rsid w:val="00F31D4C"/>
    <w:rsid w:val="00F324FB"/>
    <w:rsid w:val="00F325E5"/>
    <w:rsid w:val="00F32759"/>
    <w:rsid w:val="00F32DD6"/>
    <w:rsid w:val="00F3312B"/>
    <w:rsid w:val="00F34156"/>
    <w:rsid w:val="00F349CF"/>
    <w:rsid w:val="00F34B41"/>
    <w:rsid w:val="00F35A9F"/>
    <w:rsid w:val="00F35ADE"/>
    <w:rsid w:val="00F367CA"/>
    <w:rsid w:val="00F3742B"/>
    <w:rsid w:val="00F40D58"/>
    <w:rsid w:val="00F40FEC"/>
    <w:rsid w:val="00F41FDB"/>
    <w:rsid w:val="00F420DE"/>
    <w:rsid w:val="00F42EE1"/>
    <w:rsid w:val="00F43D22"/>
    <w:rsid w:val="00F43F4F"/>
    <w:rsid w:val="00F44102"/>
    <w:rsid w:val="00F44BB5"/>
    <w:rsid w:val="00F44C3C"/>
    <w:rsid w:val="00F459CF"/>
    <w:rsid w:val="00F45FD6"/>
    <w:rsid w:val="00F460CA"/>
    <w:rsid w:val="00F46F33"/>
    <w:rsid w:val="00F47E3B"/>
    <w:rsid w:val="00F47FFD"/>
    <w:rsid w:val="00F50250"/>
    <w:rsid w:val="00F507EC"/>
    <w:rsid w:val="00F512C5"/>
    <w:rsid w:val="00F515D7"/>
    <w:rsid w:val="00F51811"/>
    <w:rsid w:val="00F518D8"/>
    <w:rsid w:val="00F51C0C"/>
    <w:rsid w:val="00F51C5A"/>
    <w:rsid w:val="00F52F3A"/>
    <w:rsid w:val="00F532EB"/>
    <w:rsid w:val="00F53646"/>
    <w:rsid w:val="00F54925"/>
    <w:rsid w:val="00F55BAB"/>
    <w:rsid w:val="00F56CDB"/>
    <w:rsid w:val="00F56D63"/>
    <w:rsid w:val="00F57B57"/>
    <w:rsid w:val="00F600F0"/>
    <w:rsid w:val="00F6017D"/>
    <w:rsid w:val="00F6023D"/>
    <w:rsid w:val="00F60603"/>
    <w:rsid w:val="00F609A9"/>
    <w:rsid w:val="00F60E3D"/>
    <w:rsid w:val="00F61203"/>
    <w:rsid w:val="00F61294"/>
    <w:rsid w:val="00F617F6"/>
    <w:rsid w:val="00F61E11"/>
    <w:rsid w:val="00F62D23"/>
    <w:rsid w:val="00F654C3"/>
    <w:rsid w:val="00F6557A"/>
    <w:rsid w:val="00F657FF"/>
    <w:rsid w:val="00F665E4"/>
    <w:rsid w:val="00F66D25"/>
    <w:rsid w:val="00F67622"/>
    <w:rsid w:val="00F67789"/>
    <w:rsid w:val="00F715EC"/>
    <w:rsid w:val="00F71BF2"/>
    <w:rsid w:val="00F7383E"/>
    <w:rsid w:val="00F73B82"/>
    <w:rsid w:val="00F752A9"/>
    <w:rsid w:val="00F75B7B"/>
    <w:rsid w:val="00F76112"/>
    <w:rsid w:val="00F76F19"/>
    <w:rsid w:val="00F7702B"/>
    <w:rsid w:val="00F77642"/>
    <w:rsid w:val="00F80676"/>
    <w:rsid w:val="00F80BDE"/>
    <w:rsid w:val="00F80C99"/>
    <w:rsid w:val="00F817E0"/>
    <w:rsid w:val="00F81E9C"/>
    <w:rsid w:val="00F8271E"/>
    <w:rsid w:val="00F82B78"/>
    <w:rsid w:val="00F83187"/>
    <w:rsid w:val="00F83CE8"/>
    <w:rsid w:val="00F844CB"/>
    <w:rsid w:val="00F84CCB"/>
    <w:rsid w:val="00F852FB"/>
    <w:rsid w:val="00F8564C"/>
    <w:rsid w:val="00F857F9"/>
    <w:rsid w:val="00F8599F"/>
    <w:rsid w:val="00F86680"/>
    <w:rsid w:val="00F867EC"/>
    <w:rsid w:val="00F86B5F"/>
    <w:rsid w:val="00F87427"/>
    <w:rsid w:val="00F902C1"/>
    <w:rsid w:val="00F91619"/>
    <w:rsid w:val="00F91B2B"/>
    <w:rsid w:val="00F91F42"/>
    <w:rsid w:val="00F91F4E"/>
    <w:rsid w:val="00F926F3"/>
    <w:rsid w:val="00F92A8C"/>
    <w:rsid w:val="00F92E97"/>
    <w:rsid w:val="00F93B15"/>
    <w:rsid w:val="00F946C2"/>
    <w:rsid w:val="00F94AA5"/>
    <w:rsid w:val="00F9537B"/>
    <w:rsid w:val="00F954ED"/>
    <w:rsid w:val="00F95872"/>
    <w:rsid w:val="00F95E8A"/>
    <w:rsid w:val="00F96489"/>
    <w:rsid w:val="00F96646"/>
    <w:rsid w:val="00F96EB8"/>
    <w:rsid w:val="00F97818"/>
    <w:rsid w:val="00FA048B"/>
    <w:rsid w:val="00FA0F8D"/>
    <w:rsid w:val="00FA1569"/>
    <w:rsid w:val="00FA1CE6"/>
    <w:rsid w:val="00FA1E8F"/>
    <w:rsid w:val="00FA1EC4"/>
    <w:rsid w:val="00FA1F6F"/>
    <w:rsid w:val="00FA2132"/>
    <w:rsid w:val="00FA25E5"/>
    <w:rsid w:val="00FA2619"/>
    <w:rsid w:val="00FA36C0"/>
    <w:rsid w:val="00FA3764"/>
    <w:rsid w:val="00FA3801"/>
    <w:rsid w:val="00FA3F0C"/>
    <w:rsid w:val="00FA43B1"/>
    <w:rsid w:val="00FA4E76"/>
    <w:rsid w:val="00FA53A3"/>
    <w:rsid w:val="00FA5849"/>
    <w:rsid w:val="00FA58AE"/>
    <w:rsid w:val="00FA609B"/>
    <w:rsid w:val="00FA6207"/>
    <w:rsid w:val="00FA64FC"/>
    <w:rsid w:val="00FA68F8"/>
    <w:rsid w:val="00FA697B"/>
    <w:rsid w:val="00FA70A8"/>
    <w:rsid w:val="00FB0791"/>
    <w:rsid w:val="00FB07E4"/>
    <w:rsid w:val="00FB0FE2"/>
    <w:rsid w:val="00FB1004"/>
    <w:rsid w:val="00FB24D9"/>
    <w:rsid w:val="00FB270C"/>
    <w:rsid w:val="00FB3BB6"/>
    <w:rsid w:val="00FB3D49"/>
    <w:rsid w:val="00FB40D5"/>
    <w:rsid w:val="00FB449A"/>
    <w:rsid w:val="00FB4EC0"/>
    <w:rsid w:val="00FB5341"/>
    <w:rsid w:val="00FB53D9"/>
    <w:rsid w:val="00FB5763"/>
    <w:rsid w:val="00FB68B1"/>
    <w:rsid w:val="00FC0166"/>
    <w:rsid w:val="00FC03CD"/>
    <w:rsid w:val="00FC0519"/>
    <w:rsid w:val="00FC0646"/>
    <w:rsid w:val="00FC0723"/>
    <w:rsid w:val="00FC0DA6"/>
    <w:rsid w:val="00FC12DD"/>
    <w:rsid w:val="00FC1A0A"/>
    <w:rsid w:val="00FC1D28"/>
    <w:rsid w:val="00FC2281"/>
    <w:rsid w:val="00FC22E7"/>
    <w:rsid w:val="00FC25F3"/>
    <w:rsid w:val="00FC26B3"/>
    <w:rsid w:val="00FC28AA"/>
    <w:rsid w:val="00FC2ED7"/>
    <w:rsid w:val="00FC3121"/>
    <w:rsid w:val="00FC370A"/>
    <w:rsid w:val="00FC3AD0"/>
    <w:rsid w:val="00FC48B9"/>
    <w:rsid w:val="00FC5014"/>
    <w:rsid w:val="00FC51BD"/>
    <w:rsid w:val="00FC5363"/>
    <w:rsid w:val="00FC5C30"/>
    <w:rsid w:val="00FC670F"/>
    <w:rsid w:val="00FC68B7"/>
    <w:rsid w:val="00FC6DBA"/>
    <w:rsid w:val="00FC75E3"/>
    <w:rsid w:val="00FD025A"/>
    <w:rsid w:val="00FD1A34"/>
    <w:rsid w:val="00FD2296"/>
    <w:rsid w:val="00FD2DB3"/>
    <w:rsid w:val="00FD325D"/>
    <w:rsid w:val="00FD3283"/>
    <w:rsid w:val="00FD3B54"/>
    <w:rsid w:val="00FD5B31"/>
    <w:rsid w:val="00FD5FBC"/>
    <w:rsid w:val="00FD6240"/>
    <w:rsid w:val="00FD690A"/>
    <w:rsid w:val="00FD72DB"/>
    <w:rsid w:val="00FD7E87"/>
    <w:rsid w:val="00FE050D"/>
    <w:rsid w:val="00FE0D32"/>
    <w:rsid w:val="00FE10DF"/>
    <w:rsid w:val="00FE1578"/>
    <w:rsid w:val="00FE1713"/>
    <w:rsid w:val="00FE1809"/>
    <w:rsid w:val="00FE1BB7"/>
    <w:rsid w:val="00FE250B"/>
    <w:rsid w:val="00FE2BE4"/>
    <w:rsid w:val="00FE2CC0"/>
    <w:rsid w:val="00FE317D"/>
    <w:rsid w:val="00FE3254"/>
    <w:rsid w:val="00FE3994"/>
    <w:rsid w:val="00FE3AAB"/>
    <w:rsid w:val="00FE41C3"/>
    <w:rsid w:val="00FE42DE"/>
    <w:rsid w:val="00FE5DAD"/>
    <w:rsid w:val="00FE5E69"/>
    <w:rsid w:val="00FE637D"/>
    <w:rsid w:val="00FE66DB"/>
    <w:rsid w:val="00FE6985"/>
    <w:rsid w:val="00FE69EE"/>
    <w:rsid w:val="00FE6EBA"/>
    <w:rsid w:val="00FE779D"/>
    <w:rsid w:val="00FE7C8C"/>
    <w:rsid w:val="00FF0B99"/>
    <w:rsid w:val="00FF0CE7"/>
    <w:rsid w:val="00FF0E34"/>
    <w:rsid w:val="00FF1005"/>
    <w:rsid w:val="00FF1082"/>
    <w:rsid w:val="00FF13F6"/>
    <w:rsid w:val="00FF1E21"/>
    <w:rsid w:val="00FF228F"/>
    <w:rsid w:val="00FF2660"/>
    <w:rsid w:val="00FF314C"/>
    <w:rsid w:val="00FF31B0"/>
    <w:rsid w:val="00FF3E41"/>
    <w:rsid w:val="00FF4BC3"/>
    <w:rsid w:val="00FF649E"/>
    <w:rsid w:val="00FF7286"/>
    <w:rsid w:val="00FF7D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680D7"/>
  <w15:docId w15:val="{549FF628-EDF1-475E-996C-B8DDE890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4D"/>
    <w:rPr>
      <w:sz w:val="24"/>
      <w:szCs w:val="24"/>
      <w:lang w:val="en-US" w:eastAsia="en-US"/>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uiPriority w:val="9"/>
    <w:qFormat/>
    <w:rsid w:val="00E5194D"/>
    <w:pPr>
      <w:suppressAutoHyphens/>
      <w:outlineLvl w:val="1"/>
    </w:pPr>
    <w:rPr>
      <w:sz w:val="20"/>
      <w:szCs w:val="20"/>
      <w:lang w:val="en-GB"/>
    </w:rPr>
  </w:style>
  <w:style w:type="paragraph" w:styleId="Heading3">
    <w:name w:val="heading 3"/>
    <w:basedOn w:val="Normal"/>
    <w:next w:val="Normal"/>
    <w:uiPriority w:val="9"/>
    <w:qFormat/>
    <w:rsid w:val="00E5194D"/>
    <w:pPr>
      <w:suppressAutoHyphens/>
      <w:outlineLvl w:val="2"/>
    </w:pPr>
    <w:rPr>
      <w:sz w:val="20"/>
      <w:szCs w:val="20"/>
      <w:lang w:val="en-GB"/>
    </w:rPr>
  </w:style>
  <w:style w:type="paragraph" w:styleId="Heading4">
    <w:name w:val="heading 4"/>
    <w:basedOn w:val="Normal"/>
    <w:next w:val="Normal"/>
    <w:qFormat/>
    <w:rsid w:val="00E5194D"/>
    <w:pPr>
      <w:suppressAutoHyphens/>
      <w:outlineLvl w:val="3"/>
    </w:pPr>
    <w:rPr>
      <w:sz w:val="20"/>
      <w:szCs w:val="20"/>
      <w:lang w:val="en-GB"/>
    </w:rPr>
  </w:style>
  <w:style w:type="paragraph" w:styleId="Heading5">
    <w:name w:val="heading 5"/>
    <w:basedOn w:val="Normal"/>
    <w:next w:val="Normal"/>
    <w:qFormat/>
    <w:rsid w:val="00E5194D"/>
    <w:pPr>
      <w:suppressAutoHyphens/>
      <w:outlineLvl w:val="4"/>
    </w:pPr>
    <w:rPr>
      <w:sz w:val="20"/>
      <w:szCs w:val="20"/>
      <w:lang w:val="en-GB"/>
    </w:rPr>
  </w:style>
  <w:style w:type="paragraph" w:styleId="Heading6">
    <w:name w:val="heading 6"/>
    <w:basedOn w:val="Normal"/>
    <w:next w:val="Normal"/>
    <w:qFormat/>
    <w:rsid w:val="00E5194D"/>
    <w:pPr>
      <w:suppressAutoHyphens/>
      <w:outlineLvl w:val="5"/>
    </w:pPr>
    <w:rPr>
      <w:sz w:val="20"/>
      <w:szCs w:val="20"/>
      <w:lang w:val="en-GB"/>
    </w:rPr>
  </w:style>
  <w:style w:type="paragraph" w:styleId="Heading7">
    <w:name w:val="heading 7"/>
    <w:basedOn w:val="Normal"/>
    <w:next w:val="Normal"/>
    <w:qFormat/>
    <w:rsid w:val="00E5194D"/>
    <w:pPr>
      <w:suppressAutoHyphens/>
      <w:outlineLvl w:val="6"/>
    </w:pPr>
    <w:rPr>
      <w:sz w:val="20"/>
      <w:szCs w:val="20"/>
      <w:lang w:val="en-GB"/>
    </w:rPr>
  </w:style>
  <w:style w:type="paragraph" w:styleId="Heading8">
    <w:name w:val="heading 8"/>
    <w:basedOn w:val="Normal"/>
    <w:next w:val="Normal"/>
    <w:qFormat/>
    <w:rsid w:val="00E5194D"/>
    <w:pPr>
      <w:suppressAutoHyphens/>
      <w:outlineLvl w:val="7"/>
    </w:pPr>
    <w:rPr>
      <w:sz w:val="20"/>
      <w:szCs w:val="20"/>
      <w:lang w:val="en-GB"/>
    </w:rPr>
  </w:style>
  <w:style w:type="paragraph" w:styleId="Heading9">
    <w:name w:val="heading 9"/>
    <w:basedOn w:val="Normal"/>
    <w:next w:val="Normal"/>
    <w:qFormat/>
    <w:rsid w:val="00E5194D"/>
    <w:pPr>
      <w:suppressAutoHyphens/>
      <w:outlineLvl w:val="8"/>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5194D"/>
    <w:pPr>
      <w:suppressAutoHyphens/>
      <w:spacing w:after="120" w:line="240" w:lineRule="atLeast"/>
      <w:ind w:left="1134" w:right="1134"/>
      <w:jc w:val="both"/>
    </w:pPr>
    <w:rPr>
      <w:sz w:val="20"/>
      <w:szCs w:val="20"/>
      <w:lang w:val="en-GB"/>
    </w:rPr>
  </w:style>
  <w:style w:type="paragraph" w:customStyle="1" w:styleId="HMG">
    <w:name w:val="_ H __M_G"/>
    <w:basedOn w:val="Normal"/>
    <w:next w:val="Normal"/>
    <w:rsid w:val="00E5194D"/>
    <w:pPr>
      <w:keepNext/>
      <w:keepLines/>
      <w:tabs>
        <w:tab w:val="right" w:pos="851"/>
      </w:tabs>
      <w:suppressAutoHyphens/>
      <w:spacing w:before="240" w:after="240" w:line="360" w:lineRule="exact"/>
      <w:ind w:left="1134" w:right="1134" w:hanging="1134"/>
    </w:pPr>
    <w:rPr>
      <w:b/>
      <w:sz w:val="34"/>
      <w:szCs w:val="20"/>
      <w:lang w:val="en-GB"/>
    </w:rPr>
  </w:style>
  <w:style w:type="paragraph" w:customStyle="1" w:styleId="HChG">
    <w:name w:val="_ H _Ch_G"/>
    <w:basedOn w:val="Normal"/>
    <w:next w:val="Normal"/>
    <w:rsid w:val="00E5194D"/>
    <w:pPr>
      <w:keepNext/>
      <w:keepLines/>
      <w:tabs>
        <w:tab w:val="right" w:pos="851"/>
      </w:tabs>
      <w:suppressAutoHyphens/>
      <w:spacing w:before="360" w:after="240" w:line="300" w:lineRule="exact"/>
      <w:ind w:left="1134" w:right="1134" w:hanging="1134"/>
    </w:pPr>
    <w:rPr>
      <w:b/>
      <w:sz w:val="28"/>
      <w:szCs w:val="20"/>
      <w:lang w:val="en-GB"/>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5194D"/>
    <w:pPr>
      <w:keepNext/>
      <w:keepLines/>
      <w:suppressAutoHyphens/>
      <w:spacing w:before="240" w:after="240" w:line="420" w:lineRule="exact"/>
      <w:ind w:left="1134" w:right="1134"/>
    </w:pPr>
    <w:rPr>
      <w:b/>
      <w:sz w:val="40"/>
      <w:szCs w:val="20"/>
      <w:lang w:val="en-GB"/>
    </w:rPr>
  </w:style>
  <w:style w:type="paragraph" w:customStyle="1" w:styleId="SLG">
    <w:name w:val="__S_L_G"/>
    <w:basedOn w:val="Normal"/>
    <w:next w:val="Normal"/>
    <w:rsid w:val="00E5194D"/>
    <w:pPr>
      <w:keepNext/>
      <w:keepLines/>
      <w:suppressAutoHyphens/>
      <w:spacing w:before="240" w:after="240" w:line="580" w:lineRule="exact"/>
      <w:ind w:left="1134" w:right="1134"/>
    </w:pPr>
    <w:rPr>
      <w:b/>
      <w:sz w:val="56"/>
      <w:szCs w:val="20"/>
      <w:lang w:val="en-GB"/>
    </w:rPr>
  </w:style>
  <w:style w:type="paragraph" w:customStyle="1" w:styleId="SSG">
    <w:name w:val="__S_S_G"/>
    <w:basedOn w:val="Normal"/>
    <w:next w:val="Normal"/>
    <w:rsid w:val="00E5194D"/>
    <w:pPr>
      <w:keepNext/>
      <w:keepLines/>
      <w:suppressAutoHyphens/>
      <w:spacing w:before="240" w:after="240" w:line="300" w:lineRule="exact"/>
      <w:ind w:left="1134" w:right="1134"/>
    </w:pPr>
    <w:rPr>
      <w:b/>
      <w:sz w:val="28"/>
      <w:szCs w:val="20"/>
      <w:lang w:val="en-GB"/>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5194D"/>
    <w:pPr>
      <w:tabs>
        <w:tab w:val="right" w:pos="1021"/>
      </w:tabs>
      <w:suppressAutoHyphens/>
      <w:spacing w:line="220" w:lineRule="exact"/>
      <w:ind w:left="1134" w:right="1134" w:hanging="1134"/>
    </w:pPr>
    <w:rPr>
      <w:sz w:val="18"/>
      <w:szCs w:val="20"/>
      <w:lang w:val="en-GB"/>
    </w:rPr>
  </w:style>
  <w:style w:type="paragraph" w:customStyle="1" w:styleId="XLargeG">
    <w:name w:val="__XLarge_G"/>
    <w:basedOn w:val="Normal"/>
    <w:next w:val="Normal"/>
    <w:rsid w:val="00E5194D"/>
    <w:pPr>
      <w:keepNext/>
      <w:keepLines/>
      <w:suppressAutoHyphens/>
      <w:spacing w:before="240" w:after="240" w:line="420" w:lineRule="exact"/>
      <w:ind w:left="1134" w:right="1134"/>
    </w:pPr>
    <w:rPr>
      <w:b/>
      <w:sz w:val="40"/>
      <w:szCs w:val="20"/>
      <w:lang w:val="en-GB"/>
    </w:rPr>
  </w:style>
  <w:style w:type="paragraph" w:customStyle="1" w:styleId="Bullet1G">
    <w:name w:val="_Bullet 1_G"/>
    <w:basedOn w:val="Normal"/>
    <w:rsid w:val="00E5194D"/>
    <w:pPr>
      <w:numPr>
        <w:numId w:val="1"/>
      </w:numPr>
      <w:suppressAutoHyphens/>
      <w:spacing w:after="120" w:line="240" w:lineRule="atLeast"/>
      <w:ind w:right="1134"/>
      <w:jc w:val="both"/>
    </w:pPr>
    <w:rPr>
      <w:sz w:val="20"/>
      <w:szCs w:val="20"/>
      <w:lang w:val="en-GB"/>
    </w:rPr>
  </w:style>
  <w:style w:type="paragraph" w:styleId="EndnoteText">
    <w:name w:val="endnote text"/>
    <w:aliases w:val="2_G"/>
    <w:basedOn w:val="FootnoteText"/>
    <w:rsid w:val="00E925AD"/>
  </w:style>
  <w:style w:type="paragraph" w:customStyle="1" w:styleId="Bullet2G">
    <w:name w:val="_Bullet 2_G"/>
    <w:basedOn w:val="Normal"/>
    <w:rsid w:val="00E5194D"/>
    <w:pPr>
      <w:numPr>
        <w:numId w:val="2"/>
      </w:numPr>
      <w:suppressAutoHyphens/>
      <w:spacing w:after="120" w:line="240" w:lineRule="atLeast"/>
      <w:ind w:right="1134"/>
      <w:jc w:val="both"/>
    </w:pPr>
    <w:rPr>
      <w:sz w:val="20"/>
      <w:szCs w:val="20"/>
      <w:lang w:val="en-GB"/>
    </w:rPr>
  </w:style>
  <w:style w:type="paragraph" w:customStyle="1" w:styleId="H1G">
    <w:name w:val="_ H_1_G"/>
    <w:basedOn w:val="Normal"/>
    <w:next w:val="Normal"/>
    <w:rsid w:val="00E5194D"/>
    <w:pPr>
      <w:keepNext/>
      <w:keepLines/>
      <w:tabs>
        <w:tab w:val="right" w:pos="851"/>
      </w:tabs>
      <w:suppressAutoHyphens/>
      <w:spacing w:before="360" w:after="240" w:line="270" w:lineRule="exact"/>
      <w:ind w:left="1134" w:right="1134" w:hanging="1134"/>
    </w:pPr>
    <w:rPr>
      <w:b/>
      <w:szCs w:val="20"/>
      <w:lang w:val="en-GB"/>
    </w:rPr>
  </w:style>
  <w:style w:type="paragraph" w:customStyle="1" w:styleId="H23G">
    <w:name w:val="_ H_2/3_G"/>
    <w:basedOn w:val="Normal"/>
    <w:next w:val="Normal"/>
    <w:rsid w:val="00E5194D"/>
    <w:pPr>
      <w:keepNext/>
      <w:keepLines/>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E5194D"/>
    <w:pPr>
      <w:keepNext/>
      <w:keepLines/>
      <w:tabs>
        <w:tab w:val="right" w:pos="851"/>
      </w:tabs>
      <w:suppressAutoHyphens/>
      <w:spacing w:before="240" w:after="120" w:line="240" w:lineRule="exact"/>
      <w:ind w:left="1134" w:right="1134" w:hanging="1134"/>
    </w:pPr>
    <w:rPr>
      <w:i/>
      <w:sz w:val="20"/>
      <w:szCs w:val="20"/>
      <w:lang w:val="en-GB"/>
    </w:rPr>
  </w:style>
  <w:style w:type="paragraph" w:customStyle="1" w:styleId="H56G">
    <w:name w:val="_ H_5/6_G"/>
    <w:basedOn w:val="Normal"/>
    <w:next w:val="Normal"/>
    <w:rsid w:val="00E5194D"/>
    <w:pPr>
      <w:keepNext/>
      <w:keepLines/>
      <w:tabs>
        <w:tab w:val="right" w:pos="851"/>
      </w:tabs>
      <w:suppressAutoHyphens/>
      <w:spacing w:before="240" w:after="120" w:line="240" w:lineRule="exact"/>
      <w:ind w:left="1134" w:right="1134" w:hanging="1134"/>
    </w:pPr>
    <w:rPr>
      <w:sz w:val="20"/>
      <w:szCs w:val="20"/>
      <w:lang w:val="en-GB"/>
    </w:rPr>
  </w:style>
  <w:style w:type="character" w:styleId="Hyperlink">
    <w:name w:val="Hyperlink"/>
    <w:semiHidden/>
    <w:rsid w:val="00E925AD"/>
    <w:rPr>
      <w:color w:val="auto"/>
      <w:u w:val="none"/>
    </w:rPr>
  </w:style>
  <w:style w:type="paragraph" w:styleId="Footer">
    <w:name w:val="footer"/>
    <w:aliases w:val="3_G"/>
    <w:basedOn w:val="Normal"/>
    <w:rsid w:val="00E5194D"/>
    <w:pPr>
      <w:suppressAutoHyphens/>
    </w:pPr>
    <w:rPr>
      <w:sz w:val="16"/>
      <w:szCs w:val="20"/>
      <w:lang w:val="en-GB"/>
    </w:rPr>
  </w:style>
  <w:style w:type="paragraph" w:styleId="Header">
    <w:name w:val="header"/>
    <w:aliases w:val="6_G"/>
    <w:basedOn w:val="Normal"/>
    <w:rsid w:val="00E5194D"/>
    <w:pPr>
      <w:pBdr>
        <w:bottom w:val="single" w:sz="4" w:space="4" w:color="auto"/>
      </w:pBdr>
      <w:suppressAutoHyphens/>
    </w:pPr>
    <w:rPr>
      <w:b/>
      <w:sz w:val="18"/>
      <w:szCs w:val="20"/>
      <w:lang w:val="en-GB"/>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uiPriority w:val="99"/>
    <w:rsid w:val="00C90CFC"/>
    <w:rPr>
      <w:sz w:val="16"/>
      <w:szCs w:val="16"/>
    </w:rPr>
  </w:style>
  <w:style w:type="paragraph" w:styleId="CommentText">
    <w:name w:val="annotation text"/>
    <w:basedOn w:val="Normal"/>
    <w:link w:val="CommentTextChar"/>
    <w:uiPriority w:val="99"/>
    <w:rsid w:val="00E5194D"/>
    <w:pPr>
      <w:suppressAutoHyphens/>
      <w:spacing w:line="240" w:lineRule="atLeast"/>
    </w:pPr>
    <w:rPr>
      <w:sz w:val="20"/>
      <w:szCs w:val="20"/>
      <w:lang w:val="en-GB"/>
    </w:rPr>
  </w:style>
  <w:style w:type="paragraph" w:styleId="CommentSubject">
    <w:name w:val="annotation subject"/>
    <w:basedOn w:val="CommentText"/>
    <w:next w:val="CommentText"/>
    <w:semiHidden/>
    <w:rsid w:val="00C90CFC"/>
    <w:rPr>
      <w:b/>
      <w:bCs/>
    </w:rPr>
  </w:style>
  <w:style w:type="paragraph" w:styleId="BalloonText">
    <w:name w:val="Balloon Text"/>
    <w:basedOn w:val="Normal"/>
    <w:semiHidden/>
    <w:rsid w:val="00E5194D"/>
    <w:pPr>
      <w:suppressAutoHyphens/>
      <w:spacing w:line="240" w:lineRule="atLeast"/>
    </w:pPr>
    <w:rPr>
      <w:rFonts w:ascii="Tahoma" w:hAnsi="Tahoma" w:cs="Tahoma"/>
      <w:sz w:val="16"/>
      <w:szCs w:val="16"/>
      <w:lang w:val="en-GB"/>
    </w:rPr>
  </w:style>
  <w:style w:type="paragraph" w:customStyle="1" w:styleId="Default">
    <w:name w:val="Default"/>
    <w:rsid w:val="00A35C0F"/>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styleId="ListParagraph">
    <w:name w:val="List Paragraph"/>
    <w:basedOn w:val="Normal"/>
    <w:uiPriority w:val="34"/>
    <w:qFormat/>
    <w:rsid w:val="00E5194D"/>
    <w:pPr>
      <w:suppressAutoHyphens/>
      <w:spacing w:line="240" w:lineRule="atLeast"/>
      <w:ind w:left="720"/>
    </w:pPr>
    <w:rPr>
      <w:sz w:val="20"/>
      <w:szCs w:val="20"/>
      <w:lang w:val="en-GB"/>
    </w:r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E5194D"/>
    <w:pPr>
      <w:widowControl w:val="0"/>
      <w:suppressAutoHyphens/>
      <w:autoSpaceDE w:val="0"/>
      <w:spacing w:line="220" w:lineRule="exact"/>
      <w:ind w:firstLine="475"/>
      <w:jc w:val="both"/>
    </w:pPr>
    <w:rPr>
      <w:lang w:val="uk-UA" w:eastAsia="ar-SA"/>
    </w:rPr>
  </w:style>
  <w:style w:type="character" w:customStyle="1" w:styleId="CommentTextChar">
    <w:name w:val="Comment Text Char"/>
    <w:link w:val="CommentText"/>
    <w:uiPriority w:val="99"/>
    <w:rsid w:val="004761A3"/>
    <w:rPr>
      <w:lang w:eastAsia="en-US"/>
    </w:rPr>
  </w:style>
  <w:style w:type="paragraph" w:styleId="Revision">
    <w:name w:val="Revision"/>
    <w:hidden/>
    <w:uiPriority w:val="99"/>
    <w:semiHidden/>
    <w:rsid w:val="00E6456A"/>
    <w:rPr>
      <w:lang w:eastAsia="en-US"/>
    </w:rPr>
  </w:style>
  <w:style w:type="character" w:customStyle="1" w:styleId="FootnoteTextChar">
    <w:name w:val="Footnote Text Char"/>
    <w:aliases w:val="5_G Char"/>
    <w:link w:val="FootnoteText"/>
    <w:uiPriority w:val="99"/>
    <w:rsid w:val="00757F82"/>
    <w:rPr>
      <w:sz w:val="18"/>
      <w:lang w:eastAsia="en-US"/>
    </w:rPr>
  </w:style>
  <w:style w:type="character" w:customStyle="1" w:styleId="st">
    <w:name w:val="st"/>
    <w:rsid w:val="00E713C9"/>
  </w:style>
  <w:style w:type="character" w:customStyle="1" w:styleId="highlight">
    <w:name w:val="highlight"/>
    <w:basedOn w:val="DefaultParagraphFont"/>
    <w:rsid w:val="00E713CB"/>
  </w:style>
  <w:style w:type="character" w:customStyle="1" w:styleId="Heading1Char">
    <w:name w:val="Heading 1 Char"/>
    <w:aliases w:val="Table_G Char"/>
    <w:basedOn w:val="DefaultParagraphFont"/>
    <w:link w:val="Heading1"/>
    <w:uiPriority w:val="9"/>
    <w:rsid w:val="009B2249"/>
    <w:rPr>
      <w:lang w:eastAsia="en-US"/>
    </w:rPr>
  </w:style>
  <w:style w:type="character" w:customStyle="1" w:styleId="SingleTxtGChar">
    <w:name w:val="_ Single Txt_G Char"/>
    <w:link w:val="SingleTxtG"/>
    <w:uiPriority w:val="99"/>
    <w:locked/>
    <w:rsid w:val="003D039F"/>
    <w:rPr>
      <w:lang w:eastAsia="en-US"/>
    </w:rPr>
  </w:style>
  <w:style w:type="character" w:customStyle="1" w:styleId="UnresolvedMention1">
    <w:name w:val="Unresolved Mention1"/>
    <w:basedOn w:val="DefaultParagraphFont"/>
    <w:rsid w:val="00E041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1048">
      <w:bodyDiv w:val="1"/>
      <w:marLeft w:val="0"/>
      <w:marRight w:val="0"/>
      <w:marTop w:val="0"/>
      <w:marBottom w:val="0"/>
      <w:divBdr>
        <w:top w:val="none" w:sz="0" w:space="0" w:color="auto"/>
        <w:left w:val="none" w:sz="0" w:space="0" w:color="auto"/>
        <w:bottom w:val="none" w:sz="0" w:space="0" w:color="auto"/>
        <w:right w:val="none" w:sz="0" w:space="0" w:color="auto"/>
      </w:divBdr>
      <w:divsChild>
        <w:div w:id="279846111">
          <w:marLeft w:val="0"/>
          <w:marRight w:val="0"/>
          <w:marTop w:val="0"/>
          <w:marBottom w:val="0"/>
          <w:divBdr>
            <w:top w:val="none" w:sz="0" w:space="0" w:color="auto"/>
            <w:left w:val="none" w:sz="0" w:space="0" w:color="auto"/>
            <w:bottom w:val="none" w:sz="0" w:space="0" w:color="auto"/>
            <w:right w:val="none" w:sz="0" w:space="0" w:color="auto"/>
          </w:divBdr>
        </w:div>
        <w:div w:id="326632939">
          <w:marLeft w:val="0"/>
          <w:marRight w:val="0"/>
          <w:marTop w:val="0"/>
          <w:marBottom w:val="0"/>
          <w:divBdr>
            <w:top w:val="none" w:sz="0" w:space="0" w:color="auto"/>
            <w:left w:val="none" w:sz="0" w:space="0" w:color="auto"/>
            <w:bottom w:val="none" w:sz="0" w:space="0" w:color="auto"/>
            <w:right w:val="none" w:sz="0" w:space="0" w:color="auto"/>
          </w:divBdr>
        </w:div>
        <w:div w:id="395592331">
          <w:marLeft w:val="0"/>
          <w:marRight w:val="0"/>
          <w:marTop w:val="0"/>
          <w:marBottom w:val="0"/>
          <w:divBdr>
            <w:top w:val="none" w:sz="0" w:space="0" w:color="auto"/>
            <w:left w:val="none" w:sz="0" w:space="0" w:color="auto"/>
            <w:bottom w:val="none" w:sz="0" w:space="0" w:color="auto"/>
            <w:right w:val="none" w:sz="0" w:space="0" w:color="auto"/>
          </w:divBdr>
        </w:div>
        <w:div w:id="420562493">
          <w:marLeft w:val="0"/>
          <w:marRight w:val="0"/>
          <w:marTop w:val="0"/>
          <w:marBottom w:val="0"/>
          <w:divBdr>
            <w:top w:val="none" w:sz="0" w:space="0" w:color="auto"/>
            <w:left w:val="none" w:sz="0" w:space="0" w:color="auto"/>
            <w:bottom w:val="none" w:sz="0" w:space="0" w:color="auto"/>
            <w:right w:val="none" w:sz="0" w:space="0" w:color="auto"/>
          </w:divBdr>
        </w:div>
        <w:div w:id="559484133">
          <w:marLeft w:val="0"/>
          <w:marRight w:val="0"/>
          <w:marTop w:val="0"/>
          <w:marBottom w:val="0"/>
          <w:divBdr>
            <w:top w:val="none" w:sz="0" w:space="0" w:color="auto"/>
            <w:left w:val="none" w:sz="0" w:space="0" w:color="auto"/>
            <w:bottom w:val="none" w:sz="0" w:space="0" w:color="auto"/>
            <w:right w:val="none" w:sz="0" w:space="0" w:color="auto"/>
          </w:divBdr>
        </w:div>
        <w:div w:id="603807619">
          <w:marLeft w:val="0"/>
          <w:marRight w:val="0"/>
          <w:marTop w:val="0"/>
          <w:marBottom w:val="0"/>
          <w:divBdr>
            <w:top w:val="none" w:sz="0" w:space="0" w:color="auto"/>
            <w:left w:val="none" w:sz="0" w:space="0" w:color="auto"/>
            <w:bottom w:val="none" w:sz="0" w:space="0" w:color="auto"/>
            <w:right w:val="none" w:sz="0" w:space="0" w:color="auto"/>
          </w:divBdr>
        </w:div>
        <w:div w:id="709840936">
          <w:marLeft w:val="0"/>
          <w:marRight w:val="0"/>
          <w:marTop w:val="0"/>
          <w:marBottom w:val="0"/>
          <w:divBdr>
            <w:top w:val="none" w:sz="0" w:space="0" w:color="auto"/>
            <w:left w:val="none" w:sz="0" w:space="0" w:color="auto"/>
            <w:bottom w:val="none" w:sz="0" w:space="0" w:color="auto"/>
            <w:right w:val="none" w:sz="0" w:space="0" w:color="auto"/>
          </w:divBdr>
        </w:div>
        <w:div w:id="898783251">
          <w:marLeft w:val="0"/>
          <w:marRight w:val="0"/>
          <w:marTop w:val="0"/>
          <w:marBottom w:val="0"/>
          <w:divBdr>
            <w:top w:val="none" w:sz="0" w:space="0" w:color="auto"/>
            <w:left w:val="none" w:sz="0" w:space="0" w:color="auto"/>
            <w:bottom w:val="none" w:sz="0" w:space="0" w:color="auto"/>
            <w:right w:val="none" w:sz="0" w:space="0" w:color="auto"/>
          </w:divBdr>
        </w:div>
        <w:div w:id="959727298">
          <w:marLeft w:val="0"/>
          <w:marRight w:val="0"/>
          <w:marTop w:val="0"/>
          <w:marBottom w:val="0"/>
          <w:divBdr>
            <w:top w:val="none" w:sz="0" w:space="0" w:color="auto"/>
            <w:left w:val="none" w:sz="0" w:space="0" w:color="auto"/>
            <w:bottom w:val="none" w:sz="0" w:space="0" w:color="auto"/>
            <w:right w:val="none" w:sz="0" w:space="0" w:color="auto"/>
          </w:divBdr>
        </w:div>
        <w:div w:id="963657335">
          <w:marLeft w:val="0"/>
          <w:marRight w:val="0"/>
          <w:marTop w:val="0"/>
          <w:marBottom w:val="0"/>
          <w:divBdr>
            <w:top w:val="none" w:sz="0" w:space="0" w:color="auto"/>
            <w:left w:val="none" w:sz="0" w:space="0" w:color="auto"/>
            <w:bottom w:val="none" w:sz="0" w:space="0" w:color="auto"/>
            <w:right w:val="none" w:sz="0" w:space="0" w:color="auto"/>
          </w:divBdr>
        </w:div>
        <w:div w:id="1074549336">
          <w:marLeft w:val="0"/>
          <w:marRight w:val="0"/>
          <w:marTop w:val="0"/>
          <w:marBottom w:val="0"/>
          <w:divBdr>
            <w:top w:val="none" w:sz="0" w:space="0" w:color="auto"/>
            <w:left w:val="none" w:sz="0" w:space="0" w:color="auto"/>
            <w:bottom w:val="none" w:sz="0" w:space="0" w:color="auto"/>
            <w:right w:val="none" w:sz="0" w:space="0" w:color="auto"/>
          </w:divBdr>
        </w:div>
        <w:div w:id="1225608566">
          <w:marLeft w:val="0"/>
          <w:marRight w:val="0"/>
          <w:marTop w:val="0"/>
          <w:marBottom w:val="0"/>
          <w:divBdr>
            <w:top w:val="none" w:sz="0" w:space="0" w:color="auto"/>
            <w:left w:val="none" w:sz="0" w:space="0" w:color="auto"/>
            <w:bottom w:val="none" w:sz="0" w:space="0" w:color="auto"/>
            <w:right w:val="none" w:sz="0" w:space="0" w:color="auto"/>
          </w:divBdr>
        </w:div>
        <w:div w:id="1255824905">
          <w:marLeft w:val="0"/>
          <w:marRight w:val="0"/>
          <w:marTop w:val="0"/>
          <w:marBottom w:val="0"/>
          <w:divBdr>
            <w:top w:val="none" w:sz="0" w:space="0" w:color="auto"/>
            <w:left w:val="none" w:sz="0" w:space="0" w:color="auto"/>
            <w:bottom w:val="none" w:sz="0" w:space="0" w:color="auto"/>
            <w:right w:val="none" w:sz="0" w:space="0" w:color="auto"/>
          </w:divBdr>
        </w:div>
        <w:div w:id="1312061196">
          <w:marLeft w:val="0"/>
          <w:marRight w:val="0"/>
          <w:marTop w:val="0"/>
          <w:marBottom w:val="0"/>
          <w:divBdr>
            <w:top w:val="none" w:sz="0" w:space="0" w:color="auto"/>
            <w:left w:val="none" w:sz="0" w:space="0" w:color="auto"/>
            <w:bottom w:val="none" w:sz="0" w:space="0" w:color="auto"/>
            <w:right w:val="none" w:sz="0" w:space="0" w:color="auto"/>
          </w:divBdr>
        </w:div>
        <w:div w:id="1662662275">
          <w:marLeft w:val="0"/>
          <w:marRight w:val="0"/>
          <w:marTop w:val="0"/>
          <w:marBottom w:val="0"/>
          <w:divBdr>
            <w:top w:val="none" w:sz="0" w:space="0" w:color="auto"/>
            <w:left w:val="none" w:sz="0" w:space="0" w:color="auto"/>
            <w:bottom w:val="none" w:sz="0" w:space="0" w:color="auto"/>
            <w:right w:val="none" w:sz="0" w:space="0" w:color="auto"/>
          </w:divBdr>
        </w:div>
        <w:div w:id="1987395337">
          <w:marLeft w:val="0"/>
          <w:marRight w:val="0"/>
          <w:marTop w:val="0"/>
          <w:marBottom w:val="0"/>
          <w:divBdr>
            <w:top w:val="none" w:sz="0" w:space="0" w:color="auto"/>
            <w:left w:val="none" w:sz="0" w:space="0" w:color="auto"/>
            <w:bottom w:val="none" w:sz="0" w:space="0" w:color="auto"/>
            <w:right w:val="none" w:sz="0" w:space="0" w:color="auto"/>
          </w:divBdr>
        </w:div>
        <w:div w:id="1992176474">
          <w:marLeft w:val="0"/>
          <w:marRight w:val="0"/>
          <w:marTop w:val="0"/>
          <w:marBottom w:val="0"/>
          <w:divBdr>
            <w:top w:val="none" w:sz="0" w:space="0" w:color="auto"/>
            <w:left w:val="none" w:sz="0" w:space="0" w:color="auto"/>
            <w:bottom w:val="none" w:sz="0" w:space="0" w:color="auto"/>
            <w:right w:val="none" w:sz="0" w:space="0" w:color="auto"/>
          </w:divBdr>
        </w:div>
      </w:divsChild>
    </w:div>
    <w:div w:id="61761315">
      <w:bodyDiv w:val="1"/>
      <w:marLeft w:val="0"/>
      <w:marRight w:val="0"/>
      <w:marTop w:val="0"/>
      <w:marBottom w:val="0"/>
      <w:divBdr>
        <w:top w:val="none" w:sz="0" w:space="0" w:color="auto"/>
        <w:left w:val="none" w:sz="0" w:space="0" w:color="auto"/>
        <w:bottom w:val="none" w:sz="0" w:space="0" w:color="auto"/>
        <w:right w:val="none" w:sz="0" w:space="0" w:color="auto"/>
      </w:divBdr>
    </w:div>
    <w:div w:id="79983360">
      <w:bodyDiv w:val="1"/>
      <w:marLeft w:val="0"/>
      <w:marRight w:val="0"/>
      <w:marTop w:val="0"/>
      <w:marBottom w:val="0"/>
      <w:divBdr>
        <w:top w:val="none" w:sz="0" w:space="0" w:color="auto"/>
        <w:left w:val="none" w:sz="0" w:space="0" w:color="auto"/>
        <w:bottom w:val="none" w:sz="0" w:space="0" w:color="auto"/>
        <w:right w:val="none" w:sz="0" w:space="0" w:color="auto"/>
      </w:divBdr>
    </w:div>
    <w:div w:id="112796493">
      <w:bodyDiv w:val="1"/>
      <w:marLeft w:val="0"/>
      <w:marRight w:val="0"/>
      <w:marTop w:val="0"/>
      <w:marBottom w:val="0"/>
      <w:divBdr>
        <w:top w:val="none" w:sz="0" w:space="0" w:color="auto"/>
        <w:left w:val="none" w:sz="0" w:space="0" w:color="auto"/>
        <w:bottom w:val="none" w:sz="0" w:space="0" w:color="auto"/>
        <w:right w:val="none" w:sz="0" w:space="0" w:color="auto"/>
      </w:divBdr>
    </w:div>
    <w:div w:id="146630759">
      <w:bodyDiv w:val="1"/>
      <w:marLeft w:val="0"/>
      <w:marRight w:val="0"/>
      <w:marTop w:val="0"/>
      <w:marBottom w:val="0"/>
      <w:divBdr>
        <w:top w:val="none" w:sz="0" w:space="0" w:color="auto"/>
        <w:left w:val="none" w:sz="0" w:space="0" w:color="auto"/>
        <w:bottom w:val="none" w:sz="0" w:space="0" w:color="auto"/>
        <w:right w:val="none" w:sz="0" w:space="0" w:color="auto"/>
      </w:divBdr>
    </w:div>
    <w:div w:id="158084522">
      <w:bodyDiv w:val="1"/>
      <w:marLeft w:val="0"/>
      <w:marRight w:val="0"/>
      <w:marTop w:val="0"/>
      <w:marBottom w:val="0"/>
      <w:divBdr>
        <w:top w:val="none" w:sz="0" w:space="0" w:color="auto"/>
        <w:left w:val="none" w:sz="0" w:space="0" w:color="auto"/>
        <w:bottom w:val="none" w:sz="0" w:space="0" w:color="auto"/>
        <w:right w:val="none" w:sz="0" w:space="0" w:color="auto"/>
      </w:divBdr>
    </w:div>
    <w:div w:id="177937789">
      <w:bodyDiv w:val="1"/>
      <w:marLeft w:val="0"/>
      <w:marRight w:val="0"/>
      <w:marTop w:val="0"/>
      <w:marBottom w:val="0"/>
      <w:divBdr>
        <w:top w:val="none" w:sz="0" w:space="0" w:color="auto"/>
        <w:left w:val="none" w:sz="0" w:space="0" w:color="auto"/>
        <w:bottom w:val="none" w:sz="0" w:space="0" w:color="auto"/>
        <w:right w:val="none" w:sz="0" w:space="0" w:color="auto"/>
      </w:divBdr>
    </w:div>
    <w:div w:id="222377965">
      <w:bodyDiv w:val="1"/>
      <w:marLeft w:val="0"/>
      <w:marRight w:val="0"/>
      <w:marTop w:val="0"/>
      <w:marBottom w:val="0"/>
      <w:divBdr>
        <w:top w:val="none" w:sz="0" w:space="0" w:color="auto"/>
        <w:left w:val="none" w:sz="0" w:space="0" w:color="auto"/>
        <w:bottom w:val="none" w:sz="0" w:space="0" w:color="auto"/>
        <w:right w:val="none" w:sz="0" w:space="0" w:color="auto"/>
      </w:divBdr>
      <w:divsChild>
        <w:div w:id="69426074">
          <w:marLeft w:val="0"/>
          <w:marRight w:val="0"/>
          <w:marTop w:val="0"/>
          <w:marBottom w:val="0"/>
          <w:divBdr>
            <w:top w:val="none" w:sz="0" w:space="0" w:color="auto"/>
            <w:left w:val="none" w:sz="0" w:space="0" w:color="auto"/>
            <w:bottom w:val="none" w:sz="0" w:space="0" w:color="auto"/>
            <w:right w:val="none" w:sz="0" w:space="0" w:color="auto"/>
          </w:divBdr>
        </w:div>
        <w:div w:id="918825473">
          <w:marLeft w:val="0"/>
          <w:marRight w:val="0"/>
          <w:marTop w:val="0"/>
          <w:marBottom w:val="0"/>
          <w:divBdr>
            <w:top w:val="none" w:sz="0" w:space="0" w:color="auto"/>
            <w:left w:val="none" w:sz="0" w:space="0" w:color="auto"/>
            <w:bottom w:val="none" w:sz="0" w:space="0" w:color="auto"/>
            <w:right w:val="none" w:sz="0" w:space="0" w:color="auto"/>
          </w:divBdr>
        </w:div>
      </w:divsChild>
    </w:div>
    <w:div w:id="224027121">
      <w:bodyDiv w:val="1"/>
      <w:marLeft w:val="0"/>
      <w:marRight w:val="0"/>
      <w:marTop w:val="0"/>
      <w:marBottom w:val="0"/>
      <w:divBdr>
        <w:top w:val="none" w:sz="0" w:space="0" w:color="auto"/>
        <w:left w:val="none" w:sz="0" w:space="0" w:color="auto"/>
        <w:bottom w:val="none" w:sz="0" w:space="0" w:color="auto"/>
        <w:right w:val="none" w:sz="0" w:space="0" w:color="auto"/>
      </w:divBdr>
    </w:div>
    <w:div w:id="247665313">
      <w:bodyDiv w:val="1"/>
      <w:marLeft w:val="0"/>
      <w:marRight w:val="0"/>
      <w:marTop w:val="0"/>
      <w:marBottom w:val="0"/>
      <w:divBdr>
        <w:top w:val="none" w:sz="0" w:space="0" w:color="auto"/>
        <w:left w:val="none" w:sz="0" w:space="0" w:color="auto"/>
        <w:bottom w:val="none" w:sz="0" w:space="0" w:color="auto"/>
        <w:right w:val="none" w:sz="0" w:space="0" w:color="auto"/>
      </w:divBdr>
    </w:div>
    <w:div w:id="262690339">
      <w:bodyDiv w:val="1"/>
      <w:marLeft w:val="0"/>
      <w:marRight w:val="0"/>
      <w:marTop w:val="0"/>
      <w:marBottom w:val="0"/>
      <w:divBdr>
        <w:top w:val="none" w:sz="0" w:space="0" w:color="auto"/>
        <w:left w:val="none" w:sz="0" w:space="0" w:color="auto"/>
        <w:bottom w:val="none" w:sz="0" w:space="0" w:color="auto"/>
        <w:right w:val="none" w:sz="0" w:space="0" w:color="auto"/>
      </w:divBdr>
      <w:divsChild>
        <w:div w:id="185562936">
          <w:marLeft w:val="0"/>
          <w:marRight w:val="0"/>
          <w:marTop w:val="0"/>
          <w:marBottom w:val="0"/>
          <w:divBdr>
            <w:top w:val="none" w:sz="0" w:space="0" w:color="auto"/>
            <w:left w:val="none" w:sz="0" w:space="0" w:color="auto"/>
            <w:bottom w:val="none" w:sz="0" w:space="0" w:color="auto"/>
            <w:right w:val="none" w:sz="0" w:space="0" w:color="auto"/>
          </w:divBdr>
        </w:div>
        <w:div w:id="305359491">
          <w:marLeft w:val="0"/>
          <w:marRight w:val="0"/>
          <w:marTop w:val="0"/>
          <w:marBottom w:val="0"/>
          <w:divBdr>
            <w:top w:val="none" w:sz="0" w:space="0" w:color="auto"/>
            <w:left w:val="none" w:sz="0" w:space="0" w:color="auto"/>
            <w:bottom w:val="none" w:sz="0" w:space="0" w:color="auto"/>
            <w:right w:val="none" w:sz="0" w:space="0" w:color="auto"/>
          </w:divBdr>
        </w:div>
        <w:div w:id="425855184">
          <w:marLeft w:val="0"/>
          <w:marRight w:val="0"/>
          <w:marTop w:val="0"/>
          <w:marBottom w:val="0"/>
          <w:divBdr>
            <w:top w:val="none" w:sz="0" w:space="0" w:color="auto"/>
            <w:left w:val="none" w:sz="0" w:space="0" w:color="auto"/>
            <w:bottom w:val="none" w:sz="0" w:space="0" w:color="auto"/>
            <w:right w:val="none" w:sz="0" w:space="0" w:color="auto"/>
          </w:divBdr>
        </w:div>
        <w:div w:id="817578928">
          <w:marLeft w:val="0"/>
          <w:marRight w:val="0"/>
          <w:marTop w:val="0"/>
          <w:marBottom w:val="0"/>
          <w:divBdr>
            <w:top w:val="none" w:sz="0" w:space="0" w:color="auto"/>
            <w:left w:val="none" w:sz="0" w:space="0" w:color="auto"/>
            <w:bottom w:val="none" w:sz="0" w:space="0" w:color="auto"/>
            <w:right w:val="none" w:sz="0" w:space="0" w:color="auto"/>
          </w:divBdr>
        </w:div>
        <w:div w:id="1270166068">
          <w:marLeft w:val="0"/>
          <w:marRight w:val="0"/>
          <w:marTop w:val="0"/>
          <w:marBottom w:val="0"/>
          <w:divBdr>
            <w:top w:val="none" w:sz="0" w:space="0" w:color="auto"/>
            <w:left w:val="none" w:sz="0" w:space="0" w:color="auto"/>
            <w:bottom w:val="none" w:sz="0" w:space="0" w:color="auto"/>
            <w:right w:val="none" w:sz="0" w:space="0" w:color="auto"/>
          </w:divBdr>
        </w:div>
        <w:div w:id="1305237090">
          <w:marLeft w:val="0"/>
          <w:marRight w:val="0"/>
          <w:marTop w:val="0"/>
          <w:marBottom w:val="0"/>
          <w:divBdr>
            <w:top w:val="none" w:sz="0" w:space="0" w:color="auto"/>
            <w:left w:val="none" w:sz="0" w:space="0" w:color="auto"/>
            <w:bottom w:val="none" w:sz="0" w:space="0" w:color="auto"/>
            <w:right w:val="none" w:sz="0" w:space="0" w:color="auto"/>
          </w:divBdr>
        </w:div>
        <w:div w:id="1382634814">
          <w:marLeft w:val="0"/>
          <w:marRight w:val="0"/>
          <w:marTop w:val="0"/>
          <w:marBottom w:val="0"/>
          <w:divBdr>
            <w:top w:val="none" w:sz="0" w:space="0" w:color="auto"/>
            <w:left w:val="none" w:sz="0" w:space="0" w:color="auto"/>
            <w:bottom w:val="none" w:sz="0" w:space="0" w:color="auto"/>
            <w:right w:val="none" w:sz="0" w:space="0" w:color="auto"/>
          </w:divBdr>
        </w:div>
        <w:div w:id="1484928268">
          <w:marLeft w:val="0"/>
          <w:marRight w:val="0"/>
          <w:marTop w:val="0"/>
          <w:marBottom w:val="0"/>
          <w:divBdr>
            <w:top w:val="none" w:sz="0" w:space="0" w:color="auto"/>
            <w:left w:val="none" w:sz="0" w:space="0" w:color="auto"/>
            <w:bottom w:val="none" w:sz="0" w:space="0" w:color="auto"/>
            <w:right w:val="none" w:sz="0" w:space="0" w:color="auto"/>
          </w:divBdr>
        </w:div>
      </w:divsChild>
    </w:div>
    <w:div w:id="304428581">
      <w:bodyDiv w:val="1"/>
      <w:marLeft w:val="0"/>
      <w:marRight w:val="0"/>
      <w:marTop w:val="0"/>
      <w:marBottom w:val="0"/>
      <w:divBdr>
        <w:top w:val="none" w:sz="0" w:space="0" w:color="auto"/>
        <w:left w:val="none" w:sz="0" w:space="0" w:color="auto"/>
        <w:bottom w:val="none" w:sz="0" w:space="0" w:color="auto"/>
        <w:right w:val="none" w:sz="0" w:space="0" w:color="auto"/>
      </w:divBdr>
      <w:divsChild>
        <w:div w:id="208609164">
          <w:marLeft w:val="0"/>
          <w:marRight w:val="0"/>
          <w:marTop w:val="0"/>
          <w:marBottom w:val="0"/>
          <w:divBdr>
            <w:top w:val="none" w:sz="0" w:space="0" w:color="auto"/>
            <w:left w:val="none" w:sz="0" w:space="0" w:color="auto"/>
            <w:bottom w:val="none" w:sz="0" w:space="0" w:color="auto"/>
            <w:right w:val="none" w:sz="0" w:space="0" w:color="auto"/>
          </w:divBdr>
        </w:div>
        <w:div w:id="345134999">
          <w:marLeft w:val="0"/>
          <w:marRight w:val="0"/>
          <w:marTop w:val="0"/>
          <w:marBottom w:val="0"/>
          <w:divBdr>
            <w:top w:val="none" w:sz="0" w:space="0" w:color="auto"/>
            <w:left w:val="none" w:sz="0" w:space="0" w:color="auto"/>
            <w:bottom w:val="none" w:sz="0" w:space="0" w:color="auto"/>
            <w:right w:val="none" w:sz="0" w:space="0" w:color="auto"/>
          </w:divBdr>
        </w:div>
        <w:div w:id="915743413">
          <w:marLeft w:val="0"/>
          <w:marRight w:val="0"/>
          <w:marTop w:val="0"/>
          <w:marBottom w:val="0"/>
          <w:divBdr>
            <w:top w:val="none" w:sz="0" w:space="0" w:color="auto"/>
            <w:left w:val="none" w:sz="0" w:space="0" w:color="auto"/>
            <w:bottom w:val="none" w:sz="0" w:space="0" w:color="auto"/>
            <w:right w:val="none" w:sz="0" w:space="0" w:color="auto"/>
          </w:divBdr>
        </w:div>
        <w:div w:id="1399865569">
          <w:marLeft w:val="0"/>
          <w:marRight w:val="0"/>
          <w:marTop w:val="0"/>
          <w:marBottom w:val="0"/>
          <w:divBdr>
            <w:top w:val="none" w:sz="0" w:space="0" w:color="auto"/>
            <w:left w:val="none" w:sz="0" w:space="0" w:color="auto"/>
            <w:bottom w:val="none" w:sz="0" w:space="0" w:color="auto"/>
            <w:right w:val="none" w:sz="0" w:space="0" w:color="auto"/>
          </w:divBdr>
        </w:div>
        <w:div w:id="1459105574">
          <w:marLeft w:val="0"/>
          <w:marRight w:val="0"/>
          <w:marTop w:val="0"/>
          <w:marBottom w:val="0"/>
          <w:divBdr>
            <w:top w:val="none" w:sz="0" w:space="0" w:color="auto"/>
            <w:left w:val="none" w:sz="0" w:space="0" w:color="auto"/>
            <w:bottom w:val="none" w:sz="0" w:space="0" w:color="auto"/>
            <w:right w:val="none" w:sz="0" w:space="0" w:color="auto"/>
          </w:divBdr>
        </w:div>
        <w:div w:id="1780030707">
          <w:marLeft w:val="0"/>
          <w:marRight w:val="0"/>
          <w:marTop w:val="0"/>
          <w:marBottom w:val="0"/>
          <w:divBdr>
            <w:top w:val="none" w:sz="0" w:space="0" w:color="auto"/>
            <w:left w:val="none" w:sz="0" w:space="0" w:color="auto"/>
            <w:bottom w:val="none" w:sz="0" w:space="0" w:color="auto"/>
            <w:right w:val="none" w:sz="0" w:space="0" w:color="auto"/>
          </w:divBdr>
        </w:div>
      </w:divsChild>
    </w:div>
    <w:div w:id="327102176">
      <w:bodyDiv w:val="1"/>
      <w:marLeft w:val="0"/>
      <w:marRight w:val="0"/>
      <w:marTop w:val="0"/>
      <w:marBottom w:val="0"/>
      <w:divBdr>
        <w:top w:val="none" w:sz="0" w:space="0" w:color="auto"/>
        <w:left w:val="none" w:sz="0" w:space="0" w:color="auto"/>
        <w:bottom w:val="none" w:sz="0" w:space="0" w:color="auto"/>
        <w:right w:val="none" w:sz="0" w:space="0" w:color="auto"/>
      </w:divBdr>
    </w:div>
    <w:div w:id="414864008">
      <w:bodyDiv w:val="1"/>
      <w:marLeft w:val="0"/>
      <w:marRight w:val="0"/>
      <w:marTop w:val="0"/>
      <w:marBottom w:val="0"/>
      <w:divBdr>
        <w:top w:val="none" w:sz="0" w:space="0" w:color="auto"/>
        <w:left w:val="none" w:sz="0" w:space="0" w:color="auto"/>
        <w:bottom w:val="none" w:sz="0" w:space="0" w:color="auto"/>
        <w:right w:val="none" w:sz="0" w:space="0" w:color="auto"/>
      </w:divBdr>
      <w:divsChild>
        <w:div w:id="246618778">
          <w:marLeft w:val="0"/>
          <w:marRight w:val="0"/>
          <w:marTop w:val="0"/>
          <w:marBottom w:val="0"/>
          <w:divBdr>
            <w:top w:val="none" w:sz="0" w:space="0" w:color="auto"/>
            <w:left w:val="none" w:sz="0" w:space="0" w:color="auto"/>
            <w:bottom w:val="none" w:sz="0" w:space="0" w:color="auto"/>
            <w:right w:val="none" w:sz="0" w:space="0" w:color="auto"/>
          </w:divBdr>
          <w:divsChild>
            <w:div w:id="1663897371">
              <w:marLeft w:val="0"/>
              <w:marRight w:val="0"/>
              <w:marTop w:val="0"/>
              <w:marBottom w:val="0"/>
              <w:divBdr>
                <w:top w:val="none" w:sz="0" w:space="0" w:color="auto"/>
                <w:left w:val="none" w:sz="0" w:space="0" w:color="auto"/>
                <w:bottom w:val="none" w:sz="0" w:space="0" w:color="auto"/>
                <w:right w:val="none" w:sz="0" w:space="0" w:color="auto"/>
              </w:divBdr>
              <w:divsChild>
                <w:div w:id="54427487">
                  <w:marLeft w:val="0"/>
                  <w:marRight w:val="0"/>
                  <w:marTop w:val="0"/>
                  <w:marBottom w:val="0"/>
                  <w:divBdr>
                    <w:top w:val="none" w:sz="0" w:space="0" w:color="auto"/>
                    <w:left w:val="none" w:sz="0" w:space="0" w:color="auto"/>
                    <w:bottom w:val="none" w:sz="0" w:space="0" w:color="auto"/>
                    <w:right w:val="none" w:sz="0" w:space="0" w:color="auto"/>
                  </w:divBdr>
                </w:div>
                <w:div w:id="61106134">
                  <w:marLeft w:val="0"/>
                  <w:marRight w:val="0"/>
                  <w:marTop w:val="0"/>
                  <w:marBottom w:val="0"/>
                  <w:divBdr>
                    <w:top w:val="none" w:sz="0" w:space="0" w:color="auto"/>
                    <w:left w:val="none" w:sz="0" w:space="0" w:color="auto"/>
                    <w:bottom w:val="none" w:sz="0" w:space="0" w:color="auto"/>
                    <w:right w:val="none" w:sz="0" w:space="0" w:color="auto"/>
                  </w:divBdr>
                </w:div>
                <w:div w:id="80294254">
                  <w:marLeft w:val="0"/>
                  <w:marRight w:val="0"/>
                  <w:marTop w:val="0"/>
                  <w:marBottom w:val="0"/>
                  <w:divBdr>
                    <w:top w:val="none" w:sz="0" w:space="0" w:color="auto"/>
                    <w:left w:val="none" w:sz="0" w:space="0" w:color="auto"/>
                    <w:bottom w:val="none" w:sz="0" w:space="0" w:color="auto"/>
                    <w:right w:val="none" w:sz="0" w:space="0" w:color="auto"/>
                  </w:divBdr>
                </w:div>
                <w:div w:id="211775881">
                  <w:marLeft w:val="0"/>
                  <w:marRight w:val="0"/>
                  <w:marTop w:val="0"/>
                  <w:marBottom w:val="0"/>
                  <w:divBdr>
                    <w:top w:val="none" w:sz="0" w:space="0" w:color="auto"/>
                    <w:left w:val="none" w:sz="0" w:space="0" w:color="auto"/>
                    <w:bottom w:val="none" w:sz="0" w:space="0" w:color="auto"/>
                    <w:right w:val="none" w:sz="0" w:space="0" w:color="auto"/>
                  </w:divBdr>
                </w:div>
                <w:div w:id="345521657">
                  <w:marLeft w:val="0"/>
                  <w:marRight w:val="0"/>
                  <w:marTop w:val="0"/>
                  <w:marBottom w:val="0"/>
                  <w:divBdr>
                    <w:top w:val="none" w:sz="0" w:space="0" w:color="auto"/>
                    <w:left w:val="none" w:sz="0" w:space="0" w:color="auto"/>
                    <w:bottom w:val="none" w:sz="0" w:space="0" w:color="auto"/>
                    <w:right w:val="none" w:sz="0" w:space="0" w:color="auto"/>
                  </w:divBdr>
                </w:div>
                <w:div w:id="357630313">
                  <w:marLeft w:val="0"/>
                  <w:marRight w:val="0"/>
                  <w:marTop w:val="0"/>
                  <w:marBottom w:val="0"/>
                  <w:divBdr>
                    <w:top w:val="none" w:sz="0" w:space="0" w:color="auto"/>
                    <w:left w:val="none" w:sz="0" w:space="0" w:color="auto"/>
                    <w:bottom w:val="none" w:sz="0" w:space="0" w:color="auto"/>
                    <w:right w:val="none" w:sz="0" w:space="0" w:color="auto"/>
                  </w:divBdr>
                </w:div>
                <w:div w:id="378018587">
                  <w:marLeft w:val="0"/>
                  <w:marRight w:val="0"/>
                  <w:marTop w:val="0"/>
                  <w:marBottom w:val="0"/>
                  <w:divBdr>
                    <w:top w:val="none" w:sz="0" w:space="0" w:color="auto"/>
                    <w:left w:val="none" w:sz="0" w:space="0" w:color="auto"/>
                    <w:bottom w:val="none" w:sz="0" w:space="0" w:color="auto"/>
                    <w:right w:val="none" w:sz="0" w:space="0" w:color="auto"/>
                  </w:divBdr>
                </w:div>
                <w:div w:id="448012530">
                  <w:marLeft w:val="0"/>
                  <w:marRight w:val="0"/>
                  <w:marTop w:val="0"/>
                  <w:marBottom w:val="0"/>
                  <w:divBdr>
                    <w:top w:val="none" w:sz="0" w:space="0" w:color="auto"/>
                    <w:left w:val="none" w:sz="0" w:space="0" w:color="auto"/>
                    <w:bottom w:val="none" w:sz="0" w:space="0" w:color="auto"/>
                    <w:right w:val="none" w:sz="0" w:space="0" w:color="auto"/>
                  </w:divBdr>
                </w:div>
                <w:div w:id="494688882">
                  <w:marLeft w:val="0"/>
                  <w:marRight w:val="0"/>
                  <w:marTop w:val="0"/>
                  <w:marBottom w:val="0"/>
                  <w:divBdr>
                    <w:top w:val="none" w:sz="0" w:space="0" w:color="auto"/>
                    <w:left w:val="none" w:sz="0" w:space="0" w:color="auto"/>
                    <w:bottom w:val="none" w:sz="0" w:space="0" w:color="auto"/>
                    <w:right w:val="none" w:sz="0" w:space="0" w:color="auto"/>
                  </w:divBdr>
                </w:div>
                <w:div w:id="714542418">
                  <w:marLeft w:val="0"/>
                  <w:marRight w:val="0"/>
                  <w:marTop w:val="0"/>
                  <w:marBottom w:val="0"/>
                  <w:divBdr>
                    <w:top w:val="none" w:sz="0" w:space="0" w:color="auto"/>
                    <w:left w:val="none" w:sz="0" w:space="0" w:color="auto"/>
                    <w:bottom w:val="none" w:sz="0" w:space="0" w:color="auto"/>
                    <w:right w:val="none" w:sz="0" w:space="0" w:color="auto"/>
                  </w:divBdr>
                </w:div>
                <w:div w:id="819270700">
                  <w:marLeft w:val="0"/>
                  <w:marRight w:val="0"/>
                  <w:marTop w:val="0"/>
                  <w:marBottom w:val="0"/>
                  <w:divBdr>
                    <w:top w:val="none" w:sz="0" w:space="0" w:color="auto"/>
                    <w:left w:val="none" w:sz="0" w:space="0" w:color="auto"/>
                    <w:bottom w:val="none" w:sz="0" w:space="0" w:color="auto"/>
                    <w:right w:val="none" w:sz="0" w:space="0" w:color="auto"/>
                  </w:divBdr>
                </w:div>
                <w:div w:id="867260707">
                  <w:marLeft w:val="0"/>
                  <w:marRight w:val="0"/>
                  <w:marTop w:val="0"/>
                  <w:marBottom w:val="0"/>
                  <w:divBdr>
                    <w:top w:val="none" w:sz="0" w:space="0" w:color="auto"/>
                    <w:left w:val="none" w:sz="0" w:space="0" w:color="auto"/>
                    <w:bottom w:val="none" w:sz="0" w:space="0" w:color="auto"/>
                    <w:right w:val="none" w:sz="0" w:space="0" w:color="auto"/>
                  </w:divBdr>
                </w:div>
                <w:div w:id="935600256">
                  <w:marLeft w:val="0"/>
                  <w:marRight w:val="0"/>
                  <w:marTop w:val="0"/>
                  <w:marBottom w:val="0"/>
                  <w:divBdr>
                    <w:top w:val="none" w:sz="0" w:space="0" w:color="auto"/>
                    <w:left w:val="none" w:sz="0" w:space="0" w:color="auto"/>
                    <w:bottom w:val="none" w:sz="0" w:space="0" w:color="auto"/>
                    <w:right w:val="none" w:sz="0" w:space="0" w:color="auto"/>
                  </w:divBdr>
                </w:div>
                <w:div w:id="995257825">
                  <w:marLeft w:val="0"/>
                  <w:marRight w:val="0"/>
                  <w:marTop w:val="0"/>
                  <w:marBottom w:val="0"/>
                  <w:divBdr>
                    <w:top w:val="none" w:sz="0" w:space="0" w:color="auto"/>
                    <w:left w:val="none" w:sz="0" w:space="0" w:color="auto"/>
                    <w:bottom w:val="none" w:sz="0" w:space="0" w:color="auto"/>
                    <w:right w:val="none" w:sz="0" w:space="0" w:color="auto"/>
                  </w:divBdr>
                </w:div>
                <w:div w:id="1078598787">
                  <w:marLeft w:val="0"/>
                  <w:marRight w:val="0"/>
                  <w:marTop w:val="0"/>
                  <w:marBottom w:val="0"/>
                  <w:divBdr>
                    <w:top w:val="none" w:sz="0" w:space="0" w:color="auto"/>
                    <w:left w:val="none" w:sz="0" w:space="0" w:color="auto"/>
                    <w:bottom w:val="none" w:sz="0" w:space="0" w:color="auto"/>
                    <w:right w:val="none" w:sz="0" w:space="0" w:color="auto"/>
                  </w:divBdr>
                </w:div>
                <w:div w:id="1162307066">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1445467682">
                  <w:marLeft w:val="0"/>
                  <w:marRight w:val="0"/>
                  <w:marTop w:val="0"/>
                  <w:marBottom w:val="0"/>
                  <w:divBdr>
                    <w:top w:val="none" w:sz="0" w:space="0" w:color="auto"/>
                    <w:left w:val="none" w:sz="0" w:space="0" w:color="auto"/>
                    <w:bottom w:val="none" w:sz="0" w:space="0" w:color="auto"/>
                    <w:right w:val="none" w:sz="0" w:space="0" w:color="auto"/>
                  </w:divBdr>
                </w:div>
                <w:div w:id="1754014343">
                  <w:marLeft w:val="0"/>
                  <w:marRight w:val="0"/>
                  <w:marTop w:val="0"/>
                  <w:marBottom w:val="0"/>
                  <w:divBdr>
                    <w:top w:val="none" w:sz="0" w:space="0" w:color="auto"/>
                    <w:left w:val="none" w:sz="0" w:space="0" w:color="auto"/>
                    <w:bottom w:val="none" w:sz="0" w:space="0" w:color="auto"/>
                    <w:right w:val="none" w:sz="0" w:space="0" w:color="auto"/>
                  </w:divBdr>
                </w:div>
                <w:div w:id="1835954568">
                  <w:marLeft w:val="0"/>
                  <w:marRight w:val="0"/>
                  <w:marTop w:val="0"/>
                  <w:marBottom w:val="0"/>
                  <w:divBdr>
                    <w:top w:val="none" w:sz="0" w:space="0" w:color="auto"/>
                    <w:left w:val="none" w:sz="0" w:space="0" w:color="auto"/>
                    <w:bottom w:val="none" w:sz="0" w:space="0" w:color="auto"/>
                    <w:right w:val="none" w:sz="0" w:space="0" w:color="auto"/>
                  </w:divBdr>
                </w:div>
                <w:div w:id="1842432766">
                  <w:marLeft w:val="0"/>
                  <w:marRight w:val="0"/>
                  <w:marTop w:val="0"/>
                  <w:marBottom w:val="0"/>
                  <w:divBdr>
                    <w:top w:val="none" w:sz="0" w:space="0" w:color="auto"/>
                    <w:left w:val="none" w:sz="0" w:space="0" w:color="auto"/>
                    <w:bottom w:val="none" w:sz="0" w:space="0" w:color="auto"/>
                    <w:right w:val="none" w:sz="0" w:space="0" w:color="auto"/>
                  </w:divBdr>
                </w:div>
                <w:div w:id="1909463703">
                  <w:marLeft w:val="0"/>
                  <w:marRight w:val="0"/>
                  <w:marTop w:val="0"/>
                  <w:marBottom w:val="0"/>
                  <w:divBdr>
                    <w:top w:val="none" w:sz="0" w:space="0" w:color="auto"/>
                    <w:left w:val="none" w:sz="0" w:space="0" w:color="auto"/>
                    <w:bottom w:val="none" w:sz="0" w:space="0" w:color="auto"/>
                    <w:right w:val="none" w:sz="0" w:space="0" w:color="auto"/>
                  </w:divBdr>
                </w:div>
                <w:div w:id="2043237617">
                  <w:marLeft w:val="0"/>
                  <w:marRight w:val="0"/>
                  <w:marTop w:val="0"/>
                  <w:marBottom w:val="0"/>
                  <w:divBdr>
                    <w:top w:val="none" w:sz="0" w:space="0" w:color="auto"/>
                    <w:left w:val="none" w:sz="0" w:space="0" w:color="auto"/>
                    <w:bottom w:val="none" w:sz="0" w:space="0" w:color="auto"/>
                    <w:right w:val="none" w:sz="0" w:space="0" w:color="auto"/>
                  </w:divBdr>
                </w:div>
                <w:div w:id="20843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8682">
          <w:marLeft w:val="0"/>
          <w:marRight w:val="0"/>
          <w:marTop w:val="0"/>
          <w:marBottom w:val="0"/>
          <w:divBdr>
            <w:top w:val="none" w:sz="0" w:space="0" w:color="auto"/>
            <w:left w:val="none" w:sz="0" w:space="0" w:color="auto"/>
            <w:bottom w:val="none" w:sz="0" w:space="0" w:color="auto"/>
            <w:right w:val="none" w:sz="0" w:space="0" w:color="auto"/>
          </w:divBdr>
          <w:divsChild>
            <w:div w:id="467011522">
              <w:marLeft w:val="0"/>
              <w:marRight w:val="0"/>
              <w:marTop w:val="0"/>
              <w:marBottom w:val="0"/>
              <w:divBdr>
                <w:top w:val="none" w:sz="0" w:space="0" w:color="auto"/>
                <w:left w:val="none" w:sz="0" w:space="0" w:color="auto"/>
                <w:bottom w:val="none" w:sz="0" w:space="0" w:color="auto"/>
                <w:right w:val="none" w:sz="0" w:space="0" w:color="auto"/>
              </w:divBdr>
              <w:divsChild>
                <w:div w:id="87431140">
                  <w:marLeft w:val="0"/>
                  <w:marRight w:val="0"/>
                  <w:marTop w:val="0"/>
                  <w:marBottom w:val="0"/>
                  <w:divBdr>
                    <w:top w:val="none" w:sz="0" w:space="0" w:color="auto"/>
                    <w:left w:val="none" w:sz="0" w:space="0" w:color="auto"/>
                    <w:bottom w:val="none" w:sz="0" w:space="0" w:color="auto"/>
                    <w:right w:val="none" w:sz="0" w:space="0" w:color="auto"/>
                  </w:divBdr>
                </w:div>
                <w:div w:id="145778220">
                  <w:marLeft w:val="0"/>
                  <w:marRight w:val="0"/>
                  <w:marTop w:val="0"/>
                  <w:marBottom w:val="0"/>
                  <w:divBdr>
                    <w:top w:val="none" w:sz="0" w:space="0" w:color="auto"/>
                    <w:left w:val="none" w:sz="0" w:space="0" w:color="auto"/>
                    <w:bottom w:val="none" w:sz="0" w:space="0" w:color="auto"/>
                    <w:right w:val="none" w:sz="0" w:space="0" w:color="auto"/>
                  </w:divBdr>
                </w:div>
                <w:div w:id="170150418">
                  <w:marLeft w:val="0"/>
                  <w:marRight w:val="0"/>
                  <w:marTop w:val="0"/>
                  <w:marBottom w:val="0"/>
                  <w:divBdr>
                    <w:top w:val="none" w:sz="0" w:space="0" w:color="auto"/>
                    <w:left w:val="none" w:sz="0" w:space="0" w:color="auto"/>
                    <w:bottom w:val="none" w:sz="0" w:space="0" w:color="auto"/>
                    <w:right w:val="none" w:sz="0" w:space="0" w:color="auto"/>
                  </w:divBdr>
                </w:div>
                <w:div w:id="184103449">
                  <w:marLeft w:val="0"/>
                  <w:marRight w:val="0"/>
                  <w:marTop w:val="0"/>
                  <w:marBottom w:val="0"/>
                  <w:divBdr>
                    <w:top w:val="none" w:sz="0" w:space="0" w:color="auto"/>
                    <w:left w:val="none" w:sz="0" w:space="0" w:color="auto"/>
                    <w:bottom w:val="none" w:sz="0" w:space="0" w:color="auto"/>
                    <w:right w:val="none" w:sz="0" w:space="0" w:color="auto"/>
                  </w:divBdr>
                </w:div>
                <w:div w:id="244534233">
                  <w:marLeft w:val="0"/>
                  <w:marRight w:val="0"/>
                  <w:marTop w:val="0"/>
                  <w:marBottom w:val="0"/>
                  <w:divBdr>
                    <w:top w:val="none" w:sz="0" w:space="0" w:color="auto"/>
                    <w:left w:val="none" w:sz="0" w:space="0" w:color="auto"/>
                    <w:bottom w:val="none" w:sz="0" w:space="0" w:color="auto"/>
                    <w:right w:val="none" w:sz="0" w:space="0" w:color="auto"/>
                  </w:divBdr>
                </w:div>
                <w:div w:id="310721639">
                  <w:marLeft w:val="0"/>
                  <w:marRight w:val="0"/>
                  <w:marTop w:val="0"/>
                  <w:marBottom w:val="0"/>
                  <w:divBdr>
                    <w:top w:val="none" w:sz="0" w:space="0" w:color="auto"/>
                    <w:left w:val="none" w:sz="0" w:space="0" w:color="auto"/>
                    <w:bottom w:val="none" w:sz="0" w:space="0" w:color="auto"/>
                    <w:right w:val="none" w:sz="0" w:space="0" w:color="auto"/>
                  </w:divBdr>
                </w:div>
                <w:div w:id="404376974">
                  <w:marLeft w:val="0"/>
                  <w:marRight w:val="0"/>
                  <w:marTop w:val="0"/>
                  <w:marBottom w:val="0"/>
                  <w:divBdr>
                    <w:top w:val="none" w:sz="0" w:space="0" w:color="auto"/>
                    <w:left w:val="none" w:sz="0" w:space="0" w:color="auto"/>
                    <w:bottom w:val="none" w:sz="0" w:space="0" w:color="auto"/>
                    <w:right w:val="none" w:sz="0" w:space="0" w:color="auto"/>
                  </w:divBdr>
                </w:div>
                <w:div w:id="415133102">
                  <w:marLeft w:val="0"/>
                  <w:marRight w:val="0"/>
                  <w:marTop w:val="0"/>
                  <w:marBottom w:val="0"/>
                  <w:divBdr>
                    <w:top w:val="none" w:sz="0" w:space="0" w:color="auto"/>
                    <w:left w:val="none" w:sz="0" w:space="0" w:color="auto"/>
                    <w:bottom w:val="none" w:sz="0" w:space="0" w:color="auto"/>
                    <w:right w:val="none" w:sz="0" w:space="0" w:color="auto"/>
                  </w:divBdr>
                </w:div>
                <w:div w:id="416292343">
                  <w:marLeft w:val="0"/>
                  <w:marRight w:val="0"/>
                  <w:marTop w:val="0"/>
                  <w:marBottom w:val="0"/>
                  <w:divBdr>
                    <w:top w:val="none" w:sz="0" w:space="0" w:color="auto"/>
                    <w:left w:val="none" w:sz="0" w:space="0" w:color="auto"/>
                    <w:bottom w:val="none" w:sz="0" w:space="0" w:color="auto"/>
                    <w:right w:val="none" w:sz="0" w:space="0" w:color="auto"/>
                  </w:divBdr>
                </w:div>
                <w:div w:id="478304725">
                  <w:marLeft w:val="0"/>
                  <w:marRight w:val="0"/>
                  <w:marTop w:val="0"/>
                  <w:marBottom w:val="0"/>
                  <w:divBdr>
                    <w:top w:val="none" w:sz="0" w:space="0" w:color="auto"/>
                    <w:left w:val="none" w:sz="0" w:space="0" w:color="auto"/>
                    <w:bottom w:val="none" w:sz="0" w:space="0" w:color="auto"/>
                    <w:right w:val="none" w:sz="0" w:space="0" w:color="auto"/>
                  </w:divBdr>
                </w:div>
                <w:div w:id="519314728">
                  <w:marLeft w:val="0"/>
                  <w:marRight w:val="0"/>
                  <w:marTop w:val="0"/>
                  <w:marBottom w:val="0"/>
                  <w:divBdr>
                    <w:top w:val="none" w:sz="0" w:space="0" w:color="auto"/>
                    <w:left w:val="none" w:sz="0" w:space="0" w:color="auto"/>
                    <w:bottom w:val="none" w:sz="0" w:space="0" w:color="auto"/>
                    <w:right w:val="none" w:sz="0" w:space="0" w:color="auto"/>
                  </w:divBdr>
                </w:div>
                <w:div w:id="541602042">
                  <w:marLeft w:val="0"/>
                  <w:marRight w:val="0"/>
                  <w:marTop w:val="0"/>
                  <w:marBottom w:val="0"/>
                  <w:divBdr>
                    <w:top w:val="none" w:sz="0" w:space="0" w:color="auto"/>
                    <w:left w:val="none" w:sz="0" w:space="0" w:color="auto"/>
                    <w:bottom w:val="none" w:sz="0" w:space="0" w:color="auto"/>
                    <w:right w:val="none" w:sz="0" w:space="0" w:color="auto"/>
                  </w:divBdr>
                </w:div>
                <w:div w:id="552931951">
                  <w:marLeft w:val="0"/>
                  <w:marRight w:val="0"/>
                  <w:marTop w:val="0"/>
                  <w:marBottom w:val="0"/>
                  <w:divBdr>
                    <w:top w:val="none" w:sz="0" w:space="0" w:color="auto"/>
                    <w:left w:val="none" w:sz="0" w:space="0" w:color="auto"/>
                    <w:bottom w:val="none" w:sz="0" w:space="0" w:color="auto"/>
                    <w:right w:val="none" w:sz="0" w:space="0" w:color="auto"/>
                  </w:divBdr>
                </w:div>
                <w:div w:id="613756351">
                  <w:marLeft w:val="0"/>
                  <w:marRight w:val="0"/>
                  <w:marTop w:val="0"/>
                  <w:marBottom w:val="0"/>
                  <w:divBdr>
                    <w:top w:val="none" w:sz="0" w:space="0" w:color="auto"/>
                    <w:left w:val="none" w:sz="0" w:space="0" w:color="auto"/>
                    <w:bottom w:val="none" w:sz="0" w:space="0" w:color="auto"/>
                    <w:right w:val="none" w:sz="0" w:space="0" w:color="auto"/>
                  </w:divBdr>
                </w:div>
                <w:div w:id="650987878">
                  <w:marLeft w:val="0"/>
                  <w:marRight w:val="0"/>
                  <w:marTop w:val="0"/>
                  <w:marBottom w:val="0"/>
                  <w:divBdr>
                    <w:top w:val="none" w:sz="0" w:space="0" w:color="auto"/>
                    <w:left w:val="none" w:sz="0" w:space="0" w:color="auto"/>
                    <w:bottom w:val="none" w:sz="0" w:space="0" w:color="auto"/>
                    <w:right w:val="none" w:sz="0" w:space="0" w:color="auto"/>
                  </w:divBdr>
                </w:div>
                <w:div w:id="655110158">
                  <w:marLeft w:val="0"/>
                  <w:marRight w:val="0"/>
                  <w:marTop w:val="0"/>
                  <w:marBottom w:val="0"/>
                  <w:divBdr>
                    <w:top w:val="none" w:sz="0" w:space="0" w:color="auto"/>
                    <w:left w:val="none" w:sz="0" w:space="0" w:color="auto"/>
                    <w:bottom w:val="none" w:sz="0" w:space="0" w:color="auto"/>
                    <w:right w:val="none" w:sz="0" w:space="0" w:color="auto"/>
                  </w:divBdr>
                </w:div>
                <w:div w:id="655762983">
                  <w:marLeft w:val="0"/>
                  <w:marRight w:val="0"/>
                  <w:marTop w:val="0"/>
                  <w:marBottom w:val="0"/>
                  <w:divBdr>
                    <w:top w:val="none" w:sz="0" w:space="0" w:color="auto"/>
                    <w:left w:val="none" w:sz="0" w:space="0" w:color="auto"/>
                    <w:bottom w:val="none" w:sz="0" w:space="0" w:color="auto"/>
                    <w:right w:val="none" w:sz="0" w:space="0" w:color="auto"/>
                  </w:divBdr>
                </w:div>
                <w:div w:id="708652574">
                  <w:marLeft w:val="0"/>
                  <w:marRight w:val="0"/>
                  <w:marTop w:val="0"/>
                  <w:marBottom w:val="0"/>
                  <w:divBdr>
                    <w:top w:val="none" w:sz="0" w:space="0" w:color="auto"/>
                    <w:left w:val="none" w:sz="0" w:space="0" w:color="auto"/>
                    <w:bottom w:val="none" w:sz="0" w:space="0" w:color="auto"/>
                    <w:right w:val="none" w:sz="0" w:space="0" w:color="auto"/>
                  </w:divBdr>
                </w:div>
                <w:div w:id="825240447">
                  <w:marLeft w:val="0"/>
                  <w:marRight w:val="0"/>
                  <w:marTop w:val="0"/>
                  <w:marBottom w:val="0"/>
                  <w:divBdr>
                    <w:top w:val="none" w:sz="0" w:space="0" w:color="auto"/>
                    <w:left w:val="none" w:sz="0" w:space="0" w:color="auto"/>
                    <w:bottom w:val="none" w:sz="0" w:space="0" w:color="auto"/>
                    <w:right w:val="none" w:sz="0" w:space="0" w:color="auto"/>
                  </w:divBdr>
                </w:div>
                <w:div w:id="885946642">
                  <w:marLeft w:val="0"/>
                  <w:marRight w:val="0"/>
                  <w:marTop w:val="0"/>
                  <w:marBottom w:val="0"/>
                  <w:divBdr>
                    <w:top w:val="none" w:sz="0" w:space="0" w:color="auto"/>
                    <w:left w:val="none" w:sz="0" w:space="0" w:color="auto"/>
                    <w:bottom w:val="none" w:sz="0" w:space="0" w:color="auto"/>
                    <w:right w:val="none" w:sz="0" w:space="0" w:color="auto"/>
                  </w:divBdr>
                </w:div>
                <w:div w:id="1026637612">
                  <w:marLeft w:val="0"/>
                  <w:marRight w:val="0"/>
                  <w:marTop w:val="0"/>
                  <w:marBottom w:val="0"/>
                  <w:divBdr>
                    <w:top w:val="none" w:sz="0" w:space="0" w:color="auto"/>
                    <w:left w:val="none" w:sz="0" w:space="0" w:color="auto"/>
                    <w:bottom w:val="none" w:sz="0" w:space="0" w:color="auto"/>
                    <w:right w:val="none" w:sz="0" w:space="0" w:color="auto"/>
                  </w:divBdr>
                </w:div>
                <w:div w:id="1048257909">
                  <w:marLeft w:val="0"/>
                  <w:marRight w:val="0"/>
                  <w:marTop w:val="0"/>
                  <w:marBottom w:val="0"/>
                  <w:divBdr>
                    <w:top w:val="none" w:sz="0" w:space="0" w:color="auto"/>
                    <w:left w:val="none" w:sz="0" w:space="0" w:color="auto"/>
                    <w:bottom w:val="none" w:sz="0" w:space="0" w:color="auto"/>
                    <w:right w:val="none" w:sz="0" w:space="0" w:color="auto"/>
                  </w:divBdr>
                </w:div>
                <w:div w:id="1175530853">
                  <w:marLeft w:val="0"/>
                  <w:marRight w:val="0"/>
                  <w:marTop w:val="0"/>
                  <w:marBottom w:val="0"/>
                  <w:divBdr>
                    <w:top w:val="none" w:sz="0" w:space="0" w:color="auto"/>
                    <w:left w:val="none" w:sz="0" w:space="0" w:color="auto"/>
                    <w:bottom w:val="none" w:sz="0" w:space="0" w:color="auto"/>
                    <w:right w:val="none" w:sz="0" w:space="0" w:color="auto"/>
                  </w:divBdr>
                </w:div>
                <w:div w:id="1200170231">
                  <w:marLeft w:val="0"/>
                  <w:marRight w:val="0"/>
                  <w:marTop w:val="0"/>
                  <w:marBottom w:val="0"/>
                  <w:divBdr>
                    <w:top w:val="none" w:sz="0" w:space="0" w:color="auto"/>
                    <w:left w:val="none" w:sz="0" w:space="0" w:color="auto"/>
                    <w:bottom w:val="none" w:sz="0" w:space="0" w:color="auto"/>
                    <w:right w:val="none" w:sz="0" w:space="0" w:color="auto"/>
                  </w:divBdr>
                </w:div>
                <w:div w:id="1201821409">
                  <w:marLeft w:val="0"/>
                  <w:marRight w:val="0"/>
                  <w:marTop w:val="0"/>
                  <w:marBottom w:val="0"/>
                  <w:divBdr>
                    <w:top w:val="none" w:sz="0" w:space="0" w:color="auto"/>
                    <w:left w:val="none" w:sz="0" w:space="0" w:color="auto"/>
                    <w:bottom w:val="none" w:sz="0" w:space="0" w:color="auto"/>
                    <w:right w:val="none" w:sz="0" w:space="0" w:color="auto"/>
                  </w:divBdr>
                </w:div>
                <w:div w:id="1237128809">
                  <w:marLeft w:val="0"/>
                  <w:marRight w:val="0"/>
                  <w:marTop w:val="0"/>
                  <w:marBottom w:val="0"/>
                  <w:divBdr>
                    <w:top w:val="none" w:sz="0" w:space="0" w:color="auto"/>
                    <w:left w:val="none" w:sz="0" w:space="0" w:color="auto"/>
                    <w:bottom w:val="none" w:sz="0" w:space="0" w:color="auto"/>
                    <w:right w:val="none" w:sz="0" w:space="0" w:color="auto"/>
                  </w:divBdr>
                </w:div>
                <w:div w:id="1265728597">
                  <w:marLeft w:val="0"/>
                  <w:marRight w:val="0"/>
                  <w:marTop w:val="0"/>
                  <w:marBottom w:val="0"/>
                  <w:divBdr>
                    <w:top w:val="none" w:sz="0" w:space="0" w:color="auto"/>
                    <w:left w:val="none" w:sz="0" w:space="0" w:color="auto"/>
                    <w:bottom w:val="none" w:sz="0" w:space="0" w:color="auto"/>
                    <w:right w:val="none" w:sz="0" w:space="0" w:color="auto"/>
                  </w:divBdr>
                </w:div>
                <w:div w:id="1299266941">
                  <w:marLeft w:val="0"/>
                  <w:marRight w:val="0"/>
                  <w:marTop w:val="0"/>
                  <w:marBottom w:val="0"/>
                  <w:divBdr>
                    <w:top w:val="none" w:sz="0" w:space="0" w:color="auto"/>
                    <w:left w:val="none" w:sz="0" w:space="0" w:color="auto"/>
                    <w:bottom w:val="none" w:sz="0" w:space="0" w:color="auto"/>
                    <w:right w:val="none" w:sz="0" w:space="0" w:color="auto"/>
                  </w:divBdr>
                </w:div>
                <w:div w:id="1339844310">
                  <w:marLeft w:val="0"/>
                  <w:marRight w:val="0"/>
                  <w:marTop w:val="0"/>
                  <w:marBottom w:val="0"/>
                  <w:divBdr>
                    <w:top w:val="none" w:sz="0" w:space="0" w:color="auto"/>
                    <w:left w:val="none" w:sz="0" w:space="0" w:color="auto"/>
                    <w:bottom w:val="none" w:sz="0" w:space="0" w:color="auto"/>
                    <w:right w:val="none" w:sz="0" w:space="0" w:color="auto"/>
                  </w:divBdr>
                </w:div>
                <w:div w:id="1490830906">
                  <w:marLeft w:val="0"/>
                  <w:marRight w:val="0"/>
                  <w:marTop w:val="0"/>
                  <w:marBottom w:val="0"/>
                  <w:divBdr>
                    <w:top w:val="none" w:sz="0" w:space="0" w:color="auto"/>
                    <w:left w:val="none" w:sz="0" w:space="0" w:color="auto"/>
                    <w:bottom w:val="none" w:sz="0" w:space="0" w:color="auto"/>
                    <w:right w:val="none" w:sz="0" w:space="0" w:color="auto"/>
                  </w:divBdr>
                </w:div>
                <w:div w:id="1559363591">
                  <w:marLeft w:val="0"/>
                  <w:marRight w:val="0"/>
                  <w:marTop w:val="0"/>
                  <w:marBottom w:val="0"/>
                  <w:divBdr>
                    <w:top w:val="none" w:sz="0" w:space="0" w:color="auto"/>
                    <w:left w:val="none" w:sz="0" w:space="0" w:color="auto"/>
                    <w:bottom w:val="none" w:sz="0" w:space="0" w:color="auto"/>
                    <w:right w:val="none" w:sz="0" w:space="0" w:color="auto"/>
                  </w:divBdr>
                </w:div>
                <w:div w:id="1574586076">
                  <w:marLeft w:val="0"/>
                  <w:marRight w:val="0"/>
                  <w:marTop w:val="0"/>
                  <w:marBottom w:val="0"/>
                  <w:divBdr>
                    <w:top w:val="none" w:sz="0" w:space="0" w:color="auto"/>
                    <w:left w:val="none" w:sz="0" w:space="0" w:color="auto"/>
                    <w:bottom w:val="none" w:sz="0" w:space="0" w:color="auto"/>
                    <w:right w:val="none" w:sz="0" w:space="0" w:color="auto"/>
                  </w:divBdr>
                </w:div>
                <w:div w:id="1635258510">
                  <w:marLeft w:val="0"/>
                  <w:marRight w:val="0"/>
                  <w:marTop w:val="0"/>
                  <w:marBottom w:val="0"/>
                  <w:divBdr>
                    <w:top w:val="none" w:sz="0" w:space="0" w:color="auto"/>
                    <w:left w:val="none" w:sz="0" w:space="0" w:color="auto"/>
                    <w:bottom w:val="none" w:sz="0" w:space="0" w:color="auto"/>
                    <w:right w:val="none" w:sz="0" w:space="0" w:color="auto"/>
                  </w:divBdr>
                </w:div>
                <w:div w:id="1648703825">
                  <w:marLeft w:val="0"/>
                  <w:marRight w:val="0"/>
                  <w:marTop w:val="0"/>
                  <w:marBottom w:val="0"/>
                  <w:divBdr>
                    <w:top w:val="none" w:sz="0" w:space="0" w:color="auto"/>
                    <w:left w:val="none" w:sz="0" w:space="0" w:color="auto"/>
                    <w:bottom w:val="none" w:sz="0" w:space="0" w:color="auto"/>
                    <w:right w:val="none" w:sz="0" w:space="0" w:color="auto"/>
                  </w:divBdr>
                </w:div>
                <w:div w:id="1724719129">
                  <w:marLeft w:val="0"/>
                  <w:marRight w:val="0"/>
                  <w:marTop w:val="0"/>
                  <w:marBottom w:val="0"/>
                  <w:divBdr>
                    <w:top w:val="none" w:sz="0" w:space="0" w:color="auto"/>
                    <w:left w:val="none" w:sz="0" w:space="0" w:color="auto"/>
                    <w:bottom w:val="none" w:sz="0" w:space="0" w:color="auto"/>
                    <w:right w:val="none" w:sz="0" w:space="0" w:color="auto"/>
                  </w:divBdr>
                </w:div>
                <w:div w:id="1741948402">
                  <w:marLeft w:val="0"/>
                  <w:marRight w:val="0"/>
                  <w:marTop w:val="0"/>
                  <w:marBottom w:val="0"/>
                  <w:divBdr>
                    <w:top w:val="none" w:sz="0" w:space="0" w:color="auto"/>
                    <w:left w:val="none" w:sz="0" w:space="0" w:color="auto"/>
                    <w:bottom w:val="none" w:sz="0" w:space="0" w:color="auto"/>
                    <w:right w:val="none" w:sz="0" w:space="0" w:color="auto"/>
                  </w:divBdr>
                </w:div>
                <w:div w:id="1863471465">
                  <w:marLeft w:val="0"/>
                  <w:marRight w:val="0"/>
                  <w:marTop w:val="0"/>
                  <w:marBottom w:val="0"/>
                  <w:divBdr>
                    <w:top w:val="none" w:sz="0" w:space="0" w:color="auto"/>
                    <w:left w:val="none" w:sz="0" w:space="0" w:color="auto"/>
                    <w:bottom w:val="none" w:sz="0" w:space="0" w:color="auto"/>
                    <w:right w:val="none" w:sz="0" w:space="0" w:color="auto"/>
                  </w:divBdr>
                </w:div>
                <w:div w:id="1994868023">
                  <w:marLeft w:val="0"/>
                  <w:marRight w:val="0"/>
                  <w:marTop w:val="0"/>
                  <w:marBottom w:val="0"/>
                  <w:divBdr>
                    <w:top w:val="none" w:sz="0" w:space="0" w:color="auto"/>
                    <w:left w:val="none" w:sz="0" w:space="0" w:color="auto"/>
                    <w:bottom w:val="none" w:sz="0" w:space="0" w:color="auto"/>
                    <w:right w:val="none" w:sz="0" w:space="0" w:color="auto"/>
                  </w:divBdr>
                </w:div>
                <w:div w:id="2009091536">
                  <w:marLeft w:val="0"/>
                  <w:marRight w:val="0"/>
                  <w:marTop w:val="0"/>
                  <w:marBottom w:val="0"/>
                  <w:divBdr>
                    <w:top w:val="none" w:sz="0" w:space="0" w:color="auto"/>
                    <w:left w:val="none" w:sz="0" w:space="0" w:color="auto"/>
                    <w:bottom w:val="none" w:sz="0" w:space="0" w:color="auto"/>
                    <w:right w:val="none" w:sz="0" w:space="0" w:color="auto"/>
                  </w:divBdr>
                </w:div>
                <w:div w:id="2019039521">
                  <w:marLeft w:val="0"/>
                  <w:marRight w:val="0"/>
                  <w:marTop w:val="0"/>
                  <w:marBottom w:val="0"/>
                  <w:divBdr>
                    <w:top w:val="none" w:sz="0" w:space="0" w:color="auto"/>
                    <w:left w:val="none" w:sz="0" w:space="0" w:color="auto"/>
                    <w:bottom w:val="none" w:sz="0" w:space="0" w:color="auto"/>
                    <w:right w:val="none" w:sz="0" w:space="0" w:color="auto"/>
                  </w:divBdr>
                </w:div>
                <w:div w:id="2038962784">
                  <w:marLeft w:val="0"/>
                  <w:marRight w:val="0"/>
                  <w:marTop w:val="0"/>
                  <w:marBottom w:val="0"/>
                  <w:divBdr>
                    <w:top w:val="none" w:sz="0" w:space="0" w:color="auto"/>
                    <w:left w:val="none" w:sz="0" w:space="0" w:color="auto"/>
                    <w:bottom w:val="none" w:sz="0" w:space="0" w:color="auto"/>
                    <w:right w:val="none" w:sz="0" w:space="0" w:color="auto"/>
                  </w:divBdr>
                </w:div>
                <w:div w:id="2077244475">
                  <w:marLeft w:val="0"/>
                  <w:marRight w:val="0"/>
                  <w:marTop w:val="0"/>
                  <w:marBottom w:val="0"/>
                  <w:divBdr>
                    <w:top w:val="none" w:sz="0" w:space="0" w:color="auto"/>
                    <w:left w:val="none" w:sz="0" w:space="0" w:color="auto"/>
                    <w:bottom w:val="none" w:sz="0" w:space="0" w:color="auto"/>
                    <w:right w:val="none" w:sz="0" w:space="0" w:color="auto"/>
                  </w:divBdr>
                </w:div>
                <w:div w:id="2107920934">
                  <w:marLeft w:val="0"/>
                  <w:marRight w:val="0"/>
                  <w:marTop w:val="0"/>
                  <w:marBottom w:val="0"/>
                  <w:divBdr>
                    <w:top w:val="none" w:sz="0" w:space="0" w:color="auto"/>
                    <w:left w:val="none" w:sz="0" w:space="0" w:color="auto"/>
                    <w:bottom w:val="none" w:sz="0" w:space="0" w:color="auto"/>
                    <w:right w:val="none" w:sz="0" w:space="0" w:color="auto"/>
                  </w:divBdr>
                </w:div>
                <w:div w:id="21357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8168">
      <w:bodyDiv w:val="1"/>
      <w:marLeft w:val="0"/>
      <w:marRight w:val="0"/>
      <w:marTop w:val="0"/>
      <w:marBottom w:val="0"/>
      <w:divBdr>
        <w:top w:val="none" w:sz="0" w:space="0" w:color="auto"/>
        <w:left w:val="none" w:sz="0" w:space="0" w:color="auto"/>
        <w:bottom w:val="none" w:sz="0" w:space="0" w:color="auto"/>
        <w:right w:val="none" w:sz="0" w:space="0" w:color="auto"/>
      </w:divBdr>
    </w:div>
    <w:div w:id="455100001">
      <w:bodyDiv w:val="1"/>
      <w:marLeft w:val="0"/>
      <w:marRight w:val="0"/>
      <w:marTop w:val="0"/>
      <w:marBottom w:val="0"/>
      <w:divBdr>
        <w:top w:val="none" w:sz="0" w:space="0" w:color="auto"/>
        <w:left w:val="none" w:sz="0" w:space="0" w:color="auto"/>
        <w:bottom w:val="none" w:sz="0" w:space="0" w:color="auto"/>
        <w:right w:val="none" w:sz="0" w:space="0" w:color="auto"/>
      </w:divBdr>
    </w:div>
    <w:div w:id="502745103">
      <w:bodyDiv w:val="1"/>
      <w:marLeft w:val="0"/>
      <w:marRight w:val="0"/>
      <w:marTop w:val="0"/>
      <w:marBottom w:val="0"/>
      <w:divBdr>
        <w:top w:val="none" w:sz="0" w:space="0" w:color="auto"/>
        <w:left w:val="none" w:sz="0" w:space="0" w:color="auto"/>
        <w:bottom w:val="none" w:sz="0" w:space="0" w:color="auto"/>
        <w:right w:val="none" w:sz="0" w:space="0" w:color="auto"/>
      </w:divBdr>
    </w:div>
    <w:div w:id="624969832">
      <w:bodyDiv w:val="1"/>
      <w:marLeft w:val="0"/>
      <w:marRight w:val="0"/>
      <w:marTop w:val="0"/>
      <w:marBottom w:val="0"/>
      <w:divBdr>
        <w:top w:val="none" w:sz="0" w:space="0" w:color="auto"/>
        <w:left w:val="none" w:sz="0" w:space="0" w:color="auto"/>
        <w:bottom w:val="none" w:sz="0" w:space="0" w:color="auto"/>
        <w:right w:val="none" w:sz="0" w:space="0" w:color="auto"/>
      </w:divBdr>
    </w:div>
    <w:div w:id="657346639">
      <w:bodyDiv w:val="1"/>
      <w:marLeft w:val="0"/>
      <w:marRight w:val="0"/>
      <w:marTop w:val="0"/>
      <w:marBottom w:val="0"/>
      <w:divBdr>
        <w:top w:val="none" w:sz="0" w:space="0" w:color="auto"/>
        <w:left w:val="none" w:sz="0" w:space="0" w:color="auto"/>
        <w:bottom w:val="none" w:sz="0" w:space="0" w:color="auto"/>
        <w:right w:val="none" w:sz="0" w:space="0" w:color="auto"/>
      </w:divBdr>
    </w:div>
    <w:div w:id="688533082">
      <w:bodyDiv w:val="1"/>
      <w:marLeft w:val="0"/>
      <w:marRight w:val="0"/>
      <w:marTop w:val="0"/>
      <w:marBottom w:val="0"/>
      <w:divBdr>
        <w:top w:val="none" w:sz="0" w:space="0" w:color="auto"/>
        <w:left w:val="none" w:sz="0" w:space="0" w:color="auto"/>
        <w:bottom w:val="none" w:sz="0" w:space="0" w:color="auto"/>
        <w:right w:val="none" w:sz="0" w:space="0" w:color="auto"/>
      </w:divBdr>
    </w:div>
    <w:div w:id="771361104">
      <w:bodyDiv w:val="1"/>
      <w:marLeft w:val="0"/>
      <w:marRight w:val="0"/>
      <w:marTop w:val="0"/>
      <w:marBottom w:val="0"/>
      <w:divBdr>
        <w:top w:val="none" w:sz="0" w:space="0" w:color="auto"/>
        <w:left w:val="none" w:sz="0" w:space="0" w:color="auto"/>
        <w:bottom w:val="none" w:sz="0" w:space="0" w:color="auto"/>
        <w:right w:val="none" w:sz="0" w:space="0" w:color="auto"/>
      </w:divBdr>
    </w:div>
    <w:div w:id="790246219">
      <w:bodyDiv w:val="1"/>
      <w:marLeft w:val="0"/>
      <w:marRight w:val="0"/>
      <w:marTop w:val="0"/>
      <w:marBottom w:val="0"/>
      <w:divBdr>
        <w:top w:val="none" w:sz="0" w:space="0" w:color="auto"/>
        <w:left w:val="none" w:sz="0" w:space="0" w:color="auto"/>
        <w:bottom w:val="none" w:sz="0" w:space="0" w:color="auto"/>
        <w:right w:val="none" w:sz="0" w:space="0" w:color="auto"/>
      </w:divBdr>
      <w:divsChild>
        <w:div w:id="74787683">
          <w:marLeft w:val="0"/>
          <w:marRight w:val="0"/>
          <w:marTop w:val="0"/>
          <w:marBottom w:val="0"/>
          <w:divBdr>
            <w:top w:val="none" w:sz="0" w:space="0" w:color="auto"/>
            <w:left w:val="none" w:sz="0" w:space="0" w:color="auto"/>
            <w:bottom w:val="none" w:sz="0" w:space="0" w:color="auto"/>
            <w:right w:val="none" w:sz="0" w:space="0" w:color="auto"/>
          </w:divBdr>
        </w:div>
        <w:div w:id="108861724">
          <w:marLeft w:val="0"/>
          <w:marRight w:val="0"/>
          <w:marTop w:val="0"/>
          <w:marBottom w:val="0"/>
          <w:divBdr>
            <w:top w:val="none" w:sz="0" w:space="0" w:color="auto"/>
            <w:left w:val="none" w:sz="0" w:space="0" w:color="auto"/>
            <w:bottom w:val="none" w:sz="0" w:space="0" w:color="auto"/>
            <w:right w:val="none" w:sz="0" w:space="0" w:color="auto"/>
          </w:divBdr>
        </w:div>
        <w:div w:id="753820638">
          <w:marLeft w:val="0"/>
          <w:marRight w:val="0"/>
          <w:marTop w:val="0"/>
          <w:marBottom w:val="0"/>
          <w:divBdr>
            <w:top w:val="none" w:sz="0" w:space="0" w:color="auto"/>
            <w:left w:val="none" w:sz="0" w:space="0" w:color="auto"/>
            <w:bottom w:val="none" w:sz="0" w:space="0" w:color="auto"/>
            <w:right w:val="none" w:sz="0" w:space="0" w:color="auto"/>
          </w:divBdr>
        </w:div>
        <w:div w:id="1176265163">
          <w:marLeft w:val="0"/>
          <w:marRight w:val="0"/>
          <w:marTop w:val="0"/>
          <w:marBottom w:val="0"/>
          <w:divBdr>
            <w:top w:val="none" w:sz="0" w:space="0" w:color="auto"/>
            <w:left w:val="none" w:sz="0" w:space="0" w:color="auto"/>
            <w:bottom w:val="none" w:sz="0" w:space="0" w:color="auto"/>
            <w:right w:val="none" w:sz="0" w:space="0" w:color="auto"/>
          </w:divBdr>
        </w:div>
        <w:div w:id="1222134053">
          <w:marLeft w:val="0"/>
          <w:marRight w:val="0"/>
          <w:marTop w:val="0"/>
          <w:marBottom w:val="0"/>
          <w:divBdr>
            <w:top w:val="none" w:sz="0" w:space="0" w:color="auto"/>
            <w:left w:val="none" w:sz="0" w:space="0" w:color="auto"/>
            <w:bottom w:val="none" w:sz="0" w:space="0" w:color="auto"/>
            <w:right w:val="none" w:sz="0" w:space="0" w:color="auto"/>
          </w:divBdr>
        </w:div>
        <w:div w:id="1574778131">
          <w:marLeft w:val="0"/>
          <w:marRight w:val="0"/>
          <w:marTop w:val="0"/>
          <w:marBottom w:val="0"/>
          <w:divBdr>
            <w:top w:val="none" w:sz="0" w:space="0" w:color="auto"/>
            <w:left w:val="none" w:sz="0" w:space="0" w:color="auto"/>
            <w:bottom w:val="none" w:sz="0" w:space="0" w:color="auto"/>
            <w:right w:val="none" w:sz="0" w:space="0" w:color="auto"/>
          </w:divBdr>
        </w:div>
        <w:div w:id="1622809143">
          <w:marLeft w:val="0"/>
          <w:marRight w:val="0"/>
          <w:marTop w:val="0"/>
          <w:marBottom w:val="0"/>
          <w:divBdr>
            <w:top w:val="none" w:sz="0" w:space="0" w:color="auto"/>
            <w:left w:val="none" w:sz="0" w:space="0" w:color="auto"/>
            <w:bottom w:val="none" w:sz="0" w:space="0" w:color="auto"/>
            <w:right w:val="none" w:sz="0" w:space="0" w:color="auto"/>
          </w:divBdr>
        </w:div>
      </w:divsChild>
    </w:div>
    <w:div w:id="946431172">
      <w:bodyDiv w:val="1"/>
      <w:marLeft w:val="0"/>
      <w:marRight w:val="0"/>
      <w:marTop w:val="0"/>
      <w:marBottom w:val="0"/>
      <w:divBdr>
        <w:top w:val="none" w:sz="0" w:space="0" w:color="auto"/>
        <w:left w:val="none" w:sz="0" w:space="0" w:color="auto"/>
        <w:bottom w:val="none" w:sz="0" w:space="0" w:color="auto"/>
        <w:right w:val="none" w:sz="0" w:space="0" w:color="auto"/>
      </w:divBdr>
    </w:div>
    <w:div w:id="954217681">
      <w:bodyDiv w:val="1"/>
      <w:marLeft w:val="0"/>
      <w:marRight w:val="0"/>
      <w:marTop w:val="0"/>
      <w:marBottom w:val="0"/>
      <w:divBdr>
        <w:top w:val="none" w:sz="0" w:space="0" w:color="auto"/>
        <w:left w:val="none" w:sz="0" w:space="0" w:color="auto"/>
        <w:bottom w:val="none" w:sz="0" w:space="0" w:color="auto"/>
        <w:right w:val="none" w:sz="0" w:space="0" w:color="auto"/>
      </w:divBdr>
      <w:divsChild>
        <w:div w:id="5253778">
          <w:marLeft w:val="0"/>
          <w:marRight w:val="0"/>
          <w:marTop w:val="0"/>
          <w:marBottom w:val="0"/>
          <w:divBdr>
            <w:top w:val="none" w:sz="0" w:space="0" w:color="auto"/>
            <w:left w:val="none" w:sz="0" w:space="0" w:color="auto"/>
            <w:bottom w:val="none" w:sz="0" w:space="0" w:color="auto"/>
            <w:right w:val="none" w:sz="0" w:space="0" w:color="auto"/>
          </w:divBdr>
        </w:div>
        <w:div w:id="72747794">
          <w:marLeft w:val="0"/>
          <w:marRight w:val="0"/>
          <w:marTop w:val="0"/>
          <w:marBottom w:val="0"/>
          <w:divBdr>
            <w:top w:val="none" w:sz="0" w:space="0" w:color="auto"/>
            <w:left w:val="none" w:sz="0" w:space="0" w:color="auto"/>
            <w:bottom w:val="none" w:sz="0" w:space="0" w:color="auto"/>
            <w:right w:val="none" w:sz="0" w:space="0" w:color="auto"/>
          </w:divBdr>
        </w:div>
        <w:div w:id="532884812">
          <w:marLeft w:val="0"/>
          <w:marRight w:val="0"/>
          <w:marTop w:val="0"/>
          <w:marBottom w:val="0"/>
          <w:divBdr>
            <w:top w:val="none" w:sz="0" w:space="0" w:color="auto"/>
            <w:left w:val="none" w:sz="0" w:space="0" w:color="auto"/>
            <w:bottom w:val="none" w:sz="0" w:space="0" w:color="auto"/>
            <w:right w:val="none" w:sz="0" w:space="0" w:color="auto"/>
          </w:divBdr>
        </w:div>
        <w:div w:id="614143604">
          <w:marLeft w:val="0"/>
          <w:marRight w:val="0"/>
          <w:marTop w:val="0"/>
          <w:marBottom w:val="0"/>
          <w:divBdr>
            <w:top w:val="none" w:sz="0" w:space="0" w:color="auto"/>
            <w:left w:val="none" w:sz="0" w:space="0" w:color="auto"/>
            <w:bottom w:val="none" w:sz="0" w:space="0" w:color="auto"/>
            <w:right w:val="none" w:sz="0" w:space="0" w:color="auto"/>
          </w:divBdr>
        </w:div>
        <w:div w:id="661474737">
          <w:marLeft w:val="0"/>
          <w:marRight w:val="0"/>
          <w:marTop w:val="0"/>
          <w:marBottom w:val="0"/>
          <w:divBdr>
            <w:top w:val="none" w:sz="0" w:space="0" w:color="auto"/>
            <w:left w:val="none" w:sz="0" w:space="0" w:color="auto"/>
            <w:bottom w:val="none" w:sz="0" w:space="0" w:color="auto"/>
            <w:right w:val="none" w:sz="0" w:space="0" w:color="auto"/>
          </w:divBdr>
        </w:div>
        <w:div w:id="799110763">
          <w:marLeft w:val="0"/>
          <w:marRight w:val="0"/>
          <w:marTop w:val="0"/>
          <w:marBottom w:val="0"/>
          <w:divBdr>
            <w:top w:val="none" w:sz="0" w:space="0" w:color="auto"/>
            <w:left w:val="none" w:sz="0" w:space="0" w:color="auto"/>
            <w:bottom w:val="none" w:sz="0" w:space="0" w:color="auto"/>
            <w:right w:val="none" w:sz="0" w:space="0" w:color="auto"/>
          </w:divBdr>
        </w:div>
        <w:div w:id="910506251">
          <w:marLeft w:val="0"/>
          <w:marRight w:val="0"/>
          <w:marTop w:val="0"/>
          <w:marBottom w:val="0"/>
          <w:divBdr>
            <w:top w:val="none" w:sz="0" w:space="0" w:color="auto"/>
            <w:left w:val="none" w:sz="0" w:space="0" w:color="auto"/>
            <w:bottom w:val="none" w:sz="0" w:space="0" w:color="auto"/>
            <w:right w:val="none" w:sz="0" w:space="0" w:color="auto"/>
          </w:divBdr>
        </w:div>
        <w:div w:id="941838270">
          <w:marLeft w:val="0"/>
          <w:marRight w:val="0"/>
          <w:marTop w:val="0"/>
          <w:marBottom w:val="0"/>
          <w:divBdr>
            <w:top w:val="none" w:sz="0" w:space="0" w:color="auto"/>
            <w:left w:val="none" w:sz="0" w:space="0" w:color="auto"/>
            <w:bottom w:val="none" w:sz="0" w:space="0" w:color="auto"/>
            <w:right w:val="none" w:sz="0" w:space="0" w:color="auto"/>
          </w:divBdr>
        </w:div>
        <w:div w:id="1390152274">
          <w:marLeft w:val="0"/>
          <w:marRight w:val="0"/>
          <w:marTop w:val="0"/>
          <w:marBottom w:val="0"/>
          <w:divBdr>
            <w:top w:val="none" w:sz="0" w:space="0" w:color="auto"/>
            <w:left w:val="none" w:sz="0" w:space="0" w:color="auto"/>
            <w:bottom w:val="none" w:sz="0" w:space="0" w:color="auto"/>
            <w:right w:val="none" w:sz="0" w:space="0" w:color="auto"/>
          </w:divBdr>
        </w:div>
        <w:div w:id="1461142625">
          <w:marLeft w:val="0"/>
          <w:marRight w:val="0"/>
          <w:marTop w:val="0"/>
          <w:marBottom w:val="0"/>
          <w:divBdr>
            <w:top w:val="none" w:sz="0" w:space="0" w:color="auto"/>
            <w:left w:val="none" w:sz="0" w:space="0" w:color="auto"/>
            <w:bottom w:val="none" w:sz="0" w:space="0" w:color="auto"/>
            <w:right w:val="none" w:sz="0" w:space="0" w:color="auto"/>
          </w:divBdr>
        </w:div>
        <w:div w:id="1496342187">
          <w:marLeft w:val="0"/>
          <w:marRight w:val="0"/>
          <w:marTop w:val="0"/>
          <w:marBottom w:val="0"/>
          <w:divBdr>
            <w:top w:val="none" w:sz="0" w:space="0" w:color="auto"/>
            <w:left w:val="none" w:sz="0" w:space="0" w:color="auto"/>
            <w:bottom w:val="none" w:sz="0" w:space="0" w:color="auto"/>
            <w:right w:val="none" w:sz="0" w:space="0" w:color="auto"/>
          </w:divBdr>
        </w:div>
        <w:div w:id="1553956220">
          <w:marLeft w:val="0"/>
          <w:marRight w:val="0"/>
          <w:marTop w:val="0"/>
          <w:marBottom w:val="0"/>
          <w:divBdr>
            <w:top w:val="none" w:sz="0" w:space="0" w:color="auto"/>
            <w:left w:val="none" w:sz="0" w:space="0" w:color="auto"/>
            <w:bottom w:val="none" w:sz="0" w:space="0" w:color="auto"/>
            <w:right w:val="none" w:sz="0" w:space="0" w:color="auto"/>
          </w:divBdr>
        </w:div>
        <w:div w:id="1565682160">
          <w:marLeft w:val="0"/>
          <w:marRight w:val="0"/>
          <w:marTop w:val="0"/>
          <w:marBottom w:val="0"/>
          <w:divBdr>
            <w:top w:val="none" w:sz="0" w:space="0" w:color="auto"/>
            <w:left w:val="none" w:sz="0" w:space="0" w:color="auto"/>
            <w:bottom w:val="none" w:sz="0" w:space="0" w:color="auto"/>
            <w:right w:val="none" w:sz="0" w:space="0" w:color="auto"/>
          </w:divBdr>
        </w:div>
        <w:div w:id="1697269041">
          <w:marLeft w:val="0"/>
          <w:marRight w:val="0"/>
          <w:marTop w:val="0"/>
          <w:marBottom w:val="0"/>
          <w:divBdr>
            <w:top w:val="none" w:sz="0" w:space="0" w:color="auto"/>
            <w:left w:val="none" w:sz="0" w:space="0" w:color="auto"/>
            <w:bottom w:val="none" w:sz="0" w:space="0" w:color="auto"/>
            <w:right w:val="none" w:sz="0" w:space="0" w:color="auto"/>
          </w:divBdr>
        </w:div>
        <w:div w:id="1878808417">
          <w:marLeft w:val="0"/>
          <w:marRight w:val="0"/>
          <w:marTop w:val="0"/>
          <w:marBottom w:val="0"/>
          <w:divBdr>
            <w:top w:val="none" w:sz="0" w:space="0" w:color="auto"/>
            <w:left w:val="none" w:sz="0" w:space="0" w:color="auto"/>
            <w:bottom w:val="none" w:sz="0" w:space="0" w:color="auto"/>
            <w:right w:val="none" w:sz="0" w:space="0" w:color="auto"/>
          </w:divBdr>
        </w:div>
        <w:div w:id="2041397958">
          <w:marLeft w:val="0"/>
          <w:marRight w:val="0"/>
          <w:marTop w:val="0"/>
          <w:marBottom w:val="0"/>
          <w:divBdr>
            <w:top w:val="none" w:sz="0" w:space="0" w:color="auto"/>
            <w:left w:val="none" w:sz="0" w:space="0" w:color="auto"/>
            <w:bottom w:val="none" w:sz="0" w:space="0" w:color="auto"/>
            <w:right w:val="none" w:sz="0" w:space="0" w:color="auto"/>
          </w:divBdr>
        </w:div>
      </w:divsChild>
    </w:div>
    <w:div w:id="981735644">
      <w:bodyDiv w:val="1"/>
      <w:marLeft w:val="0"/>
      <w:marRight w:val="0"/>
      <w:marTop w:val="0"/>
      <w:marBottom w:val="0"/>
      <w:divBdr>
        <w:top w:val="none" w:sz="0" w:space="0" w:color="auto"/>
        <w:left w:val="none" w:sz="0" w:space="0" w:color="auto"/>
        <w:bottom w:val="none" w:sz="0" w:space="0" w:color="auto"/>
        <w:right w:val="none" w:sz="0" w:space="0" w:color="auto"/>
      </w:divBdr>
    </w:div>
    <w:div w:id="987130288">
      <w:bodyDiv w:val="1"/>
      <w:marLeft w:val="0"/>
      <w:marRight w:val="0"/>
      <w:marTop w:val="0"/>
      <w:marBottom w:val="0"/>
      <w:divBdr>
        <w:top w:val="none" w:sz="0" w:space="0" w:color="auto"/>
        <w:left w:val="none" w:sz="0" w:space="0" w:color="auto"/>
        <w:bottom w:val="none" w:sz="0" w:space="0" w:color="auto"/>
        <w:right w:val="none" w:sz="0" w:space="0" w:color="auto"/>
      </w:divBdr>
    </w:div>
    <w:div w:id="1011571196">
      <w:bodyDiv w:val="1"/>
      <w:marLeft w:val="0"/>
      <w:marRight w:val="0"/>
      <w:marTop w:val="0"/>
      <w:marBottom w:val="0"/>
      <w:divBdr>
        <w:top w:val="none" w:sz="0" w:space="0" w:color="auto"/>
        <w:left w:val="none" w:sz="0" w:space="0" w:color="auto"/>
        <w:bottom w:val="none" w:sz="0" w:space="0" w:color="auto"/>
        <w:right w:val="none" w:sz="0" w:space="0" w:color="auto"/>
      </w:divBdr>
    </w:div>
    <w:div w:id="1014915754">
      <w:bodyDiv w:val="1"/>
      <w:marLeft w:val="0"/>
      <w:marRight w:val="0"/>
      <w:marTop w:val="0"/>
      <w:marBottom w:val="0"/>
      <w:divBdr>
        <w:top w:val="none" w:sz="0" w:space="0" w:color="auto"/>
        <w:left w:val="none" w:sz="0" w:space="0" w:color="auto"/>
        <w:bottom w:val="none" w:sz="0" w:space="0" w:color="auto"/>
        <w:right w:val="none" w:sz="0" w:space="0" w:color="auto"/>
      </w:divBdr>
    </w:div>
    <w:div w:id="1079717464">
      <w:bodyDiv w:val="1"/>
      <w:marLeft w:val="0"/>
      <w:marRight w:val="0"/>
      <w:marTop w:val="0"/>
      <w:marBottom w:val="0"/>
      <w:divBdr>
        <w:top w:val="none" w:sz="0" w:space="0" w:color="auto"/>
        <w:left w:val="none" w:sz="0" w:space="0" w:color="auto"/>
        <w:bottom w:val="none" w:sz="0" w:space="0" w:color="auto"/>
        <w:right w:val="none" w:sz="0" w:space="0" w:color="auto"/>
      </w:divBdr>
      <w:divsChild>
        <w:div w:id="139543448">
          <w:marLeft w:val="0"/>
          <w:marRight w:val="0"/>
          <w:marTop w:val="0"/>
          <w:marBottom w:val="0"/>
          <w:divBdr>
            <w:top w:val="none" w:sz="0" w:space="0" w:color="auto"/>
            <w:left w:val="none" w:sz="0" w:space="0" w:color="auto"/>
            <w:bottom w:val="none" w:sz="0" w:space="0" w:color="auto"/>
            <w:right w:val="none" w:sz="0" w:space="0" w:color="auto"/>
          </w:divBdr>
        </w:div>
        <w:div w:id="149639555">
          <w:marLeft w:val="0"/>
          <w:marRight w:val="0"/>
          <w:marTop w:val="0"/>
          <w:marBottom w:val="0"/>
          <w:divBdr>
            <w:top w:val="none" w:sz="0" w:space="0" w:color="auto"/>
            <w:left w:val="none" w:sz="0" w:space="0" w:color="auto"/>
            <w:bottom w:val="none" w:sz="0" w:space="0" w:color="auto"/>
            <w:right w:val="none" w:sz="0" w:space="0" w:color="auto"/>
          </w:divBdr>
        </w:div>
        <w:div w:id="282614023">
          <w:marLeft w:val="0"/>
          <w:marRight w:val="0"/>
          <w:marTop w:val="0"/>
          <w:marBottom w:val="0"/>
          <w:divBdr>
            <w:top w:val="none" w:sz="0" w:space="0" w:color="auto"/>
            <w:left w:val="none" w:sz="0" w:space="0" w:color="auto"/>
            <w:bottom w:val="none" w:sz="0" w:space="0" w:color="auto"/>
            <w:right w:val="none" w:sz="0" w:space="0" w:color="auto"/>
          </w:divBdr>
        </w:div>
        <w:div w:id="577059941">
          <w:marLeft w:val="0"/>
          <w:marRight w:val="0"/>
          <w:marTop w:val="0"/>
          <w:marBottom w:val="0"/>
          <w:divBdr>
            <w:top w:val="none" w:sz="0" w:space="0" w:color="auto"/>
            <w:left w:val="none" w:sz="0" w:space="0" w:color="auto"/>
            <w:bottom w:val="none" w:sz="0" w:space="0" w:color="auto"/>
            <w:right w:val="none" w:sz="0" w:space="0" w:color="auto"/>
          </w:divBdr>
        </w:div>
        <w:div w:id="697580593">
          <w:marLeft w:val="0"/>
          <w:marRight w:val="0"/>
          <w:marTop w:val="0"/>
          <w:marBottom w:val="0"/>
          <w:divBdr>
            <w:top w:val="none" w:sz="0" w:space="0" w:color="auto"/>
            <w:left w:val="none" w:sz="0" w:space="0" w:color="auto"/>
            <w:bottom w:val="none" w:sz="0" w:space="0" w:color="auto"/>
            <w:right w:val="none" w:sz="0" w:space="0" w:color="auto"/>
          </w:divBdr>
        </w:div>
        <w:div w:id="747001097">
          <w:marLeft w:val="0"/>
          <w:marRight w:val="0"/>
          <w:marTop w:val="0"/>
          <w:marBottom w:val="0"/>
          <w:divBdr>
            <w:top w:val="none" w:sz="0" w:space="0" w:color="auto"/>
            <w:left w:val="none" w:sz="0" w:space="0" w:color="auto"/>
            <w:bottom w:val="none" w:sz="0" w:space="0" w:color="auto"/>
            <w:right w:val="none" w:sz="0" w:space="0" w:color="auto"/>
          </w:divBdr>
        </w:div>
        <w:div w:id="1029179546">
          <w:marLeft w:val="0"/>
          <w:marRight w:val="0"/>
          <w:marTop w:val="0"/>
          <w:marBottom w:val="0"/>
          <w:divBdr>
            <w:top w:val="none" w:sz="0" w:space="0" w:color="auto"/>
            <w:left w:val="none" w:sz="0" w:space="0" w:color="auto"/>
            <w:bottom w:val="none" w:sz="0" w:space="0" w:color="auto"/>
            <w:right w:val="none" w:sz="0" w:space="0" w:color="auto"/>
          </w:divBdr>
        </w:div>
        <w:div w:id="1570916818">
          <w:marLeft w:val="0"/>
          <w:marRight w:val="0"/>
          <w:marTop w:val="0"/>
          <w:marBottom w:val="0"/>
          <w:divBdr>
            <w:top w:val="none" w:sz="0" w:space="0" w:color="auto"/>
            <w:left w:val="none" w:sz="0" w:space="0" w:color="auto"/>
            <w:bottom w:val="none" w:sz="0" w:space="0" w:color="auto"/>
            <w:right w:val="none" w:sz="0" w:space="0" w:color="auto"/>
          </w:divBdr>
        </w:div>
        <w:div w:id="1615936993">
          <w:marLeft w:val="0"/>
          <w:marRight w:val="0"/>
          <w:marTop w:val="0"/>
          <w:marBottom w:val="0"/>
          <w:divBdr>
            <w:top w:val="none" w:sz="0" w:space="0" w:color="auto"/>
            <w:left w:val="none" w:sz="0" w:space="0" w:color="auto"/>
            <w:bottom w:val="none" w:sz="0" w:space="0" w:color="auto"/>
            <w:right w:val="none" w:sz="0" w:space="0" w:color="auto"/>
          </w:divBdr>
        </w:div>
        <w:div w:id="1778254080">
          <w:marLeft w:val="0"/>
          <w:marRight w:val="0"/>
          <w:marTop w:val="0"/>
          <w:marBottom w:val="0"/>
          <w:divBdr>
            <w:top w:val="none" w:sz="0" w:space="0" w:color="auto"/>
            <w:left w:val="none" w:sz="0" w:space="0" w:color="auto"/>
            <w:bottom w:val="none" w:sz="0" w:space="0" w:color="auto"/>
            <w:right w:val="none" w:sz="0" w:space="0" w:color="auto"/>
          </w:divBdr>
        </w:div>
        <w:div w:id="1785541727">
          <w:marLeft w:val="0"/>
          <w:marRight w:val="0"/>
          <w:marTop w:val="0"/>
          <w:marBottom w:val="0"/>
          <w:divBdr>
            <w:top w:val="none" w:sz="0" w:space="0" w:color="auto"/>
            <w:left w:val="none" w:sz="0" w:space="0" w:color="auto"/>
            <w:bottom w:val="none" w:sz="0" w:space="0" w:color="auto"/>
            <w:right w:val="none" w:sz="0" w:space="0" w:color="auto"/>
          </w:divBdr>
        </w:div>
        <w:div w:id="1933515006">
          <w:marLeft w:val="0"/>
          <w:marRight w:val="0"/>
          <w:marTop w:val="0"/>
          <w:marBottom w:val="0"/>
          <w:divBdr>
            <w:top w:val="none" w:sz="0" w:space="0" w:color="auto"/>
            <w:left w:val="none" w:sz="0" w:space="0" w:color="auto"/>
            <w:bottom w:val="none" w:sz="0" w:space="0" w:color="auto"/>
            <w:right w:val="none" w:sz="0" w:space="0" w:color="auto"/>
          </w:divBdr>
        </w:div>
        <w:div w:id="2091731566">
          <w:marLeft w:val="0"/>
          <w:marRight w:val="0"/>
          <w:marTop w:val="0"/>
          <w:marBottom w:val="0"/>
          <w:divBdr>
            <w:top w:val="none" w:sz="0" w:space="0" w:color="auto"/>
            <w:left w:val="none" w:sz="0" w:space="0" w:color="auto"/>
            <w:bottom w:val="none" w:sz="0" w:space="0" w:color="auto"/>
            <w:right w:val="none" w:sz="0" w:space="0" w:color="auto"/>
          </w:divBdr>
        </w:div>
      </w:divsChild>
    </w:div>
    <w:div w:id="1117719892">
      <w:bodyDiv w:val="1"/>
      <w:marLeft w:val="0"/>
      <w:marRight w:val="0"/>
      <w:marTop w:val="0"/>
      <w:marBottom w:val="0"/>
      <w:divBdr>
        <w:top w:val="none" w:sz="0" w:space="0" w:color="auto"/>
        <w:left w:val="none" w:sz="0" w:space="0" w:color="auto"/>
        <w:bottom w:val="none" w:sz="0" w:space="0" w:color="auto"/>
        <w:right w:val="none" w:sz="0" w:space="0" w:color="auto"/>
      </w:divBdr>
    </w:div>
    <w:div w:id="1148520763">
      <w:bodyDiv w:val="1"/>
      <w:marLeft w:val="0"/>
      <w:marRight w:val="0"/>
      <w:marTop w:val="0"/>
      <w:marBottom w:val="0"/>
      <w:divBdr>
        <w:top w:val="none" w:sz="0" w:space="0" w:color="auto"/>
        <w:left w:val="none" w:sz="0" w:space="0" w:color="auto"/>
        <w:bottom w:val="none" w:sz="0" w:space="0" w:color="auto"/>
        <w:right w:val="none" w:sz="0" w:space="0" w:color="auto"/>
      </w:divBdr>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sChild>
        <w:div w:id="290793807">
          <w:marLeft w:val="0"/>
          <w:marRight w:val="0"/>
          <w:marTop w:val="0"/>
          <w:marBottom w:val="0"/>
          <w:divBdr>
            <w:top w:val="none" w:sz="0" w:space="0" w:color="auto"/>
            <w:left w:val="none" w:sz="0" w:space="0" w:color="auto"/>
            <w:bottom w:val="none" w:sz="0" w:space="0" w:color="auto"/>
            <w:right w:val="none" w:sz="0" w:space="0" w:color="auto"/>
          </w:divBdr>
          <w:divsChild>
            <w:div w:id="1802183499">
              <w:marLeft w:val="0"/>
              <w:marRight w:val="0"/>
              <w:marTop w:val="0"/>
              <w:marBottom w:val="0"/>
              <w:divBdr>
                <w:top w:val="none" w:sz="0" w:space="0" w:color="auto"/>
                <w:left w:val="none" w:sz="0" w:space="0" w:color="auto"/>
                <w:bottom w:val="none" w:sz="0" w:space="0" w:color="auto"/>
                <w:right w:val="none" w:sz="0" w:space="0" w:color="auto"/>
              </w:divBdr>
            </w:div>
          </w:divsChild>
        </w:div>
        <w:div w:id="336689870">
          <w:marLeft w:val="0"/>
          <w:marRight w:val="0"/>
          <w:marTop w:val="0"/>
          <w:marBottom w:val="0"/>
          <w:divBdr>
            <w:top w:val="none" w:sz="0" w:space="0" w:color="auto"/>
            <w:left w:val="none" w:sz="0" w:space="0" w:color="auto"/>
            <w:bottom w:val="none" w:sz="0" w:space="0" w:color="auto"/>
            <w:right w:val="none" w:sz="0" w:space="0" w:color="auto"/>
          </w:divBdr>
          <w:divsChild>
            <w:div w:id="1444154136">
              <w:marLeft w:val="0"/>
              <w:marRight w:val="0"/>
              <w:marTop w:val="0"/>
              <w:marBottom w:val="0"/>
              <w:divBdr>
                <w:top w:val="none" w:sz="0" w:space="0" w:color="auto"/>
                <w:left w:val="none" w:sz="0" w:space="0" w:color="auto"/>
                <w:bottom w:val="none" w:sz="0" w:space="0" w:color="auto"/>
                <w:right w:val="none" w:sz="0" w:space="0" w:color="auto"/>
              </w:divBdr>
            </w:div>
          </w:divsChild>
        </w:div>
        <w:div w:id="1820031293">
          <w:marLeft w:val="0"/>
          <w:marRight w:val="0"/>
          <w:marTop w:val="0"/>
          <w:marBottom w:val="0"/>
          <w:divBdr>
            <w:top w:val="none" w:sz="0" w:space="0" w:color="auto"/>
            <w:left w:val="none" w:sz="0" w:space="0" w:color="auto"/>
            <w:bottom w:val="none" w:sz="0" w:space="0" w:color="auto"/>
            <w:right w:val="none" w:sz="0" w:space="0" w:color="auto"/>
          </w:divBdr>
          <w:divsChild>
            <w:div w:id="1263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9429">
      <w:bodyDiv w:val="1"/>
      <w:marLeft w:val="0"/>
      <w:marRight w:val="0"/>
      <w:marTop w:val="0"/>
      <w:marBottom w:val="0"/>
      <w:divBdr>
        <w:top w:val="none" w:sz="0" w:space="0" w:color="auto"/>
        <w:left w:val="none" w:sz="0" w:space="0" w:color="auto"/>
        <w:bottom w:val="none" w:sz="0" w:space="0" w:color="auto"/>
        <w:right w:val="none" w:sz="0" w:space="0" w:color="auto"/>
      </w:divBdr>
      <w:divsChild>
        <w:div w:id="62147066">
          <w:marLeft w:val="0"/>
          <w:marRight w:val="0"/>
          <w:marTop w:val="0"/>
          <w:marBottom w:val="0"/>
          <w:divBdr>
            <w:top w:val="none" w:sz="0" w:space="0" w:color="auto"/>
            <w:left w:val="none" w:sz="0" w:space="0" w:color="auto"/>
            <w:bottom w:val="none" w:sz="0" w:space="0" w:color="auto"/>
            <w:right w:val="none" w:sz="0" w:space="0" w:color="auto"/>
          </w:divBdr>
        </w:div>
        <w:div w:id="524749721">
          <w:marLeft w:val="0"/>
          <w:marRight w:val="0"/>
          <w:marTop w:val="0"/>
          <w:marBottom w:val="0"/>
          <w:divBdr>
            <w:top w:val="none" w:sz="0" w:space="0" w:color="auto"/>
            <w:left w:val="none" w:sz="0" w:space="0" w:color="auto"/>
            <w:bottom w:val="none" w:sz="0" w:space="0" w:color="auto"/>
            <w:right w:val="none" w:sz="0" w:space="0" w:color="auto"/>
          </w:divBdr>
        </w:div>
        <w:div w:id="180898371">
          <w:marLeft w:val="0"/>
          <w:marRight w:val="0"/>
          <w:marTop w:val="0"/>
          <w:marBottom w:val="0"/>
          <w:divBdr>
            <w:top w:val="none" w:sz="0" w:space="0" w:color="auto"/>
            <w:left w:val="none" w:sz="0" w:space="0" w:color="auto"/>
            <w:bottom w:val="none" w:sz="0" w:space="0" w:color="auto"/>
            <w:right w:val="none" w:sz="0" w:space="0" w:color="auto"/>
          </w:divBdr>
        </w:div>
        <w:div w:id="468792010">
          <w:marLeft w:val="0"/>
          <w:marRight w:val="0"/>
          <w:marTop w:val="0"/>
          <w:marBottom w:val="0"/>
          <w:divBdr>
            <w:top w:val="none" w:sz="0" w:space="0" w:color="auto"/>
            <w:left w:val="none" w:sz="0" w:space="0" w:color="auto"/>
            <w:bottom w:val="none" w:sz="0" w:space="0" w:color="auto"/>
            <w:right w:val="none" w:sz="0" w:space="0" w:color="auto"/>
          </w:divBdr>
        </w:div>
        <w:div w:id="148327583">
          <w:marLeft w:val="0"/>
          <w:marRight w:val="0"/>
          <w:marTop w:val="0"/>
          <w:marBottom w:val="0"/>
          <w:divBdr>
            <w:top w:val="none" w:sz="0" w:space="0" w:color="auto"/>
            <w:left w:val="none" w:sz="0" w:space="0" w:color="auto"/>
            <w:bottom w:val="none" w:sz="0" w:space="0" w:color="auto"/>
            <w:right w:val="none" w:sz="0" w:space="0" w:color="auto"/>
          </w:divBdr>
        </w:div>
        <w:div w:id="524487331">
          <w:marLeft w:val="0"/>
          <w:marRight w:val="0"/>
          <w:marTop w:val="0"/>
          <w:marBottom w:val="0"/>
          <w:divBdr>
            <w:top w:val="none" w:sz="0" w:space="0" w:color="auto"/>
            <w:left w:val="none" w:sz="0" w:space="0" w:color="auto"/>
            <w:bottom w:val="none" w:sz="0" w:space="0" w:color="auto"/>
            <w:right w:val="none" w:sz="0" w:space="0" w:color="auto"/>
          </w:divBdr>
        </w:div>
        <w:div w:id="539560892">
          <w:marLeft w:val="0"/>
          <w:marRight w:val="0"/>
          <w:marTop w:val="0"/>
          <w:marBottom w:val="0"/>
          <w:divBdr>
            <w:top w:val="none" w:sz="0" w:space="0" w:color="auto"/>
            <w:left w:val="none" w:sz="0" w:space="0" w:color="auto"/>
            <w:bottom w:val="none" w:sz="0" w:space="0" w:color="auto"/>
            <w:right w:val="none" w:sz="0" w:space="0" w:color="auto"/>
          </w:divBdr>
        </w:div>
        <w:div w:id="1046760182">
          <w:marLeft w:val="0"/>
          <w:marRight w:val="0"/>
          <w:marTop w:val="0"/>
          <w:marBottom w:val="0"/>
          <w:divBdr>
            <w:top w:val="none" w:sz="0" w:space="0" w:color="auto"/>
            <w:left w:val="none" w:sz="0" w:space="0" w:color="auto"/>
            <w:bottom w:val="none" w:sz="0" w:space="0" w:color="auto"/>
            <w:right w:val="none" w:sz="0" w:space="0" w:color="auto"/>
          </w:divBdr>
        </w:div>
        <w:div w:id="1622803318">
          <w:marLeft w:val="0"/>
          <w:marRight w:val="0"/>
          <w:marTop w:val="0"/>
          <w:marBottom w:val="0"/>
          <w:divBdr>
            <w:top w:val="none" w:sz="0" w:space="0" w:color="auto"/>
            <w:left w:val="none" w:sz="0" w:space="0" w:color="auto"/>
            <w:bottom w:val="none" w:sz="0" w:space="0" w:color="auto"/>
            <w:right w:val="none" w:sz="0" w:space="0" w:color="auto"/>
          </w:divBdr>
        </w:div>
        <w:div w:id="1492789530">
          <w:marLeft w:val="0"/>
          <w:marRight w:val="0"/>
          <w:marTop w:val="0"/>
          <w:marBottom w:val="0"/>
          <w:divBdr>
            <w:top w:val="none" w:sz="0" w:space="0" w:color="auto"/>
            <w:left w:val="none" w:sz="0" w:space="0" w:color="auto"/>
            <w:bottom w:val="none" w:sz="0" w:space="0" w:color="auto"/>
            <w:right w:val="none" w:sz="0" w:space="0" w:color="auto"/>
          </w:divBdr>
        </w:div>
        <w:div w:id="1320694057">
          <w:marLeft w:val="0"/>
          <w:marRight w:val="0"/>
          <w:marTop w:val="0"/>
          <w:marBottom w:val="0"/>
          <w:divBdr>
            <w:top w:val="none" w:sz="0" w:space="0" w:color="auto"/>
            <w:left w:val="none" w:sz="0" w:space="0" w:color="auto"/>
            <w:bottom w:val="none" w:sz="0" w:space="0" w:color="auto"/>
            <w:right w:val="none" w:sz="0" w:space="0" w:color="auto"/>
          </w:divBdr>
        </w:div>
        <w:div w:id="123891393">
          <w:marLeft w:val="0"/>
          <w:marRight w:val="0"/>
          <w:marTop w:val="0"/>
          <w:marBottom w:val="0"/>
          <w:divBdr>
            <w:top w:val="none" w:sz="0" w:space="0" w:color="auto"/>
            <w:left w:val="none" w:sz="0" w:space="0" w:color="auto"/>
            <w:bottom w:val="none" w:sz="0" w:space="0" w:color="auto"/>
            <w:right w:val="none" w:sz="0" w:space="0" w:color="auto"/>
          </w:divBdr>
        </w:div>
        <w:div w:id="2132553647">
          <w:marLeft w:val="0"/>
          <w:marRight w:val="0"/>
          <w:marTop w:val="0"/>
          <w:marBottom w:val="0"/>
          <w:divBdr>
            <w:top w:val="none" w:sz="0" w:space="0" w:color="auto"/>
            <w:left w:val="none" w:sz="0" w:space="0" w:color="auto"/>
            <w:bottom w:val="none" w:sz="0" w:space="0" w:color="auto"/>
            <w:right w:val="none" w:sz="0" w:space="0" w:color="auto"/>
          </w:divBdr>
        </w:div>
        <w:div w:id="1553350279">
          <w:marLeft w:val="0"/>
          <w:marRight w:val="0"/>
          <w:marTop w:val="0"/>
          <w:marBottom w:val="0"/>
          <w:divBdr>
            <w:top w:val="none" w:sz="0" w:space="0" w:color="auto"/>
            <w:left w:val="none" w:sz="0" w:space="0" w:color="auto"/>
            <w:bottom w:val="none" w:sz="0" w:space="0" w:color="auto"/>
            <w:right w:val="none" w:sz="0" w:space="0" w:color="auto"/>
          </w:divBdr>
        </w:div>
        <w:div w:id="1565530242">
          <w:marLeft w:val="0"/>
          <w:marRight w:val="0"/>
          <w:marTop w:val="0"/>
          <w:marBottom w:val="0"/>
          <w:divBdr>
            <w:top w:val="none" w:sz="0" w:space="0" w:color="auto"/>
            <w:left w:val="none" w:sz="0" w:space="0" w:color="auto"/>
            <w:bottom w:val="none" w:sz="0" w:space="0" w:color="auto"/>
            <w:right w:val="none" w:sz="0" w:space="0" w:color="auto"/>
          </w:divBdr>
        </w:div>
      </w:divsChild>
    </w:div>
    <w:div w:id="1234193400">
      <w:bodyDiv w:val="1"/>
      <w:marLeft w:val="0"/>
      <w:marRight w:val="0"/>
      <w:marTop w:val="0"/>
      <w:marBottom w:val="0"/>
      <w:divBdr>
        <w:top w:val="none" w:sz="0" w:space="0" w:color="auto"/>
        <w:left w:val="none" w:sz="0" w:space="0" w:color="auto"/>
        <w:bottom w:val="none" w:sz="0" w:space="0" w:color="auto"/>
        <w:right w:val="none" w:sz="0" w:space="0" w:color="auto"/>
      </w:divBdr>
      <w:divsChild>
        <w:div w:id="160780348">
          <w:marLeft w:val="0"/>
          <w:marRight w:val="0"/>
          <w:marTop w:val="0"/>
          <w:marBottom w:val="0"/>
          <w:divBdr>
            <w:top w:val="none" w:sz="0" w:space="0" w:color="auto"/>
            <w:left w:val="none" w:sz="0" w:space="0" w:color="auto"/>
            <w:bottom w:val="none" w:sz="0" w:space="0" w:color="auto"/>
            <w:right w:val="none" w:sz="0" w:space="0" w:color="auto"/>
          </w:divBdr>
        </w:div>
        <w:div w:id="472986244">
          <w:marLeft w:val="0"/>
          <w:marRight w:val="0"/>
          <w:marTop w:val="0"/>
          <w:marBottom w:val="0"/>
          <w:divBdr>
            <w:top w:val="none" w:sz="0" w:space="0" w:color="auto"/>
            <w:left w:val="none" w:sz="0" w:space="0" w:color="auto"/>
            <w:bottom w:val="none" w:sz="0" w:space="0" w:color="auto"/>
            <w:right w:val="none" w:sz="0" w:space="0" w:color="auto"/>
          </w:divBdr>
        </w:div>
        <w:div w:id="509180030">
          <w:marLeft w:val="0"/>
          <w:marRight w:val="0"/>
          <w:marTop w:val="0"/>
          <w:marBottom w:val="0"/>
          <w:divBdr>
            <w:top w:val="none" w:sz="0" w:space="0" w:color="auto"/>
            <w:left w:val="none" w:sz="0" w:space="0" w:color="auto"/>
            <w:bottom w:val="none" w:sz="0" w:space="0" w:color="auto"/>
            <w:right w:val="none" w:sz="0" w:space="0" w:color="auto"/>
          </w:divBdr>
        </w:div>
        <w:div w:id="732002267">
          <w:marLeft w:val="0"/>
          <w:marRight w:val="0"/>
          <w:marTop w:val="0"/>
          <w:marBottom w:val="0"/>
          <w:divBdr>
            <w:top w:val="none" w:sz="0" w:space="0" w:color="auto"/>
            <w:left w:val="none" w:sz="0" w:space="0" w:color="auto"/>
            <w:bottom w:val="none" w:sz="0" w:space="0" w:color="auto"/>
            <w:right w:val="none" w:sz="0" w:space="0" w:color="auto"/>
          </w:divBdr>
        </w:div>
        <w:div w:id="815030825">
          <w:marLeft w:val="0"/>
          <w:marRight w:val="0"/>
          <w:marTop w:val="0"/>
          <w:marBottom w:val="0"/>
          <w:divBdr>
            <w:top w:val="none" w:sz="0" w:space="0" w:color="auto"/>
            <w:left w:val="none" w:sz="0" w:space="0" w:color="auto"/>
            <w:bottom w:val="none" w:sz="0" w:space="0" w:color="auto"/>
            <w:right w:val="none" w:sz="0" w:space="0" w:color="auto"/>
          </w:divBdr>
        </w:div>
        <w:div w:id="1786382650">
          <w:marLeft w:val="0"/>
          <w:marRight w:val="0"/>
          <w:marTop w:val="0"/>
          <w:marBottom w:val="0"/>
          <w:divBdr>
            <w:top w:val="none" w:sz="0" w:space="0" w:color="auto"/>
            <w:left w:val="none" w:sz="0" w:space="0" w:color="auto"/>
            <w:bottom w:val="none" w:sz="0" w:space="0" w:color="auto"/>
            <w:right w:val="none" w:sz="0" w:space="0" w:color="auto"/>
          </w:divBdr>
        </w:div>
        <w:div w:id="1927886122">
          <w:marLeft w:val="0"/>
          <w:marRight w:val="0"/>
          <w:marTop w:val="0"/>
          <w:marBottom w:val="0"/>
          <w:divBdr>
            <w:top w:val="none" w:sz="0" w:space="0" w:color="auto"/>
            <w:left w:val="none" w:sz="0" w:space="0" w:color="auto"/>
            <w:bottom w:val="none" w:sz="0" w:space="0" w:color="auto"/>
            <w:right w:val="none" w:sz="0" w:space="0" w:color="auto"/>
          </w:divBdr>
        </w:div>
      </w:divsChild>
    </w:div>
    <w:div w:id="1267928289">
      <w:bodyDiv w:val="1"/>
      <w:marLeft w:val="0"/>
      <w:marRight w:val="0"/>
      <w:marTop w:val="0"/>
      <w:marBottom w:val="0"/>
      <w:divBdr>
        <w:top w:val="none" w:sz="0" w:space="0" w:color="auto"/>
        <w:left w:val="none" w:sz="0" w:space="0" w:color="auto"/>
        <w:bottom w:val="none" w:sz="0" w:space="0" w:color="auto"/>
        <w:right w:val="none" w:sz="0" w:space="0" w:color="auto"/>
      </w:divBdr>
    </w:div>
    <w:div w:id="1303123846">
      <w:bodyDiv w:val="1"/>
      <w:marLeft w:val="0"/>
      <w:marRight w:val="0"/>
      <w:marTop w:val="0"/>
      <w:marBottom w:val="0"/>
      <w:divBdr>
        <w:top w:val="none" w:sz="0" w:space="0" w:color="auto"/>
        <w:left w:val="none" w:sz="0" w:space="0" w:color="auto"/>
        <w:bottom w:val="none" w:sz="0" w:space="0" w:color="auto"/>
        <w:right w:val="none" w:sz="0" w:space="0" w:color="auto"/>
      </w:divBdr>
    </w:div>
    <w:div w:id="1339384718">
      <w:bodyDiv w:val="1"/>
      <w:marLeft w:val="0"/>
      <w:marRight w:val="0"/>
      <w:marTop w:val="0"/>
      <w:marBottom w:val="0"/>
      <w:divBdr>
        <w:top w:val="none" w:sz="0" w:space="0" w:color="auto"/>
        <w:left w:val="none" w:sz="0" w:space="0" w:color="auto"/>
        <w:bottom w:val="none" w:sz="0" w:space="0" w:color="auto"/>
        <w:right w:val="none" w:sz="0" w:space="0" w:color="auto"/>
      </w:divBdr>
    </w:div>
    <w:div w:id="1427774130">
      <w:bodyDiv w:val="1"/>
      <w:marLeft w:val="0"/>
      <w:marRight w:val="0"/>
      <w:marTop w:val="0"/>
      <w:marBottom w:val="0"/>
      <w:divBdr>
        <w:top w:val="none" w:sz="0" w:space="0" w:color="auto"/>
        <w:left w:val="none" w:sz="0" w:space="0" w:color="auto"/>
        <w:bottom w:val="none" w:sz="0" w:space="0" w:color="auto"/>
        <w:right w:val="none" w:sz="0" w:space="0" w:color="auto"/>
      </w:divBdr>
      <w:divsChild>
        <w:div w:id="101922939">
          <w:marLeft w:val="0"/>
          <w:marRight w:val="0"/>
          <w:marTop w:val="0"/>
          <w:marBottom w:val="0"/>
          <w:divBdr>
            <w:top w:val="none" w:sz="0" w:space="0" w:color="auto"/>
            <w:left w:val="none" w:sz="0" w:space="0" w:color="auto"/>
            <w:bottom w:val="none" w:sz="0" w:space="0" w:color="auto"/>
            <w:right w:val="none" w:sz="0" w:space="0" w:color="auto"/>
          </w:divBdr>
        </w:div>
        <w:div w:id="399912116">
          <w:marLeft w:val="0"/>
          <w:marRight w:val="0"/>
          <w:marTop w:val="0"/>
          <w:marBottom w:val="0"/>
          <w:divBdr>
            <w:top w:val="none" w:sz="0" w:space="0" w:color="auto"/>
            <w:left w:val="none" w:sz="0" w:space="0" w:color="auto"/>
            <w:bottom w:val="none" w:sz="0" w:space="0" w:color="auto"/>
            <w:right w:val="none" w:sz="0" w:space="0" w:color="auto"/>
          </w:divBdr>
        </w:div>
        <w:div w:id="617370056">
          <w:marLeft w:val="0"/>
          <w:marRight w:val="0"/>
          <w:marTop w:val="0"/>
          <w:marBottom w:val="0"/>
          <w:divBdr>
            <w:top w:val="none" w:sz="0" w:space="0" w:color="auto"/>
            <w:left w:val="none" w:sz="0" w:space="0" w:color="auto"/>
            <w:bottom w:val="none" w:sz="0" w:space="0" w:color="auto"/>
            <w:right w:val="none" w:sz="0" w:space="0" w:color="auto"/>
          </w:divBdr>
        </w:div>
        <w:div w:id="757409854">
          <w:marLeft w:val="0"/>
          <w:marRight w:val="0"/>
          <w:marTop w:val="0"/>
          <w:marBottom w:val="0"/>
          <w:divBdr>
            <w:top w:val="none" w:sz="0" w:space="0" w:color="auto"/>
            <w:left w:val="none" w:sz="0" w:space="0" w:color="auto"/>
            <w:bottom w:val="none" w:sz="0" w:space="0" w:color="auto"/>
            <w:right w:val="none" w:sz="0" w:space="0" w:color="auto"/>
          </w:divBdr>
        </w:div>
        <w:div w:id="772821971">
          <w:marLeft w:val="0"/>
          <w:marRight w:val="0"/>
          <w:marTop w:val="0"/>
          <w:marBottom w:val="0"/>
          <w:divBdr>
            <w:top w:val="none" w:sz="0" w:space="0" w:color="auto"/>
            <w:left w:val="none" w:sz="0" w:space="0" w:color="auto"/>
            <w:bottom w:val="none" w:sz="0" w:space="0" w:color="auto"/>
            <w:right w:val="none" w:sz="0" w:space="0" w:color="auto"/>
          </w:divBdr>
        </w:div>
        <w:div w:id="967932223">
          <w:marLeft w:val="0"/>
          <w:marRight w:val="0"/>
          <w:marTop w:val="0"/>
          <w:marBottom w:val="0"/>
          <w:divBdr>
            <w:top w:val="none" w:sz="0" w:space="0" w:color="auto"/>
            <w:left w:val="none" w:sz="0" w:space="0" w:color="auto"/>
            <w:bottom w:val="none" w:sz="0" w:space="0" w:color="auto"/>
            <w:right w:val="none" w:sz="0" w:space="0" w:color="auto"/>
          </w:divBdr>
        </w:div>
        <w:div w:id="976910426">
          <w:marLeft w:val="0"/>
          <w:marRight w:val="0"/>
          <w:marTop w:val="0"/>
          <w:marBottom w:val="0"/>
          <w:divBdr>
            <w:top w:val="none" w:sz="0" w:space="0" w:color="auto"/>
            <w:left w:val="none" w:sz="0" w:space="0" w:color="auto"/>
            <w:bottom w:val="none" w:sz="0" w:space="0" w:color="auto"/>
            <w:right w:val="none" w:sz="0" w:space="0" w:color="auto"/>
          </w:divBdr>
        </w:div>
        <w:div w:id="1217861148">
          <w:marLeft w:val="0"/>
          <w:marRight w:val="0"/>
          <w:marTop w:val="0"/>
          <w:marBottom w:val="0"/>
          <w:divBdr>
            <w:top w:val="none" w:sz="0" w:space="0" w:color="auto"/>
            <w:left w:val="none" w:sz="0" w:space="0" w:color="auto"/>
            <w:bottom w:val="none" w:sz="0" w:space="0" w:color="auto"/>
            <w:right w:val="none" w:sz="0" w:space="0" w:color="auto"/>
          </w:divBdr>
        </w:div>
        <w:div w:id="1497459601">
          <w:marLeft w:val="0"/>
          <w:marRight w:val="0"/>
          <w:marTop w:val="0"/>
          <w:marBottom w:val="0"/>
          <w:divBdr>
            <w:top w:val="none" w:sz="0" w:space="0" w:color="auto"/>
            <w:left w:val="none" w:sz="0" w:space="0" w:color="auto"/>
            <w:bottom w:val="none" w:sz="0" w:space="0" w:color="auto"/>
            <w:right w:val="none" w:sz="0" w:space="0" w:color="auto"/>
          </w:divBdr>
        </w:div>
        <w:div w:id="1921057159">
          <w:marLeft w:val="0"/>
          <w:marRight w:val="0"/>
          <w:marTop w:val="0"/>
          <w:marBottom w:val="0"/>
          <w:divBdr>
            <w:top w:val="none" w:sz="0" w:space="0" w:color="auto"/>
            <w:left w:val="none" w:sz="0" w:space="0" w:color="auto"/>
            <w:bottom w:val="none" w:sz="0" w:space="0" w:color="auto"/>
            <w:right w:val="none" w:sz="0" w:space="0" w:color="auto"/>
          </w:divBdr>
        </w:div>
        <w:div w:id="2075085629">
          <w:marLeft w:val="0"/>
          <w:marRight w:val="0"/>
          <w:marTop w:val="0"/>
          <w:marBottom w:val="0"/>
          <w:divBdr>
            <w:top w:val="none" w:sz="0" w:space="0" w:color="auto"/>
            <w:left w:val="none" w:sz="0" w:space="0" w:color="auto"/>
            <w:bottom w:val="none" w:sz="0" w:space="0" w:color="auto"/>
            <w:right w:val="none" w:sz="0" w:space="0" w:color="auto"/>
          </w:divBdr>
        </w:div>
      </w:divsChild>
    </w:div>
    <w:div w:id="1434327077">
      <w:bodyDiv w:val="1"/>
      <w:marLeft w:val="0"/>
      <w:marRight w:val="0"/>
      <w:marTop w:val="0"/>
      <w:marBottom w:val="0"/>
      <w:divBdr>
        <w:top w:val="none" w:sz="0" w:space="0" w:color="auto"/>
        <w:left w:val="none" w:sz="0" w:space="0" w:color="auto"/>
        <w:bottom w:val="none" w:sz="0" w:space="0" w:color="auto"/>
        <w:right w:val="none" w:sz="0" w:space="0" w:color="auto"/>
      </w:divBdr>
    </w:div>
    <w:div w:id="1482775695">
      <w:bodyDiv w:val="1"/>
      <w:marLeft w:val="0"/>
      <w:marRight w:val="0"/>
      <w:marTop w:val="0"/>
      <w:marBottom w:val="0"/>
      <w:divBdr>
        <w:top w:val="none" w:sz="0" w:space="0" w:color="auto"/>
        <w:left w:val="none" w:sz="0" w:space="0" w:color="auto"/>
        <w:bottom w:val="none" w:sz="0" w:space="0" w:color="auto"/>
        <w:right w:val="none" w:sz="0" w:space="0" w:color="auto"/>
      </w:divBdr>
      <w:divsChild>
        <w:div w:id="1625039260">
          <w:marLeft w:val="0"/>
          <w:marRight w:val="0"/>
          <w:marTop w:val="0"/>
          <w:marBottom w:val="0"/>
          <w:divBdr>
            <w:top w:val="none" w:sz="0" w:space="0" w:color="auto"/>
            <w:left w:val="none" w:sz="0" w:space="0" w:color="auto"/>
            <w:bottom w:val="none" w:sz="0" w:space="0" w:color="auto"/>
            <w:right w:val="none" w:sz="0" w:space="0" w:color="auto"/>
          </w:divBdr>
        </w:div>
        <w:div w:id="1956593284">
          <w:marLeft w:val="0"/>
          <w:marRight w:val="0"/>
          <w:marTop w:val="0"/>
          <w:marBottom w:val="0"/>
          <w:divBdr>
            <w:top w:val="none" w:sz="0" w:space="0" w:color="auto"/>
            <w:left w:val="none" w:sz="0" w:space="0" w:color="auto"/>
            <w:bottom w:val="none" w:sz="0" w:space="0" w:color="auto"/>
            <w:right w:val="none" w:sz="0" w:space="0" w:color="auto"/>
          </w:divBdr>
        </w:div>
      </w:divsChild>
    </w:div>
    <w:div w:id="1483502703">
      <w:bodyDiv w:val="1"/>
      <w:marLeft w:val="0"/>
      <w:marRight w:val="0"/>
      <w:marTop w:val="0"/>
      <w:marBottom w:val="0"/>
      <w:divBdr>
        <w:top w:val="none" w:sz="0" w:space="0" w:color="auto"/>
        <w:left w:val="none" w:sz="0" w:space="0" w:color="auto"/>
        <w:bottom w:val="none" w:sz="0" w:space="0" w:color="auto"/>
        <w:right w:val="none" w:sz="0" w:space="0" w:color="auto"/>
      </w:divBdr>
    </w:div>
    <w:div w:id="1508908079">
      <w:bodyDiv w:val="1"/>
      <w:marLeft w:val="0"/>
      <w:marRight w:val="0"/>
      <w:marTop w:val="0"/>
      <w:marBottom w:val="0"/>
      <w:divBdr>
        <w:top w:val="none" w:sz="0" w:space="0" w:color="auto"/>
        <w:left w:val="none" w:sz="0" w:space="0" w:color="auto"/>
        <w:bottom w:val="none" w:sz="0" w:space="0" w:color="auto"/>
        <w:right w:val="none" w:sz="0" w:space="0" w:color="auto"/>
      </w:divBdr>
    </w:div>
    <w:div w:id="1693065939">
      <w:bodyDiv w:val="1"/>
      <w:marLeft w:val="0"/>
      <w:marRight w:val="0"/>
      <w:marTop w:val="0"/>
      <w:marBottom w:val="0"/>
      <w:divBdr>
        <w:top w:val="none" w:sz="0" w:space="0" w:color="auto"/>
        <w:left w:val="none" w:sz="0" w:space="0" w:color="auto"/>
        <w:bottom w:val="none" w:sz="0" w:space="0" w:color="auto"/>
        <w:right w:val="none" w:sz="0" w:space="0" w:color="auto"/>
      </w:divBdr>
      <w:divsChild>
        <w:div w:id="2097593">
          <w:marLeft w:val="0"/>
          <w:marRight w:val="0"/>
          <w:marTop w:val="0"/>
          <w:marBottom w:val="0"/>
          <w:divBdr>
            <w:top w:val="none" w:sz="0" w:space="0" w:color="auto"/>
            <w:left w:val="none" w:sz="0" w:space="0" w:color="auto"/>
            <w:bottom w:val="none" w:sz="0" w:space="0" w:color="auto"/>
            <w:right w:val="none" w:sz="0" w:space="0" w:color="auto"/>
          </w:divBdr>
        </w:div>
        <w:div w:id="146628534">
          <w:marLeft w:val="0"/>
          <w:marRight w:val="0"/>
          <w:marTop w:val="0"/>
          <w:marBottom w:val="0"/>
          <w:divBdr>
            <w:top w:val="none" w:sz="0" w:space="0" w:color="auto"/>
            <w:left w:val="none" w:sz="0" w:space="0" w:color="auto"/>
            <w:bottom w:val="none" w:sz="0" w:space="0" w:color="auto"/>
            <w:right w:val="none" w:sz="0" w:space="0" w:color="auto"/>
          </w:divBdr>
        </w:div>
        <w:div w:id="160045865">
          <w:marLeft w:val="0"/>
          <w:marRight w:val="0"/>
          <w:marTop w:val="0"/>
          <w:marBottom w:val="0"/>
          <w:divBdr>
            <w:top w:val="none" w:sz="0" w:space="0" w:color="auto"/>
            <w:left w:val="none" w:sz="0" w:space="0" w:color="auto"/>
            <w:bottom w:val="none" w:sz="0" w:space="0" w:color="auto"/>
            <w:right w:val="none" w:sz="0" w:space="0" w:color="auto"/>
          </w:divBdr>
        </w:div>
        <w:div w:id="256715711">
          <w:marLeft w:val="0"/>
          <w:marRight w:val="0"/>
          <w:marTop w:val="0"/>
          <w:marBottom w:val="0"/>
          <w:divBdr>
            <w:top w:val="none" w:sz="0" w:space="0" w:color="auto"/>
            <w:left w:val="none" w:sz="0" w:space="0" w:color="auto"/>
            <w:bottom w:val="none" w:sz="0" w:space="0" w:color="auto"/>
            <w:right w:val="none" w:sz="0" w:space="0" w:color="auto"/>
          </w:divBdr>
        </w:div>
        <w:div w:id="349919249">
          <w:marLeft w:val="0"/>
          <w:marRight w:val="0"/>
          <w:marTop w:val="0"/>
          <w:marBottom w:val="0"/>
          <w:divBdr>
            <w:top w:val="none" w:sz="0" w:space="0" w:color="auto"/>
            <w:left w:val="none" w:sz="0" w:space="0" w:color="auto"/>
            <w:bottom w:val="none" w:sz="0" w:space="0" w:color="auto"/>
            <w:right w:val="none" w:sz="0" w:space="0" w:color="auto"/>
          </w:divBdr>
        </w:div>
        <w:div w:id="520048729">
          <w:marLeft w:val="0"/>
          <w:marRight w:val="0"/>
          <w:marTop w:val="0"/>
          <w:marBottom w:val="0"/>
          <w:divBdr>
            <w:top w:val="none" w:sz="0" w:space="0" w:color="auto"/>
            <w:left w:val="none" w:sz="0" w:space="0" w:color="auto"/>
            <w:bottom w:val="none" w:sz="0" w:space="0" w:color="auto"/>
            <w:right w:val="none" w:sz="0" w:space="0" w:color="auto"/>
          </w:divBdr>
        </w:div>
        <w:div w:id="539434609">
          <w:marLeft w:val="0"/>
          <w:marRight w:val="0"/>
          <w:marTop w:val="0"/>
          <w:marBottom w:val="0"/>
          <w:divBdr>
            <w:top w:val="none" w:sz="0" w:space="0" w:color="auto"/>
            <w:left w:val="none" w:sz="0" w:space="0" w:color="auto"/>
            <w:bottom w:val="none" w:sz="0" w:space="0" w:color="auto"/>
            <w:right w:val="none" w:sz="0" w:space="0" w:color="auto"/>
          </w:divBdr>
        </w:div>
        <w:div w:id="682362746">
          <w:marLeft w:val="0"/>
          <w:marRight w:val="0"/>
          <w:marTop w:val="0"/>
          <w:marBottom w:val="0"/>
          <w:divBdr>
            <w:top w:val="none" w:sz="0" w:space="0" w:color="auto"/>
            <w:left w:val="none" w:sz="0" w:space="0" w:color="auto"/>
            <w:bottom w:val="none" w:sz="0" w:space="0" w:color="auto"/>
            <w:right w:val="none" w:sz="0" w:space="0" w:color="auto"/>
          </w:divBdr>
        </w:div>
        <w:div w:id="845830877">
          <w:marLeft w:val="0"/>
          <w:marRight w:val="0"/>
          <w:marTop w:val="0"/>
          <w:marBottom w:val="0"/>
          <w:divBdr>
            <w:top w:val="none" w:sz="0" w:space="0" w:color="auto"/>
            <w:left w:val="none" w:sz="0" w:space="0" w:color="auto"/>
            <w:bottom w:val="none" w:sz="0" w:space="0" w:color="auto"/>
            <w:right w:val="none" w:sz="0" w:space="0" w:color="auto"/>
          </w:divBdr>
        </w:div>
        <w:div w:id="1318873930">
          <w:marLeft w:val="0"/>
          <w:marRight w:val="0"/>
          <w:marTop w:val="0"/>
          <w:marBottom w:val="0"/>
          <w:divBdr>
            <w:top w:val="none" w:sz="0" w:space="0" w:color="auto"/>
            <w:left w:val="none" w:sz="0" w:space="0" w:color="auto"/>
            <w:bottom w:val="none" w:sz="0" w:space="0" w:color="auto"/>
            <w:right w:val="none" w:sz="0" w:space="0" w:color="auto"/>
          </w:divBdr>
        </w:div>
        <w:div w:id="1460762676">
          <w:marLeft w:val="0"/>
          <w:marRight w:val="0"/>
          <w:marTop w:val="0"/>
          <w:marBottom w:val="0"/>
          <w:divBdr>
            <w:top w:val="none" w:sz="0" w:space="0" w:color="auto"/>
            <w:left w:val="none" w:sz="0" w:space="0" w:color="auto"/>
            <w:bottom w:val="none" w:sz="0" w:space="0" w:color="auto"/>
            <w:right w:val="none" w:sz="0" w:space="0" w:color="auto"/>
          </w:divBdr>
        </w:div>
        <w:div w:id="1606035944">
          <w:marLeft w:val="0"/>
          <w:marRight w:val="0"/>
          <w:marTop w:val="0"/>
          <w:marBottom w:val="0"/>
          <w:divBdr>
            <w:top w:val="none" w:sz="0" w:space="0" w:color="auto"/>
            <w:left w:val="none" w:sz="0" w:space="0" w:color="auto"/>
            <w:bottom w:val="none" w:sz="0" w:space="0" w:color="auto"/>
            <w:right w:val="none" w:sz="0" w:space="0" w:color="auto"/>
          </w:divBdr>
        </w:div>
        <w:div w:id="1669672004">
          <w:marLeft w:val="0"/>
          <w:marRight w:val="0"/>
          <w:marTop w:val="0"/>
          <w:marBottom w:val="0"/>
          <w:divBdr>
            <w:top w:val="none" w:sz="0" w:space="0" w:color="auto"/>
            <w:left w:val="none" w:sz="0" w:space="0" w:color="auto"/>
            <w:bottom w:val="none" w:sz="0" w:space="0" w:color="auto"/>
            <w:right w:val="none" w:sz="0" w:space="0" w:color="auto"/>
          </w:divBdr>
        </w:div>
      </w:divsChild>
    </w:div>
    <w:div w:id="1704087130">
      <w:bodyDiv w:val="1"/>
      <w:marLeft w:val="0"/>
      <w:marRight w:val="0"/>
      <w:marTop w:val="0"/>
      <w:marBottom w:val="0"/>
      <w:divBdr>
        <w:top w:val="none" w:sz="0" w:space="0" w:color="auto"/>
        <w:left w:val="none" w:sz="0" w:space="0" w:color="auto"/>
        <w:bottom w:val="none" w:sz="0" w:space="0" w:color="auto"/>
        <w:right w:val="none" w:sz="0" w:space="0" w:color="auto"/>
      </w:divBdr>
      <w:divsChild>
        <w:div w:id="4672080">
          <w:marLeft w:val="0"/>
          <w:marRight w:val="0"/>
          <w:marTop w:val="0"/>
          <w:marBottom w:val="0"/>
          <w:divBdr>
            <w:top w:val="none" w:sz="0" w:space="0" w:color="auto"/>
            <w:left w:val="none" w:sz="0" w:space="0" w:color="auto"/>
            <w:bottom w:val="none" w:sz="0" w:space="0" w:color="auto"/>
            <w:right w:val="none" w:sz="0" w:space="0" w:color="auto"/>
          </w:divBdr>
        </w:div>
        <w:div w:id="23292748">
          <w:marLeft w:val="0"/>
          <w:marRight w:val="0"/>
          <w:marTop w:val="0"/>
          <w:marBottom w:val="0"/>
          <w:divBdr>
            <w:top w:val="none" w:sz="0" w:space="0" w:color="auto"/>
            <w:left w:val="none" w:sz="0" w:space="0" w:color="auto"/>
            <w:bottom w:val="none" w:sz="0" w:space="0" w:color="auto"/>
            <w:right w:val="none" w:sz="0" w:space="0" w:color="auto"/>
          </w:divBdr>
        </w:div>
        <w:div w:id="369113765">
          <w:marLeft w:val="0"/>
          <w:marRight w:val="0"/>
          <w:marTop w:val="0"/>
          <w:marBottom w:val="0"/>
          <w:divBdr>
            <w:top w:val="none" w:sz="0" w:space="0" w:color="auto"/>
            <w:left w:val="none" w:sz="0" w:space="0" w:color="auto"/>
            <w:bottom w:val="none" w:sz="0" w:space="0" w:color="auto"/>
            <w:right w:val="none" w:sz="0" w:space="0" w:color="auto"/>
          </w:divBdr>
        </w:div>
        <w:div w:id="776485849">
          <w:marLeft w:val="0"/>
          <w:marRight w:val="0"/>
          <w:marTop w:val="0"/>
          <w:marBottom w:val="0"/>
          <w:divBdr>
            <w:top w:val="none" w:sz="0" w:space="0" w:color="auto"/>
            <w:left w:val="none" w:sz="0" w:space="0" w:color="auto"/>
            <w:bottom w:val="none" w:sz="0" w:space="0" w:color="auto"/>
            <w:right w:val="none" w:sz="0" w:space="0" w:color="auto"/>
          </w:divBdr>
        </w:div>
        <w:div w:id="1682926647">
          <w:marLeft w:val="0"/>
          <w:marRight w:val="0"/>
          <w:marTop w:val="0"/>
          <w:marBottom w:val="0"/>
          <w:divBdr>
            <w:top w:val="none" w:sz="0" w:space="0" w:color="auto"/>
            <w:left w:val="none" w:sz="0" w:space="0" w:color="auto"/>
            <w:bottom w:val="none" w:sz="0" w:space="0" w:color="auto"/>
            <w:right w:val="none" w:sz="0" w:space="0" w:color="auto"/>
          </w:divBdr>
        </w:div>
      </w:divsChild>
    </w:div>
    <w:div w:id="1864855135">
      <w:bodyDiv w:val="1"/>
      <w:marLeft w:val="0"/>
      <w:marRight w:val="0"/>
      <w:marTop w:val="0"/>
      <w:marBottom w:val="0"/>
      <w:divBdr>
        <w:top w:val="none" w:sz="0" w:space="0" w:color="auto"/>
        <w:left w:val="none" w:sz="0" w:space="0" w:color="auto"/>
        <w:bottom w:val="none" w:sz="0" w:space="0" w:color="auto"/>
        <w:right w:val="none" w:sz="0" w:space="0" w:color="auto"/>
      </w:divBdr>
      <w:divsChild>
        <w:div w:id="596789496">
          <w:marLeft w:val="0"/>
          <w:marRight w:val="0"/>
          <w:marTop w:val="0"/>
          <w:marBottom w:val="0"/>
          <w:divBdr>
            <w:top w:val="none" w:sz="0" w:space="0" w:color="auto"/>
            <w:left w:val="none" w:sz="0" w:space="0" w:color="auto"/>
            <w:bottom w:val="none" w:sz="0" w:space="0" w:color="auto"/>
            <w:right w:val="none" w:sz="0" w:space="0" w:color="auto"/>
          </w:divBdr>
        </w:div>
        <w:div w:id="1472016340">
          <w:marLeft w:val="0"/>
          <w:marRight w:val="0"/>
          <w:marTop w:val="0"/>
          <w:marBottom w:val="0"/>
          <w:divBdr>
            <w:top w:val="none" w:sz="0" w:space="0" w:color="auto"/>
            <w:left w:val="none" w:sz="0" w:space="0" w:color="auto"/>
            <w:bottom w:val="none" w:sz="0" w:space="0" w:color="auto"/>
            <w:right w:val="none" w:sz="0" w:space="0" w:color="auto"/>
          </w:divBdr>
        </w:div>
        <w:div w:id="1578251223">
          <w:marLeft w:val="0"/>
          <w:marRight w:val="0"/>
          <w:marTop w:val="0"/>
          <w:marBottom w:val="0"/>
          <w:divBdr>
            <w:top w:val="none" w:sz="0" w:space="0" w:color="auto"/>
            <w:left w:val="none" w:sz="0" w:space="0" w:color="auto"/>
            <w:bottom w:val="none" w:sz="0" w:space="0" w:color="auto"/>
            <w:right w:val="none" w:sz="0" w:space="0" w:color="auto"/>
          </w:divBdr>
        </w:div>
        <w:div w:id="1657764505">
          <w:marLeft w:val="0"/>
          <w:marRight w:val="0"/>
          <w:marTop w:val="0"/>
          <w:marBottom w:val="0"/>
          <w:divBdr>
            <w:top w:val="none" w:sz="0" w:space="0" w:color="auto"/>
            <w:left w:val="none" w:sz="0" w:space="0" w:color="auto"/>
            <w:bottom w:val="none" w:sz="0" w:space="0" w:color="auto"/>
            <w:right w:val="none" w:sz="0" w:space="0" w:color="auto"/>
          </w:divBdr>
        </w:div>
        <w:div w:id="1684167587">
          <w:marLeft w:val="0"/>
          <w:marRight w:val="0"/>
          <w:marTop w:val="0"/>
          <w:marBottom w:val="0"/>
          <w:divBdr>
            <w:top w:val="none" w:sz="0" w:space="0" w:color="auto"/>
            <w:left w:val="none" w:sz="0" w:space="0" w:color="auto"/>
            <w:bottom w:val="none" w:sz="0" w:space="0" w:color="auto"/>
            <w:right w:val="none" w:sz="0" w:space="0" w:color="auto"/>
          </w:divBdr>
        </w:div>
        <w:div w:id="1770345630">
          <w:marLeft w:val="0"/>
          <w:marRight w:val="0"/>
          <w:marTop w:val="0"/>
          <w:marBottom w:val="0"/>
          <w:divBdr>
            <w:top w:val="none" w:sz="0" w:space="0" w:color="auto"/>
            <w:left w:val="none" w:sz="0" w:space="0" w:color="auto"/>
            <w:bottom w:val="none" w:sz="0" w:space="0" w:color="auto"/>
            <w:right w:val="none" w:sz="0" w:space="0" w:color="auto"/>
          </w:divBdr>
        </w:div>
        <w:div w:id="1907184288">
          <w:marLeft w:val="0"/>
          <w:marRight w:val="0"/>
          <w:marTop w:val="0"/>
          <w:marBottom w:val="0"/>
          <w:divBdr>
            <w:top w:val="none" w:sz="0" w:space="0" w:color="auto"/>
            <w:left w:val="none" w:sz="0" w:space="0" w:color="auto"/>
            <w:bottom w:val="none" w:sz="0" w:space="0" w:color="auto"/>
            <w:right w:val="none" w:sz="0" w:space="0" w:color="auto"/>
          </w:divBdr>
        </w:div>
        <w:div w:id="2043430726">
          <w:marLeft w:val="0"/>
          <w:marRight w:val="0"/>
          <w:marTop w:val="0"/>
          <w:marBottom w:val="0"/>
          <w:divBdr>
            <w:top w:val="none" w:sz="0" w:space="0" w:color="auto"/>
            <w:left w:val="none" w:sz="0" w:space="0" w:color="auto"/>
            <w:bottom w:val="none" w:sz="0" w:space="0" w:color="auto"/>
            <w:right w:val="none" w:sz="0" w:space="0" w:color="auto"/>
          </w:divBdr>
        </w:div>
      </w:divsChild>
    </w:div>
    <w:div w:id="1889223648">
      <w:bodyDiv w:val="1"/>
      <w:marLeft w:val="0"/>
      <w:marRight w:val="0"/>
      <w:marTop w:val="0"/>
      <w:marBottom w:val="0"/>
      <w:divBdr>
        <w:top w:val="none" w:sz="0" w:space="0" w:color="auto"/>
        <w:left w:val="none" w:sz="0" w:space="0" w:color="auto"/>
        <w:bottom w:val="none" w:sz="0" w:space="0" w:color="auto"/>
        <w:right w:val="none" w:sz="0" w:space="0" w:color="auto"/>
      </w:divBdr>
    </w:div>
    <w:div w:id="1906407514">
      <w:bodyDiv w:val="1"/>
      <w:marLeft w:val="0"/>
      <w:marRight w:val="0"/>
      <w:marTop w:val="0"/>
      <w:marBottom w:val="0"/>
      <w:divBdr>
        <w:top w:val="none" w:sz="0" w:space="0" w:color="auto"/>
        <w:left w:val="none" w:sz="0" w:space="0" w:color="auto"/>
        <w:bottom w:val="none" w:sz="0" w:space="0" w:color="auto"/>
        <w:right w:val="none" w:sz="0" w:space="0" w:color="auto"/>
      </w:divBdr>
    </w:div>
    <w:div w:id="1916624879">
      <w:bodyDiv w:val="1"/>
      <w:marLeft w:val="0"/>
      <w:marRight w:val="0"/>
      <w:marTop w:val="0"/>
      <w:marBottom w:val="0"/>
      <w:divBdr>
        <w:top w:val="none" w:sz="0" w:space="0" w:color="auto"/>
        <w:left w:val="none" w:sz="0" w:space="0" w:color="auto"/>
        <w:bottom w:val="none" w:sz="0" w:space="0" w:color="auto"/>
        <w:right w:val="none" w:sz="0" w:space="0" w:color="auto"/>
      </w:divBdr>
      <w:divsChild>
        <w:div w:id="175584706">
          <w:marLeft w:val="0"/>
          <w:marRight w:val="0"/>
          <w:marTop w:val="0"/>
          <w:marBottom w:val="0"/>
          <w:divBdr>
            <w:top w:val="none" w:sz="0" w:space="0" w:color="auto"/>
            <w:left w:val="none" w:sz="0" w:space="0" w:color="auto"/>
            <w:bottom w:val="none" w:sz="0" w:space="0" w:color="auto"/>
            <w:right w:val="none" w:sz="0" w:space="0" w:color="auto"/>
          </w:divBdr>
        </w:div>
        <w:div w:id="192307616">
          <w:marLeft w:val="0"/>
          <w:marRight w:val="0"/>
          <w:marTop w:val="0"/>
          <w:marBottom w:val="0"/>
          <w:divBdr>
            <w:top w:val="none" w:sz="0" w:space="0" w:color="auto"/>
            <w:left w:val="none" w:sz="0" w:space="0" w:color="auto"/>
            <w:bottom w:val="none" w:sz="0" w:space="0" w:color="auto"/>
            <w:right w:val="none" w:sz="0" w:space="0" w:color="auto"/>
          </w:divBdr>
        </w:div>
        <w:div w:id="196045882">
          <w:marLeft w:val="0"/>
          <w:marRight w:val="0"/>
          <w:marTop w:val="0"/>
          <w:marBottom w:val="0"/>
          <w:divBdr>
            <w:top w:val="none" w:sz="0" w:space="0" w:color="auto"/>
            <w:left w:val="none" w:sz="0" w:space="0" w:color="auto"/>
            <w:bottom w:val="none" w:sz="0" w:space="0" w:color="auto"/>
            <w:right w:val="none" w:sz="0" w:space="0" w:color="auto"/>
          </w:divBdr>
        </w:div>
        <w:div w:id="320551233">
          <w:marLeft w:val="0"/>
          <w:marRight w:val="0"/>
          <w:marTop w:val="0"/>
          <w:marBottom w:val="0"/>
          <w:divBdr>
            <w:top w:val="none" w:sz="0" w:space="0" w:color="auto"/>
            <w:left w:val="none" w:sz="0" w:space="0" w:color="auto"/>
            <w:bottom w:val="none" w:sz="0" w:space="0" w:color="auto"/>
            <w:right w:val="none" w:sz="0" w:space="0" w:color="auto"/>
          </w:divBdr>
        </w:div>
        <w:div w:id="322857492">
          <w:marLeft w:val="0"/>
          <w:marRight w:val="0"/>
          <w:marTop w:val="0"/>
          <w:marBottom w:val="0"/>
          <w:divBdr>
            <w:top w:val="none" w:sz="0" w:space="0" w:color="auto"/>
            <w:left w:val="none" w:sz="0" w:space="0" w:color="auto"/>
            <w:bottom w:val="none" w:sz="0" w:space="0" w:color="auto"/>
            <w:right w:val="none" w:sz="0" w:space="0" w:color="auto"/>
          </w:divBdr>
        </w:div>
        <w:div w:id="429156626">
          <w:marLeft w:val="0"/>
          <w:marRight w:val="0"/>
          <w:marTop w:val="0"/>
          <w:marBottom w:val="0"/>
          <w:divBdr>
            <w:top w:val="none" w:sz="0" w:space="0" w:color="auto"/>
            <w:left w:val="none" w:sz="0" w:space="0" w:color="auto"/>
            <w:bottom w:val="none" w:sz="0" w:space="0" w:color="auto"/>
            <w:right w:val="none" w:sz="0" w:space="0" w:color="auto"/>
          </w:divBdr>
        </w:div>
        <w:div w:id="503476367">
          <w:marLeft w:val="0"/>
          <w:marRight w:val="0"/>
          <w:marTop w:val="0"/>
          <w:marBottom w:val="0"/>
          <w:divBdr>
            <w:top w:val="none" w:sz="0" w:space="0" w:color="auto"/>
            <w:left w:val="none" w:sz="0" w:space="0" w:color="auto"/>
            <w:bottom w:val="none" w:sz="0" w:space="0" w:color="auto"/>
            <w:right w:val="none" w:sz="0" w:space="0" w:color="auto"/>
          </w:divBdr>
        </w:div>
        <w:div w:id="645819917">
          <w:marLeft w:val="0"/>
          <w:marRight w:val="0"/>
          <w:marTop w:val="0"/>
          <w:marBottom w:val="0"/>
          <w:divBdr>
            <w:top w:val="none" w:sz="0" w:space="0" w:color="auto"/>
            <w:left w:val="none" w:sz="0" w:space="0" w:color="auto"/>
            <w:bottom w:val="none" w:sz="0" w:space="0" w:color="auto"/>
            <w:right w:val="none" w:sz="0" w:space="0" w:color="auto"/>
          </w:divBdr>
        </w:div>
        <w:div w:id="1051003428">
          <w:marLeft w:val="0"/>
          <w:marRight w:val="0"/>
          <w:marTop w:val="0"/>
          <w:marBottom w:val="0"/>
          <w:divBdr>
            <w:top w:val="none" w:sz="0" w:space="0" w:color="auto"/>
            <w:left w:val="none" w:sz="0" w:space="0" w:color="auto"/>
            <w:bottom w:val="none" w:sz="0" w:space="0" w:color="auto"/>
            <w:right w:val="none" w:sz="0" w:space="0" w:color="auto"/>
          </w:divBdr>
        </w:div>
        <w:div w:id="1074931046">
          <w:marLeft w:val="0"/>
          <w:marRight w:val="0"/>
          <w:marTop w:val="0"/>
          <w:marBottom w:val="0"/>
          <w:divBdr>
            <w:top w:val="none" w:sz="0" w:space="0" w:color="auto"/>
            <w:left w:val="none" w:sz="0" w:space="0" w:color="auto"/>
            <w:bottom w:val="none" w:sz="0" w:space="0" w:color="auto"/>
            <w:right w:val="none" w:sz="0" w:space="0" w:color="auto"/>
          </w:divBdr>
        </w:div>
        <w:div w:id="1206672855">
          <w:marLeft w:val="0"/>
          <w:marRight w:val="0"/>
          <w:marTop w:val="0"/>
          <w:marBottom w:val="0"/>
          <w:divBdr>
            <w:top w:val="none" w:sz="0" w:space="0" w:color="auto"/>
            <w:left w:val="none" w:sz="0" w:space="0" w:color="auto"/>
            <w:bottom w:val="none" w:sz="0" w:space="0" w:color="auto"/>
            <w:right w:val="none" w:sz="0" w:space="0" w:color="auto"/>
          </w:divBdr>
        </w:div>
        <w:div w:id="1241595174">
          <w:marLeft w:val="0"/>
          <w:marRight w:val="0"/>
          <w:marTop w:val="0"/>
          <w:marBottom w:val="0"/>
          <w:divBdr>
            <w:top w:val="none" w:sz="0" w:space="0" w:color="auto"/>
            <w:left w:val="none" w:sz="0" w:space="0" w:color="auto"/>
            <w:bottom w:val="none" w:sz="0" w:space="0" w:color="auto"/>
            <w:right w:val="none" w:sz="0" w:space="0" w:color="auto"/>
          </w:divBdr>
        </w:div>
        <w:div w:id="1314868913">
          <w:marLeft w:val="0"/>
          <w:marRight w:val="0"/>
          <w:marTop w:val="0"/>
          <w:marBottom w:val="0"/>
          <w:divBdr>
            <w:top w:val="none" w:sz="0" w:space="0" w:color="auto"/>
            <w:left w:val="none" w:sz="0" w:space="0" w:color="auto"/>
            <w:bottom w:val="none" w:sz="0" w:space="0" w:color="auto"/>
            <w:right w:val="none" w:sz="0" w:space="0" w:color="auto"/>
          </w:divBdr>
        </w:div>
        <w:div w:id="1421564065">
          <w:marLeft w:val="0"/>
          <w:marRight w:val="0"/>
          <w:marTop w:val="0"/>
          <w:marBottom w:val="0"/>
          <w:divBdr>
            <w:top w:val="none" w:sz="0" w:space="0" w:color="auto"/>
            <w:left w:val="none" w:sz="0" w:space="0" w:color="auto"/>
            <w:bottom w:val="none" w:sz="0" w:space="0" w:color="auto"/>
            <w:right w:val="none" w:sz="0" w:space="0" w:color="auto"/>
          </w:divBdr>
        </w:div>
        <w:div w:id="1520925376">
          <w:marLeft w:val="0"/>
          <w:marRight w:val="0"/>
          <w:marTop w:val="0"/>
          <w:marBottom w:val="0"/>
          <w:divBdr>
            <w:top w:val="none" w:sz="0" w:space="0" w:color="auto"/>
            <w:left w:val="none" w:sz="0" w:space="0" w:color="auto"/>
            <w:bottom w:val="none" w:sz="0" w:space="0" w:color="auto"/>
            <w:right w:val="none" w:sz="0" w:space="0" w:color="auto"/>
          </w:divBdr>
        </w:div>
        <w:div w:id="1886330191">
          <w:marLeft w:val="0"/>
          <w:marRight w:val="0"/>
          <w:marTop w:val="0"/>
          <w:marBottom w:val="0"/>
          <w:divBdr>
            <w:top w:val="none" w:sz="0" w:space="0" w:color="auto"/>
            <w:left w:val="none" w:sz="0" w:space="0" w:color="auto"/>
            <w:bottom w:val="none" w:sz="0" w:space="0" w:color="auto"/>
            <w:right w:val="none" w:sz="0" w:space="0" w:color="auto"/>
          </w:divBdr>
        </w:div>
        <w:div w:id="1901163687">
          <w:marLeft w:val="0"/>
          <w:marRight w:val="0"/>
          <w:marTop w:val="0"/>
          <w:marBottom w:val="0"/>
          <w:divBdr>
            <w:top w:val="none" w:sz="0" w:space="0" w:color="auto"/>
            <w:left w:val="none" w:sz="0" w:space="0" w:color="auto"/>
            <w:bottom w:val="none" w:sz="0" w:space="0" w:color="auto"/>
            <w:right w:val="none" w:sz="0" w:space="0" w:color="auto"/>
          </w:divBdr>
        </w:div>
        <w:div w:id="1968513012">
          <w:marLeft w:val="0"/>
          <w:marRight w:val="0"/>
          <w:marTop w:val="0"/>
          <w:marBottom w:val="0"/>
          <w:divBdr>
            <w:top w:val="none" w:sz="0" w:space="0" w:color="auto"/>
            <w:left w:val="none" w:sz="0" w:space="0" w:color="auto"/>
            <w:bottom w:val="none" w:sz="0" w:space="0" w:color="auto"/>
            <w:right w:val="none" w:sz="0" w:space="0" w:color="auto"/>
          </w:divBdr>
        </w:div>
        <w:div w:id="2067534038">
          <w:marLeft w:val="0"/>
          <w:marRight w:val="0"/>
          <w:marTop w:val="0"/>
          <w:marBottom w:val="0"/>
          <w:divBdr>
            <w:top w:val="none" w:sz="0" w:space="0" w:color="auto"/>
            <w:left w:val="none" w:sz="0" w:space="0" w:color="auto"/>
            <w:bottom w:val="none" w:sz="0" w:space="0" w:color="auto"/>
            <w:right w:val="none" w:sz="0" w:space="0" w:color="auto"/>
          </w:divBdr>
        </w:div>
      </w:divsChild>
    </w:div>
    <w:div w:id="1925338014">
      <w:bodyDiv w:val="1"/>
      <w:marLeft w:val="0"/>
      <w:marRight w:val="0"/>
      <w:marTop w:val="0"/>
      <w:marBottom w:val="0"/>
      <w:divBdr>
        <w:top w:val="none" w:sz="0" w:space="0" w:color="auto"/>
        <w:left w:val="none" w:sz="0" w:space="0" w:color="auto"/>
        <w:bottom w:val="none" w:sz="0" w:space="0" w:color="auto"/>
        <w:right w:val="none" w:sz="0" w:space="0" w:color="auto"/>
      </w:divBdr>
    </w:div>
    <w:div w:id="1928882930">
      <w:bodyDiv w:val="1"/>
      <w:marLeft w:val="0"/>
      <w:marRight w:val="0"/>
      <w:marTop w:val="0"/>
      <w:marBottom w:val="0"/>
      <w:divBdr>
        <w:top w:val="none" w:sz="0" w:space="0" w:color="auto"/>
        <w:left w:val="none" w:sz="0" w:space="0" w:color="auto"/>
        <w:bottom w:val="none" w:sz="0" w:space="0" w:color="auto"/>
        <w:right w:val="none" w:sz="0" w:space="0" w:color="auto"/>
      </w:divBdr>
      <w:divsChild>
        <w:div w:id="88742526">
          <w:marLeft w:val="0"/>
          <w:marRight w:val="0"/>
          <w:marTop w:val="0"/>
          <w:marBottom w:val="0"/>
          <w:divBdr>
            <w:top w:val="none" w:sz="0" w:space="0" w:color="auto"/>
            <w:left w:val="none" w:sz="0" w:space="0" w:color="auto"/>
            <w:bottom w:val="none" w:sz="0" w:space="0" w:color="auto"/>
            <w:right w:val="none" w:sz="0" w:space="0" w:color="auto"/>
          </w:divBdr>
        </w:div>
        <w:div w:id="199175291">
          <w:marLeft w:val="0"/>
          <w:marRight w:val="0"/>
          <w:marTop w:val="0"/>
          <w:marBottom w:val="0"/>
          <w:divBdr>
            <w:top w:val="none" w:sz="0" w:space="0" w:color="auto"/>
            <w:left w:val="none" w:sz="0" w:space="0" w:color="auto"/>
            <w:bottom w:val="none" w:sz="0" w:space="0" w:color="auto"/>
            <w:right w:val="none" w:sz="0" w:space="0" w:color="auto"/>
          </w:divBdr>
        </w:div>
        <w:div w:id="288173804">
          <w:marLeft w:val="0"/>
          <w:marRight w:val="0"/>
          <w:marTop w:val="0"/>
          <w:marBottom w:val="0"/>
          <w:divBdr>
            <w:top w:val="none" w:sz="0" w:space="0" w:color="auto"/>
            <w:left w:val="none" w:sz="0" w:space="0" w:color="auto"/>
            <w:bottom w:val="none" w:sz="0" w:space="0" w:color="auto"/>
            <w:right w:val="none" w:sz="0" w:space="0" w:color="auto"/>
          </w:divBdr>
        </w:div>
        <w:div w:id="610363262">
          <w:marLeft w:val="0"/>
          <w:marRight w:val="0"/>
          <w:marTop w:val="0"/>
          <w:marBottom w:val="0"/>
          <w:divBdr>
            <w:top w:val="none" w:sz="0" w:space="0" w:color="auto"/>
            <w:left w:val="none" w:sz="0" w:space="0" w:color="auto"/>
            <w:bottom w:val="none" w:sz="0" w:space="0" w:color="auto"/>
            <w:right w:val="none" w:sz="0" w:space="0" w:color="auto"/>
          </w:divBdr>
        </w:div>
        <w:div w:id="1821574218">
          <w:marLeft w:val="0"/>
          <w:marRight w:val="0"/>
          <w:marTop w:val="0"/>
          <w:marBottom w:val="0"/>
          <w:divBdr>
            <w:top w:val="none" w:sz="0" w:space="0" w:color="auto"/>
            <w:left w:val="none" w:sz="0" w:space="0" w:color="auto"/>
            <w:bottom w:val="none" w:sz="0" w:space="0" w:color="auto"/>
            <w:right w:val="none" w:sz="0" w:space="0" w:color="auto"/>
          </w:divBdr>
        </w:div>
      </w:divsChild>
    </w:div>
    <w:div w:id="1997417334">
      <w:bodyDiv w:val="1"/>
      <w:marLeft w:val="0"/>
      <w:marRight w:val="0"/>
      <w:marTop w:val="0"/>
      <w:marBottom w:val="0"/>
      <w:divBdr>
        <w:top w:val="none" w:sz="0" w:space="0" w:color="auto"/>
        <w:left w:val="none" w:sz="0" w:space="0" w:color="auto"/>
        <w:bottom w:val="none" w:sz="0" w:space="0" w:color="auto"/>
        <w:right w:val="none" w:sz="0" w:space="0" w:color="auto"/>
      </w:divBdr>
    </w:div>
    <w:div w:id="2030325431">
      <w:bodyDiv w:val="1"/>
      <w:marLeft w:val="0"/>
      <w:marRight w:val="0"/>
      <w:marTop w:val="0"/>
      <w:marBottom w:val="0"/>
      <w:divBdr>
        <w:top w:val="none" w:sz="0" w:space="0" w:color="auto"/>
        <w:left w:val="none" w:sz="0" w:space="0" w:color="auto"/>
        <w:bottom w:val="none" w:sz="0" w:space="0" w:color="auto"/>
        <w:right w:val="none" w:sz="0" w:space="0" w:color="auto"/>
      </w:divBdr>
      <w:divsChild>
        <w:div w:id="1562641184">
          <w:marLeft w:val="0"/>
          <w:marRight w:val="0"/>
          <w:marTop w:val="0"/>
          <w:marBottom w:val="0"/>
          <w:divBdr>
            <w:top w:val="none" w:sz="0" w:space="0" w:color="auto"/>
            <w:left w:val="none" w:sz="0" w:space="0" w:color="auto"/>
            <w:bottom w:val="none" w:sz="0" w:space="0" w:color="auto"/>
            <w:right w:val="none" w:sz="0" w:space="0" w:color="auto"/>
          </w:divBdr>
          <w:divsChild>
            <w:div w:id="346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340">
      <w:bodyDiv w:val="1"/>
      <w:marLeft w:val="0"/>
      <w:marRight w:val="0"/>
      <w:marTop w:val="0"/>
      <w:marBottom w:val="0"/>
      <w:divBdr>
        <w:top w:val="none" w:sz="0" w:space="0" w:color="auto"/>
        <w:left w:val="none" w:sz="0" w:space="0" w:color="auto"/>
        <w:bottom w:val="none" w:sz="0" w:space="0" w:color="auto"/>
        <w:right w:val="none" w:sz="0" w:space="0" w:color="auto"/>
      </w:divBdr>
    </w:div>
    <w:div w:id="2055348769">
      <w:bodyDiv w:val="1"/>
      <w:marLeft w:val="0"/>
      <w:marRight w:val="0"/>
      <w:marTop w:val="0"/>
      <w:marBottom w:val="0"/>
      <w:divBdr>
        <w:top w:val="none" w:sz="0" w:space="0" w:color="auto"/>
        <w:left w:val="none" w:sz="0" w:space="0" w:color="auto"/>
        <w:bottom w:val="none" w:sz="0" w:space="0" w:color="auto"/>
        <w:right w:val="none" w:sz="0" w:space="0" w:color="auto"/>
      </w:divBdr>
    </w:div>
    <w:div w:id="2070424169">
      <w:bodyDiv w:val="1"/>
      <w:marLeft w:val="0"/>
      <w:marRight w:val="0"/>
      <w:marTop w:val="0"/>
      <w:marBottom w:val="0"/>
      <w:divBdr>
        <w:top w:val="none" w:sz="0" w:space="0" w:color="auto"/>
        <w:left w:val="none" w:sz="0" w:space="0" w:color="auto"/>
        <w:bottom w:val="none" w:sz="0" w:space="0" w:color="auto"/>
        <w:right w:val="none" w:sz="0" w:space="0" w:color="auto"/>
      </w:divBdr>
    </w:div>
    <w:div w:id="21252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43B0-AF2C-448C-A445-072BBC16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22</TotalTime>
  <Pages>20</Pages>
  <Words>9193</Words>
  <Characters>52405</Characters>
  <Application>Microsoft Office Word</Application>
  <DocSecurity>0</DocSecurity>
  <Lines>436</Lines>
  <Paragraphs>122</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De_La_Cruz</dc:creator>
  <cp:keywords/>
  <dc:description/>
  <cp:lastModifiedBy>Fiona Marshall</cp:lastModifiedBy>
  <cp:revision>4</cp:revision>
  <cp:lastPrinted>2018-11-06T16:32:00Z</cp:lastPrinted>
  <dcterms:created xsi:type="dcterms:W3CDTF">2020-09-01T14:56:00Z</dcterms:created>
  <dcterms:modified xsi:type="dcterms:W3CDTF">2020-09-01T15:17:00Z</dcterms:modified>
</cp:coreProperties>
</file>