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6D168D1" w14:textId="77777777" w:rsidTr="00B20551">
        <w:trPr>
          <w:cantSplit/>
          <w:trHeight w:hRule="exact" w:val="851"/>
        </w:trPr>
        <w:tc>
          <w:tcPr>
            <w:tcW w:w="1276" w:type="dxa"/>
            <w:tcBorders>
              <w:bottom w:val="single" w:sz="4" w:space="0" w:color="auto"/>
            </w:tcBorders>
            <w:vAlign w:val="bottom"/>
          </w:tcPr>
          <w:p w14:paraId="3E59A5F1" w14:textId="77777777" w:rsidR="009E6CB7" w:rsidRDefault="009E6CB7" w:rsidP="00B20551">
            <w:pPr>
              <w:spacing w:after="80"/>
            </w:pPr>
          </w:p>
        </w:tc>
        <w:tc>
          <w:tcPr>
            <w:tcW w:w="2268" w:type="dxa"/>
            <w:tcBorders>
              <w:bottom w:val="single" w:sz="4" w:space="0" w:color="auto"/>
            </w:tcBorders>
            <w:vAlign w:val="bottom"/>
          </w:tcPr>
          <w:p w14:paraId="103FF103"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00DA722" w14:textId="77777777" w:rsidR="009E6CB7" w:rsidRPr="00D47EEA" w:rsidRDefault="003558BF" w:rsidP="003558BF">
            <w:pPr>
              <w:jc w:val="right"/>
            </w:pPr>
            <w:r w:rsidRPr="003558BF">
              <w:rPr>
                <w:sz w:val="40"/>
              </w:rPr>
              <w:t>ECE</w:t>
            </w:r>
            <w:r>
              <w:t>/MP.EIA/WG.2/2019/</w:t>
            </w:r>
            <w:r w:rsidR="00CA3543">
              <w:t>6</w:t>
            </w:r>
          </w:p>
        </w:tc>
      </w:tr>
      <w:tr w:rsidR="009E6CB7" w14:paraId="2F0A9926" w14:textId="77777777" w:rsidTr="00B20551">
        <w:trPr>
          <w:cantSplit/>
          <w:trHeight w:hRule="exact" w:val="2835"/>
        </w:trPr>
        <w:tc>
          <w:tcPr>
            <w:tcW w:w="1276" w:type="dxa"/>
            <w:tcBorders>
              <w:top w:val="single" w:sz="4" w:space="0" w:color="auto"/>
              <w:bottom w:val="single" w:sz="12" w:space="0" w:color="auto"/>
            </w:tcBorders>
          </w:tcPr>
          <w:p w14:paraId="4AAEECDF" w14:textId="77777777" w:rsidR="009E6CB7" w:rsidRDefault="00686A48" w:rsidP="00B20551">
            <w:pPr>
              <w:spacing w:before="120"/>
            </w:pPr>
            <w:r>
              <w:rPr>
                <w:noProof/>
                <w:lang w:val="en-US" w:eastAsia="zh-CN"/>
              </w:rPr>
              <w:drawing>
                <wp:inline distT="0" distB="0" distL="0" distR="0" wp14:anchorId="1B4912BF" wp14:editId="5D60DE3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3C2116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722C049" w14:textId="77777777" w:rsidR="009E6CB7" w:rsidRDefault="003558BF" w:rsidP="003558BF">
            <w:pPr>
              <w:spacing w:before="240" w:line="240" w:lineRule="exact"/>
            </w:pPr>
            <w:r>
              <w:t>Distr.: General</w:t>
            </w:r>
          </w:p>
          <w:p w14:paraId="4B3793E0" w14:textId="248EAA73" w:rsidR="003558BF" w:rsidRDefault="00286ACD" w:rsidP="003558BF">
            <w:pPr>
              <w:spacing w:line="240" w:lineRule="exact"/>
            </w:pPr>
            <w:r>
              <w:t>1</w:t>
            </w:r>
            <w:r w:rsidR="00AC5870">
              <w:t>8</w:t>
            </w:r>
            <w:r w:rsidR="003558BF">
              <w:t xml:space="preserve"> </w:t>
            </w:r>
            <w:r w:rsidR="00AC5870">
              <w:t>Nov</w:t>
            </w:r>
            <w:r w:rsidR="001646B4">
              <w:t>ember</w:t>
            </w:r>
            <w:r w:rsidR="003558BF">
              <w:t xml:space="preserve"> 2019</w:t>
            </w:r>
          </w:p>
          <w:p w14:paraId="2E30CCAC" w14:textId="77777777" w:rsidR="003558BF" w:rsidRDefault="003558BF" w:rsidP="003558BF">
            <w:pPr>
              <w:spacing w:line="240" w:lineRule="exact"/>
            </w:pPr>
          </w:p>
          <w:p w14:paraId="2128A33A" w14:textId="77777777" w:rsidR="003558BF" w:rsidRDefault="003558BF" w:rsidP="003558BF">
            <w:pPr>
              <w:spacing w:line="240" w:lineRule="exact"/>
            </w:pPr>
            <w:r>
              <w:t>Original: English</w:t>
            </w:r>
          </w:p>
        </w:tc>
      </w:tr>
    </w:tbl>
    <w:p w14:paraId="44A21FAB" w14:textId="77777777" w:rsidR="0054622F" w:rsidRPr="00136A88" w:rsidRDefault="0054622F" w:rsidP="0094684F">
      <w:pPr>
        <w:spacing w:before="120"/>
        <w:rPr>
          <w:b/>
          <w:sz w:val="28"/>
          <w:szCs w:val="28"/>
        </w:rPr>
      </w:pPr>
      <w:r w:rsidRPr="00136A88">
        <w:rPr>
          <w:b/>
          <w:sz w:val="28"/>
          <w:szCs w:val="28"/>
        </w:rPr>
        <w:t>Economic Commission for Europe</w:t>
      </w:r>
    </w:p>
    <w:p w14:paraId="1AA5CD4C" w14:textId="77777777" w:rsidR="0054622F" w:rsidRPr="00136A88" w:rsidRDefault="0054622F" w:rsidP="0094684F">
      <w:pPr>
        <w:spacing w:before="120"/>
        <w:rPr>
          <w:bCs/>
          <w:sz w:val="24"/>
          <w:szCs w:val="24"/>
        </w:rPr>
      </w:pPr>
      <w:r w:rsidRPr="00136A88">
        <w:rPr>
          <w:bCs/>
          <w:sz w:val="24"/>
          <w:szCs w:val="24"/>
        </w:rPr>
        <w:t xml:space="preserve">Meeting of the Parties to the Convention </w:t>
      </w:r>
      <w:r w:rsidRPr="00136A88">
        <w:rPr>
          <w:bCs/>
          <w:sz w:val="24"/>
          <w:szCs w:val="24"/>
        </w:rPr>
        <w:br/>
        <w:t xml:space="preserve">on Environmental Impact Assessment </w:t>
      </w:r>
      <w:r w:rsidRPr="00136A88">
        <w:rPr>
          <w:bCs/>
          <w:sz w:val="24"/>
          <w:szCs w:val="24"/>
        </w:rPr>
        <w:br/>
        <w:t>in a Transboundary Context</w:t>
      </w:r>
      <w:bookmarkStart w:id="0" w:name="_GoBack"/>
      <w:bookmarkEnd w:id="0"/>
    </w:p>
    <w:p w14:paraId="65C19ED8" w14:textId="77777777" w:rsidR="0054622F" w:rsidRPr="00136A88" w:rsidRDefault="0054622F" w:rsidP="0094684F">
      <w:pPr>
        <w:autoSpaceDE w:val="0"/>
        <w:autoSpaceDN w:val="0"/>
        <w:adjustRightInd w:val="0"/>
        <w:spacing w:before="120"/>
        <w:rPr>
          <w:sz w:val="24"/>
          <w:szCs w:val="24"/>
        </w:rPr>
      </w:pPr>
      <w:r w:rsidRPr="00136A88">
        <w:rPr>
          <w:sz w:val="24"/>
          <w:szCs w:val="24"/>
        </w:rPr>
        <w:t xml:space="preserve">Meeting of the Parties to the Convention </w:t>
      </w:r>
      <w:r w:rsidRPr="00136A88">
        <w:rPr>
          <w:sz w:val="24"/>
          <w:szCs w:val="24"/>
        </w:rPr>
        <w:br/>
        <w:t xml:space="preserve">on Environmental Impact Assessment in </w:t>
      </w:r>
      <w:r w:rsidRPr="00136A88">
        <w:rPr>
          <w:sz w:val="24"/>
          <w:szCs w:val="24"/>
        </w:rPr>
        <w:br/>
        <w:t xml:space="preserve">a Transboundary Context serving as the </w:t>
      </w:r>
      <w:r w:rsidRPr="00136A88">
        <w:rPr>
          <w:sz w:val="24"/>
          <w:szCs w:val="24"/>
        </w:rPr>
        <w:br/>
        <w:t xml:space="preserve">Meeting of the Parties to the Protocol on </w:t>
      </w:r>
      <w:r w:rsidRPr="00136A88">
        <w:rPr>
          <w:sz w:val="24"/>
          <w:szCs w:val="24"/>
        </w:rPr>
        <w:br/>
        <w:t>Strategic Environmental Assessment</w:t>
      </w:r>
    </w:p>
    <w:p w14:paraId="4FF7B430" w14:textId="77777777" w:rsidR="0054622F" w:rsidRPr="00136A88" w:rsidRDefault="0054622F" w:rsidP="0094684F">
      <w:pPr>
        <w:spacing w:before="120"/>
        <w:rPr>
          <w:b/>
          <w:sz w:val="24"/>
          <w:szCs w:val="24"/>
        </w:rPr>
      </w:pPr>
      <w:r w:rsidRPr="00136A88">
        <w:rPr>
          <w:b/>
          <w:sz w:val="24"/>
          <w:szCs w:val="24"/>
        </w:rPr>
        <w:t>Working Group on Environmental Impact Assessment</w:t>
      </w:r>
      <w:r w:rsidRPr="00136A88">
        <w:rPr>
          <w:b/>
          <w:sz w:val="24"/>
          <w:szCs w:val="24"/>
        </w:rPr>
        <w:br/>
        <w:t>and Strategic Environmental Assessment</w:t>
      </w:r>
    </w:p>
    <w:p w14:paraId="6CC8689B" w14:textId="77777777" w:rsidR="0054622F" w:rsidRPr="00136A88" w:rsidRDefault="0054622F" w:rsidP="0094684F">
      <w:pPr>
        <w:spacing w:before="120"/>
        <w:rPr>
          <w:b/>
        </w:rPr>
      </w:pPr>
      <w:r>
        <w:rPr>
          <w:b/>
        </w:rPr>
        <w:t>Eight</w:t>
      </w:r>
      <w:r w:rsidR="004C16A1">
        <w:rPr>
          <w:b/>
        </w:rPr>
        <w:t>h</w:t>
      </w:r>
      <w:r>
        <w:rPr>
          <w:b/>
        </w:rPr>
        <w:t xml:space="preserve"> </w:t>
      </w:r>
      <w:r w:rsidRPr="00136A88">
        <w:rPr>
          <w:b/>
        </w:rPr>
        <w:t>meeting</w:t>
      </w:r>
    </w:p>
    <w:p w14:paraId="5F61F3F9" w14:textId="77777777" w:rsidR="0054622F" w:rsidRDefault="0054622F" w:rsidP="0054622F">
      <w:r w:rsidRPr="00136A88">
        <w:t xml:space="preserve">Geneva, </w:t>
      </w:r>
      <w:r>
        <w:t>26–28 November 2019</w:t>
      </w:r>
    </w:p>
    <w:p w14:paraId="4BD9866D" w14:textId="77777777" w:rsidR="0054622F" w:rsidRDefault="0054622F" w:rsidP="0054622F">
      <w:r w:rsidRPr="00136A88">
        <w:t xml:space="preserve">Item </w:t>
      </w:r>
      <w:r w:rsidR="004C16A1">
        <w:t>6</w:t>
      </w:r>
      <w:r>
        <w:t xml:space="preserve"> </w:t>
      </w:r>
      <w:r w:rsidRPr="00136A88">
        <w:t>of the provisional agenda</w:t>
      </w:r>
    </w:p>
    <w:p w14:paraId="7306DDCF" w14:textId="77777777" w:rsidR="004C16A1" w:rsidRPr="004C16A1" w:rsidRDefault="004C16A1" w:rsidP="0054622F">
      <w:pPr>
        <w:rPr>
          <w:b/>
          <w:bCs/>
        </w:rPr>
      </w:pPr>
      <w:r w:rsidRPr="004C16A1">
        <w:rPr>
          <w:b/>
          <w:bCs/>
        </w:rPr>
        <w:t>Promoting ratification and application of</w:t>
      </w:r>
      <w:r w:rsidR="00885EA7">
        <w:rPr>
          <w:b/>
          <w:bCs/>
        </w:rPr>
        <w:br/>
      </w:r>
      <w:r w:rsidRPr="004C16A1">
        <w:rPr>
          <w:b/>
          <w:bCs/>
        </w:rPr>
        <w:t>the Protocol and the Convention</w:t>
      </w:r>
    </w:p>
    <w:p w14:paraId="697842B6" w14:textId="77777777" w:rsidR="0054622F" w:rsidRPr="00F212FA" w:rsidRDefault="0054622F" w:rsidP="00C23DFD">
      <w:pPr>
        <w:pStyle w:val="HChG"/>
        <w:spacing w:before="240" w:after="120"/>
      </w:pPr>
      <w:r>
        <w:tab/>
      </w:r>
      <w:r>
        <w:tab/>
      </w:r>
      <w:r w:rsidR="00CA3543">
        <w:t xml:space="preserve">Protocol on Strategic Environmental Assessment </w:t>
      </w:r>
      <w:r w:rsidR="004C16A1">
        <w:t>(FasTip</w:t>
      </w:r>
      <w:r w:rsidR="00C16770">
        <w:t>s</w:t>
      </w:r>
      <w:r w:rsidR="004C16A1">
        <w:t>)</w:t>
      </w:r>
    </w:p>
    <w:p w14:paraId="45A42B57" w14:textId="77777777" w:rsidR="0054622F" w:rsidRPr="00F212FA" w:rsidRDefault="0054622F" w:rsidP="00C23DFD">
      <w:pPr>
        <w:pStyle w:val="H1G"/>
        <w:spacing w:before="240"/>
      </w:pPr>
      <w:r w:rsidRPr="00F212FA">
        <w:tab/>
      </w:r>
      <w:r w:rsidRPr="00F212FA">
        <w:tab/>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54622F" w14:paraId="4171C5DF" w14:textId="77777777" w:rsidTr="006E5E26">
        <w:trPr>
          <w:jc w:val="center"/>
        </w:trPr>
        <w:tc>
          <w:tcPr>
            <w:tcW w:w="9637" w:type="dxa"/>
            <w:shd w:val="clear" w:color="auto" w:fill="auto"/>
          </w:tcPr>
          <w:p w14:paraId="461F7FAC" w14:textId="77777777" w:rsidR="0054622F" w:rsidRPr="00C6263E" w:rsidRDefault="0054622F" w:rsidP="006E5E26">
            <w:pPr>
              <w:spacing w:before="240" w:after="120"/>
              <w:ind w:left="255"/>
              <w:rPr>
                <w:i/>
                <w:sz w:val="24"/>
              </w:rPr>
            </w:pPr>
            <w:r w:rsidRPr="00C6263E">
              <w:rPr>
                <w:i/>
                <w:sz w:val="24"/>
              </w:rPr>
              <w:t>Summary</w:t>
            </w:r>
          </w:p>
        </w:tc>
      </w:tr>
      <w:tr w:rsidR="0054622F" w14:paraId="4F8A8B1D" w14:textId="77777777" w:rsidTr="006E5E26">
        <w:trPr>
          <w:jc w:val="center"/>
        </w:trPr>
        <w:tc>
          <w:tcPr>
            <w:tcW w:w="9637" w:type="dxa"/>
            <w:shd w:val="clear" w:color="auto" w:fill="auto"/>
          </w:tcPr>
          <w:p w14:paraId="44C0D46D" w14:textId="2CB86EC5" w:rsidR="00B65CDA" w:rsidRDefault="0054622F" w:rsidP="00B65CDA">
            <w:pPr>
              <w:pStyle w:val="SingleTxtG"/>
            </w:pPr>
            <w:r>
              <w:tab/>
            </w:r>
            <w:r>
              <w:tab/>
            </w:r>
            <w:r w:rsidR="007E7390" w:rsidRPr="007E7390">
              <w:t>This note presents a draft informal pamphlet or “Fas</w:t>
            </w:r>
            <w:r w:rsidR="00B65CDA">
              <w:t>T</w:t>
            </w:r>
            <w:r w:rsidR="007E7390" w:rsidRPr="007E7390">
              <w:t>ip</w:t>
            </w:r>
            <w:r w:rsidR="00C16770">
              <w:t>s</w:t>
            </w:r>
            <w:r w:rsidR="007E7390" w:rsidRPr="007E7390">
              <w:t xml:space="preserve">” on the </w:t>
            </w:r>
            <w:r w:rsidR="00B65CDA">
              <w:t xml:space="preserve">Protocol on Strategic Environmental Assessment to the </w:t>
            </w:r>
            <w:r w:rsidR="007E7390" w:rsidRPr="007E7390">
              <w:t>Convention on Environmental Impact Assessment in a Transboundary Context</w:t>
            </w:r>
            <w:r w:rsidR="00B65CDA">
              <w:t xml:space="preserve">. The secretariat has prepared the document in accordance with the workplan for the implementation of the Convention and </w:t>
            </w:r>
            <w:r w:rsidR="00FD2DB6">
              <w:t xml:space="preserve">its </w:t>
            </w:r>
            <w:r w:rsidR="00B65CDA">
              <w:t xml:space="preserve">Protocol for the period 2017–2020 </w:t>
            </w:r>
            <w:r w:rsidR="00B65CDA" w:rsidRPr="00F212FA">
              <w:t>(ECE/MP.EIA/23.Add.</w:t>
            </w:r>
            <w:r w:rsidR="00B65CDA">
              <w:t>1</w:t>
            </w:r>
            <w:r w:rsidR="00B65CDA" w:rsidRPr="00F212FA">
              <w:t>–ECE/MP.EIA/SEA/7.Add.</w:t>
            </w:r>
            <w:r w:rsidR="00B65CDA">
              <w:t>1</w:t>
            </w:r>
            <w:r w:rsidR="00B65CDA" w:rsidRPr="00F212FA">
              <w:t>,</w:t>
            </w:r>
            <w:r w:rsidR="00B65CDA">
              <w:t xml:space="preserve"> </w:t>
            </w:r>
            <w:r w:rsidR="00B65CDA" w:rsidRPr="00F212FA">
              <w:t>decision VII/</w:t>
            </w:r>
            <w:r w:rsidR="00B65CDA">
              <w:t>3–III/3</w:t>
            </w:r>
            <w:r w:rsidR="00B65CDA" w:rsidRPr="00F212FA">
              <w:t xml:space="preserve">, </w:t>
            </w:r>
            <w:r w:rsidR="00B65CDA">
              <w:t>annex I, item IV.3</w:t>
            </w:r>
            <w:r w:rsidR="00B65CDA" w:rsidRPr="00F212FA">
              <w:t>).</w:t>
            </w:r>
            <w:r w:rsidR="00B65CDA">
              <w:t xml:space="preserve"> The draft document aims at providing key facts, tips and practical information on the Protocol in a concise way. It is intended for Governments and stakeholders, including beyond the United Nations Economic Commission for Europe region, to raise awareness of the Convention in the global context. It follows the structure and the length requirements set by the International Association for Impact Assessment</w:t>
            </w:r>
            <w:r w:rsidR="00FD2DB6">
              <w:t>.</w:t>
            </w:r>
            <w:r w:rsidR="00FD2DB6">
              <w:rPr>
                <w:rStyle w:val="FootnoteReference"/>
              </w:rPr>
              <w:footnoteReference w:id="2"/>
            </w:r>
          </w:p>
          <w:p w14:paraId="34A24053" w14:textId="5B536872" w:rsidR="0054622F" w:rsidRDefault="00B65CDA" w:rsidP="00B65CDA">
            <w:pPr>
              <w:pStyle w:val="SingleTxtG"/>
            </w:pPr>
            <w:r w:rsidRPr="00F212FA">
              <w:tab/>
            </w:r>
            <w:r>
              <w:tab/>
            </w:r>
            <w:r w:rsidRPr="00F212FA">
              <w:t xml:space="preserve">The Working Group on Environmental Impact Assessment and Strategic Environmental Assessment is expected to consider the draft </w:t>
            </w:r>
            <w:r>
              <w:t>document and provide guidance for its finalization prior to its submission to the International Association for Impact Assessment for publishing.</w:t>
            </w:r>
          </w:p>
        </w:tc>
      </w:tr>
      <w:tr w:rsidR="0054622F" w14:paraId="721D9FA9" w14:textId="77777777" w:rsidTr="006E5E26">
        <w:trPr>
          <w:jc w:val="center"/>
        </w:trPr>
        <w:tc>
          <w:tcPr>
            <w:tcW w:w="9637" w:type="dxa"/>
            <w:shd w:val="clear" w:color="auto" w:fill="auto"/>
          </w:tcPr>
          <w:p w14:paraId="1107C502" w14:textId="77777777" w:rsidR="0054622F" w:rsidRDefault="0054622F" w:rsidP="006E5E26"/>
        </w:tc>
      </w:tr>
    </w:tbl>
    <w:p w14:paraId="4020C7AD" w14:textId="77777777" w:rsidR="00A22991" w:rsidRPr="0086535A" w:rsidRDefault="00A22991" w:rsidP="00047B60">
      <w:pPr>
        <w:pStyle w:val="HChG"/>
      </w:pPr>
      <w:bookmarkStart w:id="1" w:name="_Toc13428231"/>
      <w:r>
        <w:lastRenderedPageBreak/>
        <w:tab/>
      </w:r>
      <w:r w:rsidR="00E54839">
        <w:t>I</w:t>
      </w:r>
      <w:r w:rsidRPr="0086535A">
        <w:t>.</w:t>
      </w:r>
      <w:r>
        <w:tab/>
      </w:r>
      <w:r w:rsidR="00E54839">
        <w:t>Issue</w:t>
      </w:r>
      <w:bookmarkEnd w:id="1"/>
      <w:r w:rsidR="00E54839">
        <w:t>, underlying concepts and approaches (400</w:t>
      </w:r>
      <w:r w:rsidR="005D7CAB">
        <w:t>–</w:t>
      </w:r>
      <w:r w:rsidR="00E54839">
        <w:t>500 words)</w:t>
      </w:r>
    </w:p>
    <w:p w14:paraId="449908B2" w14:textId="11CF483B" w:rsidR="003423C0" w:rsidRDefault="00E47092" w:rsidP="003423C0">
      <w:pPr>
        <w:pStyle w:val="SingleTxtG"/>
      </w:pPr>
      <w:r>
        <w:t>1</w:t>
      </w:r>
      <w:r w:rsidR="00A22991" w:rsidRPr="0086535A">
        <w:t>.</w:t>
      </w:r>
      <w:r w:rsidR="00A22991" w:rsidRPr="0086535A">
        <w:tab/>
      </w:r>
      <w:r w:rsidR="00E54839">
        <w:t xml:space="preserve">The </w:t>
      </w:r>
      <w:r>
        <w:t xml:space="preserve">Protocol on Strategic Environmental Assessment to the United Nations Economic Commission for Europe (ECE) Convention on Environmental Impact Assessment in a Transboundary Context (Espoo Convention) </w:t>
      </w:r>
      <w:r w:rsidR="00E54839">
        <w:t xml:space="preserve">was adopted </w:t>
      </w:r>
      <w:r>
        <w:t>in Kyiv</w:t>
      </w:r>
      <w:r w:rsidR="00E54839">
        <w:t xml:space="preserve"> in </w:t>
      </w:r>
      <w:r>
        <w:t>2003</w:t>
      </w:r>
      <w:r w:rsidR="000F31BA">
        <w:t>,</w:t>
      </w:r>
      <w:r>
        <w:t xml:space="preserve"> entered into force in 2010, and</w:t>
      </w:r>
      <w:r w:rsidR="000F31BA">
        <w:t>,</w:t>
      </w:r>
      <w:r>
        <w:t xml:space="preserve"> by September 2019</w:t>
      </w:r>
      <w:r w:rsidR="000F31BA">
        <w:t>,</w:t>
      </w:r>
      <w:r>
        <w:t xml:space="preserve"> had 33 Parties in the ECE region, </w:t>
      </w:r>
      <w:r w:rsidR="00ED7620">
        <w:t>including the</w:t>
      </w:r>
      <w:r>
        <w:t xml:space="preserve"> European Union. </w:t>
      </w:r>
      <w:r w:rsidR="003423C0">
        <w:t xml:space="preserve">The Protocol is aligned with the European Union </w:t>
      </w:r>
      <w:r w:rsidR="003423C0" w:rsidRPr="00480FCF">
        <w:t>Strategic Environmental Assessment Directive</w:t>
      </w:r>
      <w:r w:rsidR="004204DB">
        <w:rPr>
          <w:rStyle w:val="FootnoteReference"/>
        </w:rPr>
        <w:footnoteReference w:id="3"/>
      </w:r>
      <w:r w:rsidR="003423C0">
        <w:t xml:space="preserve"> but </w:t>
      </w:r>
      <w:r w:rsidR="00CF3BFD">
        <w:t xml:space="preserve">has </w:t>
      </w:r>
      <w:r w:rsidR="003423C0">
        <w:t xml:space="preserve">distinctive features, such as a </w:t>
      </w:r>
      <w:r w:rsidR="00441922">
        <w:t>special e</w:t>
      </w:r>
      <w:r w:rsidR="003423C0">
        <w:t>mphasis on health.</w:t>
      </w:r>
    </w:p>
    <w:p w14:paraId="3DEF6E21" w14:textId="46ED977D" w:rsidR="00CB2C0D" w:rsidRDefault="003423C0" w:rsidP="0012066F">
      <w:pPr>
        <w:pStyle w:val="SingleTxtG"/>
      </w:pPr>
      <w:r>
        <w:t>2.</w:t>
      </w:r>
      <w:r>
        <w:tab/>
        <w:t xml:space="preserve">The Protocol is open to all States Members of the United Nations. It </w:t>
      </w:r>
      <w:r w:rsidR="00267AD9">
        <w:t xml:space="preserve">was inspired by </w:t>
      </w:r>
      <w:r w:rsidR="0036724D">
        <w:t xml:space="preserve">global </w:t>
      </w:r>
      <w:r w:rsidR="00267AD9">
        <w:t>commitments to promote sustainable development</w:t>
      </w:r>
      <w:r w:rsidR="0036724D">
        <w:t>,</w:t>
      </w:r>
      <w:r w:rsidR="002419E9">
        <w:t xml:space="preserve"> in</w:t>
      </w:r>
      <w:r w:rsidR="00E53640">
        <w:t>cluding</w:t>
      </w:r>
      <w:r w:rsidR="002419E9">
        <w:t xml:space="preserve"> </w:t>
      </w:r>
      <w:r w:rsidR="0036724D" w:rsidRPr="00CB2C0D">
        <w:t xml:space="preserve">principles 4 and 10 of the Rio Declaration </w:t>
      </w:r>
      <w:r w:rsidR="009D5E85">
        <w:t xml:space="preserve">on Environment and Development </w:t>
      </w:r>
      <w:r w:rsidR="0036724D" w:rsidRPr="00CB2C0D">
        <w:t>and Agenda 21</w:t>
      </w:r>
      <w:r w:rsidR="00FA24DC">
        <w:t>.</w:t>
      </w:r>
      <w:r w:rsidR="0036724D">
        <w:rPr>
          <w:rStyle w:val="FootnoteReference"/>
        </w:rPr>
        <w:footnoteReference w:id="4"/>
      </w:r>
      <w:r w:rsidR="00FA24DC">
        <w:t xml:space="preserve"> </w:t>
      </w:r>
      <w:r w:rsidR="00CF3BFD">
        <w:t>I</w:t>
      </w:r>
      <w:r w:rsidR="00267AD9">
        <w:t xml:space="preserve">ts Parties are convinced that </w:t>
      </w:r>
      <w:r>
        <w:t xml:space="preserve">the </w:t>
      </w:r>
      <w:r w:rsidR="00267AD9">
        <w:t>Protocol can help countries achieve</w:t>
      </w:r>
      <w:r>
        <w:t xml:space="preserve"> targets under the</w:t>
      </w:r>
      <w:r w:rsidR="00267AD9">
        <w:t xml:space="preserve"> Sustainable Development Goals by integrating </w:t>
      </w:r>
      <w:r>
        <w:t>the</w:t>
      </w:r>
      <w:r w:rsidR="00E53640">
        <w:t>m</w:t>
      </w:r>
      <w:r>
        <w:t xml:space="preserve"> i</w:t>
      </w:r>
      <w:r w:rsidR="003F053D">
        <w:t>nto national strategic planning</w:t>
      </w:r>
      <w:r w:rsidR="0012066F">
        <w:t xml:space="preserve">. Moreover, </w:t>
      </w:r>
      <w:r w:rsidR="000F18B2">
        <w:t xml:space="preserve">its provisions </w:t>
      </w:r>
      <w:r w:rsidR="00E53640">
        <w:t xml:space="preserve">can be used </w:t>
      </w:r>
      <w:r w:rsidR="000F18B2">
        <w:t>to</w:t>
      </w:r>
      <w:r w:rsidR="00FE34D5">
        <w:t xml:space="preserve"> plan </w:t>
      </w:r>
      <w:r w:rsidR="0012066F">
        <w:t xml:space="preserve">action </w:t>
      </w:r>
      <w:r w:rsidR="00FE34D5">
        <w:t xml:space="preserve">on </w:t>
      </w:r>
      <w:r w:rsidR="0012066F">
        <w:t xml:space="preserve">climate change and </w:t>
      </w:r>
      <w:r w:rsidR="00DB7577">
        <w:t>to i</w:t>
      </w:r>
      <w:r w:rsidR="0012066F">
        <w:t>n</w:t>
      </w:r>
      <w:r w:rsidR="00DB7577">
        <w:t>clude</w:t>
      </w:r>
      <w:r w:rsidR="0012066F">
        <w:t xml:space="preserve"> </w:t>
      </w:r>
      <w:r w:rsidR="00DB7577">
        <w:t>r</w:t>
      </w:r>
      <w:r w:rsidR="0012066F">
        <w:t>elated mitigation and adaptation measures in economic development planning.</w:t>
      </w:r>
    </w:p>
    <w:p w14:paraId="2560BD2F" w14:textId="71F36698" w:rsidR="0037233E" w:rsidRDefault="006C7006" w:rsidP="006C7006">
      <w:pPr>
        <w:pStyle w:val="SingleTxtG"/>
      </w:pPr>
      <w:r>
        <w:t>3.</w:t>
      </w:r>
      <w:r>
        <w:tab/>
      </w:r>
      <w:r w:rsidR="00DB7577">
        <w:t>T</w:t>
      </w:r>
      <w:r>
        <w:t xml:space="preserve">he Protocol </w:t>
      </w:r>
      <w:r w:rsidR="00DB7577">
        <w:t xml:space="preserve">requires that </w:t>
      </w:r>
      <w:r w:rsidR="00674AA7">
        <w:t xml:space="preserve">a </w:t>
      </w:r>
      <w:r w:rsidR="0037233E">
        <w:t xml:space="preserve">strategic environmental assessment </w:t>
      </w:r>
      <w:r w:rsidR="000F31BA">
        <w:t>be</w:t>
      </w:r>
      <w:r w:rsidR="00DB7577">
        <w:t xml:space="preserve"> carried out </w:t>
      </w:r>
      <w:r w:rsidR="0037233E">
        <w:t xml:space="preserve">for </w:t>
      </w:r>
      <w:r w:rsidR="00FB03F3">
        <w:t xml:space="preserve">certain </w:t>
      </w:r>
      <w:r w:rsidR="0037233E">
        <w:t>plans</w:t>
      </w:r>
      <w:r w:rsidR="0065628B">
        <w:t>/</w:t>
      </w:r>
      <w:r w:rsidR="0037233E">
        <w:t xml:space="preserve">programmes </w:t>
      </w:r>
      <w:r w:rsidR="00ED7620">
        <w:t xml:space="preserve">that are likely to have significant </w:t>
      </w:r>
      <w:r w:rsidR="00FB03F3">
        <w:t>environmental, including health, effects.</w:t>
      </w:r>
      <w:r w:rsidR="00743614" w:rsidRPr="00743614">
        <w:t xml:space="preserve"> </w:t>
      </w:r>
      <w:r w:rsidR="000F18B2">
        <w:t xml:space="preserve">It </w:t>
      </w:r>
      <w:r w:rsidR="00743614">
        <w:t>also provides for non-mandatory assessment of policies and legislation</w:t>
      </w:r>
      <w:r w:rsidR="008633D6">
        <w:t xml:space="preserve"> (art</w:t>
      </w:r>
      <w:r w:rsidR="000F31BA">
        <w:t>.</w:t>
      </w:r>
      <w:r w:rsidR="008633D6">
        <w:t xml:space="preserve"> 13)</w:t>
      </w:r>
      <w:r w:rsidR="00743614">
        <w:t xml:space="preserve">. </w:t>
      </w:r>
      <w:r w:rsidR="00FB03F3">
        <w:t xml:space="preserve">It applies to </w:t>
      </w:r>
      <w:r w:rsidR="00DB7577">
        <w:t xml:space="preserve">proposed </w:t>
      </w:r>
      <w:r w:rsidR="00FB03F3">
        <w:t xml:space="preserve">strategic </w:t>
      </w:r>
      <w:r w:rsidR="0036724D">
        <w:t xml:space="preserve">planning documents </w:t>
      </w:r>
      <w:r w:rsidR="00FB03F3">
        <w:t>of public authorities</w:t>
      </w:r>
      <w:r w:rsidR="00DB7577">
        <w:t>,</w:t>
      </w:r>
      <w:r w:rsidR="00FB03F3">
        <w:t xml:space="preserve"> at</w:t>
      </w:r>
      <w:r w:rsidR="00CF3BFD">
        <w:t xml:space="preserve"> the</w:t>
      </w:r>
      <w:r w:rsidR="00FB03F3">
        <w:t xml:space="preserve"> national and local levels</w:t>
      </w:r>
      <w:r w:rsidR="00DB7577">
        <w:t>,</w:t>
      </w:r>
      <w:r w:rsidR="0036724D">
        <w:t xml:space="preserve"> </w:t>
      </w:r>
      <w:r w:rsidR="00743614">
        <w:t>across the economic and regional development fields</w:t>
      </w:r>
      <w:r w:rsidR="004A7A0C">
        <w:t>.</w:t>
      </w:r>
    </w:p>
    <w:p w14:paraId="0B467BB6" w14:textId="23D975F2" w:rsidR="005B2B75" w:rsidRDefault="0055131A" w:rsidP="0055131A">
      <w:pPr>
        <w:pStyle w:val="SingleTxtG"/>
      </w:pPr>
      <w:r>
        <w:t>4.</w:t>
      </w:r>
      <w:r>
        <w:tab/>
      </w:r>
      <w:r w:rsidR="005B2B75">
        <w:t xml:space="preserve">The Protocol applies mainly at </w:t>
      </w:r>
      <w:r w:rsidR="00CB1C33">
        <w:t>the</w:t>
      </w:r>
      <w:r w:rsidR="005B2B75">
        <w:t xml:space="preserve"> domestic level but</w:t>
      </w:r>
      <w:r w:rsidR="00CB1C33">
        <w:t xml:space="preserve"> </w:t>
      </w:r>
      <w:r w:rsidR="00CF3BFD">
        <w:t xml:space="preserve">also </w:t>
      </w:r>
      <w:r w:rsidR="00CB1C33">
        <w:t xml:space="preserve">provides for transboundary consultations </w:t>
      </w:r>
      <w:r w:rsidR="00916209">
        <w:t xml:space="preserve">when </w:t>
      </w:r>
      <w:r w:rsidR="00CB1C33">
        <w:t xml:space="preserve">a </w:t>
      </w:r>
      <w:r w:rsidR="005B2B75">
        <w:t>plan</w:t>
      </w:r>
      <w:r w:rsidR="0065628B">
        <w:t>/</w:t>
      </w:r>
      <w:r w:rsidR="005B2B75">
        <w:t xml:space="preserve">programme is likely to have significant effects </w:t>
      </w:r>
      <w:r w:rsidR="009D5E85">
        <w:t>i</w:t>
      </w:r>
      <w:r w:rsidR="005B2B75">
        <w:t>n the territory of another country</w:t>
      </w:r>
      <w:r w:rsidR="000F18B2">
        <w:t xml:space="preserve"> (art</w:t>
      </w:r>
      <w:r w:rsidR="000F31BA">
        <w:t>.</w:t>
      </w:r>
      <w:r w:rsidR="000F18B2">
        <w:t xml:space="preserve"> 10)</w:t>
      </w:r>
      <w:r w:rsidR="00141C60">
        <w:t>.</w:t>
      </w:r>
    </w:p>
    <w:p w14:paraId="2A049B1C" w14:textId="40145ED1" w:rsidR="00E54839" w:rsidRDefault="00A22991" w:rsidP="003F053D">
      <w:pPr>
        <w:pStyle w:val="SingleTxtG"/>
      </w:pPr>
      <w:r w:rsidRPr="0086535A">
        <w:tab/>
      </w:r>
      <w:r w:rsidR="00674AA7">
        <w:t>5.</w:t>
      </w:r>
      <w:r w:rsidR="003F053D" w:rsidRPr="003F053D">
        <w:tab/>
      </w:r>
      <w:r w:rsidR="00CF3BFD">
        <w:t>T</w:t>
      </w:r>
      <w:r w:rsidR="003F053D" w:rsidRPr="003F053D">
        <w:t xml:space="preserve">he </w:t>
      </w:r>
      <w:r w:rsidR="003F053D">
        <w:t xml:space="preserve">Protocol </w:t>
      </w:r>
      <w:r w:rsidR="00E53640">
        <w:t xml:space="preserve">sets </w:t>
      </w:r>
      <w:r w:rsidR="00CF3BFD">
        <w:t>the</w:t>
      </w:r>
      <w:r w:rsidR="00E53640">
        <w:t xml:space="preserve"> </w:t>
      </w:r>
      <w:r w:rsidR="003F053D" w:rsidRPr="003F053D">
        <w:t xml:space="preserve">following </w:t>
      </w:r>
      <w:r w:rsidR="00E53640">
        <w:t>procedure:</w:t>
      </w:r>
    </w:p>
    <w:p w14:paraId="0DBF382C" w14:textId="68863C42" w:rsidR="0037233E" w:rsidRDefault="00E54839" w:rsidP="005B2B75">
      <w:pPr>
        <w:pStyle w:val="SingleTxtG"/>
        <w:ind w:firstLine="567"/>
      </w:pPr>
      <w:r>
        <w:t>(a)</w:t>
      </w:r>
      <w:r>
        <w:tab/>
      </w:r>
      <w:r w:rsidR="00CD3E90">
        <w:t>Parties</w:t>
      </w:r>
      <w:r w:rsidR="00FC355E" w:rsidRPr="00FC355E">
        <w:t xml:space="preserve"> </w:t>
      </w:r>
      <w:r w:rsidR="00DB7577">
        <w:t>first</w:t>
      </w:r>
      <w:r w:rsidR="0065628B">
        <w:t xml:space="preserve"> </w:t>
      </w:r>
      <w:r w:rsidR="00FC355E" w:rsidRPr="00FC355E">
        <w:t>determine</w:t>
      </w:r>
      <w:r w:rsidR="0037233E">
        <w:t xml:space="preserve"> </w:t>
      </w:r>
      <w:r w:rsidR="00347851">
        <w:t xml:space="preserve">whether </w:t>
      </w:r>
      <w:r w:rsidR="0037233E">
        <w:t xml:space="preserve">a </w:t>
      </w:r>
      <w:r w:rsidR="00FC355E" w:rsidRPr="00FC355E">
        <w:t>plan</w:t>
      </w:r>
      <w:r w:rsidR="00B85347">
        <w:t>/</w:t>
      </w:r>
      <w:r w:rsidR="0037233E">
        <w:t>p</w:t>
      </w:r>
      <w:r w:rsidR="00FC355E" w:rsidRPr="00FC355E">
        <w:t>rogramme</w:t>
      </w:r>
      <w:r w:rsidR="0037233E">
        <w:t xml:space="preserve"> </w:t>
      </w:r>
      <w:r w:rsidR="00347851">
        <w:t xml:space="preserve">falls under the Protocol </w:t>
      </w:r>
      <w:r w:rsidR="003F290D">
        <w:t>(</w:t>
      </w:r>
      <w:r w:rsidR="000F31BA">
        <w:t>arts.</w:t>
      </w:r>
      <w:r w:rsidR="003F290D">
        <w:t xml:space="preserve"> 4 and 5)</w:t>
      </w:r>
      <w:r w:rsidR="0037233E">
        <w:t>;</w:t>
      </w:r>
    </w:p>
    <w:p w14:paraId="7BDAAFE5" w14:textId="77777777" w:rsidR="00E54839" w:rsidRDefault="0037233E" w:rsidP="007606F2">
      <w:pPr>
        <w:pStyle w:val="SingleTxtG"/>
        <w:ind w:firstLine="567"/>
      </w:pPr>
      <w:r>
        <w:t>(b)</w:t>
      </w:r>
      <w:r>
        <w:tab/>
      </w:r>
      <w:r w:rsidR="005B2B75">
        <w:t>If the Protocol applies,</w:t>
      </w:r>
      <w:r w:rsidR="00743614">
        <w:t xml:space="preserve"> the </w:t>
      </w:r>
      <w:r w:rsidR="00596464">
        <w:t xml:space="preserve">next step is </w:t>
      </w:r>
      <w:r w:rsidR="008F68D4">
        <w:t xml:space="preserve">“scoping”, i.e. </w:t>
      </w:r>
      <w:r w:rsidR="00596464">
        <w:t>d</w:t>
      </w:r>
      <w:r w:rsidR="00B47AB3">
        <w:t>e</w:t>
      </w:r>
      <w:r w:rsidR="009D5E85">
        <w:t>termin</w:t>
      </w:r>
      <w:r w:rsidR="00596464">
        <w:t>ing</w:t>
      </w:r>
      <w:r w:rsidR="00A86498">
        <w:t xml:space="preserve">, </w:t>
      </w:r>
      <w:r w:rsidR="00596464">
        <w:t xml:space="preserve">in consultation with environmental and health authorities, and, </w:t>
      </w:r>
      <w:r w:rsidR="00A86498">
        <w:t>possibly</w:t>
      </w:r>
      <w:r w:rsidR="00596464">
        <w:t xml:space="preserve">, </w:t>
      </w:r>
      <w:r w:rsidR="000A118A">
        <w:t xml:space="preserve">involving </w:t>
      </w:r>
      <w:r w:rsidR="00A86498">
        <w:t xml:space="preserve">public </w:t>
      </w:r>
      <w:r w:rsidR="000A118A">
        <w:t>participation</w:t>
      </w:r>
      <w:r w:rsidR="00A86498">
        <w:t>, the relevant information to be considered and included in an environmental report</w:t>
      </w:r>
      <w:r w:rsidR="003F290D">
        <w:t xml:space="preserve"> (art</w:t>
      </w:r>
      <w:r w:rsidR="000F31BA">
        <w:t>.</w:t>
      </w:r>
      <w:r w:rsidR="003F290D">
        <w:t xml:space="preserve"> 6)</w:t>
      </w:r>
      <w:r w:rsidR="008441FA">
        <w:t>;</w:t>
      </w:r>
    </w:p>
    <w:p w14:paraId="0F9AE213" w14:textId="00C2A2FF" w:rsidR="00E54839" w:rsidRDefault="00E54839" w:rsidP="00E54839">
      <w:pPr>
        <w:pStyle w:val="SingleTxtG"/>
        <w:ind w:firstLine="567"/>
      </w:pPr>
      <w:r>
        <w:t>(c)</w:t>
      </w:r>
      <w:r>
        <w:tab/>
      </w:r>
      <w:r w:rsidR="00DB7577">
        <w:t xml:space="preserve">Then, </w:t>
      </w:r>
      <w:r w:rsidR="00F82840">
        <w:t xml:space="preserve">Parties </w:t>
      </w:r>
      <w:r w:rsidR="00DB7577">
        <w:t>should p</w:t>
      </w:r>
      <w:r w:rsidR="00F82840">
        <w:t xml:space="preserve">repare </w:t>
      </w:r>
      <w:r w:rsidR="00CD3E90">
        <w:t xml:space="preserve">the </w:t>
      </w:r>
      <w:r w:rsidR="000A118A">
        <w:t>environmental report</w:t>
      </w:r>
      <w:r w:rsidR="00DB7577">
        <w:t xml:space="preserve"> covering</w:t>
      </w:r>
      <w:r w:rsidR="008633D6">
        <w:t xml:space="preserve"> </w:t>
      </w:r>
      <w:r w:rsidR="00DB7577">
        <w:t xml:space="preserve">the </w:t>
      </w:r>
      <w:r w:rsidR="002419E9">
        <w:t>information</w:t>
      </w:r>
      <w:r w:rsidR="008633D6">
        <w:t xml:space="preserve"> and considerations</w:t>
      </w:r>
      <w:r w:rsidR="002419E9">
        <w:t xml:space="preserve"> set out in the Protocol</w:t>
      </w:r>
      <w:r w:rsidR="00DB7577">
        <w:t xml:space="preserve">. The report is to </w:t>
      </w:r>
      <w:r w:rsidR="00347851">
        <w:t>i</w:t>
      </w:r>
      <w:r w:rsidR="00CD3E90">
        <w:t>dentif</w:t>
      </w:r>
      <w:r w:rsidR="00DB7577">
        <w:t>y</w:t>
      </w:r>
      <w:r w:rsidR="00CD3E90">
        <w:t>, describ</w:t>
      </w:r>
      <w:r w:rsidR="00347851">
        <w:t>e</w:t>
      </w:r>
      <w:r w:rsidR="00CD3E90">
        <w:t xml:space="preserve"> and evaluat</w:t>
      </w:r>
      <w:r w:rsidR="00347851">
        <w:t>e</w:t>
      </w:r>
      <w:r w:rsidR="00CD3E90">
        <w:t xml:space="preserve"> the likely significant environmental, including health, impacts of the plan</w:t>
      </w:r>
      <w:r w:rsidR="009D5E85">
        <w:t>/</w:t>
      </w:r>
      <w:r w:rsidR="00CD3E90">
        <w:t xml:space="preserve"> programme and its reasonable alternative</w:t>
      </w:r>
      <w:r w:rsidR="00347851">
        <w:t>s</w:t>
      </w:r>
      <w:r w:rsidR="003F290D">
        <w:t xml:space="preserve"> (art</w:t>
      </w:r>
      <w:r w:rsidR="000F31BA">
        <w:t>.</w:t>
      </w:r>
      <w:r w:rsidR="003F290D">
        <w:t xml:space="preserve"> 7)</w:t>
      </w:r>
      <w:r w:rsidR="003423C0">
        <w:t>;</w:t>
      </w:r>
    </w:p>
    <w:p w14:paraId="43DFAC5F" w14:textId="45F3BD25" w:rsidR="00E54839" w:rsidRDefault="00E54839" w:rsidP="005C2D6B">
      <w:pPr>
        <w:pStyle w:val="SingleTxtG"/>
        <w:ind w:firstLine="567"/>
      </w:pPr>
      <w:r>
        <w:t>(d)</w:t>
      </w:r>
      <w:r>
        <w:tab/>
      </w:r>
      <w:r w:rsidR="00977227">
        <w:t>Before any decision is taken</w:t>
      </w:r>
      <w:r w:rsidR="00347851">
        <w:t>,</w:t>
      </w:r>
      <w:r w:rsidR="00977227">
        <w:t xml:space="preserve"> </w:t>
      </w:r>
      <w:r w:rsidR="002419E9">
        <w:t>environmental and health authorities and the public concerned</w:t>
      </w:r>
      <w:r w:rsidR="00A7490B">
        <w:t xml:space="preserve"> </w:t>
      </w:r>
      <w:r w:rsidR="00977227">
        <w:t xml:space="preserve">must </w:t>
      </w:r>
      <w:r w:rsidR="005C2D6B">
        <w:t xml:space="preserve">have </w:t>
      </w:r>
      <w:r w:rsidR="00977227">
        <w:t>an opportunity to express their opinions on the draft plan</w:t>
      </w:r>
      <w:r w:rsidR="00B85347">
        <w:t>/</w:t>
      </w:r>
      <w:r w:rsidR="00977227">
        <w:t>programme and the environmental report</w:t>
      </w:r>
      <w:r w:rsidR="008633D6">
        <w:t xml:space="preserve"> (art</w:t>
      </w:r>
      <w:r w:rsidR="000F31BA">
        <w:t>s.</w:t>
      </w:r>
      <w:r w:rsidR="008633D6">
        <w:t xml:space="preserve"> 8 and 9)</w:t>
      </w:r>
      <w:r w:rsidR="00674AA7">
        <w:t>;</w:t>
      </w:r>
    </w:p>
    <w:p w14:paraId="76E49E90" w14:textId="0D118447" w:rsidR="005C2D6B" w:rsidRDefault="00E54839" w:rsidP="005C2D6B">
      <w:pPr>
        <w:pStyle w:val="SingleTxtG"/>
        <w:ind w:firstLine="567"/>
      </w:pPr>
      <w:r>
        <w:t>(f)</w:t>
      </w:r>
      <w:r>
        <w:tab/>
      </w:r>
      <w:r w:rsidR="000E369F">
        <w:t>When adopting the plan</w:t>
      </w:r>
      <w:r w:rsidR="00CF3BFD">
        <w:t>/</w:t>
      </w:r>
      <w:r w:rsidR="000E369F">
        <w:t>programme, comments from the authorities and the public</w:t>
      </w:r>
      <w:r w:rsidR="00CF3BFD">
        <w:t>,</w:t>
      </w:r>
      <w:r w:rsidR="000E369F">
        <w:t xml:space="preserve"> </w:t>
      </w:r>
      <w:r w:rsidR="00E53640">
        <w:t xml:space="preserve">the </w:t>
      </w:r>
      <w:r w:rsidR="005C2D6B">
        <w:t>environmental report</w:t>
      </w:r>
      <w:r w:rsidR="000E369F">
        <w:t xml:space="preserve"> </w:t>
      </w:r>
      <w:r w:rsidR="00CF3BFD">
        <w:t xml:space="preserve">conclusions </w:t>
      </w:r>
      <w:r w:rsidR="000E369F">
        <w:t>and</w:t>
      </w:r>
      <w:r w:rsidR="005C2D6B">
        <w:t xml:space="preserve"> the mitigation measures</w:t>
      </w:r>
      <w:r w:rsidR="00CF3BFD" w:rsidRPr="00CF3BFD">
        <w:t xml:space="preserve"> must be taken into account</w:t>
      </w:r>
      <w:r w:rsidR="00BD648D">
        <w:t xml:space="preserve">. </w:t>
      </w:r>
      <w:r w:rsidR="00CF3BFD">
        <w:t>T</w:t>
      </w:r>
      <w:r w:rsidR="00BD648D">
        <w:t>h</w:t>
      </w:r>
      <w:r w:rsidR="000E369F">
        <w:t xml:space="preserve">e </w:t>
      </w:r>
      <w:r w:rsidR="00BD648D">
        <w:t>authorities and the public</w:t>
      </w:r>
      <w:r w:rsidR="00986406">
        <w:t xml:space="preserve"> </w:t>
      </w:r>
      <w:r w:rsidR="008633D6">
        <w:t>should</w:t>
      </w:r>
      <w:r w:rsidR="000E369F">
        <w:t xml:space="preserve"> </w:t>
      </w:r>
      <w:r w:rsidR="00214809">
        <w:t xml:space="preserve">be given access to the adopted </w:t>
      </w:r>
      <w:r w:rsidR="00916209">
        <w:t xml:space="preserve">document </w:t>
      </w:r>
      <w:r w:rsidR="00214809">
        <w:t>and be informed of</w:t>
      </w:r>
      <w:r w:rsidR="00BD648D">
        <w:t xml:space="preserve"> how their comments were taken into account</w:t>
      </w:r>
      <w:r w:rsidR="00214809">
        <w:t xml:space="preserve"> (art</w:t>
      </w:r>
      <w:r w:rsidR="000F31BA">
        <w:t>.</w:t>
      </w:r>
      <w:r w:rsidR="00214809">
        <w:t xml:space="preserve"> 11)</w:t>
      </w:r>
      <w:r w:rsidR="00BD648D">
        <w:t>;</w:t>
      </w:r>
    </w:p>
    <w:p w14:paraId="3BA3E34A" w14:textId="740C6185" w:rsidR="00E54839" w:rsidRDefault="00E54839" w:rsidP="00DB6A7B">
      <w:pPr>
        <w:pStyle w:val="SingleTxtG"/>
        <w:ind w:firstLine="567"/>
      </w:pPr>
      <w:r>
        <w:t>(g)</w:t>
      </w:r>
      <w:r>
        <w:tab/>
      </w:r>
      <w:r w:rsidR="00787B7C">
        <w:t xml:space="preserve">Lastly, </w:t>
      </w:r>
      <w:r>
        <w:t xml:space="preserve">Parties </w:t>
      </w:r>
      <w:r w:rsidR="00DB6A7B">
        <w:t>are responsible for monitoring an adopted plan</w:t>
      </w:r>
      <w:r w:rsidR="00B85347">
        <w:t>/</w:t>
      </w:r>
      <w:r w:rsidR="00DB6A7B">
        <w:t>programme</w:t>
      </w:r>
      <w:r w:rsidR="00CF3BFD">
        <w:t>’s effects</w:t>
      </w:r>
      <w:r w:rsidR="00DB6A7B">
        <w:t xml:space="preserve"> and for making monitoring results publicly available</w:t>
      </w:r>
      <w:r w:rsidR="000E369F">
        <w:t xml:space="preserve"> (art</w:t>
      </w:r>
      <w:r w:rsidR="00DC6809">
        <w:t>s</w:t>
      </w:r>
      <w:r w:rsidR="000F31BA">
        <w:t>.</w:t>
      </w:r>
      <w:r w:rsidR="000E369F">
        <w:t xml:space="preserve"> </w:t>
      </w:r>
      <w:r w:rsidR="00DC6809">
        <w:t xml:space="preserve">12 and </w:t>
      </w:r>
      <w:r w:rsidR="000E369F">
        <w:t>13)</w:t>
      </w:r>
      <w:r w:rsidR="00DB6A7B">
        <w:t>.</w:t>
      </w:r>
    </w:p>
    <w:p w14:paraId="195353CB" w14:textId="77777777" w:rsidR="00E47092" w:rsidRDefault="00E47092" w:rsidP="00E47092">
      <w:pPr>
        <w:pStyle w:val="HChG"/>
      </w:pPr>
      <w:r>
        <w:tab/>
        <w:t>II.</w:t>
      </w:r>
      <w:r>
        <w:tab/>
        <w:t>Side quote (10-25 words)</w:t>
      </w:r>
    </w:p>
    <w:p w14:paraId="2CC25848" w14:textId="57F85B8A" w:rsidR="00E47092" w:rsidRPr="00C57FB0" w:rsidRDefault="006F314C" w:rsidP="00B01AB0">
      <w:pPr>
        <w:pStyle w:val="SingleTxtG"/>
      </w:pPr>
      <w:r w:rsidRPr="00B01AB0">
        <w:t>6</w:t>
      </w:r>
      <w:r w:rsidR="00E47092" w:rsidRPr="00B01AB0">
        <w:t>.</w:t>
      </w:r>
      <w:r w:rsidR="00E47092" w:rsidRPr="00B01AB0">
        <w:tab/>
        <w:t xml:space="preserve">The Protocol </w:t>
      </w:r>
      <w:r w:rsidR="00E53640">
        <w:t xml:space="preserve">sets </w:t>
      </w:r>
      <w:r w:rsidR="000A1A3B">
        <w:t>a</w:t>
      </w:r>
      <w:r w:rsidR="00BC7ED7">
        <w:t>n international l</w:t>
      </w:r>
      <w:r w:rsidR="000A1A3B">
        <w:t xml:space="preserve">egal framework </w:t>
      </w:r>
      <w:r w:rsidR="00B01AB0" w:rsidRPr="00B01AB0">
        <w:t xml:space="preserve">for fostering </w:t>
      </w:r>
      <w:r w:rsidRPr="00B01AB0">
        <w:t xml:space="preserve">sound </w:t>
      </w:r>
      <w:r w:rsidR="00B01AB0">
        <w:t xml:space="preserve">and sustainable </w:t>
      </w:r>
      <w:r w:rsidRPr="00B01AB0">
        <w:t>economic development</w:t>
      </w:r>
      <w:r w:rsidR="00917FBE">
        <w:t xml:space="preserve"> and for improving </w:t>
      </w:r>
      <w:r w:rsidR="00B01AB0">
        <w:t>governance and transparency in</w:t>
      </w:r>
      <w:r w:rsidR="000A1A3B">
        <w:t xml:space="preserve"> planning</w:t>
      </w:r>
      <w:r w:rsidR="00B01AB0">
        <w:t>.</w:t>
      </w:r>
    </w:p>
    <w:p w14:paraId="36C18B36" w14:textId="77777777" w:rsidR="00021135" w:rsidRDefault="00A22991" w:rsidP="00A22991">
      <w:pPr>
        <w:pStyle w:val="HChG"/>
      </w:pPr>
      <w:bookmarkStart w:id="2" w:name="_Toc13428232"/>
      <w:r>
        <w:lastRenderedPageBreak/>
        <w:tab/>
      </w:r>
      <w:r w:rsidRPr="00A22991">
        <w:t>I</w:t>
      </w:r>
      <w:r w:rsidR="00E47092">
        <w:t>II</w:t>
      </w:r>
      <w:r w:rsidRPr="00A22991">
        <w:t>.</w:t>
      </w:r>
      <w:r>
        <w:tab/>
      </w:r>
      <w:r w:rsidR="00021135" w:rsidRPr="00021135">
        <w:t>Five important things to know (max</w:t>
      </w:r>
      <w:r w:rsidR="005D7CAB">
        <w:t>.</w:t>
      </w:r>
      <w:r w:rsidR="00021135" w:rsidRPr="00021135">
        <w:t xml:space="preserve"> 150 words)</w:t>
      </w:r>
    </w:p>
    <w:p w14:paraId="3A067447" w14:textId="430A1DE4" w:rsidR="00D512DC" w:rsidRDefault="000F31BA" w:rsidP="00EA73D6">
      <w:pPr>
        <w:pStyle w:val="SingleTxtG"/>
      </w:pPr>
      <w:r>
        <w:t>7.</w:t>
      </w:r>
      <w:r>
        <w:tab/>
      </w:r>
      <w:r w:rsidR="009F3C28">
        <w:t>S</w:t>
      </w:r>
      <w:r w:rsidR="006A42E5">
        <w:t>trategic environmental assessment</w:t>
      </w:r>
      <w:r w:rsidR="00E15964">
        <w:t xml:space="preserve"> </w:t>
      </w:r>
      <w:r w:rsidR="00656C4B">
        <w:t>brings higher sustainability gains</w:t>
      </w:r>
      <w:r w:rsidR="009F3C28">
        <w:t xml:space="preserve"> than project-level </w:t>
      </w:r>
      <w:r w:rsidR="004332FE">
        <w:t>environmental impact assessment</w:t>
      </w:r>
      <w:r w:rsidR="004075B5">
        <w:t xml:space="preserve"> </w:t>
      </w:r>
      <w:r w:rsidR="00656C4B">
        <w:t>because</w:t>
      </w:r>
      <w:r w:rsidR="004075B5">
        <w:t xml:space="preserve"> it</w:t>
      </w:r>
      <w:r w:rsidR="00613447">
        <w:t>:</w:t>
      </w:r>
      <w:r w:rsidR="00F02527">
        <w:t xml:space="preserve"> </w:t>
      </w:r>
      <w:r w:rsidR="0012066F">
        <w:t xml:space="preserve">intervenes earlier </w:t>
      </w:r>
      <w:r w:rsidR="00613447">
        <w:t xml:space="preserve">in </w:t>
      </w:r>
      <w:r w:rsidR="0012066F">
        <w:t>decision-making</w:t>
      </w:r>
      <w:r w:rsidR="006A42E5">
        <w:t xml:space="preserve">, when </w:t>
      </w:r>
      <w:r w:rsidR="00613447">
        <w:t xml:space="preserve">more </w:t>
      </w:r>
      <w:r w:rsidR="006A42E5">
        <w:t>options and alternatives are available</w:t>
      </w:r>
      <w:r w:rsidR="004075B5">
        <w:t xml:space="preserve">; </w:t>
      </w:r>
      <w:r w:rsidR="00613447">
        <w:t xml:space="preserve">considers </w:t>
      </w:r>
      <w:r w:rsidR="001A380D">
        <w:t xml:space="preserve">broad </w:t>
      </w:r>
      <w:r w:rsidR="00613447">
        <w:t xml:space="preserve">environmental </w:t>
      </w:r>
      <w:r w:rsidR="006A42E5">
        <w:t xml:space="preserve">objectives </w:t>
      </w:r>
      <w:r w:rsidR="00F02527">
        <w:t xml:space="preserve">rather than </w:t>
      </w:r>
      <w:r w:rsidR="00706621">
        <w:t>project</w:t>
      </w:r>
      <w:r w:rsidR="004332FE">
        <w:t xml:space="preserve"> impacts</w:t>
      </w:r>
      <w:r w:rsidR="006A42E5">
        <w:t xml:space="preserve">; </w:t>
      </w:r>
      <w:r w:rsidR="004075B5">
        <w:t>sets</w:t>
      </w:r>
      <w:r w:rsidR="00341594" w:rsidRPr="00F5063F">
        <w:t xml:space="preserve"> </w:t>
      </w:r>
      <w:r w:rsidR="00E15964">
        <w:t>su</w:t>
      </w:r>
      <w:r w:rsidR="004075B5">
        <w:t>stainable</w:t>
      </w:r>
      <w:r w:rsidR="00341594" w:rsidRPr="00F5063F">
        <w:t xml:space="preserve"> framework</w:t>
      </w:r>
      <w:r w:rsidR="00E15964">
        <w:t>s</w:t>
      </w:r>
      <w:r w:rsidR="00341594" w:rsidRPr="00F5063F">
        <w:t xml:space="preserve"> for future projects</w:t>
      </w:r>
      <w:r w:rsidR="00656C4B">
        <w:t xml:space="preserve">, </w:t>
      </w:r>
      <w:r w:rsidR="004075B5">
        <w:t>p</w:t>
      </w:r>
      <w:r w:rsidR="00F02527">
        <w:t>revent</w:t>
      </w:r>
      <w:r w:rsidR="004075B5">
        <w:t>ing</w:t>
      </w:r>
      <w:r w:rsidR="00E15964">
        <w:t xml:space="preserve"> </w:t>
      </w:r>
      <w:r w:rsidR="000A1A3B">
        <w:t>irreversible effects and</w:t>
      </w:r>
      <w:r w:rsidR="00F02527">
        <w:t xml:space="preserve"> </w:t>
      </w:r>
      <w:r w:rsidR="000A1A3B">
        <w:t>costly mistakes</w:t>
      </w:r>
      <w:r w:rsidR="00E15964">
        <w:t xml:space="preserve">; </w:t>
      </w:r>
      <w:r w:rsidR="000A1A3B">
        <w:t>captur</w:t>
      </w:r>
      <w:r w:rsidR="00E15964">
        <w:t xml:space="preserve">es </w:t>
      </w:r>
      <w:r w:rsidR="00AA610D">
        <w:t xml:space="preserve">cumulative </w:t>
      </w:r>
      <w:r w:rsidR="00F02527">
        <w:t>effects</w:t>
      </w:r>
      <w:r w:rsidR="00706621">
        <w:t>;</w:t>
      </w:r>
      <w:r w:rsidR="00F02527">
        <w:t xml:space="preserve"> </w:t>
      </w:r>
      <w:r w:rsidR="00B72FFC">
        <w:t>and</w:t>
      </w:r>
      <w:r w:rsidR="00613447">
        <w:t xml:space="preserve"> streaml</w:t>
      </w:r>
      <w:r w:rsidR="00E15964">
        <w:t>ines</w:t>
      </w:r>
      <w:r w:rsidR="000A1A3B">
        <w:t xml:space="preserve"> </w:t>
      </w:r>
      <w:r w:rsidR="00AA610D">
        <w:t xml:space="preserve">sectoral </w:t>
      </w:r>
      <w:r w:rsidR="00F5063F" w:rsidRPr="00F5063F">
        <w:t>planning</w:t>
      </w:r>
      <w:r w:rsidR="003D3B93">
        <w:t>.</w:t>
      </w:r>
    </w:p>
    <w:p w14:paraId="24A7A395" w14:textId="77777777" w:rsidR="003E71CD" w:rsidRDefault="000F31BA" w:rsidP="00C53AED">
      <w:pPr>
        <w:pStyle w:val="SingleTxtG"/>
      </w:pPr>
      <w:r>
        <w:t>8.</w:t>
      </w:r>
      <w:r>
        <w:tab/>
      </w:r>
      <w:r w:rsidR="00706621">
        <w:t>S</w:t>
      </w:r>
      <w:r w:rsidR="003E71CD">
        <w:t>trategic environmental assessment</w:t>
      </w:r>
      <w:r w:rsidR="00706621">
        <w:t xml:space="preserve"> greens,</w:t>
      </w:r>
      <w:r w:rsidR="003E71CD">
        <w:t xml:space="preserve"> </w:t>
      </w:r>
      <w:r w:rsidR="00A40680">
        <w:t xml:space="preserve">informs and </w:t>
      </w:r>
      <w:r w:rsidR="003E71CD">
        <w:t xml:space="preserve">improves </w:t>
      </w:r>
      <w:r w:rsidR="009F343E">
        <w:t>economic development</w:t>
      </w:r>
      <w:r w:rsidR="004561B8">
        <w:t xml:space="preserve"> planning</w:t>
      </w:r>
      <w:r w:rsidR="00A40680">
        <w:t>,</w:t>
      </w:r>
      <w:r w:rsidR="009F343E">
        <w:t xml:space="preserve"> </w:t>
      </w:r>
      <w:r w:rsidR="00706621">
        <w:t xml:space="preserve">bringing </w:t>
      </w:r>
      <w:r w:rsidR="003E71CD">
        <w:t>focus</w:t>
      </w:r>
      <w:r w:rsidR="00706621">
        <w:t>,</w:t>
      </w:r>
      <w:r w:rsidR="003E71CD">
        <w:t xml:space="preserve"> rigour a</w:t>
      </w:r>
      <w:r w:rsidR="00706621">
        <w:t>nd</w:t>
      </w:r>
      <w:r w:rsidR="003E71CD">
        <w:t xml:space="preserve"> openness </w:t>
      </w:r>
      <w:r w:rsidR="00706621">
        <w:t xml:space="preserve">to </w:t>
      </w:r>
      <w:r w:rsidR="003E71CD">
        <w:t>alternatives and innovation</w:t>
      </w:r>
      <w:r w:rsidR="003D3B93">
        <w:t>.</w:t>
      </w:r>
    </w:p>
    <w:p w14:paraId="4E3B5229" w14:textId="77777777" w:rsidR="003E71CD" w:rsidRDefault="000F31BA" w:rsidP="00C53AED">
      <w:pPr>
        <w:pStyle w:val="SingleTxtG"/>
      </w:pPr>
      <w:r>
        <w:t>9.</w:t>
      </w:r>
      <w:r>
        <w:tab/>
      </w:r>
      <w:r w:rsidR="005D7CAB">
        <w:t>D</w:t>
      </w:r>
      <w:r w:rsidR="003E71CD">
        <w:t>ecision</w:t>
      </w:r>
      <w:r w:rsidR="005D7CAB">
        <w:t xml:space="preserve"> </w:t>
      </w:r>
      <w:r w:rsidR="003E71CD">
        <w:t xml:space="preserve">makers must </w:t>
      </w:r>
      <w:r w:rsidR="004561B8">
        <w:t xml:space="preserve">carefully </w:t>
      </w:r>
      <w:r w:rsidR="003E71CD">
        <w:t xml:space="preserve">consider comments from environmental and health authorities and the public and explain how they have been taken into account: this improves transparency, </w:t>
      </w:r>
      <w:r w:rsidR="00DE14E8">
        <w:t xml:space="preserve">public </w:t>
      </w:r>
      <w:r w:rsidR="003E71CD">
        <w:t>acceptance and trust in decision-making</w:t>
      </w:r>
      <w:r w:rsidR="004561B8">
        <w:t>, including, as relevant, in a transboundary context</w:t>
      </w:r>
      <w:r w:rsidR="003D3B93">
        <w:t>.</w:t>
      </w:r>
    </w:p>
    <w:p w14:paraId="54CBD03A" w14:textId="77777777" w:rsidR="0012066F" w:rsidRDefault="000F31BA" w:rsidP="00C53AED">
      <w:pPr>
        <w:pStyle w:val="SingleTxtG"/>
      </w:pPr>
      <w:r>
        <w:t>10.</w:t>
      </w:r>
      <w:r>
        <w:tab/>
      </w:r>
      <w:r w:rsidR="00FA24DC">
        <w:t xml:space="preserve">The </w:t>
      </w:r>
      <w:r w:rsidR="009F343E">
        <w:t xml:space="preserve">benefits of </w:t>
      </w:r>
      <w:r w:rsidR="00FA24DC">
        <w:t xml:space="preserve">strategic environmental assessment </w:t>
      </w:r>
      <w:r w:rsidR="009F343E">
        <w:t xml:space="preserve">outweigh its costs, </w:t>
      </w:r>
      <w:r w:rsidR="00E27507">
        <w:t>which are</w:t>
      </w:r>
      <w:r w:rsidR="00FA24DC">
        <w:t xml:space="preserve"> marginal compared to </w:t>
      </w:r>
      <w:r w:rsidR="00613447">
        <w:t>those of plan</w:t>
      </w:r>
      <w:r w:rsidR="009D5E85">
        <w:t>/</w:t>
      </w:r>
      <w:r w:rsidR="00613447">
        <w:t>programme</w:t>
      </w:r>
      <w:r w:rsidR="00FA24DC">
        <w:t xml:space="preserve"> implement</w:t>
      </w:r>
      <w:r w:rsidR="00613447">
        <w:t xml:space="preserve">ation, </w:t>
      </w:r>
      <w:r w:rsidR="00FA24DC">
        <w:t xml:space="preserve">generally </w:t>
      </w:r>
      <w:r w:rsidR="004075B5">
        <w:t xml:space="preserve">representing </w:t>
      </w:r>
      <w:r w:rsidR="00FA24DC">
        <w:t xml:space="preserve">5 </w:t>
      </w:r>
      <w:r w:rsidR="004075B5">
        <w:t>to 1</w:t>
      </w:r>
      <w:r w:rsidR="00FA24DC">
        <w:t>0 per cent of planning costs</w:t>
      </w:r>
      <w:r w:rsidR="003D3B93">
        <w:t>.</w:t>
      </w:r>
    </w:p>
    <w:p w14:paraId="2A00190A" w14:textId="76299ADA" w:rsidR="003D70B8" w:rsidRDefault="000F31BA" w:rsidP="00C53AED">
      <w:pPr>
        <w:pStyle w:val="SingleTxtG"/>
      </w:pPr>
      <w:r>
        <w:t>11.</w:t>
      </w:r>
      <w:r>
        <w:tab/>
      </w:r>
      <w:r w:rsidR="003D70B8">
        <w:t>Conducting strategic environmental assessment</w:t>
      </w:r>
      <w:r w:rsidR="003E71CD">
        <w:t>s</w:t>
      </w:r>
      <w:r w:rsidR="003D70B8">
        <w:t xml:space="preserve"> </w:t>
      </w:r>
      <w:r w:rsidR="005D7CAB">
        <w:t xml:space="preserve">alongside </w:t>
      </w:r>
      <w:r w:rsidR="003D70B8">
        <w:t>planning proce</w:t>
      </w:r>
      <w:r w:rsidR="00E2086D">
        <w:t>ss</w:t>
      </w:r>
      <w:r w:rsidR="003E71CD">
        <w:t>es</w:t>
      </w:r>
      <w:r w:rsidR="003D70B8">
        <w:t xml:space="preserve"> saves time and money</w:t>
      </w:r>
      <w:r w:rsidR="003E71CD">
        <w:t>.</w:t>
      </w:r>
    </w:p>
    <w:p w14:paraId="60CD518C" w14:textId="77777777" w:rsidR="00A22991" w:rsidRPr="00A22991" w:rsidRDefault="00021135" w:rsidP="00A22991">
      <w:pPr>
        <w:pStyle w:val="HChG"/>
      </w:pPr>
      <w:r>
        <w:tab/>
      </w:r>
      <w:r w:rsidR="00E013CA">
        <w:t>I</w:t>
      </w:r>
      <w:r>
        <w:t>V.</w:t>
      </w:r>
      <w:r>
        <w:tab/>
      </w:r>
      <w:r w:rsidR="003B0CA7" w:rsidRPr="003B0CA7">
        <w:t>Five important things to do (max</w:t>
      </w:r>
      <w:r w:rsidR="005D7CAB">
        <w:t>.</w:t>
      </w:r>
      <w:r w:rsidR="003B0CA7" w:rsidRPr="003B0CA7">
        <w:t xml:space="preserve"> 150 words)</w:t>
      </w:r>
      <w:r w:rsidR="003B0CA7">
        <w:t xml:space="preserve"> </w:t>
      </w:r>
      <w:bookmarkEnd w:id="2"/>
    </w:p>
    <w:p w14:paraId="3FBE5B8D" w14:textId="77777777" w:rsidR="00E95F5D" w:rsidRDefault="00C46710" w:rsidP="00C53AED">
      <w:pPr>
        <w:pStyle w:val="SingleTxtG"/>
      </w:pPr>
      <w:r>
        <w:t>12.</w:t>
      </w:r>
      <w:r>
        <w:tab/>
      </w:r>
      <w:r w:rsidR="00E95F5D">
        <w:t xml:space="preserve">Consider becoming a Party to the Protocol and/or effectively implementing </w:t>
      </w:r>
      <w:r w:rsidR="006F314C">
        <w:t>its procedures</w:t>
      </w:r>
      <w:r w:rsidR="00DE14E8">
        <w:t>, after e</w:t>
      </w:r>
      <w:r w:rsidR="00E95F5D">
        <w:t>nsur</w:t>
      </w:r>
      <w:r w:rsidR="00DE14E8">
        <w:t>ing</w:t>
      </w:r>
      <w:r w:rsidR="00E95F5D">
        <w:t xml:space="preserve"> that national legislation is fully aligned with the Protocol, as </w:t>
      </w:r>
      <w:r>
        <w:t>required</w:t>
      </w:r>
      <w:r w:rsidR="00E95F5D">
        <w:t xml:space="preserve">, </w:t>
      </w:r>
      <w:r>
        <w:t>by</w:t>
      </w:r>
      <w:r w:rsidR="00E95F5D">
        <w:t xml:space="preserve"> amending existing laws and implementing regulations and/or by developing new ones</w:t>
      </w:r>
      <w:r w:rsidR="003D3B93">
        <w:t>.</w:t>
      </w:r>
    </w:p>
    <w:p w14:paraId="04CAF516" w14:textId="4E41A907" w:rsidR="00DD2081" w:rsidRDefault="00C46710" w:rsidP="00C53AED">
      <w:pPr>
        <w:pStyle w:val="SingleTxtG"/>
      </w:pPr>
      <w:r>
        <w:t>13.</w:t>
      </w:r>
      <w:r>
        <w:tab/>
      </w:r>
      <w:r w:rsidR="00674A81">
        <w:t xml:space="preserve">Raise awareness </w:t>
      </w:r>
      <w:r>
        <w:t>among</w:t>
      </w:r>
      <w:r w:rsidR="00674A81">
        <w:t xml:space="preserve"> decision-makers and the public o</w:t>
      </w:r>
      <w:r w:rsidR="00BC544F">
        <w:t>f</w:t>
      </w:r>
      <w:r w:rsidR="00674A81">
        <w:t xml:space="preserve"> the Protocol and its </w:t>
      </w:r>
      <w:r w:rsidR="00073C20">
        <w:t>benefits and</w:t>
      </w:r>
      <w:r w:rsidR="00674A81">
        <w:t xml:space="preserve"> b</w:t>
      </w:r>
      <w:r w:rsidR="00E95F5D">
        <w:t xml:space="preserve">uild adequate national implementation capacities of </w:t>
      </w:r>
      <w:r w:rsidR="009F343E">
        <w:t xml:space="preserve">competent </w:t>
      </w:r>
      <w:r w:rsidR="00674A81">
        <w:t xml:space="preserve">public </w:t>
      </w:r>
      <w:r w:rsidR="006F314C">
        <w:t>authorities</w:t>
      </w:r>
      <w:r w:rsidR="003E71CD">
        <w:t xml:space="preserve"> responsible for </w:t>
      </w:r>
      <w:r w:rsidR="00674A81">
        <w:t>undertaking strategic environmental assessment</w:t>
      </w:r>
      <w:r w:rsidR="003D3B93">
        <w:t>,</w:t>
      </w:r>
      <w:r w:rsidR="00674A81">
        <w:t xml:space="preserve"> </w:t>
      </w:r>
      <w:r w:rsidR="00E95F5D">
        <w:t xml:space="preserve">environmental </w:t>
      </w:r>
      <w:r w:rsidR="006F314C">
        <w:t xml:space="preserve">and health </w:t>
      </w:r>
      <w:r w:rsidR="00E95F5D">
        <w:t>authorities</w:t>
      </w:r>
      <w:r w:rsidR="00674A81">
        <w:t xml:space="preserve"> to be consulted and assessment </w:t>
      </w:r>
      <w:r w:rsidR="009F343E">
        <w:t>experts/</w:t>
      </w:r>
      <w:r w:rsidR="00674A81">
        <w:t>practiti</w:t>
      </w:r>
      <w:r w:rsidR="009F343E">
        <w:t>oners</w:t>
      </w:r>
      <w:r w:rsidR="003D3B93">
        <w:t>.</w:t>
      </w:r>
    </w:p>
    <w:p w14:paraId="7928FDB1" w14:textId="77777777" w:rsidR="00E27507" w:rsidRDefault="00C46710" w:rsidP="00C53AED">
      <w:pPr>
        <w:pStyle w:val="SingleTxtG"/>
      </w:pPr>
      <w:r>
        <w:t>14.</w:t>
      </w:r>
      <w:r>
        <w:tab/>
      </w:r>
      <w:r w:rsidR="00E95F5D">
        <w:t xml:space="preserve">Ensure early, timely and effective consultations </w:t>
      </w:r>
      <w:r w:rsidR="003E71CD">
        <w:t xml:space="preserve">of environmental and health authorities </w:t>
      </w:r>
      <w:r w:rsidR="00E95F5D">
        <w:t>and public participation</w:t>
      </w:r>
      <w:r w:rsidR="00E27507">
        <w:t>, including, as needed</w:t>
      </w:r>
      <w:r w:rsidR="004561B8">
        <w:t>,</w:t>
      </w:r>
      <w:r w:rsidR="00E27507">
        <w:t xml:space="preserve"> in a transboundary context</w:t>
      </w:r>
      <w:r w:rsidR="00E95F5D">
        <w:t xml:space="preserve"> – when all options are still open</w:t>
      </w:r>
      <w:r w:rsidR="003D3B93">
        <w:t>.</w:t>
      </w:r>
    </w:p>
    <w:p w14:paraId="3499720D" w14:textId="3EF53074" w:rsidR="00DD2081" w:rsidRDefault="00C46710" w:rsidP="00C53AED">
      <w:pPr>
        <w:pStyle w:val="SingleTxtG"/>
      </w:pPr>
      <w:r>
        <w:t>15.</w:t>
      </w:r>
      <w:r>
        <w:tab/>
      </w:r>
      <w:r w:rsidR="00DD2081">
        <w:t>Strengthen quality control measures to improve environmental reports, and further develop monitoring</w:t>
      </w:r>
      <w:r w:rsidR="003D3B93">
        <w:t>.</w:t>
      </w:r>
    </w:p>
    <w:p w14:paraId="7DB93536" w14:textId="5F50B1E6" w:rsidR="00E95F5D" w:rsidRDefault="00C46710" w:rsidP="00C53AED">
      <w:pPr>
        <w:pStyle w:val="SingleTxtG"/>
      </w:pPr>
      <w:r>
        <w:t>16.</w:t>
      </w:r>
      <w:r>
        <w:tab/>
      </w:r>
      <w:r w:rsidR="00DD2081">
        <w:t xml:space="preserve">Create incentives for mainstreaming consideration of Sustainable Development Goals in strategic environmental assessment, including translating the </w:t>
      </w:r>
      <w:r w:rsidR="003D3B93">
        <w:t>G</w:t>
      </w:r>
      <w:r w:rsidR="00DD2081">
        <w:t>oals that are relevant to a project or plan into context</w:t>
      </w:r>
      <w:r w:rsidR="00C67833">
        <w:t>-</w:t>
      </w:r>
      <w:r w:rsidR="00DD2081">
        <w:t xml:space="preserve">specific </w:t>
      </w:r>
      <w:r w:rsidR="00C67833">
        <w:t>criteria and subsequently applying them as benchmarks.</w:t>
      </w:r>
    </w:p>
    <w:p w14:paraId="0E0541E8" w14:textId="77777777" w:rsidR="00C47C9B" w:rsidRPr="00C47C9B" w:rsidRDefault="00C47C9B" w:rsidP="00021135">
      <w:pPr>
        <w:pStyle w:val="HChG"/>
      </w:pPr>
      <w:bookmarkStart w:id="3" w:name="_Toc13428233"/>
      <w:r>
        <w:tab/>
      </w:r>
      <w:r w:rsidR="00E013CA">
        <w:t>V</w:t>
      </w:r>
      <w:r w:rsidRPr="00C47C9B">
        <w:t>.</w:t>
      </w:r>
      <w:r>
        <w:tab/>
      </w:r>
      <w:r w:rsidR="00021135" w:rsidRPr="00021135">
        <w:t>Do you want to know more? (further reading)</w:t>
      </w:r>
      <w:r w:rsidR="00021135">
        <w:t xml:space="preserve"> </w:t>
      </w:r>
      <w:bookmarkEnd w:id="3"/>
      <w:r w:rsidR="00B31566" w:rsidRPr="00B31566">
        <w:t>(max</w:t>
      </w:r>
      <w:r w:rsidR="005D7CAB">
        <w:t>.</w:t>
      </w:r>
      <w:r w:rsidR="00B31566" w:rsidRPr="00B31566">
        <w:t xml:space="preserve"> 150 words)</w:t>
      </w:r>
    </w:p>
    <w:p w14:paraId="0EED528E" w14:textId="041B351A" w:rsidR="00907DD7" w:rsidRDefault="000F31BA" w:rsidP="005C530E">
      <w:pPr>
        <w:pStyle w:val="SingleTxtG"/>
        <w:jc w:val="left"/>
      </w:pPr>
      <w:r>
        <w:t>1</w:t>
      </w:r>
      <w:r w:rsidR="00C46710">
        <w:t>7</w:t>
      </w:r>
      <w:r w:rsidR="00C47C9B" w:rsidRPr="00C47C9B">
        <w:t>.</w:t>
      </w:r>
      <w:r w:rsidR="00C47C9B" w:rsidRPr="00C47C9B">
        <w:tab/>
      </w:r>
      <w:r w:rsidR="00907DD7">
        <w:t>For further information on the Protocol, please contact</w:t>
      </w:r>
      <w:r w:rsidR="00907DD7" w:rsidRPr="00731016">
        <w:t xml:space="preserve"> </w:t>
      </w:r>
      <w:r w:rsidR="00907DD7">
        <w:t>the ECE Secretariat to the Protocol, based in Geneva (</w:t>
      </w:r>
      <w:hyperlink r:id="rId9" w:history="1">
        <w:r w:rsidR="00907DD7" w:rsidRPr="00CA49E9">
          <w:rPr>
            <w:rStyle w:val="Hyperlink"/>
            <w:color w:val="auto"/>
          </w:rPr>
          <w:t>eia.conv@un.org</w:t>
        </w:r>
      </w:hyperlink>
      <w:r w:rsidR="00907DD7">
        <w:t>) and/or visit the Protocol’s home page</w:t>
      </w:r>
      <w:r w:rsidR="00907DD7" w:rsidRPr="00731016">
        <w:t xml:space="preserve"> </w:t>
      </w:r>
      <w:r w:rsidR="00907DD7">
        <w:t>(</w:t>
      </w:r>
      <w:hyperlink r:id="rId10" w:history="1">
        <w:r w:rsidR="00907DD7" w:rsidRPr="00CA49E9">
          <w:rPr>
            <w:rStyle w:val="Hyperlink"/>
            <w:color w:val="auto"/>
          </w:rPr>
          <w:t>www.unece.org/env/eia/eia.html</w:t>
        </w:r>
      </w:hyperlink>
      <w:r w:rsidR="00907DD7" w:rsidRPr="00CA49E9">
        <w:t xml:space="preserve"> and </w:t>
      </w:r>
      <w:hyperlink r:id="rId11" w:history="1">
        <w:r w:rsidR="004204DB">
          <w:rPr>
            <w:rStyle w:val="Hyperlink"/>
            <w:color w:val="auto"/>
          </w:rPr>
          <w:t>www.unece.org/env/eia/sea_protocol.html</w:t>
        </w:r>
      </w:hyperlink>
      <w:r w:rsidR="00907DD7" w:rsidRPr="00CA49E9">
        <w:rPr>
          <w:rStyle w:val="Hyperlink"/>
          <w:color w:val="auto"/>
        </w:rPr>
        <w:t>)</w:t>
      </w:r>
      <w:r w:rsidR="00907DD7">
        <w:rPr>
          <w:rStyle w:val="Hyperlink"/>
          <w:color w:val="auto"/>
        </w:rPr>
        <w:t>. S</w:t>
      </w:r>
      <w:r w:rsidR="00907DD7">
        <w:t>elected sources of information accessible from the homepage include the following:</w:t>
      </w:r>
    </w:p>
    <w:p w14:paraId="54948413" w14:textId="704AAA80" w:rsidR="00200900" w:rsidRDefault="00BE1248" w:rsidP="005C530E">
      <w:pPr>
        <w:pStyle w:val="SingleTxtG"/>
        <w:ind w:firstLine="567"/>
        <w:rPr>
          <w:rStyle w:val="Hyperlink"/>
          <w:color w:val="auto"/>
        </w:rPr>
      </w:pPr>
      <w:r>
        <w:t>(</w:t>
      </w:r>
      <w:r w:rsidR="00907DD7">
        <w:t>a</w:t>
      </w:r>
      <w:r>
        <w:t>)</w:t>
      </w:r>
      <w:r>
        <w:tab/>
      </w:r>
      <w:r w:rsidR="00200900">
        <w:t xml:space="preserve">Text of the </w:t>
      </w:r>
      <w:r>
        <w:t>Protocol</w:t>
      </w:r>
      <w:r w:rsidR="008B2DD2" w:rsidRPr="000E7E0E">
        <w:rPr>
          <w:rStyle w:val="Hyperlink"/>
          <w:color w:val="auto"/>
        </w:rPr>
        <w:t>;</w:t>
      </w:r>
    </w:p>
    <w:p w14:paraId="5127385D" w14:textId="418A6F85" w:rsidR="00A44AC3" w:rsidRDefault="00F312B4" w:rsidP="005C530E">
      <w:pPr>
        <w:pStyle w:val="SingleTxtG"/>
        <w:ind w:firstLine="567"/>
        <w:jc w:val="left"/>
        <w:rPr>
          <w:rStyle w:val="Hyperlink"/>
          <w:color w:val="auto"/>
        </w:rPr>
      </w:pPr>
      <w:r>
        <w:rPr>
          <w:rStyle w:val="Hyperlink"/>
          <w:color w:val="auto"/>
        </w:rPr>
        <w:tab/>
      </w:r>
      <w:r w:rsidRPr="00F312B4">
        <w:t>(</w:t>
      </w:r>
      <w:r w:rsidR="00907DD7">
        <w:t>b</w:t>
      </w:r>
      <w:r w:rsidRPr="00F312B4">
        <w:t>)</w:t>
      </w:r>
      <w:r w:rsidRPr="00F312B4">
        <w:tab/>
        <w:t>Status of ratification</w:t>
      </w:r>
      <w:r w:rsidR="00907DD7">
        <w:t>;</w:t>
      </w:r>
      <w:bookmarkStart w:id="4" w:name="_Hlk17814985"/>
    </w:p>
    <w:p w14:paraId="629C4000" w14:textId="7E8012BE" w:rsidR="00200900" w:rsidRPr="00C16770" w:rsidRDefault="00E236B8" w:rsidP="00CA49E9">
      <w:pPr>
        <w:pStyle w:val="SingleTxtG"/>
        <w:ind w:firstLine="567"/>
      </w:pPr>
      <w:r>
        <w:rPr>
          <w:rStyle w:val="Hyperlink"/>
          <w:color w:val="auto"/>
        </w:rPr>
        <w:t>(</w:t>
      </w:r>
      <w:r w:rsidR="00907DD7">
        <w:rPr>
          <w:rStyle w:val="Hyperlink"/>
          <w:color w:val="auto"/>
        </w:rPr>
        <w:t>c</w:t>
      </w:r>
      <w:r>
        <w:rPr>
          <w:rStyle w:val="Hyperlink"/>
          <w:color w:val="auto"/>
        </w:rPr>
        <w:t>)</w:t>
      </w:r>
      <w:r>
        <w:rPr>
          <w:rStyle w:val="Hyperlink"/>
          <w:color w:val="auto"/>
        </w:rPr>
        <w:tab/>
      </w:r>
      <w:r w:rsidRPr="00CA49E9">
        <w:rPr>
          <w:rStyle w:val="Hyperlink"/>
          <w:color w:val="auto"/>
        </w:rPr>
        <w:t>Introductory</w:t>
      </w:r>
      <w:r>
        <w:rPr>
          <w:rStyle w:val="Hyperlink"/>
          <w:color w:val="auto"/>
        </w:rPr>
        <w:t xml:space="preserve"> video on the Protocol</w:t>
      </w:r>
      <w:bookmarkStart w:id="5" w:name="_Hlk19038494"/>
      <w:bookmarkEnd w:id="4"/>
      <w:r w:rsidR="008B2DD2" w:rsidRPr="000E7E0E">
        <w:rPr>
          <w:rStyle w:val="Hyperlink"/>
          <w:color w:val="auto"/>
        </w:rPr>
        <w:t>;</w:t>
      </w:r>
    </w:p>
    <w:bookmarkEnd w:id="5"/>
    <w:p w14:paraId="1F503411" w14:textId="4689B4C7" w:rsidR="00184C16" w:rsidRPr="000E7E0E" w:rsidRDefault="00200900" w:rsidP="00200900">
      <w:pPr>
        <w:pStyle w:val="SingleTxtG"/>
        <w:ind w:firstLine="567"/>
      </w:pPr>
      <w:r w:rsidRPr="000E7E0E">
        <w:t>(</w:t>
      </w:r>
      <w:r w:rsidR="005C530E">
        <w:t>d</w:t>
      </w:r>
      <w:r w:rsidRPr="000E7E0E">
        <w:t>)</w:t>
      </w:r>
      <w:r w:rsidRPr="000E7E0E">
        <w:tab/>
      </w:r>
      <w:r w:rsidR="00184C16" w:rsidRPr="000E7E0E">
        <w:t>Publications</w:t>
      </w:r>
      <w:r w:rsidR="00264591" w:rsidRPr="000E7E0E">
        <w:rPr>
          <w:rStyle w:val="Hyperlink"/>
          <w:color w:val="auto"/>
        </w:rPr>
        <w:t>, for example:</w:t>
      </w:r>
      <w:r w:rsidR="00184C16" w:rsidRPr="000E7E0E">
        <w:t xml:space="preserve"> </w:t>
      </w:r>
    </w:p>
    <w:p w14:paraId="62EA3183" w14:textId="0655F3ED" w:rsidR="00561727" w:rsidRPr="00CA49E9" w:rsidRDefault="00BE0139" w:rsidP="00BE0139">
      <w:pPr>
        <w:pStyle w:val="Bullet1G"/>
        <w:numPr>
          <w:ilvl w:val="0"/>
          <w:numId w:val="0"/>
        </w:numPr>
        <w:tabs>
          <w:tab w:val="left" w:pos="2268"/>
        </w:tabs>
        <w:ind w:left="2268" w:hanging="283"/>
      </w:pPr>
      <w:bookmarkStart w:id="6" w:name="_Hlk18427627"/>
      <w:r w:rsidRPr="00CA49E9">
        <w:lastRenderedPageBreak/>
        <w:t>•</w:t>
      </w:r>
      <w:r w:rsidRPr="00CA49E9">
        <w:tab/>
      </w:r>
      <w:r w:rsidR="00CA49E9" w:rsidRPr="00CA49E9">
        <w:tab/>
      </w:r>
      <w:r w:rsidR="00561727" w:rsidRPr="00CA49E9">
        <w:t>Resource Manual to Support Application of the</w:t>
      </w:r>
      <w:r w:rsidR="00D30777" w:rsidRPr="00CA49E9">
        <w:t xml:space="preserve"> </w:t>
      </w:r>
      <w:r w:rsidR="00561727" w:rsidRPr="00CA49E9">
        <w:t>Protocol</w:t>
      </w:r>
      <w:r w:rsidR="005C530E" w:rsidRPr="00CA49E9">
        <w:t xml:space="preserve"> </w:t>
      </w:r>
      <w:bookmarkStart w:id="7" w:name="_Hlk19112731"/>
      <w:r w:rsidR="005C530E" w:rsidRPr="00CA49E9">
        <w:t>on Strategic Environmental Assessment</w:t>
      </w:r>
      <w:bookmarkEnd w:id="7"/>
      <w:r w:rsidR="005C530E" w:rsidRPr="00CA49E9">
        <w:t>;</w:t>
      </w:r>
      <w:r w:rsidR="00561727" w:rsidRPr="00CA49E9">
        <w:t xml:space="preserve"> </w:t>
      </w:r>
      <w:bookmarkEnd w:id="6"/>
    </w:p>
    <w:p w14:paraId="4D7A576A" w14:textId="51676336" w:rsidR="00561727" w:rsidRPr="00CA49E9" w:rsidRDefault="00BE0139" w:rsidP="00BE0139">
      <w:pPr>
        <w:pStyle w:val="Bullet1G"/>
        <w:numPr>
          <w:ilvl w:val="0"/>
          <w:numId w:val="0"/>
        </w:numPr>
        <w:tabs>
          <w:tab w:val="left" w:pos="2268"/>
        </w:tabs>
        <w:ind w:left="2268" w:hanging="283"/>
      </w:pPr>
      <w:r w:rsidRPr="00CA49E9">
        <w:t>•</w:t>
      </w:r>
      <w:r w:rsidRPr="00CA49E9">
        <w:tab/>
      </w:r>
      <w:r w:rsidR="00561727" w:rsidRPr="00CA49E9">
        <w:t>Simplified Resource Manual to Support Application of the Protocol</w:t>
      </w:r>
      <w:r w:rsidR="005C530E" w:rsidRPr="00CA49E9">
        <w:t xml:space="preserve"> on Strategic Environmental Assessment;</w:t>
      </w:r>
    </w:p>
    <w:p w14:paraId="69785BC4" w14:textId="33A80F80" w:rsidR="00561727" w:rsidRPr="00CA49E9" w:rsidRDefault="00BE0139" w:rsidP="00BE0139">
      <w:pPr>
        <w:pStyle w:val="Bullet1G"/>
        <w:numPr>
          <w:ilvl w:val="0"/>
          <w:numId w:val="0"/>
        </w:numPr>
        <w:tabs>
          <w:tab w:val="left" w:pos="2268"/>
        </w:tabs>
        <w:ind w:left="2268" w:hanging="283"/>
      </w:pPr>
      <w:r w:rsidRPr="00CA49E9">
        <w:t>•</w:t>
      </w:r>
      <w:r w:rsidRPr="00CA49E9">
        <w:tab/>
      </w:r>
      <w:r w:rsidR="00CA49E9" w:rsidRPr="00CA49E9">
        <w:tab/>
      </w:r>
      <w:r w:rsidR="00C01097" w:rsidRPr="00CA49E9">
        <w:t>Good Practice Recommendations on Public Participation in Strategic Environmental Assessment</w:t>
      </w:r>
      <w:r w:rsidR="005C530E" w:rsidRPr="00CA49E9">
        <w:t>;</w:t>
      </w:r>
    </w:p>
    <w:p w14:paraId="49655B60" w14:textId="3C80C8E7" w:rsidR="001A596C" w:rsidRPr="00CA49E9" w:rsidRDefault="00BE0139" w:rsidP="00BE0139">
      <w:pPr>
        <w:pStyle w:val="Bullet1G"/>
        <w:numPr>
          <w:ilvl w:val="0"/>
          <w:numId w:val="0"/>
        </w:numPr>
        <w:tabs>
          <w:tab w:val="left" w:pos="2268"/>
        </w:tabs>
        <w:ind w:left="2268" w:hanging="283"/>
      </w:pPr>
      <w:r w:rsidRPr="00CA49E9">
        <w:t>•</w:t>
      </w:r>
      <w:r w:rsidRPr="00CA49E9">
        <w:tab/>
      </w:r>
      <w:r w:rsidR="00CA49E9" w:rsidRPr="00CA49E9">
        <w:tab/>
      </w:r>
      <w:r w:rsidR="001A596C" w:rsidRPr="00CA49E9">
        <w:t xml:space="preserve">Protocol on Strategic Environmental Assessment: Facts and Benefits: </w:t>
      </w:r>
    </w:p>
    <w:p w14:paraId="506F3E4D" w14:textId="10B2F57F" w:rsidR="00561727" w:rsidRPr="00CA49E9" w:rsidRDefault="00BE0139" w:rsidP="00BE0139">
      <w:pPr>
        <w:pStyle w:val="Bullet1G"/>
        <w:numPr>
          <w:ilvl w:val="0"/>
          <w:numId w:val="0"/>
        </w:numPr>
        <w:tabs>
          <w:tab w:val="left" w:pos="2268"/>
        </w:tabs>
        <w:ind w:left="2268" w:hanging="283"/>
      </w:pPr>
      <w:r w:rsidRPr="00CA49E9">
        <w:t>•</w:t>
      </w:r>
      <w:r w:rsidRPr="00CA49E9">
        <w:tab/>
      </w:r>
      <w:r w:rsidR="00CA49E9" w:rsidRPr="00CA49E9">
        <w:tab/>
      </w:r>
      <w:r w:rsidR="00C01097" w:rsidRPr="00CA49E9">
        <w:t>Guidance on Land-Use Planning, the Siting of Hazardous Activities and related Safety Aspects</w:t>
      </w:r>
      <w:r w:rsidR="005C530E" w:rsidRPr="00CA49E9">
        <w:t>;</w:t>
      </w:r>
    </w:p>
    <w:p w14:paraId="56B5F44D" w14:textId="705890AB" w:rsidR="00C01097" w:rsidRPr="00CA49E9" w:rsidRDefault="00BE0139" w:rsidP="00BE0139">
      <w:pPr>
        <w:pStyle w:val="Bullet1G"/>
        <w:numPr>
          <w:ilvl w:val="0"/>
          <w:numId w:val="0"/>
        </w:numPr>
        <w:tabs>
          <w:tab w:val="left" w:pos="2268"/>
        </w:tabs>
        <w:ind w:left="2268" w:hanging="283"/>
      </w:pPr>
      <w:r w:rsidRPr="00CA49E9">
        <w:t>•</w:t>
      </w:r>
      <w:r w:rsidRPr="00CA49E9">
        <w:tab/>
      </w:r>
      <w:r w:rsidR="00CA49E9" w:rsidRPr="00CA49E9">
        <w:tab/>
      </w:r>
      <w:r w:rsidR="00C01097" w:rsidRPr="00CA49E9">
        <w:t>Application of the Protocol on Strategic Environmental Assessment - Manual for Trainers</w:t>
      </w:r>
      <w:r w:rsidR="005C530E" w:rsidRPr="00CA49E9">
        <w:t>;</w:t>
      </w:r>
    </w:p>
    <w:p w14:paraId="1D6A1022" w14:textId="31AA6103" w:rsidR="00C01097" w:rsidRPr="00CA49E9" w:rsidRDefault="00BE0139" w:rsidP="00BE0139">
      <w:pPr>
        <w:pStyle w:val="Bullet1G"/>
        <w:numPr>
          <w:ilvl w:val="0"/>
          <w:numId w:val="0"/>
        </w:numPr>
        <w:tabs>
          <w:tab w:val="left" w:pos="2268"/>
        </w:tabs>
        <w:ind w:left="2268" w:hanging="283"/>
      </w:pPr>
      <w:r w:rsidRPr="00CA49E9">
        <w:t>•</w:t>
      </w:r>
      <w:r w:rsidRPr="00CA49E9">
        <w:tab/>
      </w:r>
      <w:r w:rsidR="00CA49E9" w:rsidRPr="00CA49E9">
        <w:tab/>
      </w:r>
      <w:r w:rsidR="00C01097" w:rsidRPr="00CA49E9">
        <w:t>Practical guidance on reforming legal and institutional structures with regard to the application of the Protocol on Strategic Environmental Assessment</w:t>
      </w:r>
      <w:r w:rsidR="005C530E" w:rsidRPr="00CA49E9">
        <w:t>.</w:t>
      </w:r>
    </w:p>
    <w:p w14:paraId="08F999E2" w14:textId="645A08C6" w:rsidR="00184C16" w:rsidRDefault="00184C16" w:rsidP="00B6659F">
      <w:pPr>
        <w:pStyle w:val="SingleTxtG"/>
        <w:ind w:firstLine="567"/>
        <w:jc w:val="left"/>
      </w:pPr>
      <w:r w:rsidRPr="00E0287C">
        <w:t>(</w:t>
      </w:r>
      <w:r w:rsidR="005C530E">
        <w:t>e</w:t>
      </w:r>
      <w:r w:rsidRPr="00E0287C">
        <w:t>)</w:t>
      </w:r>
      <w:r w:rsidRPr="00E0287C">
        <w:tab/>
        <w:t xml:space="preserve">Opinions of </w:t>
      </w:r>
      <w:r>
        <w:t xml:space="preserve">the Implementation Committee, cases and other material </w:t>
      </w:r>
      <w:r w:rsidR="005C530E">
        <w:t>on review</w:t>
      </w:r>
      <w:r>
        <w:t xml:space="preserve"> of compliance under the </w:t>
      </w:r>
      <w:r w:rsidR="00561727">
        <w:t>Protocol</w:t>
      </w:r>
      <w:r>
        <w:t>;</w:t>
      </w:r>
    </w:p>
    <w:p w14:paraId="6A91290C" w14:textId="389D16BF" w:rsidR="00184C16" w:rsidRDefault="00184C16" w:rsidP="00B6659F">
      <w:pPr>
        <w:pStyle w:val="SingleTxtG"/>
        <w:ind w:firstLine="567"/>
        <w:jc w:val="left"/>
      </w:pPr>
      <w:r>
        <w:t>(</w:t>
      </w:r>
      <w:r w:rsidR="005C530E">
        <w:t>f</w:t>
      </w:r>
      <w:r>
        <w:t>)</w:t>
      </w:r>
      <w:r>
        <w:tab/>
        <w:t>National report</w:t>
      </w:r>
      <w:r w:rsidR="00945373">
        <w:t>s</w:t>
      </w:r>
      <w:r>
        <w:t xml:space="preserve"> and reviews of implementation;</w:t>
      </w:r>
    </w:p>
    <w:p w14:paraId="0EC6C179" w14:textId="271E83A0" w:rsidR="00561727" w:rsidRDefault="00184C16" w:rsidP="005C530E">
      <w:pPr>
        <w:pStyle w:val="SingleTxtG"/>
        <w:ind w:firstLine="567"/>
        <w:jc w:val="left"/>
      </w:pPr>
      <w:r>
        <w:t>(</w:t>
      </w:r>
      <w:r w:rsidR="005C530E">
        <w:t>g</w:t>
      </w:r>
      <w:r>
        <w:t>)</w:t>
      </w:r>
      <w:r>
        <w:tab/>
        <w:t xml:space="preserve">Format </w:t>
      </w:r>
      <w:r w:rsidR="00C16770">
        <w:t>for</w:t>
      </w:r>
      <w:r>
        <w:t xml:space="preserve"> notification under the </w:t>
      </w:r>
      <w:r w:rsidR="00561727">
        <w:t>Protocol</w:t>
      </w:r>
      <w:r w:rsidR="005C530E">
        <w:t xml:space="preserve">; </w:t>
      </w:r>
    </w:p>
    <w:p w14:paraId="79F8F32E" w14:textId="7E8BCFEB" w:rsidR="00184C16" w:rsidRDefault="00184C16" w:rsidP="00B6659F">
      <w:pPr>
        <w:pStyle w:val="SingleTxtG"/>
        <w:ind w:firstLine="567"/>
        <w:jc w:val="left"/>
      </w:pPr>
      <w:r>
        <w:t>(</w:t>
      </w:r>
      <w:r w:rsidR="005C530E">
        <w:t>h</w:t>
      </w:r>
      <w:r>
        <w:t>)</w:t>
      </w:r>
      <w:r>
        <w:tab/>
      </w:r>
      <w:r w:rsidR="00945373">
        <w:t>Lists of p</w:t>
      </w:r>
      <w:r>
        <w:t xml:space="preserve">oints of contact </w:t>
      </w:r>
      <w:r w:rsidR="00C16770">
        <w:t>regarding</w:t>
      </w:r>
      <w:r>
        <w:t xml:space="preserve"> notification</w:t>
      </w:r>
      <w:r w:rsidR="00945373">
        <w:t xml:space="preserve"> and of focal points for administrative matters</w:t>
      </w:r>
      <w:r>
        <w:t>;</w:t>
      </w:r>
    </w:p>
    <w:p w14:paraId="5BE8D1CB" w14:textId="704C8593" w:rsidR="00184C16" w:rsidRDefault="00184C16" w:rsidP="005C530E">
      <w:pPr>
        <w:pStyle w:val="SingleTxtG"/>
        <w:ind w:firstLine="567"/>
        <w:jc w:val="left"/>
      </w:pPr>
      <w:r>
        <w:t>(</w:t>
      </w:r>
      <w:r w:rsidR="00945373">
        <w:t>i</w:t>
      </w:r>
      <w:r>
        <w:t>)</w:t>
      </w:r>
      <w:r>
        <w:tab/>
        <w:t xml:space="preserve">Overview of the bodies under the </w:t>
      </w:r>
      <w:r w:rsidR="00561727">
        <w:t>Protocol</w:t>
      </w:r>
      <w:r w:rsidR="008B2DD2" w:rsidRPr="00286ACD">
        <w:rPr>
          <w:rStyle w:val="Hyperlink"/>
          <w:color w:val="000000" w:themeColor="text1"/>
        </w:rPr>
        <w:t>;</w:t>
      </w:r>
    </w:p>
    <w:p w14:paraId="0DC54E03" w14:textId="403B55A7" w:rsidR="00184C16" w:rsidRPr="00CA49E9" w:rsidRDefault="00184C16" w:rsidP="005C530E">
      <w:pPr>
        <w:pStyle w:val="SingleTxtG"/>
        <w:ind w:firstLine="567"/>
        <w:jc w:val="left"/>
        <w:rPr>
          <w:rStyle w:val="Hyperlink"/>
          <w:color w:val="auto"/>
        </w:rPr>
      </w:pPr>
      <w:r>
        <w:t>(</w:t>
      </w:r>
      <w:r w:rsidR="00945373">
        <w:t>j)</w:t>
      </w:r>
      <w:r>
        <w:tab/>
        <w:t>Decisions by the Meetings of the Parties</w:t>
      </w:r>
      <w:r w:rsidR="00BA5D9E">
        <w:t>;</w:t>
      </w:r>
      <w:r>
        <w:t xml:space="preserve"> </w:t>
      </w:r>
    </w:p>
    <w:p w14:paraId="654E86D4" w14:textId="00941698" w:rsidR="00184C16" w:rsidRDefault="00184C16" w:rsidP="001874F9">
      <w:pPr>
        <w:pStyle w:val="SingleTxtG"/>
        <w:ind w:firstLine="567"/>
        <w:rPr>
          <w:rStyle w:val="Hyperlink"/>
          <w:color w:val="auto"/>
        </w:rPr>
      </w:pPr>
      <w:r w:rsidRPr="00B37EA0">
        <w:rPr>
          <w:rStyle w:val="Hyperlink"/>
          <w:color w:val="auto"/>
        </w:rPr>
        <w:t>(</w:t>
      </w:r>
      <w:r w:rsidR="00945373">
        <w:rPr>
          <w:rStyle w:val="Hyperlink"/>
          <w:color w:val="auto"/>
        </w:rPr>
        <w:t>k</w:t>
      </w:r>
      <w:r w:rsidRPr="00B37EA0">
        <w:rPr>
          <w:rStyle w:val="Hyperlink"/>
          <w:color w:val="auto"/>
        </w:rPr>
        <w:t>)</w:t>
      </w:r>
      <w:r w:rsidRPr="00B37EA0">
        <w:rPr>
          <w:rStyle w:val="Hyperlink"/>
          <w:color w:val="auto"/>
        </w:rPr>
        <w:tab/>
      </w:r>
      <w:r w:rsidR="00945373">
        <w:rPr>
          <w:rStyle w:val="Hyperlink"/>
          <w:color w:val="auto"/>
        </w:rPr>
        <w:t>Calendar of m</w:t>
      </w:r>
      <w:r w:rsidRPr="00B37EA0">
        <w:rPr>
          <w:rStyle w:val="Hyperlink"/>
          <w:color w:val="auto"/>
        </w:rPr>
        <w:t>eetings and events</w:t>
      </w:r>
      <w:r>
        <w:rPr>
          <w:rStyle w:val="Hyperlink"/>
          <w:color w:val="auto"/>
        </w:rPr>
        <w:t>, including official meetings and capacity</w:t>
      </w:r>
      <w:r w:rsidR="00C16770">
        <w:rPr>
          <w:rStyle w:val="Hyperlink"/>
          <w:color w:val="auto"/>
        </w:rPr>
        <w:t>-</w:t>
      </w:r>
      <w:r>
        <w:rPr>
          <w:rStyle w:val="Hyperlink"/>
          <w:color w:val="auto"/>
        </w:rPr>
        <w:t>building events</w:t>
      </w:r>
      <w:r w:rsidR="005C530E">
        <w:rPr>
          <w:rStyle w:val="Hyperlink"/>
          <w:color w:val="auto"/>
        </w:rPr>
        <w:t>.</w:t>
      </w:r>
    </w:p>
    <w:p w14:paraId="4C336750" w14:textId="6B0F3457" w:rsidR="00E32223" w:rsidRPr="00E32223" w:rsidRDefault="00E32223" w:rsidP="00E32223">
      <w:pPr>
        <w:spacing w:before="240"/>
        <w:jc w:val="center"/>
        <w:rPr>
          <w:rStyle w:val="Hyperlink"/>
          <w:color w:val="auto"/>
          <w:u w:val="single"/>
        </w:rPr>
      </w:pPr>
      <w:r>
        <w:rPr>
          <w:rStyle w:val="Hyperlink"/>
          <w:color w:val="auto"/>
          <w:u w:val="single"/>
        </w:rPr>
        <w:tab/>
      </w:r>
      <w:r>
        <w:rPr>
          <w:rStyle w:val="Hyperlink"/>
          <w:color w:val="auto"/>
          <w:u w:val="single"/>
        </w:rPr>
        <w:tab/>
      </w:r>
      <w:r>
        <w:rPr>
          <w:rStyle w:val="Hyperlink"/>
          <w:color w:val="auto"/>
          <w:u w:val="single"/>
        </w:rPr>
        <w:tab/>
      </w:r>
    </w:p>
    <w:sectPr w:rsidR="00E32223" w:rsidRPr="00E32223" w:rsidSect="003558BF">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86D3E" w14:textId="77777777" w:rsidR="00340412" w:rsidRDefault="00340412"/>
  </w:endnote>
  <w:endnote w:type="continuationSeparator" w:id="0">
    <w:p w14:paraId="08528FA6" w14:textId="77777777" w:rsidR="00340412" w:rsidRDefault="00340412"/>
  </w:endnote>
  <w:endnote w:type="continuationNotice" w:id="1">
    <w:p w14:paraId="3BABF9F0" w14:textId="77777777" w:rsidR="00340412" w:rsidRDefault="003404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7B0BE" w14:textId="09B9A2E2" w:rsidR="003558BF" w:rsidRPr="003558BF" w:rsidRDefault="003558BF" w:rsidP="003558BF">
    <w:pPr>
      <w:pStyle w:val="Footer"/>
      <w:tabs>
        <w:tab w:val="right" w:pos="9638"/>
      </w:tabs>
      <w:rPr>
        <w:sz w:val="18"/>
      </w:rPr>
    </w:pPr>
    <w:r w:rsidRPr="003558BF">
      <w:rPr>
        <w:b/>
        <w:sz w:val="18"/>
      </w:rPr>
      <w:fldChar w:fldCharType="begin"/>
    </w:r>
    <w:r w:rsidRPr="003558BF">
      <w:rPr>
        <w:b/>
        <w:sz w:val="18"/>
      </w:rPr>
      <w:instrText xml:space="preserve"> PAGE  \* MERGEFORMAT </w:instrText>
    </w:r>
    <w:r w:rsidRPr="003558BF">
      <w:rPr>
        <w:b/>
        <w:sz w:val="18"/>
      </w:rPr>
      <w:fldChar w:fldCharType="separate"/>
    </w:r>
    <w:r w:rsidR="00BE0139">
      <w:rPr>
        <w:b/>
        <w:noProof/>
        <w:sz w:val="18"/>
      </w:rPr>
      <w:t>2</w:t>
    </w:r>
    <w:r w:rsidRPr="003558B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C980F" w14:textId="33DA6F33" w:rsidR="003558BF" w:rsidRPr="003558BF" w:rsidRDefault="003558BF" w:rsidP="003558BF">
    <w:pPr>
      <w:pStyle w:val="Footer"/>
      <w:tabs>
        <w:tab w:val="right" w:pos="9638"/>
      </w:tabs>
      <w:rPr>
        <w:b/>
        <w:sz w:val="18"/>
      </w:rPr>
    </w:pPr>
    <w:r>
      <w:tab/>
    </w:r>
    <w:r w:rsidRPr="003558BF">
      <w:rPr>
        <w:b/>
        <w:sz w:val="18"/>
      </w:rPr>
      <w:fldChar w:fldCharType="begin"/>
    </w:r>
    <w:r w:rsidRPr="003558BF">
      <w:rPr>
        <w:b/>
        <w:sz w:val="18"/>
      </w:rPr>
      <w:instrText xml:space="preserve"> PAGE  \* MERGEFORMAT </w:instrText>
    </w:r>
    <w:r w:rsidRPr="003558BF">
      <w:rPr>
        <w:b/>
        <w:sz w:val="18"/>
      </w:rPr>
      <w:fldChar w:fldCharType="separate"/>
    </w:r>
    <w:r w:rsidR="00BE0139">
      <w:rPr>
        <w:b/>
        <w:noProof/>
        <w:sz w:val="18"/>
      </w:rPr>
      <w:t>3</w:t>
    </w:r>
    <w:r w:rsidRPr="003558B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80BD0" w14:textId="2B30F4EB" w:rsidR="0035223F" w:rsidRDefault="00C23DFD" w:rsidP="00C23DFD">
    <w:pPr>
      <w:pStyle w:val="Footer"/>
      <w:rPr>
        <w:sz w:val="20"/>
      </w:rPr>
    </w:pPr>
    <w:r>
      <w:rPr>
        <w:rFonts w:ascii="C39T30Lfz" w:hAnsi="C39T30Lfz"/>
        <w:noProof/>
        <w:sz w:val="56"/>
        <w:lang w:val="en-US" w:eastAsia="zh-CN"/>
      </w:rPr>
      <w:drawing>
        <wp:anchor distT="0" distB="0" distL="114300" distR="114300" simplePos="0" relativeHeight="251660800" behindDoc="0" locked="0" layoutInCell="1" allowOverlap="1" wp14:anchorId="31755EA0" wp14:editId="10F3F2CB">
          <wp:simplePos x="0" y="0"/>
          <wp:positionH relativeFrom="column">
            <wp:posOffset>5545556</wp:posOffset>
          </wp:positionH>
          <wp:positionV relativeFrom="paragraph">
            <wp:posOffset>131166</wp:posOffset>
          </wp:positionV>
          <wp:extent cx="561975" cy="561975"/>
          <wp:effectExtent l="0" t="0" r="9525" b="9525"/>
          <wp:wrapNone/>
          <wp:docPr id="3" name="Picture 1" descr="https://undocs.org/m2/QRCode.ashx?DS=ECE/MP.EIA/WG.2/2019/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WG.2/2019/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3DFD">
      <w:rPr>
        <w:noProof/>
        <w:sz w:val="20"/>
        <w:lang w:val="en-US" w:eastAsia="zh-CN"/>
      </w:rPr>
      <w:drawing>
        <wp:anchor distT="0" distB="0" distL="114300" distR="114300" simplePos="0" relativeHeight="251659776" behindDoc="1" locked="1" layoutInCell="1" allowOverlap="1" wp14:anchorId="21342E20" wp14:editId="69DA359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2432275" w14:textId="6A1A5842" w:rsidR="00C23DFD" w:rsidRDefault="00C23DFD" w:rsidP="00C23DFD">
    <w:pPr>
      <w:pStyle w:val="Footer"/>
      <w:ind w:right="1134"/>
      <w:rPr>
        <w:sz w:val="20"/>
      </w:rPr>
    </w:pPr>
    <w:r>
      <w:rPr>
        <w:sz w:val="20"/>
      </w:rPr>
      <w:t>GE.19-15890(E)</w:t>
    </w:r>
  </w:p>
  <w:p w14:paraId="73BED28F" w14:textId="34909F03" w:rsidR="00C23DFD" w:rsidRPr="00C23DFD" w:rsidRDefault="00C23DFD" w:rsidP="00C23DF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B4F1D" w14:textId="77777777" w:rsidR="00340412" w:rsidRPr="000B175B" w:rsidRDefault="00340412" w:rsidP="000B175B">
      <w:pPr>
        <w:tabs>
          <w:tab w:val="right" w:pos="2155"/>
        </w:tabs>
        <w:spacing w:after="80"/>
        <w:ind w:left="680"/>
        <w:rPr>
          <w:u w:val="single"/>
        </w:rPr>
      </w:pPr>
      <w:r>
        <w:rPr>
          <w:u w:val="single"/>
        </w:rPr>
        <w:tab/>
      </w:r>
    </w:p>
  </w:footnote>
  <w:footnote w:type="continuationSeparator" w:id="0">
    <w:p w14:paraId="767FAD3C" w14:textId="77777777" w:rsidR="00340412" w:rsidRPr="00FC68B7" w:rsidRDefault="00340412" w:rsidP="00FC68B7">
      <w:pPr>
        <w:tabs>
          <w:tab w:val="left" w:pos="2155"/>
        </w:tabs>
        <w:spacing w:after="80"/>
        <w:ind w:left="680"/>
        <w:rPr>
          <w:u w:val="single"/>
        </w:rPr>
      </w:pPr>
      <w:r>
        <w:rPr>
          <w:u w:val="single"/>
        </w:rPr>
        <w:tab/>
      </w:r>
    </w:p>
  </w:footnote>
  <w:footnote w:type="continuationNotice" w:id="1">
    <w:p w14:paraId="11E1B8ED" w14:textId="77777777" w:rsidR="00340412" w:rsidRDefault="00340412"/>
  </w:footnote>
  <w:footnote w:id="2">
    <w:p w14:paraId="36B79906" w14:textId="4BDDEB7E" w:rsidR="00FD2DB6" w:rsidRPr="00FD2DB6" w:rsidRDefault="00A74CEB" w:rsidP="00A74CEB">
      <w:pPr>
        <w:pStyle w:val="FootnoteText"/>
      </w:pPr>
      <w:r>
        <w:tab/>
      </w:r>
      <w:r w:rsidR="00FD2DB6">
        <w:rPr>
          <w:rStyle w:val="FootnoteReference"/>
        </w:rPr>
        <w:footnoteRef/>
      </w:r>
      <w:r>
        <w:tab/>
      </w:r>
      <w:r w:rsidR="00FD2DB6" w:rsidRPr="00FD2DB6">
        <w:t xml:space="preserve">See </w:t>
      </w:r>
      <w:hyperlink r:id="rId1" w:history="1">
        <w:r w:rsidR="004204DB" w:rsidRPr="004204DB">
          <w:rPr>
            <w:rStyle w:val="Hyperlink"/>
            <w:color w:val="auto"/>
          </w:rPr>
          <w:t>www.iaia.org/fasttips.php</w:t>
        </w:r>
      </w:hyperlink>
      <w:r w:rsidR="00FD2DB6" w:rsidRPr="004204DB">
        <w:t>.</w:t>
      </w:r>
    </w:p>
  </w:footnote>
  <w:footnote w:id="3">
    <w:p w14:paraId="5812AC77" w14:textId="29410B27" w:rsidR="004204DB" w:rsidRPr="004204DB" w:rsidRDefault="004204DB" w:rsidP="004204DB">
      <w:pPr>
        <w:pStyle w:val="FootnoteText"/>
        <w:widowControl w:val="0"/>
        <w:tabs>
          <w:tab w:val="clear" w:pos="1021"/>
          <w:tab w:val="right" w:pos="1020"/>
        </w:tabs>
        <w:rPr>
          <w:lang w:val="fr-CH"/>
        </w:rPr>
      </w:pPr>
      <w:r>
        <w:tab/>
      </w:r>
      <w:r>
        <w:rPr>
          <w:rStyle w:val="FootnoteReference"/>
        </w:rPr>
        <w:footnoteRef/>
      </w:r>
      <w:r>
        <w:tab/>
      </w:r>
      <w:r w:rsidRPr="004204DB">
        <w:t xml:space="preserve">Directive 2001/42/EC of the European Parliament and of the Council of 27 June 2001 on the assessment of the effects of certain plans and programmes on the environment, </w:t>
      </w:r>
      <w:r w:rsidRPr="004204DB">
        <w:rPr>
          <w:i/>
          <w:iCs/>
        </w:rPr>
        <w:t>Official Journal of the European Communities</w:t>
      </w:r>
      <w:r w:rsidRPr="004204DB">
        <w:t>, L 197 (2001), pp. 30–37.</w:t>
      </w:r>
      <w:r>
        <w:t xml:space="preserve"> </w:t>
      </w:r>
    </w:p>
  </w:footnote>
  <w:footnote w:id="4">
    <w:p w14:paraId="1F109BE0" w14:textId="77777777" w:rsidR="0036724D" w:rsidRPr="00885EA7" w:rsidRDefault="00885EA7" w:rsidP="00885EA7">
      <w:pPr>
        <w:pStyle w:val="FootnoteText"/>
        <w:ind w:hanging="567"/>
      </w:pPr>
      <w:r>
        <w:tab/>
      </w:r>
      <w:r w:rsidR="0036724D" w:rsidRPr="00885EA7">
        <w:rPr>
          <w:vertAlign w:val="superscript"/>
        </w:rPr>
        <w:footnoteRef/>
      </w:r>
      <w:r>
        <w:tab/>
      </w:r>
      <w:r w:rsidR="0036724D" w:rsidRPr="00885EA7">
        <w:t>United Nations Conference on Environment and Development (Rio de Janeiro, Brazil, 1992)</w:t>
      </w:r>
      <w:r w:rsidR="00C16770">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BD28" w14:textId="10D9E1C0" w:rsidR="003558BF" w:rsidRPr="002315F0" w:rsidRDefault="002315F0">
    <w:pPr>
      <w:pStyle w:val="Header"/>
      <w:rPr>
        <w:lang w:val="fr-CH"/>
      </w:rPr>
    </w:pPr>
    <w:r>
      <w:rPr>
        <w:lang w:val="fr-CH"/>
      </w:rPr>
      <w:t>ECE/MP.EIA/WG.2/2019/6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C072C" w14:textId="3FDD5163" w:rsidR="003558BF" w:rsidRPr="003558BF" w:rsidRDefault="002315F0" w:rsidP="003558BF">
    <w:pPr>
      <w:pStyle w:val="Header"/>
      <w:jc w:val="right"/>
    </w:pPr>
    <w:r>
      <w:rPr>
        <w:lang w:val="fr-CH"/>
      </w:rPr>
      <w:t>ECE/MP.EIA/WG.2/2019/6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904"/>
        </w:tabs>
        <w:ind w:left="904"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790132"/>
    <w:multiLevelType w:val="hybridMultilevel"/>
    <w:tmpl w:val="2C40FE82"/>
    <w:lvl w:ilvl="0" w:tplc="AE9AFC9A">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2B32115"/>
    <w:multiLevelType w:val="hybridMultilevel"/>
    <w:tmpl w:val="99D6473A"/>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F26358"/>
    <w:multiLevelType w:val="hybridMultilevel"/>
    <w:tmpl w:val="66483DEE"/>
    <w:lvl w:ilvl="0" w:tplc="5928C948">
      <w:start w:val="1"/>
      <w:numFmt w:val="lowerLetter"/>
      <w:lvlText w:val="(%1)"/>
      <w:lvlJc w:val="left"/>
      <w:pPr>
        <w:ind w:left="1170" w:firstLine="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8" w15:restartNumberingAfterBreak="0">
    <w:nsid w:val="1F8F6890"/>
    <w:multiLevelType w:val="hybridMultilevel"/>
    <w:tmpl w:val="B97093C2"/>
    <w:lvl w:ilvl="0" w:tplc="CEE49F88">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9" w15:restartNumberingAfterBreak="0">
    <w:nsid w:val="22734BEF"/>
    <w:multiLevelType w:val="hybridMultilevel"/>
    <w:tmpl w:val="BE9E5ACC"/>
    <w:lvl w:ilvl="0" w:tplc="42AC18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5323645"/>
    <w:multiLevelType w:val="hybridMultilevel"/>
    <w:tmpl w:val="F4A4C414"/>
    <w:lvl w:ilvl="0" w:tplc="43F2F8D0">
      <w:start w:val="1"/>
      <w:numFmt w:val="decimal"/>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1" w15:restartNumberingAfterBreak="0">
    <w:nsid w:val="26AC4639"/>
    <w:multiLevelType w:val="hybridMultilevel"/>
    <w:tmpl w:val="D1949E80"/>
    <w:lvl w:ilvl="0" w:tplc="1E82B31C">
      <w:start w:val="1"/>
      <w:numFmt w:val="upperRoman"/>
      <w:lvlText w:val="%1."/>
      <w:lvlJc w:val="left"/>
      <w:pPr>
        <w:ind w:left="1288" w:hanging="72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2" w15:restartNumberingAfterBreak="0">
    <w:nsid w:val="2E7B58F9"/>
    <w:multiLevelType w:val="hybridMultilevel"/>
    <w:tmpl w:val="4A0AC60C"/>
    <w:lvl w:ilvl="0" w:tplc="863C3D12">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3" w15:restartNumberingAfterBreak="0">
    <w:nsid w:val="3122116B"/>
    <w:multiLevelType w:val="hybridMultilevel"/>
    <w:tmpl w:val="3BA6CFF8"/>
    <w:lvl w:ilvl="0" w:tplc="DA707AE6">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43782F"/>
    <w:multiLevelType w:val="hybridMultilevel"/>
    <w:tmpl w:val="66368874"/>
    <w:lvl w:ilvl="0" w:tplc="5CBAAE54">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EC14503"/>
    <w:multiLevelType w:val="hybridMultilevel"/>
    <w:tmpl w:val="EBF49A66"/>
    <w:lvl w:ilvl="0" w:tplc="567E95F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8" w15:restartNumberingAfterBreak="0">
    <w:nsid w:val="478A3685"/>
    <w:multiLevelType w:val="hybridMultilevel"/>
    <w:tmpl w:val="8BB4D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453BB8"/>
    <w:multiLevelType w:val="hybridMultilevel"/>
    <w:tmpl w:val="EC704674"/>
    <w:lvl w:ilvl="0" w:tplc="E0129B72">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673142"/>
    <w:multiLevelType w:val="hybridMultilevel"/>
    <w:tmpl w:val="A33802F2"/>
    <w:lvl w:ilvl="0" w:tplc="F3C8D130">
      <w:start w:val="500"/>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28B11C8"/>
    <w:multiLevelType w:val="hybridMultilevel"/>
    <w:tmpl w:val="1682E79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3A6D89"/>
    <w:multiLevelType w:val="hybridMultilevel"/>
    <w:tmpl w:val="205026B6"/>
    <w:lvl w:ilvl="0" w:tplc="22F8D8D6">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6"/>
  </w:num>
  <w:num w:numId="13">
    <w:abstractNumId w:val="10"/>
  </w:num>
  <w:num w:numId="14">
    <w:abstractNumId w:val="14"/>
  </w:num>
  <w:num w:numId="15">
    <w:abstractNumId w:val="26"/>
  </w:num>
  <w:num w:numId="16">
    <w:abstractNumId w:val="15"/>
  </w:num>
  <w:num w:numId="17">
    <w:abstractNumId w:val="30"/>
  </w:num>
  <w:num w:numId="18">
    <w:abstractNumId w:val="33"/>
  </w:num>
  <w:num w:numId="19">
    <w:abstractNumId w:val="12"/>
  </w:num>
  <w:num w:numId="20">
    <w:abstractNumId w:val="21"/>
  </w:num>
  <w:num w:numId="21">
    <w:abstractNumId w:val="17"/>
  </w:num>
  <w:num w:numId="22">
    <w:abstractNumId w:val="13"/>
  </w:num>
  <w:num w:numId="23">
    <w:abstractNumId w:val="20"/>
  </w:num>
  <w:num w:numId="24">
    <w:abstractNumId w:val="31"/>
  </w:num>
  <w:num w:numId="25">
    <w:abstractNumId w:val="22"/>
  </w:num>
  <w:num w:numId="26">
    <w:abstractNumId w:val="23"/>
  </w:num>
  <w:num w:numId="27">
    <w:abstractNumId w:val="18"/>
  </w:num>
  <w:num w:numId="28">
    <w:abstractNumId w:val="19"/>
  </w:num>
  <w:num w:numId="29">
    <w:abstractNumId w:val="25"/>
  </w:num>
  <w:num w:numId="30">
    <w:abstractNumId w:val="34"/>
  </w:num>
  <w:num w:numId="31">
    <w:abstractNumId w:val="27"/>
  </w:num>
  <w:num w:numId="32">
    <w:abstractNumId w:val="29"/>
  </w:num>
  <w:num w:numId="33">
    <w:abstractNumId w:val="11"/>
  </w:num>
  <w:num w:numId="34">
    <w:abstractNumId w:val="28"/>
  </w:num>
  <w:num w:numId="35">
    <w:abstractNumId w:val="32"/>
  </w:num>
  <w:num w:numId="36">
    <w:abstractNumId w:val="30"/>
  </w:num>
  <w:num w:numId="37">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131078" w:nlCheck="1" w:checkStyle="1"/>
  <w:activeWritingStyle w:appName="MSWord" w:lang="fr-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32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E6B8AC-E1B5-49CB-83B8-2CB7280B4E56}"/>
    <w:docVar w:name="dgnword-eventsink" w:val="637739216"/>
  </w:docVars>
  <w:rsids>
    <w:rsidRoot w:val="003558BF"/>
    <w:rsid w:val="00002A7D"/>
    <w:rsid w:val="000038A8"/>
    <w:rsid w:val="00006790"/>
    <w:rsid w:val="00021135"/>
    <w:rsid w:val="00027624"/>
    <w:rsid w:val="000378DF"/>
    <w:rsid w:val="00045675"/>
    <w:rsid w:val="00047B60"/>
    <w:rsid w:val="00050F6B"/>
    <w:rsid w:val="00063A06"/>
    <w:rsid w:val="000678CD"/>
    <w:rsid w:val="00072C8C"/>
    <w:rsid w:val="00073C20"/>
    <w:rsid w:val="000767A1"/>
    <w:rsid w:val="00081CE0"/>
    <w:rsid w:val="00084D30"/>
    <w:rsid w:val="00090320"/>
    <w:rsid w:val="000931C0"/>
    <w:rsid w:val="000A118A"/>
    <w:rsid w:val="000A1A3B"/>
    <w:rsid w:val="000A2E09"/>
    <w:rsid w:val="000B175B"/>
    <w:rsid w:val="000B3A0F"/>
    <w:rsid w:val="000D2AFD"/>
    <w:rsid w:val="000D715C"/>
    <w:rsid w:val="000E0415"/>
    <w:rsid w:val="000E174E"/>
    <w:rsid w:val="000E369F"/>
    <w:rsid w:val="000E7E0E"/>
    <w:rsid w:val="000F18B2"/>
    <w:rsid w:val="000F31BA"/>
    <w:rsid w:val="000F4042"/>
    <w:rsid w:val="000F7715"/>
    <w:rsid w:val="0012066F"/>
    <w:rsid w:val="001245EF"/>
    <w:rsid w:val="00141C60"/>
    <w:rsid w:val="00142FF1"/>
    <w:rsid w:val="00155227"/>
    <w:rsid w:val="00156B99"/>
    <w:rsid w:val="001646B4"/>
    <w:rsid w:val="00164ACD"/>
    <w:rsid w:val="00166124"/>
    <w:rsid w:val="00184C16"/>
    <w:rsid w:val="00184DDA"/>
    <w:rsid w:val="001874F9"/>
    <w:rsid w:val="001900CD"/>
    <w:rsid w:val="001A0452"/>
    <w:rsid w:val="001A0986"/>
    <w:rsid w:val="001A380D"/>
    <w:rsid w:val="001A596C"/>
    <w:rsid w:val="001B4B04"/>
    <w:rsid w:val="001B5875"/>
    <w:rsid w:val="001B71DC"/>
    <w:rsid w:val="001C4B9C"/>
    <w:rsid w:val="001C6663"/>
    <w:rsid w:val="001C7895"/>
    <w:rsid w:val="001D26DF"/>
    <w:rsid w:val="001E45D1"/>
    <w:rsid w:val="001F1599"/>
    <w:rsid w:val="001F19C4"/>
    <w:rsid w:val="001F61FC"/>
    <w:rsid w:val="00200900"/>
    <w:rsid w:val="002043F0"/>
    <w:rsid w:val="002056B1"/>
    <w:rsid w:val="00211E0B"/>
    <w:rsid w:val="00214256"/>
    <w:rsid w:val="00214809"/>
    <w:rsid w:val="00223694"/>
    <w:rsid w:val="002315F0"/>
    <w:rsid w:val="00232575"/>
    <w:rsid w:val="00234CBC"/>
    <w:rsid w:val="002419E9"/>
    <w:rsid w:val="00247258"/>
    <w:rsid w:val="00257CAC"/>
    <w:rsid w:val="00264591"/>
    <w:rsid w:val="00267AD9"/>
    <w:rsid w:val="0027237A"/>
    <w:rsid w:val="00286ACD"/>
    <w:rsid w:val="00293963"/>
    <w:rsid w:val="0029578B"/>
    <w:rsid w:val="002971D0"/>
    <w:rsid w:val="002974E9"/>
    <w:rsid w:val="002A4A7C"/>
    <w:rsid w:val="002A7988"/>
    <w:rsid w:val="002A7F94"/>
    <w:rsid w:val="002B109A"/>
    <w:rsid w:val="002B4774"/>
    <w:rsid w:val="002C6D45"/>
    <w:rsid w:val="002C7276"/>
    <w:rsid w:val="002D227F"/>
    <w:rsid w:val="002D6E53"/>
    <w:rsid w:val="002F046D"/>
    <w:rsid w:val="002F3023"/>
    <w:rsid w:val="002F39A4"/>
    <w:rsid w:val="00301764"/>
    <w:rsid w:val="00313658"/>
    <w:rsid w:val="003229D8"/>
    <w:rsid w:val="00325FF1"/>
    <w:rsid w:val="00330F5D"/>
    <w:rsid w:val="00336C97"/>
    <w:rsid w:val="0033734E"/>
    <w:rsid w:val="00337F88"/>
    <w:rsid w:val="00340412"/>
    <w:rsid w:val="00341594"/>
    <w:rsid w:val="003423C0"/>
    <w:rsid w:val="00342432"/>
    <w:rsid w:val="003458E3"/>
    <w:rsid w:val="00347851"/>
    <w:rsid w:val="0035223F"/>
    <w:rsid w:val="00352D4B"/>
    <w:rsid w:val="003558BF"/>
    <w:rsid w:val="0035638C"/>
    <w:rsid w:val="0036724D"/>
    <w:rsid w:val="0037233E"/>
    <w:rsid w:val="003A059E"/>
    <w:rsid w:val="003A46BB"/>
    <w:rsid w:val="003A4EC7"/>
    <w:rsid w:val="003A5C55"/>
    <w:rsid w:val="003A7295"/>
    <w:rsid w:val="003B0CA7"/>
    <w:rsid w:val="003B1F60"/>
    <w:rsid w:val="003C2CC4"/>
    <w:rsid w:val="003D1E0C"/>
    <w:rsid w:val="003D22CC"/>
    <w:rsid w:val="003D3B93"/>
    <w:rsid w:val="003D4B23"/>
    <w:rsid w:val="003D534C"/>
    <w:rsid w:val="003D6795"/>
    <w:rsid w:val="003D70B8"/>
    <w:rsid w:val="003E278A"/>
    <w:rsid w:val="003E71CD"/>
    <w:rsid w:val="003F053D"/>
    <w:rsid w:val="003F290D"/>
    <w:rsid w:val="003F50BB"/>
    <w:rsid w:val="004075B5"/>
    <w:rsid w:val="00413520"/>
    <w:rsid w:val="004204DB"/>
    <w:rsid w:val="004325CB"/>
    <w:rsid w:val="004332FE"/>
    <w:rsid w:val="00440A07"/>
    <w:rsid w:val="00441922"/>
    <w:rsid w:val="0045287A"/>
    <w:rsid w:val="004561B8"/>
    <w:rsid w:val="00462270"/>
    <w:rsid w:val="00462880"/>
    <w:rsid w:val="00476F24"/>
    <w:rsid w:val="00482163"/>
    <w:rsid w:val="004A7A0C"/>
    <w:rsid w:val="004C1101"/>
    <w:rsid w:val="004C16A1"/>
    <w:rsid w:val="004C55B0"/>
    <w:rsid w:val="004E2D64"/>
    <w:rsid w:val="004F6BA0"/>
    <w:rsid w:val="00503BEA"/>
    <w:rsid w:val="00513D62"/>
    <w:rsid w:val="00514F24"/>
    <w:rsid w:val="00532BF5"/>
    <w:rsid w:val="00533616"/>
    <w:rsid w:val="00535ABA"/>
    <w:rsid w:val="00536DE2"/>
    <w:rsid w:val="0053768B"/>
    <w:rsid w:val="005420F2"/>
    <w:rsid w:val="0054285C"/>
    <w:rsid w:val="0054622F"/>
    <w:rsid w:val="005504C8"/>
    <w:rsid w:val="0055131A"/>
    <w:rsid w:val="00557FD8"/>
    <w:rsid w:val="00561727"/>
    <w:rsid w:val="00563107"/>
    <w:rsid w:val="005832F5"/>
    <w:rsid w:val="00584173"/>
    <w:rsid w:val="00595520"/>
    <w:rsid w:val="00596464"/>
    <w:rsid w:val="005A44B9"/>
    <w:rsid w:val="005B1BA0"/>
    <w:rsid w:val="005B2B75"/>
    <w:rsid w:val="005B3DB3"/>
    <w:rsid w:val="005C2D6B"/>
    <w:rsid w:val="005C530E"/>
    <w:rsid w:val="005D021F"/>
    <w:rsid w:val="005D15CA"/>
    <w:rsid w:val="005D7CAB"/>
    <w:rsid w:val="005E4938"/>
    <w:rsid w:val="005F08DF"/>
    <w:rsid w:val="005F3066"/>
    <w:rsid w:val="005F3E61"/>
    <w:rsid w:val="00604DDD"/>
    <w:rsid w:val="006115CC"/>
    <w:rsid w:val="00611FC4"/>
    <w:rsid w:val="00613447"/>
    <w:rsid w:val="006176FB"/>
    <w:rsid w:val="00626C23"/>
    <w:rsid w:val="00630FCB"/>
    <w:rsid w:val="00640B26"/>
    <w:rsid w:val="00641543"/>
    <w:rsid w:val="00644E52"/>
    <w:rsid w:val="0065628B"/>
    <w:rsid w:val="00656C4B"/>
    <w:rsid w:val="0065766B"/>
    <w:rsid w:val="00666F2D"/>
    <w:rsid w:val="00674A81"/>
    <w:rsid w:val="00674AA7"/>
    <w:rsid w:val="006770B2"/>
    <w:rsid w:val="00683B39"/>
    <w:rsid w:val="00686A48"/>
    <w:rsid w:val="006940E1"/>
    <w:rsid w:val="006A3C72"/>
    <w:rsid w:val="006A42E5"/>
    <w:rsid w:val="006A5B77"/>
    <w:rsid w:val="006A7392"/>
    <w:rsid w:val="006B03A1"/>
    <w:rsid w:val="006B17F8"/>
    <w:rsid w:val="006B67D9"/>
    <w:rsid w:val="006C5535"/>
    <w:rsid w:val="006C7006"/>
    <w:rsid w:val="006D0589"/>
    <w:rsid w:val="006E564B"/>
    <w:rsid w:val="006E7154"/>
    <w:rsid w:val="006F2E64"/>
    <w:rsid w:val="006F314C"/>
    <w:rsid w:val="007003CD"/>
    <w:rsid w:val="00706621"/>
    <w:rsid w:val="00706D1A"/>
    <w:rsid w:val="0070701E"/>
    <w:rsid w:val="00707E9F"/>
    <w:rsid w:val="0072632A"/>
    <w:rsid w:val="007273B6"/>
    <w:rsid w:val="007358E8"/>
    <w:rsid w:val="00736ECE"/>
    <w:rsid w:val="00743614"/>
    <w:rsid w:val="0074533B"/>
    <w:rsid w:val="007606F2"/>
    <w:rsid w:val="007643BC"/>
    <w:rsid w:val="00780C68"/>
    <w:rsid w:val="00782629"/>
    <w:rsid w:val="00787B7C"/>
    <w:rsid w:val="007959FE"/>
    <w:rsid w:val="007A0CF1"/>
    <w:rsid w:val="007A3B45"/>
    <w:rsid w:val="007A44B5"/>
    <w:rsid w:val="007B6BA5"/>
    <w:rsid w:val="007C3390"/>
    <w:rsid w:val="007C42D8"/>
    <w:rsid w:val="007C4F4B"/>
    <w:rsid w:val="007D7362"/>
    <w:rsid w:val="007E7390"/>
    <w:rsid w:val="007F5CE2"/>
    <w:rsid w:val="007F6611"/>
    <w:rsid w:val="00810BAC"/>
    <w:rsid w:val="008175E9"/>
    <w:rsid w:val="00817624"/>
    <w:rsid w:val="0082203A"/>
    <w:rsid w:val="008242D7"/>
    <w:rsid w:val="008246CA"/>
    <w:rsid w:val="0082577B"/>
    <w:rsid w:val="008441FA"/>
    <w:rsid w:val="008633D6"/>
    <w:rsid w:val="00866893"/>
    <w:rsid w:val="00866F02"/>
    <w:rsid w:val="00867D18"/>
    <w:rsid w:val="00871F9A"/>
    <w:rsid w:val="00871FD5"/>
    <w:rsid w:val="0088172E"/>
    <w:rsid w:val="00881EFA"/>
    <w:rsid w:val="00881F04"/>
    <w:rsid w:val="0088436E"/>
    <w:rsid w:val="0088584B"/>
    <w:rsid w:val="00885EA7"/>
    <w:rsid w:val="008879CB"/>
    <w:rsid w:val="008902FF"/>
    <w:rsid w:val="008979B1"/>
    <w:rsid w:val="008A6B25"/>
    <w:rsid w:val="008A6C4F"/>
    <w:rsid w:val="008B091B"/>
    <w:rsid w:val="008B2DD2"/>
    <w:rsid w:val="008B389E"/>
    <w:rsid w:val="008B7297"/>
    <w:rsid w:val="008D045E"/>
    <w:rsid w:val="008D3F25"/>
    <w:rsid w:val="008D4D82"/>
    <w:rsid w:val="008E0E46"/>
    <w:rsid w:val="008E7116"/>
    <w:rsid w:val="008F143B"/>
    <w:rsid w:val="008F1936"/>
    <w:rsid w:val="008F340B"/>
    <w:rsid w:val="008F3882"/>
    <w:rsid w:val="008F4B7C"/>
    <w:rsid w:val="008F68D4"/>
    <w:rsid w:val="0090364F"/>
    <w:rsid w:val="00907DD7"/>
    <w:rsid w:val="00916209"/>
    <w:rsid w:val="00917FBE"/>
    <w:rsid w:val="00926E47"/>
    <w:rsid w:val="00945373"/>
    <w:rsid w:val="0094684F"/>
    <w:rsid w:val="00947162"/>
    <w:rsid w:val="0095711D"/>
    <w:rsid w:val="00957F62"/>
    <w:rsid w:val="009610D0"/>
    <w:rsid w:val="0096375C"/>
    <w:rsid w:val="00964FC2"/>
    <w:rsid w:val="00965849"/>
    <w:rsid w:val="009662E6"/>
    <w:rsid w:val="0097095E"/>
    <w:rsid w:val="00977227"/>
    <w:rsid w:val="0098592B"/>
    <w:rsid w:val="00985FC4"/>
    <w:rsid w:val="00986406"/>
    <w:rsid w:val="00990766"/>
    <w:rsid w:val="00991261"/>
    <w:rsid w:val="00995079"/>
    <w:rsid w:val="009964C4"/>
    <w:rsid w:val="009A4678"/>
    <w:rsid w:val="009A7B81"/>
    <w:rsid w:val="009D01C0"/>
    <w:rsid w:val="009D5E85"/>
    <w:rsid w:val="009D6A08"/>
    <w:rsid w:val="009E0A16"/>
    <w:rsid w:val="009E5A6B"/>
    <w:rsid w:val="009E6CB7"/>
    <w:rsid w:val="009E7970"/>
    <w:rsid w:val="009F2EAC"/>
    <w:rsid w:val="009F343E"/>
    <w:rsid w:val="009F3C28"/>
    <w:rsid w:val="009F57E3"/>
    <w:rsid w:val="00A07E70"/>
    <w:rsid w:val="00A10F4F"/>
    <w:rsid w:val="00A11067"/>
    <w:rsid w:val="00A11666"/>
    <w:rsid w:val="00A1704A"/>
    <w:rsid w:val="00A22991"/>
    <w:rsid w:val="00A40680"/>
    <w:rsid w:val="00A425EB"/>
    <w:rsid w:val="00A4410B"/>
    <w:rsid w:val="00A44AC3"/>
    <w:rsid w:val="00A576E6"/>
    <w:rsid w:val="00A72F22"/>
    <w:rsid w:val="00A733BC"/>
    <w:rsid w:val="00A748A6"/>
    <w:rsid w:val="00A7490B"/>
    <w:rsid w:val="00A74CEB"/>
    <w:rsid w:val="00A76405"/>
    <w:rsid w:val="00A76A69"/>
    <w:rsid w:val="00A86498"/>
    <w:rsid w:val="00A879A4"/>
    <w:rsid w:val="00A91A3C"/>
    <w:rsid w:val="00AA0FF8"/>
    <w:rsid w:val="00AA497B"/>
    <w:rsid w:val="00AA610D"/>
    <w:rsid w:val="00AC0F2C"/>
    <w:rsid w:val="00AC502A"/>
    <w:rsid w:val="00AC5870"/>
    <w:rsid w:val="00AD6203"/>
    <w:rsid w:val="00AD6D7D"/>
    <w:rsid w:val="00AD6EDA"/>
    <w:rsid w:val="00AF4FEE"/>
    <w:rsid w:val="00AF58C1"/>
    <w:rsid w:val="00B01AB0"/>
    <w:rsid w:val="00B04A3F"/>
    <w:rsid w:val="00B06643"/>
    <w:rsid w:val="00B11506"/>
    <w:rsid w:val="00B15055"/>
    <w:rsid w:val="00B20551"/>
    <w:rsid w:val="00B274E7"/>
    <w:rsid w:val="00B30179"/>
    <w:rsid w:val="00B31566"/>
    <w:rsid w:val="00B33FC7"/>
    <w:rsid w:val="00B37B15"/>
    <w:rsid w:val="00B40854"/>
    <w:rsid w:val="00B45C02"/>
    <w:rsid w:val="00B47AB3"/>
    <w:rsid w:val="00B51DC3"/>
    <w:rsid w:val="00B556F9"/>
    <w:rsid w:val="00B65CDA"/>
    <w:rsid w:val="00B6659F"/>
    <w:rsid w:val="00B70B63"/>
    <w:rsid w:val="00B72A1E"/>
    <w:rsid w:val="00B72FFC"/>
    <w:rsid w:val="00B75363"/>
    <w:rsid w:val="00B81E12"/>
    <w:rsid w:val="00B85347"/>
    <w:rsid w:val="00B86829"/>
    <w:rsid w:val="00B97C81"/>
    <w:rsid w:val="00BA339B"/>
    <w:rsid w:val="00BA5D9E"/>
    <w:rsid w:val="00BC1E7E"/>
    <w:rsid w:val="00BC544F"/>
    <w:rsid w:val="00BC74E9"/>
    <w:rsid w:val="00BC7ED7"/>
    <w:rsid w:val="00BD648D"/>
    <w:rsid w:val="00BE0139"/>
    <w:rsid w:val="00BE1248"/>
    <w:rsid w:val="00BE36A9"/>
    <w:rsid w:val="00BE618E"/>
    <w:rsid w:val="00BE7BEC"/>
    <w:rsid w:val="00BF0A5A"/>
    <w:rsid w:val="00BF0E63"/>
    <w:rsid w:val="00BF12A3"/>
    <w:rsid w:val="00BF16D7"/>
    <w:rsid w:val="00BF2373"/>
    <w:rsid w:val="00BF2E43"/>
    <w:rsid w:val="00C01097"/>
    <w:rsid w:val="00C044E2"/>
    <w:rsid w:val="00C048CB"/>
    <w:rsid w:val="00C066F3"/>
    <w:rsid w:val="00C16770"/>
    <w:rsid w:val="00C23DFD"/>
    <w:rsid w:val="00C32A62"/>
    <w:rsid w:val="00C463DD"/>
    <w:rsid w:val="00C46710"/>
    <w:rsid w:val="00C47C9B"/>
    <w:rsid w:val="00C53AED"/>
    <w:rsid w:val="00C57FB0"/>
    <w:rsid w:val="00C65C34"/>
    <w:rsid w:val="00C67833"/>
    <w:rsid w:val="00C745C3"/>
    <w:rsid w:val="00C944FD"/>
    <w:rsid w:val="00C978F5"/>
    <w:rsid w:val="00CA2291"/>
    <w:rsid w:val="00CA24A4"/>
    <w:rsid w:val="00CA3543"/>
    <w:rsid w:val="00CA49E9"/>
    <w:rsid w:val="00CB1C33"/>
    <w:rsid w:val="00CB2C0D"/>
    <w:rsid w:val="00CB348D"/>
    <w:rsid w:val="00CB5D61"/>
    <w:rsid w:val="00CC1A25"/>
    <w:rsid w:val="00CD17E3"/>
    <w:rsid w:val="00CD3E90"/>
    <w:rsid w:val="00CD46F5"/>
    <w:rsid w:val="00CE4602"/>
    <w:rsid w:val="00CE4A8F"/>
    <w:rsid w:val="00CF071D"/>
    <w:rsid w:val="00CF3BFD"/>
    <w:rsid w:val="00CF534B"/>
    <w:rsid w:val="00D0123D"/>
    <w:rsid w:val="00D0596E"/>
    <w:rsid w:val="00D125B6"/>
    <w:rsid w:val="00D13086"/>
    <w:rsid w:val="00D15B04"/>
    <w:rsid w:val="00D2031B"/>
    <w:rsid w:val="00D25FCD"/>
    <w:rsid w:val="00D25FE2"/>
    <w:rsid w:val="00D30777"/>
    <w:rsid w:val="00D37DA9"/>
    <w:rsid w:val="00D406A7"/>
    <w:rsid w:val="00D43252"/>
    <w:rsid w:val="00D44D86"/>
    <w:rsid w:val="00D50B7D"/>
    <w:rsid w:val="00D50FCB"/>
    <w:rsid w:val="00D512DC"/>
    <w:rsid w:val="00D52012"/>
    <w:rsid w:val="00D57093"/>
    <w:rsid w:val="00D704E5"/>
    <w:rsid w:val="00D72727"/>
    <w:rsid w:val="00D87365"/>
    <w:rsid w:val="00D978C6"/>
    <w:rsid w:val="00DA0956"/>
    <w:rsid w:val="00DA357F"/>
    <w:rsid w:val="00DA3E12"/>
    <w:rsid w:val="00DA4E9F"/>
    <w:rsid w:val="00DA60C1"/>
    <w:rsid w:val="00DB6A7B"/>
    <w:rsid w:val="00DB7577"/>
    <w:rsid w:val="00DC18AD"/>
    <w:rsid w:val="00DC3945"/>
    <w:rsid w:val="00DC6809"/>
    <w:rsid w:val="00DC6EB9"/>
    <w:rsid w:val="00DD2081"/>
    <w:rsid w:val="00DE14E8"/>
    <w:rsid w:val="00DE1CF6"/>
    <w:rsid w:val="00DE48A8"/>
    <w:rsid w:val="00DF7CAE"/>
    <w:rsid w:val="00E013CA"/>
    <w:rsid w:val="00E15964"/>
    <w:rsid w:val="00E2086D"/>
    <w:rsid w:val="00E236B8"/>
    <w:rsid w:val="00E27507"/>
    <w:rsid w:val="00E32223"/>
    <w:rsid w:val="00E36717"/>
    <w:rsid w:val="00E423C0"/>
    <w:rsid w:val="00E47092"/>
    <w:rsid w:val="00E53640"/>
    <w:rsid w:val="00E54839"/>
    <w:rsid w:val="00E54B10"/>
    <w:rsid w:val="00E6414C"/>
    <w:rsid w:val="00E7260F"/>
    <w:rsid w:val="00E8702D"/>
    <w:rsid w:val="00E905F4"/>
    <w:rsid w:val="00E916A9"/>
    <w:rsid w:val="00E916DE"/>
    <w:rsid w:val="00E925AD"/>
    <w:rsid w:val="00E95F5D"/>
    <w:rsid w:val="00E96630"/>
    <w:rsid w:val="00EA1F99"/>
    <w:rsid w:val="00EA73D6"/>
    <w:rsid w:val="00EC4DDC"/>
    <w:rsid w:val="00EC63F5"/>
    <w:rsid w:val="00ED18DC"/>
    <w:rsid w:val="00ED6201"/>
    <w:rsid w:val="00ED7620"/>
    <w:rsid w:val="00ED7A2A"/>
    <w:rsid w:val="00EF1D7F"/>
    <w:rsid w:val="00F0137E"/>
    <w:rsid w:val="00F02527"/>
    <w:rsid w:val="00F04977"/>
    <w:rsid w:val="00F06A63"/>
    <w:rsid w:val="00F21786"/>
    <w:rsid w:val="00F312B4"/>
    <w:rsid w:val="00F3742B"/>
    <w:rsid w:val="00F41FDB"/>
    <w:rsid w:val="00F5063F"/>
    <w:rsid w:val="00F56D63"/>
    <w:rsid w:val="00F609A9"/>
    <w:rsid w:val="00F80C99"/>
    <w:rsid w:val="00F82840"/>
    <w:rsid w:val="00F84D3F"/>
    <w:rsid w:val="00F867EC"/>
    <w:rsid w:val="00F91B2B"/>
    <w:rsid w:val="00FA24DC"/>
    <w:rsid w:val="00FB03F3"/>
    <w:rsid w:val="00FC03CD"/>
    <w:rsid w:val="00FC0646"/>
    <w:rsid w:val="00FC13F8"/>
    <w:rsid w:val="00FC355E"/>
    <w:rsid w:val="00FC68B7"/>
    <w:rsid w:val="00FD207C"/>
    <w:rsid w:val="00FD2DB6"/>
    <w:rsid w:val="00FE34D5"/>
    <w:rsid w:val="00FE6985"/>
    <w:rsid w:val="00FF252C"/>
    <w:rsid w:val="00FF7A4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14:docId w14:val="53E76851"/>
  <w15:docId w15:val="{113D3038-B418-4981-AEF1-15D46B37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link w:val="Heading3Char"/>
    <w:uiPriority w:val="9"/>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character" w:styleId="CommentReference">
    <w:name w:val="annotation reference"/>
    <w:basedOn w:val="DefaultParagraphFont"/>
    <w:uiPriority w:val="99"/>
    <w:semiHidden/>
    <w:unhideWhenUsed/>
    <w:rsid w:val="0054622F"/>
    <w:rPr>
      <w:sz w:val="16"/>
      <w:szCs w:val="16"/>
    </w:rPr>
  </w:style>
  <w:style w:type="paragraph" w:styleId="ListParagraph">
    <w:name w:val="List Paragraph"/>
    <w:basedOn w:val="Normal"/>
    <w:uiPriority w:val="34"/>
    <w:qFormat/>
    <w:rsid w:val="00F84D3F"/>
    <w:pPr>
      <w:ind w:left="720"/>
      <w:contextualSpacing/>
    </w:pPr>
  </w:style>
  <w:style w:type="paragraph" w:styleId="CommentText">
    <w:name w:val="annotation text"/>
    <w:basedOn w:val="Normal"/>
    <w:link w:val="CommentTextChar"/>
    <w:uiPriority w:val="99"/>
    <w:semiHidden/>
    <w:unhideWhenUsed/>
    <w:rsid w:val="00A22991"/>
    <w:pPr>
      <w:suppressAutoHyphens w:val="0"/>
      <w:spacing w:line="240" w:lineRule="auto"/>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A22991"/>
    <w:rPr>
      <w:rFonts w:asciiTheme="minorHAnsi" w:eastAsiaTheme="minorHAnsi" w:hAnsiTheme="minorHAnsi" w:cstheme="minorBidi"/>
      <w:lang w:val="en-GB" w:eastAsia="en-US"/>
    </w:rPr>
  </w:style>
  <w:style w:type="character" w:customStyle="1" w:styleId="FootnoteTextChar">
    <w:name w:val="Footnote Text Char"/>
    <w:aliases w:val="5_G Char"/>
    <w:basedOn w:val="DefaultParagraphFont"/>
    <w:link w:val="FootnoteText"/>
    <w:uiPriority w:val="99"/>
    <w:rsid w:val="00A22991"/>
    <w:rPr>
      <w:sz w:val="18"/>
      <w:lang w:val="en-GB"/>
    </w:rPr>
  </w:style>
  <w:style w:type="character" w:customStyle="1" w:styleId="Heading1Char">
    <w:name w:val="Heading 1 Char"/>
    <w:aliases w:val="Table_G Char"/>
    <w:basedOn w:val="DefaultParagraphFont"/>
    <w:link w:val="Heading1"/>
    <w:uiPriority w:val="9"/>
    <w:rsid w:val="00A22991"/>
    <w:rPr>
      <w:lang w:val="en-GB"/>
    </w:rPr>
  </w:style>
  <w:style w:type="character" w:customStyle="1" w:styleId="Heading3Char">
    <w:name w:val="Heading 3 Char"/>
    <w:basedOn w:val="DefaultParagraphFont"/>
    <w:link w:val="Heading3"/>
    <w:uiPriority w:val="9"/>
    <w:rsid w:val="006A5B77"/>
    <w:rPr>
      <w:lang w:val="en-GB"/>
    </w:rPr>
  </w:style>
  <w:style w:type="character" w:customStyle="1" w:styleId="Heading2Char">
    <w:name w:val="Heading 2 Char"/>
    <w:basedOn w:val="DefaultParagraphFont"/>
    <w:link w:val="Heading2"/>
    <w:uiPriority w:val="9"/>
    <w:rsid w:val="0090364F"/>
    <w:rPr>
      <w:lang w:val="en-GB"/>
    </w:rPr>
  </w:style>
  <w:style w:type="character" w:customStyle="1" w:styleId="UnresolvedMention">
    <w:name w:val="Unresolved Mention"/>
    <w:basedOn w:val="DefaultParagraphFont"/>
    <w:uiPriority w:val="99"/>
    <w:semiHidden/>
    <w:unhideWhenUsed/>
    <w:rsid w:val="00BE1248"/>
    <w:rPr>
      <w:color w:val="605E5C"/>
      <w:shd w:val="clear" w:color="auto" w:fill="E1DFDD"/>
    </w:rPr>
  </w:style>
  <w:style w:type="paragraph" w:styleId="CommentSubject">
    <w:name w:val="annotation subject"/>
    <w:basedOn w:val="CommentText"/>
    <w:next w:val="CommentText"/>
    <w:link w:val="CommentSubjectChar"/>
    <w:semiHidden/>
    <w:unhideWhenUsed/>
    <w:rsid w:val="005832F5"/>
    <w:pPr>
      <w:suppressAutoHyphens/>
    </w:pPr>
    <w:rPr>
      <w:rFonts w:ascii="Times New Roman" w:eastAsia="Times New Roman" w:hAnsi="Times New Roman" w:cs="Times New Roman"/>
      <w:b/>
      <w:bCs/>
      <w:lang w:eastAsia="fr-FR"/>
    </w:rPr>
  </w:style>
  <w:style w:type="character" w:customStyle="1" w:styleId="CommentSubjectChar">
    <w:name w:val="Comment Subject Char"/>
    <w:basedOn w:val="CommentTextChar"/>
    <w:link w:val="CommentSubject"/>
    <w:semiHidden/>
    <w:rsid w:val="005832F5"/>
    <w:rPr>
      <w:rFonts w:asciiTheme="minorHAnsi" w:eastAsiaTheme="minorHAnsi" w:hAnsiTheme="minorHAnsi" w:cstheme="minorBid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ce.org/env/eia/sea_protocol.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ece.org/env/eia/eia.html" TargetMode="External"/><Relationship Id="rId4" Type="http://schemas.openxmlformats.org/officeDocument/2006/relationships/settings" Target="settings.xml"/><Relationship Id="rId9" Type="http://schemas.openxmlformats.org/officeDocument/2006/relationships/hyperlink" Target="mailto:eia.conv@un.org"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www.iaia.org/fasttips.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6F583-0D09-448A-85F2-2CF86C13F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1326</Words>
  <Characters>8230</Characters>
  <Application>Microsoft Office Word</Application>
  <DocSecurity>0</DocSecurity>
  <Lines>157</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ECE/MP.EIA/WG.2/2019/6</vt:lpstr>
      <vt:lpstr/>
    </vt:vector>
  </TitlesOfParts>
  <Company>CSD</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ECE/MP.EIA/WG.2/2019/6</dc:title>
  <dc:subject>1915890</dc:subject>
  <dc:creator>Elizabeth James</dc:creator>
  <cp:keywords/>
  <dc:description/>
  <cp:lastModifiedBy>Generic Pdf eng</cp:lastModifiedBy>
  <cp:revision>2</cp:revision>
  <cp:lastPrinted>2019-08-22T15:24:00Z</cp:lastPrinted>
  <dcterms:created xsi:type="dcterms:W3CDTF">2019-11-18T14:12:00Z</dcterms:created>
  <dcterms:modified xsi:type="dcterms:W3CDTF">2019-11-18T14:12:00Z</dcterms:modified>
</cp:coreProperties>
</file>