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BDAB" w14:textId="77777777" w:rsidR="000A7DEE" w:rsidRDefault="000A7DEE" w:rsidP="000A7DEE">
      <w:pPr>
        <w:spacing w:before="120"/>
        <w:rPr>
          <w:b/>
          <w:sz w:val="28"/>
          <w:szCs w:val="28"/>
        </w:rPr>
      </w:pPr>
      <w:r w:rsidRPr="00501F18">
        <w:rPr>
          <w:b/>
          <w:sz w:val="28"/>
          <w:szCs w:val="28"/>
        </w:rPr>
        <w:t>Economic Commission for Europe</w:t>
      </w:r>
    </w:p>
    <w:p w14:paraId="2E721DDE" w14:textId="77777777" w:rsidR="00AE6AC2" w:rsidRPr="009968E7" w:rsidRDefault="00AE6AC2" w:rsidP="00AE6AC2">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6AF091D5" w14:textId="77777777" w:rsidR="00AE6AC2" w:rsidRPr="009968E7" w:rsidRDefault="00AE6AC2" w:rsidP="00AE6AC2">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2A177D75" w14:textId="77777777" w:rsidR="00AE6AC2" w:rsidRPr="00353CC5" w:rsidRDefault="00AE6AC2" w:rsidP="00AE6AC2">
      <w:pPr>
        <w:spacing w:before="120" w:line="240" w:lineRule="auto"/>
        <w:rPr>
          <w:b/>
          <w:sz w:val="24"/>
          <w:szCs w:val="24"/>
        </w:rPr>
      </w:pPr>
      <w:r w:rsidRPr="00055E82">
        <w:rPr>
          <w:b/>
          <w:sz w:val="24"/>
          <w:szCs w:val="24"/>
        </w:rPr>
        <w:t>Working Group on Environmental Impact Assessment</w:t>
      </w:r>
      <w:r w:rsidRPr="00055E82">
        <w:rPr>
          <w:b/>
          <w:sz w:val="24"/>
          <w:szCs w:val="24"/>
        </w:rPr>
        <w:br/>
        <w:t>and Strategic Environmental Assessment</w:t>
      </w:r>
    </w:p>
    <w:tbl>
      <w:tblPr>
        <w:tblpPr w:leftFromText="142" w:rightFromText="142" w:vertAnchor="page" w:horzAnchor="margin" w:tblpY="1456"/>
        <w:tblOverlap w:val="neve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8"/>
        <w:gridCol w:w="5547"/>
        <w:gridCol w:w="2851"/>
      </w:tblGrid>
      <w:tr w:rsidR="00AE6AC2" w:rsidRPr="000633D4" w14:paraId="598DDE2F" w14:textId="77777777" w:rsidTr="00DB2A48">
        <w:trPr>
          <w:cantSplit/>
          <w:trHeight w:hRule="exact" w:val="1003"/>
        </w:trPr>
        <w:tc>
          <w:tcPr>
            <w:tcW w:w="1708" w:type="dxa"/>
            <w:shd w:val="clear" w:color="auto" w:fill="auto"/>
            <w:vAlign w:val="bottom"/>
          </w:tcPr>
          <w:p w14:paraId="6234CCB1" w14:textId="77777777" w:rsidR="00AE6AC2" w:rsidRPr="00B72B0F" w:rsidRDefault="00AE6AC2" w:rsidP="009D6821">
            <w:pPr>
              <w:pStyle w:val="Heading5"/>
            </w:pPr>
          </w:p>
        </w:tc>
        <w:tc>
          <w:tcPr>
            <w:tcW w:w="5547" w:type="dxa"/>
            <w:shd w:val="clear" w:color="auto" w:fill="auto"/>
            <w:vAlign w:val="bottom"/>
          </w:tcPr>
          <w:p w14:paraId="1E9D7E51" w14:textId="77777777" w:rsidR="00AE6AC2" w:rsidRPr="00501CD2" w:rsidRDefault="00AE6AC2" w:rsidP="009D6821">
            <w:pPr>
              <w:spacing w:after="80" w:line="240" w:lineRule="auto"/>
              <w:rPr>
                <w:b/>
                <w:sz w:val="24"/>
                <w:szCs w:val="44"/>
              </w:rPr>
            </w:pPr>
          </w:p>
        </w:tc>
        <w:tc>
          <w:tcPr>
            <w:tcW w:w="2851" w:type="dxa"/>
            <w:shd w:val="clear" w:color="auto" w:fill="auto"/>
          </w:tcPr>
          <w:p w14:paraId="1B039F01" w14:textId="77777777" w:rsidR="00AE6AC2" w:rsidRPr="0007592F" w:rsidRDefault="00AE6AC2" w:rsidP="009D6821">
            <w:pPr>
              <w:spacing w:before="240" w:line="240" w:lineRule="exact"/>
              <w:ind w:left="4"/>
            </w:pPr>
            <w:r w:rsidRPr="0007592F">
              <w:t>ECE/MP.EIA/WG.2/2020/INF.</w:t>
            </w:r>
            <w:r>
              <w:t>4</w:t>
            </w:r>
            <w:r w:rsidRPr="00854350">
              <w:rPr>
                <w:lang w:val="en-US"/>
              </w:rPr>
              <w:br/>
            </w:r>
            <w:r>
              <w:t xml:space="preserve">Original: </w:t>
            </w:r>
            <w:r w:rsidRPr="0007592F">
              <w:t>English</w:t>
            </w:r>
          </w:p>
          <w:p w14:paraId="74F797F7" w14:textId="449CA51F" w:rsidR="00AE6AC2" w:rsidRPr="00352A20" w:rsidRDefault="005D5A1C" w:rsidP="009D6821">
            <w:pPr>
              <w:spacing w:line="240" w:lineRule="exact"/>
            </w:pPr>
            <w:r>
              <w:t xml:space="preserve">23 </w:t>
            </w:r>
            <w:r w:rsidR="00AE6AC2" w:rsidRPr="0007592F">
              <w:t>April 2020</w:t>
            </w:r>
          </w:p>
        </w:tc>
      </w:tr>
    </w:tbl>
    <w:p w14:paraId="329189DE" w14:textId="77777777" w:rsidR="00AE6AC2" w:rsidRPr="00055E82" w:rsidRDefault="00AE6AC2" w:rsidP="00AE6AC2">
      <w:pPr>
        <w:spacing w:before="120"/>
        <w:rPr>
          <w:b/>
        </w:rPr>
      </w:pPr>
      <w:r>
        <w:rPr>
          <w:b/>
        </w:rPr>
        <w:t>Ninth</w:t>
      </w:r>
      <w:r w:rsidRPr="00055E82">
        <w:rPr>
          <w:b/>
        </w:rPr>
        <w:t xml:space="preserve"> meeting</w:t>
      </w:r>
    </w:p>
    <w:p w14:paraId="1462C67E" w14:textId="485624AC" w:rsidR="00AE6AC2" w:rsidRPr="00055E82" w:rsidRDefault="00AE6AC2" w:rsidP="00AE6AC2">
      <w:r w:rsidRPr="00055E82">
        <w:t xml:space="preserve">Geneva, </w:t>
      </w:r>
      <w:r w:rsidR="00EB62FF">
        <w:t>24</w:t>
      </w:r>
      <w:r w:rsidR="00091BA3">
        <w:t>–</w:t>
      </w:r>
      <w:r w:rsidR="00EB62FF">
        <w:t xml:space="preserve">26 August </w:t>
      </w:r>
      <w:r w:rsidRPr="00055E82">
        <w:t>20</w:t>
      </w:r>
      <w:r>
        <w:t>20</w:t>
      </w:r>
    </w:p>
    <w:p w14:paraId="2C659622" w14:textId="77777777" w:rsidR="00AE6AC2" w:rsidRPr="00055E82" w:rsidRDefault="00AE6AC2" w:rsidP="00AE6AC2">
      <w:r w:rsidRPr="00055E82">
        <w:t xml:space="preserve">Item </w:t>
      </w:r>
      <w:r>
        <w:t xml:space="preserve">4 (a) </w:t>
      </w:r>
      <w:r w:rsidRPr="00055E82">
        <w:t>of the provisional agenda</w:t>
      </w:r>
    </w:p>
    <w:p w14:paraId="503D5F55" w14:textId="77777777" w:rsidR="00AE6AC2" w:rsidRPr="004C16A1" w:rsidRDefault="00AE6AC2" w:rsidP="00AE6AC2">
      <w:pPr>
        <w:rPr>
          <w:b/>
          <w:bCs/>
        </w:rPr>
      </w:pPr>
      <w:r w:rsidRPr="00AE6AC2">
        <w:rPr>
          <w:b/>
          <w:bCs/>
        </w:rPr>
        <w:t>Preparations for the next sessions of the Meetings of the Parties</w:t>
      </w:r>
      <w:r>
        <w:rPr>
          <w:b/>
          <w:bCs/>
        </w:rPr>
        <w:t>:</w:t>
      </w:r>
      <w:r>
        <w:rPr>
          <w:b/>
          <w:bCs/>
        </w:rPr>
        <w:br/>
      </w:r>
      <w:r w:rsidRPr="00AE6AC2">
        <w:rPr>
          <w:b/>
          <w:bCs/>
        </w:rPr>
        <w:t>Practical arrangements</w:t>
      </w:r>
    </w:p>
    <w:p w14:paraId="5D7F1692" w14:textId="77777777" w:rsidR="000A7DEE" w:rsidRPr="009E3AB7" w:rsidRDefault="003E34C8" w:rsidP="009E3AB7">
      <w:pPr>
        <w:spacing w:line="240" w:lineRule="auto"/>
      </w:pPr>
      <w:r>
        <w:rPr>
          <w:b/>
          <w:color w:val="000000"/>
        </w:rPr>
        <w:br/>
      </w:r>
    </w:p>
    <w:p w14:paraId="6F91BEF2" w14:textId="453331B2" w:rsidR="000A7DEE" w:rsidRDefault="000A7DEE" w:rsidP="00217CE9">
      <w:pPr>
        <w:spacing w:line="240" w:lineRule="auto"/>
        <w:ind w:left="567"/>
        <w:rPr>
          <w:b/>
          <w:sz w:val="28"/>
        </w:rPr>
      </w:pPr>
      <w:r w:rsidRPr="000A7DEE">
        <w:rPr>
          <w:b/>
          <w:sz w:val="28"/>
        </w:rPr>
        <w:t xml:space="preserve">Preparations for the </w:t>
      </w:r>
      <w:r w:rsidR="00217CE9">
        <w:rPr>
          <w:b/>
          <w:sz w:val="28"/>
        </w:rPr>
        <w:t xml:space="preserve">next </w:t>
      </w:r>
      <w:r w:rsidRPr="000A7DEE">
        <w:rPr>
          <w:b/>
          <w:sz w:val="28"/>
        </w:rPr>
        <w:t>session</w:t>
      </w:r>
      <w:r w:rsidR="00217CE9">
        <w:rPr>
          <w:b/>
          <w:sz w:val="28"/>
        </w:rPr>
        <w:t>s</w:t>
      </w:r>
      <w:r w:rsidRPr="000A7DEE">
        <w:rPr>
          <w:b/>
          <w:sz w:val="28"/>
        </w:rPr>
        <w:t xml:space="preserve"> of the Meeting</w:t>
      </w:r>
      <w:r w:rsidR="00217CE9">
        <w:rPr>
          <w:b/>
          <w:sz w:val="28"/>
        </w:rPr>
        <w:t xml:space="preserve">s </w:t>
      </w:r>
      <w:r w:rsidRPr="000A7DEE">
        <w:rPr>
          <w:b/>
          <w:sz w:val="28"/>
        </w:rPr>
        <w:t xml:space="preserve">of the Parties </w:t>
      </w:r>
    </w:p>
    <w:p w14:paraId="5806408C" w14:textId="02E70E42" w:rsidR="00E5616C" w:rsidRDefault="00E5616C" w:rsidP="00217CE9">
      <w:pPr>
        <w:spacing w:line="240" w:lineRule="auto"/>
        <w:ind w:left="567"/>
        <w:rPr>
          <w:b/>
          <w:sz w:val="28"/>
        </w:rPr>
      </w:pPr>
    </w:p>
    <w:p w14:paraId="751AB3D1" w14:textId="0EB07037" w:rsidR="00E5616C" w:rsidRPr="00E5616C" w:rsidRDefault="00E5616C" w:rsidP="00217CE9">
      <w:pPr>
        <w:spacing w:line="240" w:lineRule="auto"/>
        <w:ind w:left="567"/>
        <w:rPr>
          <w:bCs/>
          <w:sz w:val="24"/>
          <w:szCs w:val="24"/>
          <w:u w:val="single"/>
        </w:rPr>
      </w:pPr>
      <w:r w:rsidRPr="00E5616C">
        <w:rPr>
          <w:bCs/>
          <w:sz w:val="24"/>
          <w:szCs w:val="24"/>
          <w:u w:val="single"/>
        </w:rPr>
        <w:t>Note by the secretariat</w:t>
      </w:r>
      <w:r w:rsidR="005D5A1C">
        <w:rPr>
          <w:bCs/>
          <w:sz w:val="24"/>
          <w:szCs w:val="24"/>
          <w:u w:val="single"/>
        </w:rPr>
        <w:t>, as</w:t>
      </w:r>
      <w:r w:rsidRPr="00E5616C">
        <w:rPr>
          <w:bCs/>
          <w:sz w:val="24"/>
          <w:szCs w:val="24"/>
          <w:u w:val="single"/>
        </w:rPr>
        <w:t xml:space="preserve"> agreed by the Bureau</w:t>
      </w:r>
    </w:p>
    <w:p w14:paraId="455736EF" w14:textId="77777777" w:rsidR="00217CE9" w:rsidRPr="002A1BE0" w:rsidRDefault="00217CE9" w:rsidP="00217CE9">
      <w:pPr>
        <w:spacing w:line="240" w:lineRule="auto"/>
        <w:ind w:left="567"/>
        <w:rPr>
          <w:b/>
          <w:sz w:val="28"/>
        </w:rPr>
      </w:pPr>
    </w:p>
    <w:tbl>
      <w:tblPr>
        <w:tblW w:w="7933"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7933"/>
      </w:tblGrid>
      <w:tr w:rsidR="00CD55BB" w:rsidRPr="002A1BE0" w14:paraId="426057B5" w14:textId="77777777" w:rsidTr="00541F3B">
        <w:trPr>
          <w:jc w:val="center"/>
        </w:trPr>
        <w:tc>
          <w:tcPr>
            <w:tcW w:w="7933" w:type="dxa"/>
            <w:shd w:val="clear" w:color="auto" w:fill="auto"/>
          </w:tcPr>
          <w:p w14:paraId="3DE353C1" w14:textId="77777777" w:rsidR="00217CE9" w:rsidRPr="00E5616C" w:rsidRDefault="00217CE9" w:rsidP="00217CE9">
            <w:pPr>
              <w:pStyle w:val="SingleTxtG"/>
              <w:ind w:left="429" w:right="419"/>
              <w:rPr>
                <w:i/>
                <w:iCs/>
              </w:rPr>
            </w:pPr>
            <w:r w:rsidRPr="00E5616C">
              <w:rPr>
                <w:i/>
                <w:iCs/>
              </w:rPr>
              <w:t>Summary</w:t>
            </w:r>
          </w:p>
          <w:p w14:paraId="5510E04A" w14:textId="46CF4E96" w:rsidR="00165F8B" w:rsidRDefault="00165F8B" w:rsidP="00DB2A48">
            <w:pPr>
              <w:pStyle w:val="SingleTxtG"/>
              <w:ind w:left="429" w:right="419"/>
            </w:pPr>
            <w:r>
              <w:t>Th</w:t>
            </w:r>
            <w:r w:rsidR="00827860">
              <w:t xml:space="preserve">e present note </w:t>
            </w:r>
            <w:r w:rsidR="005D5A1C">
              <w:t xml:space="preserve">contains </w:t>
            </w:r>
            <w:r w:rsidR="00E5616C">
              <w:t xml:space="preserve">a </w:t>
            </w:r>
            <w:r w:rsidR="00827860">
              <w:t xml:space="preserve">time schedule for the preparation of </w:t>
            </w:r>
            <w:r w:rsidRPr="000A2253">
              <w:t>the eighth session of the Meeting of the Parties to the Convention on Environmental Impact Assessment in a Transboundary Context and the fourth session of the Meeting of the Parties to the Protocol on Strategic Environmental Assessment</w:t>
            </w:r>
            <w:r>
              <w:t xml:space="preserve"> (Vilnius, </w:t>
            </w:r>
            <w:r w:rsidRPr="000A2253">
              <w:t>8</w:t>
            </w:r>
            <w:r>
              <w:t>–</w:t>
            </w:r>
            <w:r w:rsidRPr="000A2253">
              <w:t>11 December 2020</w:t>
            </w:r>
            <w:r>
              <w:t>)</w:t>
            </w:r>
            <w:r w:rsidR="00E94839">
              <w:t>, as agreed by the Bureau</w:t>
            </w:r>
            <w:r w:rsidR="00827860">
              <w:t xml:space="preserve">. </w:t>
            </w:r>
            <w:r w:rsidR="00091BA3">
              <w:t xml:space="preserve">It </w:t>
            </w:r>
            <w:r w:rsidR="00827860">
              <w:t xml:space="preserve">also </w:t>
            </w:r>
            <w:r w:rsidR="005D5A1C">
              <w:t xml:space="preserve">presents </w:t>
            </w:r>
            <w:r w:rsidR="00827860" w:rsidRPr="00827860">
              <w:t>a</w:t>
            </w:r>
            <w:r w:rsidR="00827860">
              <w:t xml:space="preserve"> </w:t>
            </w:r>
            <w:r w:rsidR="00827860" w:rsidRPr="00827860">
              <w:t>list of draft decisions and documents for</w:t>
            </w:r>
            <w:r w:rsidR="00827860">
              <w:t xml:space="preserve"> the session</w:t>
            </w:r>
            <w:r w:rsidR="00E5616C">
              <w:t>s</w:t>
            </w:r>
            <w:r w:rsidR="0027642B">
              <w:t xml:space="preserve">, </w:t>
            </w:r>
            <w:r>
              <w:t xml:space="preserve">as </w:t>
            </w:r>
            <w:r w:rsidR="00E5616C">
              <w:t xml:space="preserve">revised by the Bureau based on </w:t>
            </w:r>
            <w:r w:rsidR="0027642B">
              <w:t>comment</w:t>
            </w:r>
            <w:r w:rsidR="00E5616C">
              <w:t>s</w:t>
            </w:r>
            <w:r w:rsidR="0027642B">
              <w:t xml:space="preserve"> </w:t>
            </w:r>
            <w:r>
              <w:t xml:space="preserve">by the Working Group on </w:t>
            </w:r>
            <w:r w:rsidR="00DB2A48">
              <w:t xml:space="preserve">Environmental Impact Assessment and Strategic Environmental Assessment </w:t>
            </w:r>
            <w:r>
              <w:t xml:space="preserve">at its eighth meeting (Geneva, </w:t>
            </w:r>
            <w:r w:rsidRPr="007C71C2">
              <w:t>26</w:t>
            </w:r>
            <w:r>
              <w:t>–</w:t>
            </w:r>
            <w:r w:rsidRPr="007C71C2">
              <w:t>28 November</w:t>
            </w:r>
            <w:r>
              <w:t xml:space="preserve"> 2019).</w:t>
            </w:r>
          </w:p>
          <w:p w14:paraId="4F20ED87" w14:textId="77777777" w:rsidR="005D5A1C" w:rsidRDefault="005D5A1C" w:rsidP="005D5A1C">
            <w:pPr>
              <w:pStyle w:val="SingleTxtG"/>
              <w:ind w:left="429" w:right="419"/>
            </w:pPr>
            <w:r>
              <w:t xml:space="preserve">The Working Group is expected to review and comment the information. </w:t>
            </w:r>
          </w:p>
          <w:p w14:paraId="5604A838" w14:textId="1EDCE6FC" w:rsidR="00F97506" w:rsidRDefault="00091BA3" w:rsidP="00F97506">
            <w:pPr>
              <w:pStyle w:val="SingleTxtG"/>
              <w:ind w:left="429" w:right="419"/>
            </w:pPr>
            <w:r>
              <w:t>In addition, for consideration and agreement by the Working Group, t</w:t>
            </w:r>
            <w:r w:rsidR="0027642B">
              <w:t xml:space="preserve">he chapter IV of the document </w:t>
            </w:r>
            <w:r>
              <w:t xml:space="preserve">presents </w:t>
            </w:r>
            <w:r w:rsidR="000C34AA">
              <w:t>the Bureau’s recommendatio</w:t>
            </w:r>
            <w:r w:rsidR="00D33F89">
              <w:t>ns</w:t>
            </w:r>
            <w:r>
              <w:t xml:space="preserve"> regarding</w:t>
            </w:r>
            <w:r w:rsidR="00602BB5">
              <w:t xml:space="preserve"> the</w:t>
            </w:r>
            <w:r w:rsidR="0027642B">
              <w:t xml:space="preserve"> panel discussions</w:t>
            </w:r>
            <w:r w:rsidR="00F97506">
              <w:t xml:space="preserve">, </w:t>
            </w:r>
            <w:r>
              <w:t xml:space="preserve">the </w:t>
            </w:r>
            <w:r w:rsidR="005D5A1C">
              <w:t xml:space="preserve">high-level </w:t>
            </w:r>
            <w:r>
              <w:t>event</w:t>
            </w:r>
            <w:r w:rsidR="00F97506">
              <w:t xml:space="preserve"> and a possible side event</w:t>
            </w:r>
            <w:r>
              <w:t xml:space="preserve"> </w:t>
            </w:r>
            <w:r w:rsidR="0027642B">
              <w:t xml:space="preserve">to be held during the Meetings of the Parties’ next sessions. </w:t>
            </w:r>
            <w:r w:rsidR="00F97506">
              <w:t>Delegations are invited to comment and suggest speakers and moderator</w:t>
            </w:r>
            <w:r w:rsidR="003311B8">
              <w:t>s</w:t>
            </w:r>
            <w:r w:rsidR="00F97506">
              <w:t xml:space="preserve"> by 30 June. </w:t>
            </w:r>
            <w:r w:rsidR="00681533">
              <w:t xml:space="preserve">The </w:t>
            </w:r>
            <w:r w:rsidR="003C57B9">
              <w:t>Working Group</w:t>
            </w:r>
            <w:r w:rsidR="00681533">
              <w:t xml:space="preserve"> may also wish to refer to </w:t>
            </w:r>
            <w:r w:rsidR="00FC6FE1">
              <w:t>a</w:t>
            </w:r>
            <w:r w:rsidR="00681533">
              <w:t xml:space="preserve"> separate</w:t>
            </w:r>
            <w:r w:rsidR="00FC6FE1">
              <w:t xml:space="preserve"> summary </w:t>
            </w:r>
            <w:r w:rsidR="00681533">
              <w:t xml:space="preserve">table on </w:t>
            </w:r>
            <w:r w:rsidR="00FC6FE1">
              <w:t xml:space="preserve">the </w:t>
            </w:r>
            <w:r w:rsidR="00681533">
              <w:t xml:space="preserve">topics of the </w:t>
            </w:r>
            <w:r w:rsidR="00FC6FE1">
              <w:t xml:space="preserve">panels and/or seminars held </w:t>
            </w:r>
            <w:r w:rsidR="00681533">
              <w:t xml:space="preserve">this far </w:t>
            </w:r>
            <w:r w:rsidR="00FC6FE1">
              <w:t>in</w:t>
            </w:r>
            <w:r w:rsidR="00681533">
              <w:t xml:space="preserve"> 2001</w:t>
            </w:r>
            <w:r w:rsidR="00594395">
              <w:t>–</w:t>
            </w:r>
            <w:r w:rsidR="00681533">
              <w:t xml:space="preserve">2019 that the secretariat has compiled. </w:t>
            </w:r>
          </w:p>
          <w:p w14:paraId="7ACDC08A" w14:textId="38169952" w:rsidR="0027642B" w:rsidRPr="003C57B9" w:rsidRDefault="00165F8B" w:rsidP="00F97506">
            <w:pPr>
              <w:pStyle w:val="SingleTxtG"/>
              <w:ind w:left="429" w:right="419"/>
            </w:pPr>
            <w:r>
              <w:t xml:space="preserve">The provisional annotated agenda, as revised by the </w:t>
            </w:r>
            <w:r w:rsidR="003C57B9">
              <w:t>Bureau</w:t>
            </w:r>
            <w:r>
              <w:t>, is contained in a separate document (</w:t>
            </w:r>
            <w:r w:rsidR="003C57B9">
              <w:t>ECE/MP.EIA/WG.2/2020/INF.5</w:t>
            </w:r>
            <w:r>
              <w:t xml:space="preserve">) for </w:t>
            </w:r>
            <w:r w:rsidR="00E5616C">
              <w:t xml:space="preserve">agreement by the Working Group. </w:t>
            </w:r>
          </w:p>
        </w:tc>
      </w:tr>
      <w:tr w:rsidR="00217CE9" w:rsidRPr="002A1BE0" w14:paraId="0E1CA14B" w14:textId="77777777" w:rsidTr="00541F3B">
        <w:trPr>
          <w:jc w:val="center"/>
        </w:trPr>
        <w:tc>
          <w:tcPr>
            <w:tcW w:w="7933" w:type="dxa"/>
            <w:shd w:val="clear" w:color="auto" w:fill="auto"/>
          </w:tcPr>
          <w:p w14:paraId="0511920D" w14:textId="77777777" w:rsidR="00217CE9" w:rsidRPr="00217CE9" w:rsidRDefault="00217CE9" w:rsidP="00217CE9">
            <w:pPr>
              <w:pStyle w:val="SingleTxtG"/>
              <w:ind w:left="0" w:right="419"/>
              <w:rPr>
                <w:i/>
                <w:iCs/>
              </w:rPr>
            </w:pPr>
          </w:p>
        </w:tc>
      </w:tr>
    </w:tbl>
    <w:p w14:paraId="141B2C66" w14:textId="77777777" w:rsidR="00446672" w:rsidRDefault="002A7E7C" w:rsidP="00D71A30">
      <w:pPr>
        <w:pStyle w:val="HChG"/>
        <w:tabs>
          <w:tab w:val="clear" w:pos="851"/>
        </w:tabs>
        <w:spacing w:before="0"/>
        <w:ind w:hanging="567"/>
        <w:rPr>
          <w:bCs/>
          <w:szCs w:val="28"/>
        </w:rPr>
      </w:pPr>
      <w:r w:rsidRPr="00FA0753">
        <w:rPr>
          <w:bCs/>
          <w:szCs w:val="28"/>
        </w:rPr>
        <w:lastRenderedPageBreak/>
        <w:t>I</w:t>
      </w:r>
      <w:r w:rsidR="00704F37" w:rsidRPr="00FA0753">
        <w:rPr>
          <w:bCs/>
          <w:szCs w:val="28"/>
        </w:rPr>
        <w:t>.</w:t>
      </w:r>
      <w:r w:rsidR="00704F37" w:rsidRPr="00FA0753">
        <w:rPr>
          <w:bCs/>
          <w:szCs w:val="28"/>
        </w:rPr>
        <w:tab/>
        <w:t>Indicative time</w:t>
      </w:r>
      <w:r w:rsidR="00EB1E69">
        <w:rPr>
          <w:bCs/>
          <w:szCs w:val="28"/>
        </w:rPr>
        <w:t xml:space="preserve"> </w:t>
      </w:r>
      <w:r w:rsidR="00704F37" w:rsidRPr="00FA0753">
        <w:rPr>
          <w:bCs/>
          <w:szCs w:val="28"/>
        </w:rPr>
        <w:t>schedule</w:t>
      </w:r>
      <w:r w:rsidRPr="00FA0753">
        <w:rPr>
          <w:bCs/>
          <w:szCs w:val="28"/>
        </w:rPr>
        <w:t xml:space="preserve"> for the preparatory work</w:t>
      </w:r>
      <w:r w:rsidR="00E6055D" w:rsidRPr="00FA0753">
        <w:rPr>
          <w:bCs/>
          <w:szCs w:val="28"/>
        </w:rPr>
        <w:t xml:space="preserve"> </w:t>
      </w:r>
    </w:p>
    <w:p w14:paraId="718302A5" w14:textId="77777777" w:rsidR="00D45F66" w:rsidRPr="00D45F66" w:rsidRDefault="00D45F66" w:rsidP="00D45F66"/>
    <w:tbl>
      <w:tblPr>
        <w:tblW w:w="90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2535"/>
        <w:gridCol w:w="3136"/>
      </w:tblGrid>
      <w:tr w:rsidR="00704F37" w:rsidRPr="00944ACC" w14:paraId="0057EA70" w14:textId="77777777" w:rsidTr="00B91296">
        <w:tc>
          <w:tcPr>
            <w:tcW w:w="3329" w:type="dxa"/>
            <w:shd w:val="clear" w:color="auto" w:fill="D9D9D9"/>
          </w:tcPr>
          <w:p w14:paraId="4A09599E" w14:textId="77777777" w:rsidR="00704F37" w:rsidRPr="00944ACC" w:rsidRDefault="00687389" w:rsidP="00E20B60">
            <w:pPr>
              <w:spacing w:before="240"/>
              <w:ind w:right="1134"/>
              <w:jc w:val="center"/>
              <w:rPr>
                <w:b/>
              </w:rPr>
            </w:pPr>
            <w:r w:rsidRPr="00944ACC">
              <w:rPr>
                <w:b/>
              </w:rPr>
              <w:t>Activity</w:t>
            </w:r>
            <w:r w:rsidR="00B91296">
              <w:rPr>
                <w:b/>
                <w:sz w:val="28"/>
                <w:szCs w:val="28"/>
              </w:rPr>
              <w:br/>
            </w:r>
          </w:p>
        </w:tc>
        <w:tc>
          <w:tcPr>
            <w:tcW w:w="2535" w:type="dxa"/>
            <w:shd w:val="clear" w:color="auto" w:fill="D9D9D9"/>
          </w:tcPr>
          <w:p w14:paraId="63BFEEF8" w14:textId="77777777" w:rsidR="00704F37" w:rsidRPr="00944ACC" w:rsidRDefault="00704F37" w:rsidP="00E20B60">
            <w:pPr>
              <w:spacing w:before="240"/>
              <w:ind w:left="124" w:right="1134"/>
              <w:rPr>
                <w:b/>
              </w:rPr>
            </w:pPr>
            <w:r w:rsidRPr="00944ACC">
              <w:rPr>
                <w:b/>
              </w:rPr>
              <w:t>Responsible</w:t>
            </w:r>
          </w:p>
        </w:tc>
        <w:tc>
          <w:tcPr>
            <w:tcW w:w="3136" w:type="dxa"/>
            <w:shd w:val="clear" w:color="auto" w:fill="D9D9D9"/>
          </w:tcPr>
          <w:p w14:paraId="553F8180" w14:textId="5A409291" w:rsidR="00704F37" w:rsidRPr="00944ACC" w:rsidRDefault="00704F37" w:rsidP="00E20B60">
            <w:pPr>
              <w:spacing w:before="240"/>
              <w:ind w:right="1134"/>
              <w:jc w:val="center"/>
              <w:rPr>
                <w:b/>
              </w:rPr>
            </w:pPr>
            <w:r w:rsidRPr="00944ACC">
              <w:rPr>
                <w:b/>
              </w:rPr>
              <w:t>Deadline/Date</w:t>
            </w:r>
            <w:r w:rsidR="00DB2A48">
              <w:rPr>
                <w:b/>
              </w:rPr>
              <w:t xml:space="preserve"> in 2020</w:t>
            </w:r>
          </w:p>
        </w:tc>
      </w:tr>
      <w:tr w:rsidR="00516780" w:rsidRPr="00944ACC" w14:paraId="089DA7FD" w14:textId="77777777" w:rsidTr="00A1771A">
        <w:tc>
          <w:tcPr>
            <w:tcW w:w="3329" w:type="dxa"/>
            <w:shd w:val="clear" w:color="auto" w:fill="D9D9D9"/>
          </w:tcPr>
          <w:p w14:paraId="47C9837C" w14:textId="77777777" w:rsidR="00516780" w:rsidRPr="00CE7F47" w:rsidRDefault="00516780" w:rsidP="00541F3B">
            <w:pPr>
              <w:ind w:left="117" w:right="17"/>
              <w:jc w:val="center"/>
              <w:rPr>
                <w:b/>
                <w:bCs/>
              </w:rPr>
            </w:pPr>
            <w:r w:rsidRPr="00CE7F47">
              <w:rPr>
                <w:b/>
                <w:bCs/>
              </w:rPr>
              <w:t>2020</w:t>
            </w:r>
          </w:p>
        </w:tc>
        <w:tc>
          <w:tcPr>
            <w:tcW w:w="2535" w:type="dxa"/>
            <w:shd w:val="clear" w:color="auto" w:fill="D9D9D9"/>
            <w:vAlign w:val="center"/>
          </w:tcPr>
          <w:p w14:paraId="18C5F9C0" w14:textId="77777777" w:rsidR="00516780" w:rsidRPr="00A16AFC" w:rsidRDefault="00516780" w:rsidP="00516780">
            <w:pPr>
              <w:ind w:left="124" w:right="1134"/>
            </w:pPr>
          </w:p>
        </w:tc>
        <w:tc>
          <w:tcPr>
            <w:tcW w:w="3136" w:type="dxa"/>
            <w:shd w:val="clear" w:color="auto" w:fill="D9D9D9"/>
          </w:tcPr>
          <w:p w14:paraId="7E0B0A78" w14:textId="77777777" w:rsidR="00516780" w:rsidRPr="00A16AFC" w:rsidRDefault="00516780" w:rsidP="000A2253">
            <w:pPr>
              <w:ind w:left="117" w:right="17"/>
            </w:pPr>
          </w:p>
        </w:tc>
      </w:tr>
      <w:tr w:rsidR="00516780" w:rsidRPr="00944ACC" w14:paraId="20C53D83" w14:textId="77777777" w:rsidTr="00662ABE">
        <w:trPr>
          <w:trHeight w:val="56"/>
        </w:trPr>
        <w:tc>
          <w:tcPr>
            <w:tcW w:w="3329" w:type="dxa"/>
            <w:shd w:val="clear" w:color="auto" w:fill="F2F2F2"/>
            <w:vAlign w:val="center"/>
          </w:tcPr>
          <w:p w14:paraId="23425B45" w14:textId="23A945A5" w:rsidR="00E94839" w:rsidRPr="00A16AFC" w:rsidRDefault="00516780" w:rsidP="00516780">
            <w:pPr>
              <w:ind w:left="117" w:right="17"/>
            </w:pPr>
            <w:r w:rsidRPr="00A16AFC">
              <w:rPr>
                <w:b/>
                <w:bCs/>
              </w:rPr>
              <w:t>Bureau</w:t>
            </w:r>
            <w:r w:rsidRPr="00A16AFC">
              <w:t xml:space="preserve"> </w:t>
            </w:r>
            <w:r>
              <w:t xml:space="preserve">meeting </w:t>
            </w:r>
            <w:r w:rsidRPr="00A16AFC">
              <w:t xml:space="preserve">to </w:t>
            </w:r>
            <w:r w:rsidR="00594395">
              <w:t xml:space="preserve">agree on the </w:t>
            </w:r>
            <w:r w:rsidR="00541F3B">
              <w:t>WG9 agenda and doc</w:t>
            </w:r>
            <w:r w:rsidR="00594395">
              <w:t>uments</w:t>
            </w:r>
            <w:r w:rsidR="00541F3B">
              <w:t xml:space="preserve"> </w:t>
            </w:r>
          </w:p>
        </w:tc>
        <w:tc>
          <w:tcPr>
            <w:tcW w:w="2535" w:type="dxa"/>
            <w:shd w:val="clear" w:color="auto" w:fill="F2F2F2"/>
            <w:vAlign w:val="center"/>
          </w:tcPr>
          <w:p w14:paraId="43B42F0C" w14:textId="64F39E81" w:rsidR="00516780" w:rsidRPr="00A16AFC" w:rsidRDefault="00516780" w:rsidP="00516780">
            <w:pPr>
              <w:ind w:left="117" w:right="17"/>
            </w:pPr>
            <w:r w:rsidRPr="00A16AFC">
              <w:t xml:space="preserve">Bureau </w:t>
            </w:r>
            <w:r w:rsidR="00DB2A48">
              <w:t>and</w:t>
            </w:r>
            <w:r w:rsidRPr="00A16AFC">
              <w:t xml:space="preserve"> the secretariat</w:t>
            </w:r>
          </w:p>
          <w:p w14:paraId="727DB60C" w14:textId="77777777" w:rsidR="00516780" w:rsidRPr="00A16AFC" w:rsidRDefault="00516780" w:rsidP="00516780">
            <w:pPr>
              <w:ind w:right="17"/>
            </w:pPr>
          </w:p>
        </w:tc>
        <w:tc>
          <w:tcPr>
            <w:tcW w:w="3136" w:type="dxa"/>
            <w:shd w:val="clear" w:color="auto" w:fill="F2F2F2"/>
            <w:vAlign w:val="center"/>
          </w:tcPr>
          <w:p w14:paraId="5BBDF0A1" w14:textId="2B3353C4" w:rsidR="00E94839" w:rsidRPr="00331D43" w:rsidRDefault="00516780" w:rsidP="000A2253">
            <w:pPr>
              <w:ind w:left="117" w:right="17"/>
              <w:rPr>
                <w:b/>
                <w:bCs/>
              </w:rPr>
            </w:pPr>
            <w:r w:rsidRPr="00331D43">
              <w:rPr>
                <w:b/>
                <w:bCs/>
              </w:rPr>
              <w:t>25</w:t>
            </w:r>
            <w:r w:rsidR="00965BF2" w:rsidRPr="00331D43">
              <w:rPr>
                <w:b/>
                <w:bCs/>
              </w:rPr>
              <w:t>–</w:t>
            </w:r>
            <w:r w:rsidRPr="00331D43">
              <w:rPr>
                <w:b/>
                <w:bCs/>
              </w:rPr>
              <w:t xml:space="preserve">26 February </w:t>
            </w:r>
            <w:r w:rsidR="00965BF2" w:rsidRPr="00331D43">
              <w:rPr>
                <w:b/>
                <w:bCs/>
              </w:rPr>
              <w:br/>
            </w:r>
            <w:r w:rsidR="00E94839" w:rsidRPr="00331D43">
              <w:rPr>
                <w:b/>
                <w:bCs/>
              </w:rPr>
              <w:t>+ subsequent written consultations</w:t>
            </w:r>
          </w:p>
        </w:tc>
      </w:tr>
      <w:tr w:rsidR="00516780" w:rsidRPr="00944ACC" w14:paraId="25DDEF5F" w14:textId="77777777" w:rsidTr="005E1F6D">
        <w:trPr>
          <w:trHeight w:val="20"/>
        </w:trPr>
        <w:tc>
          <w:tcPr>
            <w:tcW w:w="3329" w:type="dxa"/>
            <w:shd w:val="clear" w:color="auto" w:fill="auto"/>
            <w:vAlign w:val="center"/>
          </w:tcPr>
          <w:p w14:paraId="7E54BCD1" w14:textId="1FA241C6" w:rsidR="00516780" w:rsidRPr="00A16AFC" w:rsidRDefault="00516780" w:rsidP="00516780">
            <w:pPr>
              <w:ind w:left="117" w:right="17"/>
            </w:pPr>
            <w:r w:rsidRPr="00A1771A">
              <w:rPr>
                <w:b/>
                <w:bCs/>
              </w:rPr>
              <w:t>Implementation Committee</w:t>
            </w:r>
            <w:r w:rsidR="00ED3496">
              <w:rPr>
                <w:b/>
                <w:bCs/>
              </w:rPr>
              <w:t xml:space="preserve"> </w:t>
            </w:r>
            <w:r w:rsidR="00ED3496" w:rsidRPr="00ED3496">
              <w:t>(47</w:t>
            </w:r>
            <w:r w:rsidR="00ED3496" w:rsidRPr="00ED3496">
              <w:rPr>
                <w:vertAlign w:val="superscript"/>
              </w:rPr>
              <w:t>th</w:t>
            </w:r>
            <w:r w:rsidR="00DB2A48">
              <w:t xml:space="preserve"> session)</w:t>
            </w:r>
          </w:p>
        </w:tc>
        <w:tc>
          <w:tcPr>
            <w:tcW w:w="2535" w:type="dxa"/>
            <w:vAlign w:val="center"/>
          </w:tcPr>
          <w:p w14:paraId="13DC91FE" w14:textId="77777777" w:rsidR="00516780" w:rsidRPr="00A16AFC" w:rsidRDefault="00516780" w:rsidP="00516780">
            <w:pPr>
              <w:ind w:left="117" w:right="17"/>
              <w:jc w:val="both"/>
            </w:pPr>
            <w:r w:rsidRPr="00A16AFC">
              <w:t>Implementation Committee</w:t>
            </w:r>
          </w:p>
        </w:tc>
        <w:tc>
          <w:tcPr>
            <w:tcW w:w="3136" w:type="dxa"/>
            <w:shd w:val="clear" w:color="auto" w:fill="auto"/>
            <w:vAlign w:val="center"/>
          </w:tcPr>
          <w:p w14:paraId="0FD97EB0" w14:textId="77777777" w:rsidR="00516780" w:rsidRPr="00331D43" w:rsidRDefault="00541F3B" w:rsidP="00541F3B">
            <w:pPr>
              <w:ind w:right="17"/>
              <w:rPr>
                <w:b/>
                <w:bCs/>
              </w:rPr>
            </w:pPr>
            <w:r>
              <w:t xml:space="preserve"> </w:t>
            </w:r>
            <w:r w:rsidR="00516780" w:rsidRPr="00331D43">
              <w:rPr>
                <w:b/>
                <w:bCs/>
              </w:rPr>
              <w:t>17</w:t>
            </w:r>
            <w:r w:rsidR="00965BF2" w:rsidRPr="00331D43">
              <w:rPr>
                <w:b/>
                <w:bCs/>
              </w:rPr>
              <w:t>–</w:t>
            </w:r>
            <w:r w:rsidR="00516780" w:rsidRPr="00331D43">
              <w:rPr>
                <w:b/>
                <w:bCs/>
              </w:rPr>
              <w:t xml:space="preserve">20 March </w:t>
            </w:r>
          </w:p>
        </w:tc>
      </w:tr>
      <w:tr w:rsidR="00C62678" w:rsidRPr="00944ACC" w14:paraId="4348F508" w14:textId="77777777" w:rsidTr="005E1F6D">
        <w:trPr>
          <w:trHeight w:val="20"/>
        </w:trPr>
        <w:tc>
          <w:tcPr>
            <w:tcW w:w="3329" w:type="dxa"/>
            <w:shd w:val="clear" w:color="auto" w:fill="auto"/>
            <w:vAlign w:val="center"/>
          </w:tcPr>
          <w:p w14:paraId="568F9499" w14:textId="60050A95" w:rsidR="00C62678" w:rsidRPr="00A1771A" w:rsidRDefault="00C62678" w:rsidP="00C62678">
            <w:pPr>
              <w:ind w:left="117" w:right="17"/>
              <w:rPr>
                <w:b/>
                <w:bCs/>
              </w:rPr>
            </w:pPr>
            <w:r>
              <w:t xml:space="preserve">Comments on the official documents (available since 1 April) </w:t>
            </w:r>
          </w:p>
        </w:tc>
        <w:tc>
          <w:tcPr>
            <w:tcW w:w="2535" w:type="dxa"/>
            <w:vAlign w:val="center"/>
          </w:tcPr>
          <w:p w14:paraId="5D448C8B" w14:textId="3C73E64C" w:rsidR="00C62678" w:rsidRPr="00A16AFC" w:rsidRDefault="00C62678" w:rsidP="00C62678">
            <w:pPr>
              <w:ind w:left="117" w:right="17"/>
              <w:jc w:val="both"/>
            </w:pPr>
            <w:r>
              <w:t xml:space="preserve">All delegations </w:t>
            </w:r>
          </w:p>
        </w:tc>
        <w:tc>
          <w:tcPr>
            <w:tcW w:w="3136" w:type="dxa"/>
            <w:shd w:val="clear" w:color="auto" w:fill="auto"/>
            <w:vAlign w:val="center"/>
          </w:tcPr>
          <w:p w14:paraId="29D09DF8" w14:textId="7F93D331" w:rsidR="00C62678" w:rsidRDefault="00C62678" w:rsidP="00C62678">
            <w:pPr>
              <w:ind w:right="17"/>
            </w:pPr>
            <w:r>
              <w:t xml:space="preserve"> </w:t>
            </w:r>
            <w:r w:rsidR="005D5A1C">
              <w:t xml:space="preserve"> </w:t>
            </w:r>
            <w:r>
              <w:t xml:space="preserve">By 30 June  </w:t>
            </w:r>
          </w:p>
        </w:tc>
      </w:tr>
      <w:tr w:rsidR="00C62678" w:rsidRPr="00944ACC" w14:paraId="21297DD7" w14:textId="77777777" w:rsidTr="005E1F6D">
        <w:trPr>
          <w:trHeight w:val="20"/>
        </w:trPr>
        <w:tc>
          <w:tcPr>
            <w:tcW w:w="3329" w:type="dxa"/>
            <w:shd w:val="clear" w:color="auto" w:fill="auto"/>
            <w:vAlign w:val="center"/>
          </w:tcPr>
          <w:p w14:paraId="4CCDBA3E" w14:textId="5B870A83" w:rsidR="00C62678" w:rsidRDefault="00C62678" w:rsidP="00C62678">
            <w:pPr>
              <w:ind w:left="117" w:right="17"/>
            </w:pPr>
            <w:r>
              <w:t>Initial information on pledged financial contributions for 2021–2023</w:t>
            </w:r>
          </w:p>
        </w:tc>
        <w:tc>
          <w:tcPr>
            <w:tcW w:w="2535" w:type="dxa"/>
            <w:vAlign w:val="center"/>
          </w:tcPr>
          <w:p w14:paraId="0B6ECBCC" w14:textId="66AB2272" w:rsidR="00C62678" w:rsidRDefault="00C62678" w:rsidP="00C62678">
            <w:pPr>
              <w:ind w:left="117" w:right="17"/>
              <w:jc w:val="both"/>
            </w:pPr>
            <w:r>
              <w:t>Parties + other delegations</w:t>
            </w:r>
          </w:p>
        </w:tc>
        <w:tc>
          <w:tcPr>
            <w:tcW w:w="3136" w:type="dxa"/>
            <w:shd w:val="clear" w:color="auto" w:fill="auto"/>
            <w:vAlign w:val="center"/>
          </w:tcPr>
          <w:p w14:paraId="348D05EF" w14:textId="799260AD" w:rsidR="00C62678" w:rsidRDefault="00C62678" w:rsidP="00C62678">
            <w:pPr>
              <w:ind w:right="17"/>
            </w:pPr>
            <w:r>
              <w:t xml:space="preserve"> </w:t>
            </w:r>
            <w:r w:rsidR="005D5A1C">
              <w:t xml:space="preserve"> </w:t>
            </w:r>
            <w:r>
              <w:t>By 30 June</w:t>
            </w:r>
          </w:p>
        </w:tc>
      </w:tr>
      <w:tr w:rsidR="00C62678" w:rsidRPr="00944ACC" w14:paraId="46D54801" w14:textId="77777777" w:rsidTr="005E1F6D">
        <w:trPr>
          <w:trHeight w:val="20"/>
        </w:trPr>
        <w:tc>
          <w:tcPr>
            <w:tcW w:w="3329" w:type="dxa"/>
            <w:shd w:val="clear" w:color="auto" w:fill="auto"/>
            <w:vAlign w:val="center"/>
          </w:tcPr>
          <w:p w14:paraId="3C2EF2DA" w14:textId="674640C2" w:rsidR="00C62678" w:rsidRPr="00A16AFC" w:rsidRDefault="00F97506" w:rsidP="00C62678">
            <w:pPr>
              <w:ind w:left="117" w:right="17"/>
            </w:pPr>
            <w:r>
              <w:t xml:space="preserve">Input and speakers for </w:t>
            </w:r>
            <w:r w:rsidR="00C62678">
              <w:t>the</w:t>
            </w:r>
            <w:r w:rsidR="00FF2295">
              <w:t xml:space="preserve"> high-level</w:t>
            </w:r>
            <w:r w:rsidR="00C62678">
              <w:t xml:space="preserve"> event and the general segment’s panel </w:t>
            </w:r>
          </w:p>
        </w:tc>
        <w:tc>
          <w:tcPr>
            <w:tcW w:w="2535" w:type="dxa"/>
            <w:vAlign w:val="center"/>
          </w:tcPr>
          <w:p w14:paraId="702774BB" w14:textId="74F089D4" w:rsidR="00C62678" w:rsidRPr="00A16AFC" w:rsidRDefault="00C62678" w:rsidP="00C62678">
            <w:pPr>
              <w:ind w:left="117" w:right="17"/>
              <w:jc w:val="both"/>
            </w:pPr>
            <w:r>
              <w:t>All delegations</w:t>
            </w:r>
          </w:p>
        </w:tc>
        <w:tc>
          <w:tcPr>
            <w:tcW w:w="3136" w:type="dxa"/>
            <w:shd w:val="clear" w:color="auto" w:fill="auto"/>
            <w:vAlign w:val="center"/>
          </w:tcPr>
          <w:p w14:paraId="34B60B1E" w14:textId="593CDD46" w:rsidR="00C62678" w:rsidRDefault="00C62678" w:rsidP="00C62678">
            <w:pPr>
              <w:ind w:left="117" w:right="17"/>
            </w:pPr>
            <w:r>
              <w:t xml:space="preserve">By 30 June </w:t>
            </w:r>
          </w:p>
        </w:tc>
      </w:tr>
      <w:tr w:rsidR="00C62678" w:rsidRPr="00944ACC" w14:paraId="47268284" w14:textId="77777777" w:rsidTr="005E1F6D">
        <w:trPr>
          <w:trHeight w:val="20"/>
        </w:trPr>
        <w:tc>
          <w:tcPr>
            <w:tcW w:w="3329" w:type="dxa"/>
            <w:shd w:val="clear" w:color="auto" w:fill="auto"/>
            <w:vAlign w:val="center"/>
          </w:tcPr>
          <w:p w14:paraId="265D1C3B" w14:textId="4D21BD7D" w:rsidR="00C62678" w:rsidRPr="00A16AFC" w:rsidRDefault="00C62678" w:rsidP="00C62678">
            <w:pPr>
              <w:ind w:left="117" w:right="17"/>
            </w:pPr>
            <w:r>
              <w:t>N</w:t>
            </w:r>
            <w:r w:rsidRPr="00C62678">
              <w:t>ominations for chairing the general and high-level segments</w:t>
            </w:r>
          </w:p>
        </w:tc>
        <w:tc>
          <w:tcPr>
            <w:tcW w:w="2535" w:type="dxa"/>
            <w:vAlign w:val="center"/>
          </w:tcPr>
          <w:p w14:paraId="5D10CFC9" w14:textId="1BF98194" w:rsidR="00C62678" w:rsidRPr="00A16AFC" w:rsidRDefault="00C62678" w:rsidP="00C62678">
            <w:pPr>
              <w:ind w:left="117" w:right="17"/>
              <w:jc w:val="both"/>
            </w:pPr>
            <w:r>
              <w:t xml:space="preserve">Parties </w:t>
            </w:r>
          </w:p>
        </w:tc>
        <w:tc>
          <w:tcPr>
            <w:tcW w:w="3136" w:type="dxa"/>
            <w:shd w:val="clear" w:color="auto" w:fill="auto"/>
            <w:vAlign w:val="center"/>
          </w:tcPr>
          <w:p w14:paraId="69002F61" w14:textId="0F3FC1C6" w:rsidR="00C62678" w:rsidRDefault="00C62678" w:rsidP="00C62678">
            <w:pPr>
              <w:ind w:left="117" w:right="17"/>
            </w:pPr>
            <w:r>
              <w:t>By 30 June</w:t>
            </w:r>
          </w:p>
        </w:tc>
      </w:tr>
      <w:tr w:rsidR="009F1C11" w:rsidRPr="00944ACC" w14:paraId="6CF6EFE8" w14:textId="77777777" w:rsidTr="005E1F6D">
        <w:trPr>
          <w:trHeight w:val="20"/>
        </w:trPr>
        <w:tc>
          <w:tcPr>
            <w:tcW w:w="3329" w:type="dxa"/>
            <w:shd w:val="clear" w:color="auto" w:fill="auto"/>
            <w:vAlign w:val="center"/>
          </w:tcPr>
          <w:p w14:paraId="3233A7F6" w14:textId="43C00814" w:rsidR="009F1C11" w:rsidRDefault="009F1C11" w:rsidP="00C62678">
            <w:pPr>
              <w:ind w:left="117" w:right="17"/>
            </w:pPr>
            <w:r>
              <w:t xml:space="preserve">Initial nominations for officers to be elected </w:t>
            </w:r>
            <w:r w:rsidR="00C93EEE">
              <w:t>for the treaty bodies 2021-23</w:t>
            </w:r>
            <w:r>
              <w:t xml:space="preserve"> </w:t>
            </w:r>
          </w:p>
        </w:tc>
        <w:tc>
          <w:tcPr>
            <w:tcW w:w="2535" w:type="dxa"/>
            <w:vAlign w:val="center"/>
          </w:tcPr>
          <w:p w14:paraId="02BF5C71" w14:textId="4068389A" w:rsidR="009F1C11" w:rsidRDefault="009F1C11" w:rsidP="00C62678">
            <w:pPr>
              <w:ind w:left="117" w:right="17"/>
              <w:jc w:val="both"/>
            </w:pPr>
            <w:r>
              <w:t xml:space="preserve">Parties </w:t>
            </w:r>
          </w:p>
        </w:tc>
        <w:tc>
          <w:tcPr>
            <w:tcW w:w="3136" w:type="dxa"/>
            <w:shd w:val="clear" w:color="auto" w:fill="auto"/>
            <w:vAlign w:val="center"/>
          </w:tcPr>
          <w:p w14:paraId="024A06E3" w14:textId="519CFDEB" w:rsidR="009F1C11" w:rsidRDefault="009F1C11" w:rsidP="00C62678">
            <w:pPr>
              <w:ind w:left="117" w:right="17"/>
            </w:pPr>
            <w:r>
              <w:t>By 30 June</w:t>
            </w:r>
          </w:p>
        </w:tc>
      </w:tr>
      <w:tr w:rsidR="00C93EEE" w:rsidRPr="00944ACC" w14:paraId="2739A400" w14:textId="77777777" w:rsidTr="005E1F6D">
        <w:trPr>
          <w:trHeight w:val="20"/>
        </w:trPr>
        <w:tc>
          <w:tcPr>
            <w:tcW w:w="3329" w:type="dxa"/>
            <w:shd w:val="clear" w:color="auto" w:fill="auto"/>
            <w:vAlign w:val="center"/>
          </w:tcPr>
          <w:p w14:paraId="1FD2922C" w14:textId="4FFC0C7C" w:rsidR="00C93EEE" w:rsidRDefault="00C93EEE" w:rsidP="00C62678">
            <w:pPr>
              <w:ind w:left="117" w:right="17"/>
            </w:pPr>
            <w:r w:rsidRPr="00C93EEE">
              <w:t>Availability of the draft LTE Guidance for comments</w:t>
            </w:r>
          </w:p>
        </w:tc>
        <w:tc>
          <w:tcPr>
            <w:tcW w:w="2535" w:type="dxa"/>
            <w:vAlign w:val="center"/>
          </w:tcPr>
          <w:p w14:paraId="6C3E7155" w14:textId="1E25521F" w:rsidR="00C93EEE" w:rsidRDefault="00C93EEE" w:rsidP="00C62678">
            <w:pPr>
              <w:ind w:left="117" w:right="17"/>
              <w:jc w:val="both"/>
            </w:pPr>
            <w:r w:rsidRPr="00C93EEE">
              <w:t xml:space="preserve">Ad hoc working group </w:t>
            </w:r>
          </w:p>
        </w:tc>
        <w:tc>
          <w:tcPr>
            <w:tcW w:w="3136" w:type="dxa"/>
            <w:shd w:val="clear" w:color="auto" w:fill="auto"/>
            <w:vAlign w:val="center"/>
          </w:tcPr>
          <w:p w14:paraId="328EB16E" w14:textId="283618CF" w:rsidR="00C93EEE" w:rsidRDefault="00C93EEE" w:rsidP="00C62678">
            <w:pPr>
              <w:ind w:left="117" w:right="17"/>
            </w:pPr>
            <w:r>
              <w:t>By 30 June</w:t>
            </w:r>
          </w:p>
        </w:tc>
      </w:tr>
      <w:tr w:rsidR="00C62678" w:rsidRPr="00944ACC" w14:paraId="07404675" w14:textId="77777777" w:rsidTr="005E1F6D">
        <w:trPr>
          <w:trHeight w:val="20"/>
        </w:trPr>
        <w:tc>
          <w:tcPr>
            <w:tcW w:w="3329" w:type="dxa"/>
            <w:shd w:val="clear" w:color="auto" w:fill="auto"/>
            <w:vAlign w:val="center"/>
          </w:tcPr>
          <w:p w14:paraId="04E7FC0F" w14:textId="77777777" w:rsidR="00C62678" w:rsidRDefault="00C62678" w:rsidP="00C62678">
            <w:pPr>
              <w:ind w:left="117" w:right="17"/>
            </w:pPr>
            <w:r>
              <w:t xml:space="preserve">Comments on the draft LTE guidance </w:t>
            </w:r>
          </w:p>
          <w:p w14:paraId="58E44ED2" w14:textId="5055C15D" w:rsidR="00C62678" w:rsidRDefault="00C62678" w:rsidP="00C62678">
            <w:pPr>
              <w:ind w:left="117" w:right="17"/>
            </w:pPr>
          </w:p>
        </w:tc>
        <w:tc>
          <w:tcPr>
            <w:tcW w:w="2535" w:type="dxa"/>
            <w:vAlign w:val="center"/>
          </w:tcPr>
          <w:p w14:paraId="49B0C473" w14:textId="20B43175" w:rsidR="00C62678" w:rsidRDefault="00C62678" w:rsidP="00C62678">
            <w:pPr>
              <w:ind w:left="117" w:right="17"/>
              <w:jc w:val="both"/>
            </w:pPr>
            <w:r>
              <w:t>All delegations</w:t>
            </w:r>
          </w:p>
        </w:tc>
        <w:tc>
          <w:tcPr>
            <w:tcW w:w="3136" w:type="dxa"/>
            <w:shd w:val="clear" w:color="auto" w:fill="auto"/>
            <w:vAlign w:val="center"/>
          </w:tcPr>
          <w:p w14:paraId="1D6D5AC7" w14:textId="1422C75F" w:rsidR="00C62678" w:rsidRDefault="00772B4E" w:rsidP="00C62678">
            <w:pPr>
              <w:ind w:left="45" w:right="5"/>
            </w:pPr>
            <w:r>
              <w:t xml:space="preserve"> </w:t>
            </w:r>
            <w:bookmarkStart w:id="0" w:name="_GoBack"/>
            <w:bookmarkEnd w:id="0"/>
            <w:r w:rsidR="00C62678">
              <w:t xml:space="preserve">By 3 August </w:t>
            </w:r>
          </w:p>
        </w:tc>
      </w:tr>
      <w:tr w:rsidR="00C62678" w:rsidRPr="00944ACC" w14:paraId="7536F6CE" w14:textId="77777777" w:rsidTr="005E1F6D">
        <w:trPr>
          <w:trHeight w:val="20"/>
        </w:trPr>
        <w:tc>
          <w:tcPr>
            <w:tcW w:w="3329" w:type="dxa"/>
            <w:shd w:val="clear" w:color="auto" w:fill="auto"/>
            <w:vAlign w:val="center"/>
          </w:tcPr>
          <w:p w14:paraId="0958552F" w14:textId="21AA937F" w:rsidR="00C62678" w:rsidRPr="00C62678" w:rsidRDefault="00C62678" w:rsidP="00C62678">
            <w:pPr>
              <w:ind w:left="117" w:right="17"/>
              <w:rPr>
                <w:i/>
                <w:iCs/>
              </w:rPr>
            </w:pPr>
            <w:r w:rsidRPr="00C62678">
              <w:rPr>
                <w:i/>
                <w:iCs/>
              </w:rPr>
              <w:t xml:space="preserve">Ad hoc </w:t>
            </w:r>
            <w:r w:rsidR="00585516">
              <w:rPr>
                <w:i/>
                <w:iCs/>
              </w:rPr>
              <w:t xml:space="preserve">working </w:t>
            </w:r>
            <w:r w:rsidRPr="00C62678">
              <w:rPr>
                <w:i/>
                <w:iCs/>
              </w:rPr>
              <w:t xml:space="preserve">group on LTE of NPPs </w:t>
            </w:r>
          </w:p>
          <w:p w14:paraId="588F2B08" w14:textId="77777777" w:rsidR="00C62678" w:rsidRPr="00C62678" w:rsidRDefault="00C62678" w:rsidP="00585516">
            <w:pPr>
              <w:ind w:left="117" w:right="17"/>
              <w:rPr>
                <w:i/>
                <w:iCs/>
              </w:rPr>
            </w:pPr>
          </w:p>
        </w:tc>
        <w:tc>
          <w:tcPr>
            <w:tcW w:w="2535" w:type="dxa"/>
            <w:vAlign w:val="center"/>
          </w:tcPr>
          <w:p w14:paraId="0772AA66" w14:textId="77777777" w:rsidR="00C62678" w:rsidRPr="00C62678" w:rsidRDefault="00C62678" w:rsidP="00C62678">
            <w:pPr>
              <w:ind w:left="117" w:right="17"/>
              <w:jc w:val="both"/>
              <w:rPr>
                <w:i/>
                <w:iCs/>
              </w:rPr>
            </w:pPr>
            <w:r w:rsidRPr="00C62678">
              <w:rPr>
                <w:i/>
                <w:iCs/>
              </w:rPr>
              <w:t>Ad hoc group</w:t>
            </w:r>
          </w:p>
        </w:tc>
        <w:tc>
          <w:tcPr>
            <w:tcW w:w="3136" w:type="dxa"/>
            <w:shd w:val="clear" w:color="auto" w:fill="auto"/>
            <w:vAlign w:val="center"/>
          </w:tcPr>
          <w:p w14:paraId="54FFD263" w14:textId="704445A2" w:rsidR="00C62678" w:rsidRPr="00C62678" w:rsidRDefault="00585516" w:rsidP="00C62678">
            <w:pPr>
              <w:ind w:left="117" w:right="17"/>
              <w:rPr>
                <w:i/>
                <w:iCs/>
              </w:rPr>
            </w:pPr>
            <w:r>
              <w:rPr>
                <w:i/>
                <w:iCs/>
              </w:rPr>
              <w:t xml:space="preserve">Espoo, Finland, </w:t>
            </w:r>
            <w:r w:rsidR="00C62678" w:rsidRPr="00C62678">
              <w:rPr>
                <w:i/>
                <w:iCs/>
              </w:rPr>
              <w:t>22–23 June (tbc)</w:t>
            </w:r>
          </w:p>
        </w:tc>
      </w:tr>
      <w:tr w:rsidR="00C62678" w:rsidRPr="00944ACC" w14:paraId="0B3275ED" w14:textId="77777777" w:rsidTr="005E1F6D">
        <w:trPr>
          <w:trHeight w:val="20"/>
        </w:trPr>
        <w:tc>
          <w:tcPr>
            <w:tcW w:w="3329" w:type="dxa"/>
            <w:shd w:val="clear" w:color="auto" w:fill="auto"/>
            <w:vAlign w:val="center"/>
          </w:tcPr>
          <w:p w14:paraId="58A72AAE" w14:textId="24CD71D1" w:rsidR="00C62678" w:rsidRPr="00827860" w:rsidRDefault="00C62678" w:rsidP="00C62678">
            <w:pPr>
              <w:ind w:left="117" w:right="17"/>
            </w:pPr>
            <w:r w:rsidRPr="007C71C2">
              <w:rPr>
                <w:b/>
                <w:bCs/>
              </w:rPr>
              <w:t>Working Group on EIA and SEA</w:t>
            </w:r>
            <w:r>
              <w:rPr>
                <w:b/>
                <w:bCs/>
              </w:rPr>
              <w:t xml:space="preserve"> </w:t>
            </w:r>
            <w:r>
              <w:rPr>
                <w:b/>
                <w:bCs/>
              </w:rPr>
              <w:br/>
            </w:r>
            <w:r w:rsidRPr="00A1771A">
              <w:t>(9</w:t>
            </w:r>
            <w:r w:rsidRPr="00A1771A">
              <w:rPr>
                <w:vertAlign w:val="superscript"/>
              </w:rPr>
              <w:t>th</w:t>
            </w:r>
            <w:r w:rsidRPr="00A1771A">
              <w:t xml:space="preserve"> meeting)</w:t>
            </w:r>
            <w:r w:rsidRPr="007C71C2">
              <w:t xml:space="preserve"> to agree on </w:t>
            </w:r>
            <w:r>
              <w:t xml:space="preserve">the draft MOP </w:t>
            </w:r>
            <w:r w:rsidRPr="007C71C2">
              <w:t>agenda</w:t>
            </w:r>
            <w:r>
              <w:t xml:space="preserve"> and d</w:t>
            </w:r>
            <w:r w:rsidRPr="007C71C2">
              <w:t>ocuments</w:t>
            </w:r>
            <w:r>
              <w:t xml:space="preserve"> etc.</w:t>
            </w:r>
          </w:p>
        </w:tc>
        <w:tc>
          <w:tcPr>
            <w:tcW w:w="2535" w:type="dxa"/>
            <w:vAlign w:val="center"/>
          </w:tcPr>
          <w:p w14:paraId="201D3A24" w14:textId="77777777" w:rsidR="00C62678" w:rsidRPr="00827860" w:rsidRDefault="00C62678" w:rsidP="00C62678">
            <w:pPr>
              <w:ind w:left="117" w:right="17"/>
              <w:jc w:val="both"/>
            </w:pPr>
            <w:r>
              <w:t>Working Group</w:t>
            </w:r>
          </w:p>
        </w:tc>
        <w:tc>
          <w:tcPr>
            <w:tcW w:w="3136" w:type="dxa"/>
            <w:shd w:val="clear" w:color="auto" w:fill="auto"/>
            <w:vAlign w:val="center"/>
          </w:tcPr>
          <w:p w14:paraId="1C4C4442" w14:textId="6A9940A3" w:rsidR="00C62678" w:rsidRPr="005E1F6D" w:rsidRDefault="00C62678" w:rsidP="00C62678">
            <w:pPr>
              <w:ind w:left="117" w:right="17"/>
              <w:rPr>
                <w:b/>
                <w:bCs/>
              </w:rPr>
            </w:pPr>
            <w:r>
              <w:rPr>
                <w:b/>
                <w:bCs/>
              </w:rPr>
              <w:t>24–26 August</w:t>
            </w:r>
          </w:p>
          <w:p w14:paraId="0F56ACDE" w14:textId="3E62802F" w:rsidR="00C62678" w:rsidRPr="00827860" w:rsidRDefault="00C62678" w:rsidP="00C93EEE">
            <w:pPr>
              <w:ind w:left="117" w:right="17"/>
            </w:pPr>
            <w:r w:rsidRPr="00827860">
              <w:rPr>
                <w:i/>
                <w:iCs/>
              </w:rPr>
              <w:t>(</w:t>
            </w:r>
            <w:r>
              <w:rPr>
                <w:i/>
                <w:iCs/>
              </w:rPr>
              <w:t>Official d</w:t>
            </w:r>
            <w:r w:rsidRPr="00827860">
              <w:rPr>
                <w:i/>
                <w:iCs/>
              </w:rPr>
              <w:t xml:space="preserve">ocs available </w:t>
            </w:r>
            <w:r>
              <w:rPr>
                <w:i/>
                <w:iCs/>
              </w:rPr>
              <w:t xml:space="preserve">since </w:t>
            </w:r>
            <w:r w:rsidRPr="00827860">
              <w:rPr>
                <w:i/>
                <w:iCs/>
              </w:rPr>
              <w:t>1 April</w:t>
            </w:r>
            <w:r>
              <w:rPr>
                <w:i/>
                <w:iCs/>
              </w:rPr>
              <w:t>; draft compliance decisions since 15 April</w:t>
            </w:r>
            <w:r w:rsidRPr="00827860">
              <w:rPr>
                <w:i/>
                <w:iCs/>
              </w:rPr>
              <w:t xml:space="preserve">)  </w:t>
            </w:r>
          </w:p>
        </w:tc>
      </w:tr>
      <w:tr w:rsidR="00C62678" w:rsidRPr="00944ACC" w14:paraId="1FAF3C76" w14:textId="77777777" w:rsidTr="00662ABE">
        <w:trPr>
          <w:trHeight w:val="56"/>
        </w:trPr>
        <w:tc>
          <w:tcPr>
            <w:tcW w:w="3329" w:type="dxa"/>
            <w:shd w:val="clear" w:color="auto" w:fill="F2F2F2"/>
            <w:vAlign w:val="center"/>
          </w:tcPr>
          <w:p w14:paraId="29E2BE32" w14:textId="05CB1E65" w:rsidR="00C62678" w:rsidRPr="00A16AFC" w:rsidRDefault="00C62678" w:rsidP="00C62678">
            <w:pPr>
              <w:ind w:left="117" w:right="17"/>
            </w:pPr>
            <w:r w:rsidRPr="00A1771A">
              <w:rPr>
                <w:b/>
                <w:bCs/>
              </w:rPr>
              <w:t>Implementation Committee</w:t>
            </w:r>
            <w:r>
              <w:rPr>
                <w:b/>
                <w:bCs/>
              </w:rPr>
              <w:t xml:space="preserve"> </w:t>
            </w:r>
            <w:r w:rsidRPr="00ED3496">
              <w:t>(48</w:t>
            </w:r>
            <w:r w:rsidRPr="00ED3496">
              <w:rPr>
                <w:vertAlign w:val="superscript"/>
              </w:rPr>
              <w:t>th</w:t>
            </w:r>
            <w:r>
              <w:t>session)</w:t>
            </w:r>
          </w:p>
        </w:tc>
        <w:tc>
          <w:tcPr>
            <w:tcW w:w="2535" w:type="dxa"/>
            <w:shd w:val="clear" w:color="auto" w:fill="F2F2F2"/>
            <w:vAlign w:val="center"/>
          </w:tcPr>
          <w:p w14:paraId="7AA7475F" w14:textId="77777777" w:rsidR="00C62678" w:rsidRPr="00A16AFC" w:rsidRDefault="00C62678" w:rsidP="00C62678">
            <w:pPr>
              <w:ind w:left="117" w:right="17"/>
              <w:jc w:val="both"/>
            </w:pPr>
            <w:r>
              <w:t>Implementation Committee</w:t>
            </w:r>
          </w:p>
        </w:tc>
        <w:tc>
          <w:tcPr>
            <w:tcW w:w="3136" w:type="dxa"/>
            <w:shd w:val="clear" w:color="auto" w:fill="F2F2F2"/>
            <w:vAlign w:val="center"/>
          </w:tcPr>
          <w:p w14:paraId="7E6A0517" w14:textId="77777777" w:rsidR="00C62678" w:rsidRPr="00331D43" w:rsidRDefault="00C62678" w:rsidP="00C62678">
            <w:pPr>
              <w:ind w:left="45" w:right="1134"/>
              <w:rPr>
                <w:b/>
                <w:bCs/>
              </w:rPr>
            </w:pPr>
            <w:r w:rsidRPr="00331D43">
              <w:rPr>
                <w:b/>
                <w:bCs/>
              </w:rPr>
              <w:t xml:space="preserve">1–4 September </w:t>
            </w:r>
          </w:p>
          <w:p w14:paraId="44522DAE" w14:textId="77777777" w:rsidR="00C62678" w:rsidRPr="00A16AFC" w:rsidRDefault="00C62678" w:rsidP="00C62678">
            <w:pPr>
              <w:ind w:left="45" w:right="1134"/>
            </w:pPr>
          </w:p>
        </w:tc>
      </w:tr>
      <w:tr w:rsidR="00331D43" w:rsidRPr="00944ACC" w14:paraId="021F5AE2" w14:textId="77777777" w:rsidTr="005E1F6D">
        <w:trPr>
          <w:trHeight w:val="56"/>
        </w:trPr>
        <w:tc>
          <w:tcPr>
            <w:tcW w:w="3329" w:type="dxa"/>
            <w:shd w:val="clear" w:color="auto" w:fill="auto"/>
            <w:vAlign w:val="center"/>
          </w:tcPr>
          <w:p w14:paraId="01548879" w14:textId="2A95F6A7" w:rsidR="00331D43" w:rsidRDefault="00331D43" w:rsidP="00C62678">
            <w:pPr>
              <w:ind w:left="117" w:right="17"/>
            </w:pPr>
            <w:r>
              <w:t>Webpages with practical + logistical information on the MOP sessions</w:t>
            </w:r>
          </w:p>
        </w:tc>
        <w:tc>
          <w:tcPr>
            <w:tcW w:w="2535" w:type="dxa"/>
            <w:vAlign w:val="center"/>
          </w:tcPr>
          <w:p w14:paraId="23043E66" w14:textId="70A88131" w:rsidR="00331D43" w:rsidRPr="00A16AFC" w:rsidRDefault="00331D43" w:rsidP="00C62678">
            <w:pPr>
              <w:ind w:left="117" w:right="17"/>
            </w:pPr>
            <w:r>
              <w:t>Host country</w:t>
            </w:r>
          </w:p>
        </w:tc>
        <w:tc>
          <w:tcPr>
            <w:tcW w:w="3136" w:type="dxa"/>
            <w:shd w:val="clear" w:color="auto" w:fill="auto"/>
            <w:vAlign w:val="center"/>
          </w:tcPr>
          <w:p w14:paraId="74DA9F54" w14:textId="64FD76DD" w:rsidR="00331D43" w:rsidRDefault="00331D43" w:rsidP="00C62678">
            <w:pPr>
              <w:ind w:left="45" w:right="5"/>
            </w:pPr>
            <w:r>
              <w:t>As of 8 September (3 months before)</w:t>
            </w:r>
          </w:p>
        </w:tc>
      </w:tr>
      <w:tr w:rsidR="00C62678" w:rsidRPr="00944ACC" w14:paraId="7D72E479" w14:textId="77777777" w:rsidTr="005E1F6D">
        <w:trPr>
          <w:trHeight w:val="56"/>
        </w:trPr>
        <w:tc>
          <w:tcPr>
            <w:tcW w:w="3329" w:type="dxa"/>
            <w:shd w:val="clear" w:color="auto" w:fill="auto"/>
            <w:vAlign w:val="center"/>
          </w:tcPr>
          <w:p w14:paraId="20C5E705" w14:textId="01495411" w:rsidR="00C62678" w:rsidRPr="00331D43" w:rsidRDefault="00331D43" w:rsidP="00C62678">
            <w:pPr>
              <w:ind w:left="117" w:right="17"/>
              <w:rPr>
                <w:b/>
                <w:bCs/>
              </w:rPr>
            </w:pPr>
            <w:r w:rsidRPr="00331D43">
              <w:rPr>
                <w:b/>
                <w:bCs/>
              </w:rPr>
              <w:t>O</w:t>
            </w:r>
            <w:r w:rsidR="00C93EEE" w:rsidRPr="00331D43">
              <w:rPr>
                <w:b/>
                <w:bCs/>
              </w:rPr>
              <w:t xml:space="preserve">fficial draft MOP </w:t>
            </w:r>
            <w:r w:rsidR="00C62678" w:rsidRPr="00331D43">
              <w:rPr>
                <w:b/>
                <w:bCs/>
              </w:rPr>
              <w:t xml:space="preserve">agenda and </w:t>
            </w:r>
            <w:r w:rsidR="00C93EEE" w:rsidRPr="00331D43">
              <w:rPr>
                <w:b/>
                <w:bCs/>
              </w:rPr>
              <w:t>docum</w:t>
            </w:r>
            <w:r w:rsidR="00C62678" w:rsidRPr="00331D43">
              <w:rPr>
                <w:b/>
                <w:bCs/>
              </w:rPr>
              <w:t xml:space="preserve">ents </w:t>
            </w:r>
          </w:p>
        </w:tc>
        <w:tc>
          <w:tcPr>
            <w:tcW w:w="2535" w:type="dxa"/>
            <w:vAlign w:val="center"/>
          </w:tcPr>
          <w:p w14:paraId="633C5BBE" w14:textId="121ABEF5" w:rsidR="00C62678" w:rsidRPr="00A16AFC" w:rsidRDefault="00C62678" w:rsidP="00C62678">
            <w:pPr>
              <w:ind w:left="117" w:right="17"/>
            </w:pPr>
            <w:r w:rsidRPr="00A16AFC">
              <w:t>Secretariat</w:t>
            </w:r>
            <w:r w:rsidR="00331D43">
              <w:t xml:space="preserve"> and the </w:t>
            </w:r>
            <w:r>
              <w:t>Bureau (</w:t>
            </w:r>
            <w:r w:rsidR="00331D43">
              <w:t xml:space="preserve">consulted </w:t>
            </w:r>
            <w:r>
              <w:t>electronically)</w:t>
            </w:r>
          </w:p>
        </w:tc>
        <w:tc>
          <w:tcPr>
            <w:tcW w:w="3136" w:type="dxa"/>
            <w:shd w:val="clear" w:color="auto" w:fill="auto"/>
            <w:vAlign w:val="center"/>
          </w:tcPr>
          <w:p w14:paraId="1D987951" w14:textId="1A574D2C" w:rsidR="00C62678" w:rsidRPr="00331D43" w:rsidRDefault="00585516" w:rsidP="00C62678">
            <w:pPr>
              <w:ind w:left="45" w:right="5"/>
              <w:rPr>
                <w:b/>
                <w:bCs/>
              </w:rPr>
            </w:pPr>
            <w:r w:rsidRPr="00331D43">
              <w:rPr>
                <w:b/>
                <w:bCs/>
              </w:rPr>
              <w:t>For e</w:t>
            </w:r>
            <w:r w:rsidR="00C62678" w:rsidRPr="00331D43">
              <w:rPr>
                <w:b/>
                <w:bCs/>
              </w:rPr>
              <w:t>diting</w:t>
            </w:r>
            <w:r w:rsidRPr="00331D43">
              <w:rPr>
                <w:b/>
                <w:bCs/>
              </w:rPr>
              <w:t xml:space="preserve"> by 1</w:t>
            </w:r>
            <w:r w:rsidR="00C62678" w:rsidRPr="00331D43">
              <w:rPr>
                <w:b/>
                <w:bCs/>
              </w:rPr>
              <w:t>4 September</w:t>
            </w:r>
            <w:r w:rsidRPr="00331D43">
              <w:rPr>
                <w:b/>
                <w:bCs/>
              </w:rPr>
              <w:t xml:space="preserve">; </w:t>
            </w:r>
            <w:r w:rsidR="00C62678" w:rsidRPr="00331D43">
              <w:rPr>
                <w:b/>
                <w:bCs/>
              </w:rPr>
              <w:t xml:space="preserve"> </w:t>
            </w:r>
            <w:r w:rsidRPr="00331D43">
              <w:rPr>
                <w:b/>
                <w:bCs/>
              </w:rPr>
              <w:br/>
            </w:r>
            <w:r w:rsidR="00C62678" w:rsidRPr="00331D43">
              <w:rPr>
                <w:b/>
                <w:bCs/>
              </w:rPr>
              <w:t>A</w:t>
            </w:r>
            <w:r w:rsidRPr="00331D43">
              <w:rPr>
                <w:b/>
                <w:bCs/>
              </w:rPr>
              <w:t xml:space="preserve">vailable (in English) </w:t>
            </w:r>
            <w:r w:rsidR="00C62678" w:rsidRPr="00331D43">
              <w:rPr>
                <w:b/>
                <w:bCs/>
              </w:rPr>
              <w:t>by 1 October</w:t>
            </w:r>
          </w:p>
        </w:tc>
      </w:tr>
      <w:tr w:rsidR="00C93EEE" w:rsidRPr="00944ACC" w14:paraId="63FEEF5F" w14:textId="77777777" w:rsidTr="00132B29">
        <w:trPr>
          <w:trHeight w:val="56"/>
        </w:trPr>
        <w:tc>
          <w:tcPr>
            <w:tcW w:w="3329" w:type="dxa"/>
            <w:shd w:val="clear" w:color="auto" w:fill="auto"/>
          </w:tcPr>
          <w:p w14:paraId="4694DD79" w14:textId="1C9DB54E" w:rsidR="00C93EEE" w:rsidRDefault="00C93EEE" w:rsidP="00C93EEE">
            <w:pPr>
              <w:ind w:left="117" w:right="17"/>
            </w:pPr>
            <w:r w:rsidRPr="00FC50EF">
              <w:t>Mailing of invitation letters</w:t>
            </w:r>
          </w:p>
        </w:tc>
        <w:tc>
          <w:tcPr>
            <w:tcW w:w="2535" w:type="dxa"/>
          </w:tcPr>
          <w:p w14:paraId="58014492" w14:textId="42674651" w:rsidR="00C93EEE" w:rsidRPr="00A16AFC" w:rsidRDefault="00C93EEE" w:rsidP="00C93EEE">
            <w:pPr>
              <w:ind w:left="117" w:right="17"/>
            </w:pPr>
            <w:r w:rsidRPr="00FC50EF">
              <w:t>Secretariat</w:t>
            </w:r>
          </w:p>
        </w:tc>
        <w:tc>
          <w:tcPr>
            <w:tcW w:w="3136" w:type="dxa"/>
            <w:shd w:val="clear" w:color="auto" w:fill="auto"/>
          </w:tcPr>
          <w:p w14:paraId="43B0782B" w14:textId="3ADAABB4" w:rsidR="00C93EEE" w:rsidRDefault="00C93EEE" w:rsidP="00C93EEE">
            <w:pPr>
              <w:ind w:left="45" w:right="5"/>
            </w:pPr>
            <w:r>
              <w:t>By mid</w:t>
            </w:r>
            <w:r w:rsidRPr="00FC50EF">
              <w:t xml:space="preserve">-September </w:t>
            </w:r>
          </w:p>
        </w:tc>
      </w:tr>
      <w:tr w:rsidR="00C62678" w:rsidRPr="00944ACC" w14:paraId="2E177C1A" w14:textId="77777777" w:rsidTr="005E1F6D">
        <w:tc>
          <w:tcPr>
            <w:tcW w:w="3329" w:type="dxa"/>
            <w:shd w:val="clear" w:color="auto" w:fill="auto"/>
            <w:vAlign w:val="center"/>
          </w:tcPr>
          <w:p w14:paraId="3BB4042C" w14:textId="77777777" w:rsidR="00C62678" w:rsidRPr="000561B5" w:rsidRDefault="00C62678" w:rsidP="00C62678">
            <w:pPr>
              <w:ind w:left="117"/>
              <w:jc w:val="both"/>
            </w:pPr>
            <w:r w:rsidRPr="000561B5">
              <w:t xml:space="preserve">Submission of financial support forms to ECE  </w:t>
            </w:r>
          </w:p>
        </w:tc>
        <w:tc>
          <w:tcPr>
            <w:tcW w:w="2535" w:type="dxa"/>
            <w:vAlign w:val="center"/>
          </w:tcPr>
          <w:p w14:paraId="0410DC89" w14:textId="77777777" w:rsidR="00C62678" w:rsidRPr="000561B5" w:rsidRDefault="00C62678" w:rsidP="00C62678">
            <w:pPr>
              <w:ind w:left="117" w:right="17"/>
            </w:pPr>
            <w:r w:rsidRPr="000561B5">
              <w:t xml:space="preserve">Delegations eligible for financial support </w:t>
            </w:r>
          </w:p>
        </w:tc>
        <w:tc>
          <w:tcPr>
            <w:tcW w:w="3136" w:type="dxa"/>
            <w:shd w:val="clear" w:color="auto" w:fill="auto"/>
            <w:vAlign w:val="center"/>
          </w:tcPr>
          <w:p w14:paraId="15E9315D" w14:textId="7F7E82B0" w:rsidR="00C62678" w:rsidRPr="000561B5" w:rsidRDefault="00C62678" w:rsidP="00C62678">
            <w:pPr>
              <w:ind w:left="45" w:right="5"/>
            </w:pPr>
            <w:r>
              <w:t xml:space="preserve">By </w:t>
            </w:r>
            <w:r w:rsidR="009C7FEE">
              <w:t>2</w:t>
            </w:r>
            <w:r w:rsidR="00C44F70">
              <w:t>0</w:t>
            </w:r>
            <w:r>
              <w:t xml:space="preserve"> October </w:t>
            </w:r>
          </w:p>
        </w:tc>
      </w:tr>
      <w:tr w:rsidR="00C62678" w:rsidRPr="00944ACC" w14:paraId="38C6D6D9" w14:textId="77777777" w:rsidTr="005E1F6D">
        <w:tc>
          <w:tcPr>
            <w:tcW w:w="3329" w:type="dxa"/>
            <w:shd w:val="clear" w:color="auto" w:fill="auto"/>
            <w:vAlign w:val="center"/>
          </w:tcPr>
          <w:p w14:paraId="5600B794" w14:textId="53B91877" w:rsidR="00C62678" w:rsidRPr="000561B5" w:rsidRDefault="00331D43" w:rsidP="00C62678">
            <w:pPr>
              <w:ind w:left="117"/>
              <w:jc w:val="both"/>
            </w:pPr>
            <w:r>
              <w:t>On-line r</w:t>
            </w:r>
            <w:r w:rsidR="00C62678" w:rsidRPr="004D7F77">
              <w:t>egistration</w:t>
            </w:r>
            <w:r w:rsidR="00C62678">
              <w:t xml:space="preserve"> </w:t>
            </w:r>
            <w:r w:rsidR="00C62678" w:rsidRPr="004D7F77">
              <w:tab/>
            </w:r>
          </w:p>
        </w:tc>
        <w:tc>
          <w:tcPr>
            <w:tcW w:w="2535" w:type="dxa"/>
            <w:vAlign w:val="center"/>
          </w:tcPr>
          <w:p w14:paraId="748F8334" w14:textId="77777777" w:rsidR="00C62678" w:rsidRPr="000561B5" w:rsidRDefault="00C62678" w:rsidP="00C62678">
            <w:pPr>
              <w:ind w:left="117" w:right="17"/>
            </w:pPr>
            <w:r w:rsidRPr="004D7F77">
              <w:t>All delegations</w:t>
            </w:r>
          </w:p>
        </w:tc>
        <w:tc>
          <w:tcPr>
            <w:tcW w:w="3136" w:type="dxa"/>
            <w:shd w:val="clear" w:color="auto" w:fill="auto"/>
            <w:vAlign w:val="center"/>
          </w:tcPr>
          <w:p w14:paraId="40A944F2" w14:textId="1DD33EE3" w:rsidR="00C62678" w:rsidRDefault="00C62678" w:rsidP="00C62678">
            <w:pPr>
              <w:ind w:left="45" w:right="5"/>
            </w:pPr>
            <w:r>
              <w:t xml:space="preserve">By </w:t>
            </w:r>
            <w:r w:rsidR="00C44F70">
              <w:t>20</w:t>
            </w:r>
            <w:r w:rsidR="00331D43">
              <w:t xml:space="preserve"> October</w:t>
            </w:r>
          </w:p>
        </w:tc>
      </w:tr>
      <w:tr w:rsidR="00C62678" w:rsidRPr="00944ACC" w14:paraId="3CCDA652" w14:textId="77777777" w:rsidTr="005E1F6D">
        <w:tc>
          <w:tcPr>
            <w:tcW w:w="3329" w:type="dxa"/>
            <w:shd w:val="clear" w:color="auto" w:fill="auto"/>
            <w:vAlign w:val="center"/>
          </w:tcPr>
          <w:p w14:paraId="417DDAF9" w14:textId="4E340378" w:rsidR="00C62678" w:rsidRPr="004D7F77" w:rsidRDefault="00C62678" w:rsidP="00C62678">
            <w:pPr>
              <w:ind w:left="117" w:right="17"/>
            </w:pPr>
            <w:r>
              <w:t>Confirmed information on pledged financial contributions 2021–2023</w:t>
            </w:r>
          </w:p>
        </w:tc>
        <w:tc>
          <w:tcPr>
            <w:tcW w:w="2535" w:type="dxa"/>
            <w:vAlign w:val="center"/>
          </w:tcPr>
          <w:p w14:paraId="14466A29" w14:textId="77777777" w:rsidR="00C62678" w:rsidRPr="004D7F77" w:rsidRDefault="00C62678" w:rsidP="00C62678">
            <w:pPr>
              <w:ind w:left="117" w:right="17"/>
            </w:pPr>
            <w:r>
              <w:t>All Parties and other delegations</w:t>
            </w:r>
          </w:p>
        </w:tc>
        <w:tc>
          <w:tcPr>
            <w:tcW w:w="3136" w:type="dxa"/>
            <w:shd w:val="clear" w:color="auto" w:fill="auto"/>
            <w:vAlign w:val="center"/>
          </w:tcPr>
          <w:p w14:paraId="6C63695B" w14:textId="5EAACE13" w:rsidR="00C62678" w:rsidRDefault="00C62678" w:rsidP="00C62678">
            <w:pPr>
              <w:ind w:left="45" w:right="5"/>
            </w:pPr>
            <w:r>
              <w:t xml:space="preserve">By 2 November </w:t>
            </w:r>
            <w:r>
              <w:br/>
            </w:r>
            <w:r w:rsidR="00331D43">
              <w:t>(5 weeks before the MOPs)</w:t>
            </w:r>
          </w:p>
        </w:tc>
      </w:tr>
      <w:tr w:rsidR="009F1C11" w:rsidRPr="00944ACC" w14:paraId="05457CA0" w14:textId="77777777" w:rsidTr="00132B29">
        <w:tc>
          <w:tcPr>
            <w:tcW w:w="3329" w:type="dxa"/>
            <w:shd w:val="clear" w:color="auto" w:fill="auto"/>
            <w:vAlign w:val="center"/>
          </w:tcPr>
          <w:p w14:paraId="27C9985F" w14:textId="2CC6790F" w:rsidR="009F1C11" w:rsidRDefault="009F1C11" w:rsidP="001F275E">
            <w:pPr>
              <w:ind w:left="117" w:right="17"/>
            </w:pPr>
            <w:r>
              <w:t xml:space="preserve">Confirmed information on officers </w:t>
            </w:r>
            <w:r w:rsidR="00C93EEE">
              <w:t>to be elected for the treaty bodies</w:t>
            </w:r>
          </w:p>
        </w:tc>
        <w:tc>
          <w:tcPr>
            <w:tcW w:w="2535" w:type="dxa"/>
          </w:tcPr>
          <w:p w14:paraId="7BE73A6B" w14:textId="76A4A10A" w:rsidR="009F1C11" w:rsidRDefault="009F1C11" w:rsidP="009F1C11">
            <w:pPr>
              <w:ind w:left="117" w:right="17"/>
            </w:pPr>
            <w:r w:rsidRPr="008949C4">
              <w:t>All Parties and other delegations</w:t>
            </w:r>
          </w:p>
        </w:tc>
        <w:tc>
          <w:tcPr>
            <w:tcW w:w="3136" w:type="dxa"/>
            <w:shd w:val="clear" w:color="auto" w:fill="auto"/>
          </w:tcPr>
          <w:p w14:paraId="70B906C4" w14:textId="24C2FA84" w:rsidR="009F1C11" w:rsidRDefault="009F1C11" w:rsidP="009F1C11">
            <w:pPr>
              <w:ind w:left="45" w:right="5"/>
            </w:pPr>
            <w:r w:rsidRPr="008949C4">
              <w:t xml:space="preserve">By 2 November </w:t>
            </w:r>
          </w:p>
        </w:tc>
      </w:tr>
      <w:tr w:rsidR="00C44F70" w:rsidRPr="00944ACC" w14:paraId="24CE5BD3" w14:textId="77777777" w:rsidTr="00132B29">
        <w:tc>
          <w:tcPr>
            <w:tcW w:w="3329" w:type="dxa"/>
            <w:shd w:val="clear" w:color="auto" w:fill="auto"/>
            <w:vAlign w:val="center"/>
          </w:tcPr>
          <w:p w14:paraId="1D8B8D8D" w14:textId="6C060942" w:rsidR="00C44F70" w:rsidRDefault="00C44F70" w:rsidP="00C44F70">
            <w:pPr>
              <w:ind w:left="117" w:right="17"/>
            </w:pPr>
            <w:r>
              <w:t xml:space="preserve">Comments to the official documents </w:t>
            </w:r>
          </w:p>
        </w:tc>
        <w:tc>
          <w:tcPr>
            <w:tcW w:w="2535" w:type="dxa"/>
            <w:vAlign w:val="center"/>
          </w:tcPr>
          <w:p w14:paraId="0DC20C0E" w14:textId="3E9E182C" w:rsidR="00C44F70" w:rsidRPr="008949C4" w:rsidRDefault="00C44F70" w:rsidP="00C44F70">
            <w:pPr>
              <w:ind w:left="117" w:right="17"/>
            </w:pPr>
            <w:r>
              <w:t xml:space="preserve">All delegations </w:t>
            </w:r>
          </w:p>
        </w:tc>
        <w:tc>
          <w:tcPr>
            <w:tcW w:w="3136" w:type="dxa"/>
            <w:shd w:val="clear" w:color="auto" w:fill="auto"/>
            <w:vAlign w:val="center"/>
          </w:tcPr>
          <w:p w14:paraId="521218BD" w14:textId="77777777" w:rsidR="00C44F70" w:rsidRDefault="00C44F70" w:rsidP="00C44F70">
            <w:pPr>
              <w:ind w:left="45" w:right="5"/>
            </w:pPr>
            <w:r>
              <w:t>By 16 November</w:t>
            </w:r>
          </w:p>
          <w:p w14:paraId="6855208B" w14:textId="1B4BF2D0" w:rsidR="00C44F70" w:rsidRPr="008949C4" w:rsidRDefault="00C44F70" w:rsidP="00C44F70">
            <w:pPr>
              <w:ind w:left="45" w:right="5"/>
            </w:pPr>
            <w:r>
              <w:t>(3 weeks before the MOPs)</w:t>
            </w:r>
          </w:p>
        </w:tc>
      </w:tr>
      <w:tr w:rsidR="00C44F70" w:rsidRPr="00944ACC" w14:paraId="4DC348A6" w14:textId="77777777" w:rsidTr="005E1F6D">
        <w:tc>
          <w:tcPr>
            <w:tcW w:w="3329" w:type="dxa"/>
            <w:shd w:val="clear" w:color="auto" w:fill="auto"/>
            <w:vAlign w:val="center"/>
          </w:tcPr>
          <w:p w14:paraId="38725EBF" w14:textId="77777777" w:rsidR="00C44F70" w:rsidRPr="000561B5" w:rsidRDefault="00C44F70" w:rsidP="00C44F70">
            <w:pPr>
              <w:tabs>
                <w:tab w:val="left" w:pos="3266"/>
              </w:tabs>
              <w:ind w:left="117" w:right="17"/>
            </w:pPr>
            <w:r w:rsidRPr="000561B5">
              <w:t>Submission of credentials (full powers) to UNECE</w:t>
            </w:r>
          </w:p>
        </w:tc>
        <w:tc>
          <w:tcPr>
            <w:tcW w:w="2535" w:type="dxa"/>
            <w:vAlign w:val="center"/>
          </w:tcPr>
          <w:p w14:paraId="16A99FC1" w14:textId="77777777" w:rsidR="00C44F70" w:rsidRPr="000561B5" w:rsidRDefault="00C44F70" w:rsidP="00C44F70">
            <w:pPr>
              <w:ind w:left="117" w:right="17"/>
              <w:jc w:val="both"/>
            </w:pPr>
            <w:r w:rsidRPr="000561B5">
              <w:t>All delegations</w:t>
            </w:r>
          </w:p>
        </w:tc>
        <w:tc>
          <w:tcPr>
            <w:tcW w:w="3136" w:type="dxa"/>
            <w:shd w:val="clear" w:color="auto" w:fill="auto"/>
            <w:vAlign w:val="center"/>
          </w:tcPr>
          <w:p w14:paraId="046264D7" w14:textId="22544FAA" w:rsidR="00C44F70" w:rsidRPr="000561B5" w:rsidRDefault="00C44F70" w:rsidP="00C44F70">
            <w:pPr>
              <w:ind w:left="45" w:right="5"/>
            </w:pPr>
            <w:r w:rsidRPr="000561B5">
              <w:t>Cop</w:t>
            </w:r>
            <w:r>
              <w:t xml:space="preserve">ies to the secretariat </w:t>
            </w:r>
            <w:r w:rsidRPr="000561B5">
              <w:t xml:space="preserve">by 24 November; original to be presented </w:t>
            </w:r>
            <w:r>
              <w:t xml:space="preserve">before opening of </w:t>
            </w:r>
            <w:r w:rsidRPr="000561B5">
              <w:t>the MOP sessions</w:t>
            </w:r>
          </w:p>
        </w:tc>
      </w:tr>
      <w:tr w:rsidR="00C44F70" w:rsidRPr="00944ACC" w14:paraId="2C14515B" w14:textId="77777777" w:rsidTr="005E1F6D">
        <w:tc>
          <w:tcPr>
            <w:tcW w:w="3329" w:type="dxa"/>
            <w:shd w:val="clear" w:color="auto" w:fill="auto"/>
            <w:vAlign w:val="center"/>
          </w:tcPr>
          <w:p w14:paraId="5C3798C9" w14:textId="77777777" w:rsidR="00C44F70" w:rsidRPr="00331D43" w:rsidRDefault="00C44F70" w:rsidP="00C44F70">
            <w:pPr>
              <w:tabs>
                <w:tab w:val="left" w:pos="3266"/>
              </w:tabs>
              <w:ind w:left="117" w:right="17"/>
              <w:rPr>
                <w:b/>
                <w:bCs/>
              </w:rPr>
            </w:pPr>
            <w:r w:rsidRPr="00331D43">
              <w:rPr>
                <w:b/>
                <w:bCs/>
              </w:rPr>
              <w:t xml:space="preserve">Bureau meeting </w:t>
            </w:r>
          </w:p>
          <w:p w14:paraId="5BED2EC1" w14:textId="77777777" w:rsidR="00C44F70" w:rsidRPr="0070342C" w:rsidRDefault="00C44F70" w:rsidP="00C44F70">
            <w:pPr>
              <w:tabs>
                <w:tab w:val="left" w:pos="3266"/>
              </w:tabs>
              <w:ind w:left="117" w:right="17"/>
            </w:pPr>
          </w:p>
        </w:tc>
        <w:tc>
          <w:tcPr>
            <w:tcW w:w="2535" w:type="dxa"/>
            <w:vAlign w:val="center"/>
          </w:tcPr>
          <w:p w14:paraId="35278F36" w14:textId="77777777" w:rsidR="00C44F70" w:rsidRPr="0070342C" w:rsidRDefault="00C44F70" w:rsidP="00C44F70">
            <w:pPr>
              <w:ind w:left="117" w:right="17"/>
              <w:jc w:val="both"/>
            </w:pPr>
            <w:r w:rsidRPr="0070342C">
              <w:t>Bureau</w:t>
            </w:r>
          </w:p>
        </w:tc>
        <w:tc>
          <w:tcPr>
            <w:tcW w:w="3136" w:type="dxa"/>
            <w:shd w:val="clear" w:color="auto" w:fill="auto"/>
            <w:vAlign w:val="center"/>
          </w:tcPr>
          <w:p w14:paraId="49ADD013" w14:textId="795BB31A" w:rsidR="00C44F70" w:rsidRPr="0070342C" w:rsidRDefault="00C44F70" w:rsidP="00C44F70">
            <w:pPr>
              <w:ind w:left="45" w:right="5"/>
            </w:pPr>
            <w:r w:rsidRPr="00331D43">
              <w:rPr>
                <w:b/>
                <w:bCs/>
              </w:rPr>
              <w:t>Vilnius, 7 December</w:t>
            </w:r>
            <w:r w:rsidRPr="0070342C">
              <w:t xml:space="preserve"> </w:t>
            </w:r>
            <w:r>
              <w:t xml:space="preserve"> </w:t>
            </w:r>
            <w:r>
              <w:br/>
              <w:t>(10:00–noon)</w:t>
            </w:r>
          </w:p>
        </w:tc>
      </w:tr>
      <w:tr w:rsidR="00C44F70" w:rsidRPr="00944ACC" w14:paraId="4E2A3DCF" w14:textId="77777777" w:rsidTr="005E1F6D">
        <w:tc>
          <w:tcPr>
            <w:tcW w:w="3329" w:type="dxa"/>
            <w:shd w:val="clear" w:color="auto" w:fill="D9D9D9"/>
            <w:vAlign w:val="center"/>
          </w:tcPr>
          <w:p w14:paraId="2281CB7B" w14:textId="77777777" w:rsidR="00C44F70" w:rsidRDefault="00C44F70" w:rsidP="00C44F70">
            <w:pPr>
              <w:tabs>
                <w:tab w:val="left" w:pos="3266"/>
              </w:tabs>
              <w:ind w:left="117" w:right="17"/>
              <w:rPr>
                <w:b/>
              </w:rPr>
            </w:pPr>
            <w:r w:rsidRPr="000561B5">
              <w:rPr>
                <w:b/>
              </w:rPr>
              <w:t>Meetings of the Parties to the Convention and the Protocol</w:t>
            </w:r>
            <w:r>
              <w:rPr>
                <w:b/>
              </w:rPr>
              <w:br/>
            </w:r>
            <w:r w:rsidRPr="000561B5">
              <w:rPr>
                <w:b/>
              </w:rPr>
              <w:t>(</w:t>
            </w:r>
            <w:r w:rsidRPr="00455EC4">
              <w:rPr>
                <w:b/>
              </w:rPr>
              <w:t>MOP8 and MOP/MOP4</w:t>
            </w:r>
            <w:r w:rsidRPr="000561B5">
              <w:rPr>
                <w:b/>
              </w:rPr>
              <w:t>)</w:t>
            </w:r>
          </w:p>
          <w:p w14:paraId="6867E2BB" w14:textId="77777777" w:rsidR="00C44F70" w:rsidRPr="000561B5" w:rsidRDefault="00C44F70" w:rsidP="00C44F70">
            <w:pPr>
              <w:tabs>
                <w:tab w:val="left" w:pos="3266"/>
              </w:tabs>
              <w:ind w:left="117" w:right="17"/>
              <w:rPr>
                <w:b/>
              </w:rPr>
            </w:pPr>
          </w:p>
        </w:tc>
        <w:tc>
          <w:tcPr>
            <w:tcW w:w="2535" w:type="dxa"/>
            <w:shd w:val="clear" w:color="auto" w:fill="D9D9D9"/>
            <w:vAlign w:val="center"/>
          </w:tcPr>
          <w:p w14:paraId="747210D9" w14:textId="77777777" w:rsidR="00C44F70" w:rsidRPr="00ED3496" w:rsidRDefault="00C44F70" w:rsidP="00C44F70">
            <w:pPr>
              <w:ind w:left="117" w:right="17"/>
              <w:jc w:val="both"/>
              <w:rPr>
                <w:b/>
                <w:bCs/>
              </w:rPr>
            </w:pPr>
            <w:r w:rsidRPr="00ED3496">
              <w:rPr>
                <w:b/>
                <w:bCs/>
              </w:rPr>
              <w:t>Meetings of the Parties</w:t>
            </w:r>
          </w:p>
        </w:tc>
        <w:tc>
          <w:tcPr>
            <w:tcW w:w="3136" w:type="dxa"/>
            <w:shd w:val="clear" w:color="auto" w:fill="D9D9D9"/>
            <w:vAlign w:val="center"/>
          </w:tcPr>
          <w:p w14:paraId="56FD4AC5" w14:textId="77777777" w:rsidR="00C44F70" w:rsidRPr="000561B5" w:rsidRDefault="00C44F70" w:rsidP="00C44F70">
            <w:pPr>
              <w:ind w:left="45" w:right="5"/>
            </w:pPr>
            <w:r>
              <w:rPr>
                <w:b/>
              </w:rPr>
              <w:t xml:space="preserve">Vilnius, </w:t>
            </w:r>
            <w:r w:rsidRPr="000561B5">
              <w:rPr>
                <w:b/>
              </w:rPr>
              <w:t>8</w:t>
            </w:r>
            <w:r>
              <w:rPr>
                <w:b/>
              </w:rPr>
              <w:t>–</w:t>
            </w:r>
            <w:r w:rsidRPr="000561B5">
              <w:rPr>
                <w:b/>
              </w:rPr>
              <w:t>11</w:t>
            </w:r>
            <w:r>
              <w:rPr>
                <w:b/>
              </w:rPr>
              <w:t xml:space="preserve"> </w:t>
            </w:r>
            <w:r w:rsidRPr="000561B5">
              <w:rPr>
                <w:b/>
              </w:rPr>
              <w:t>December 2020</w:t>
            </w:r>
            <w:r>
              <w:rPr>
                <w:b/>
              </w:rPr>
              <w:t xml:space="preserve"> </w:t>
            </w:r>
          </w:p>
        </w:tc>
      </w:tr>
    </w:tbl>
    <w:p w14:paraId="0EAFD4C8" w14:textId="3A6BFADA" w:rsidR="000561B5" w:rsidRDefault="00EE48A3" w:rsidP="004B527B">
      <w:pPr>
        <w:spacing w:before="120" w:line="240" w:lineRule="auto"/>
        <w:ind w:left="570" w:hanging="570"/>
        <w:rPr>
          <w:b/>
          <w:sz w:val="28"/>
          <w:szCs w:val="28"/>
        </w:rPr>
      </w:pPr>
      <w:r>
        <w:rPr>
          <w:b/>
          <w:sz w:val="28"/>
          <w:szCs w:val="28"/>
        </w:rPr>
        <w:br w:type="page"/>
      </w:r>
      <w:r w:rsidR="000561B5">
        <w:rPr>
          <w:b/>
          <w:sz w:val="28"/>
          <w:szCs w:val="28"/>
        </w:rPr>
        <w:lastRenderedPageBreak/>
        <w:t>II.</w:t>
      </w:r>
      <w:r w:rsidR="000561B5">
        <w:rPr>
          <w:b/>
          <w:sz w:val="28"/>
          <w:szCs w:val="28"/>
        </w:rPr>
        <w:tab/>
      </w:r>
      <w:r w:rsidR="00FF2295">
        <w:rPr>
          <w:b/>
          <w:sz w:val="28"/>
          <w:szCs w:val="28"/>
        </w:rPr>
        <w:t>L</w:t>
      </w:r>
      <w:r w:rsidR="006429E3">
        <w:rPr>
          <w:b/>
          <w:sz w:val="28"/>
          <w:szCs w:val="28"/>
        </w:rPr>
        <w:t xml:space="preserve">ist of </w:t>
      </w:r>
      <w:r w:rsidR="000561B5">
        <w:rPr>
          <w:b/>
          <w:sz w:val="28"/>
          <w:szCs w:val="28"/>
        </w:rPr>
        <w:t>d</w:t>
      </w:r>
      <w:r w:rsidR="000561B5" w:rsidRPr="002B0146">
        <w:rPr>
          <w:b/>
          <w:sz w:val="28"/>
          <w:szCs w:val="28"/>
        </w:rPr>
        <w:t xml:space="preserve">raft decisions </w:t>
      </w:r>
      <w:r w:rsidR="000561B5">
        <w:rPr>
          <w:b/>
          <w:sz w:val="28"/>
          <w:szCs w:val="28"/>
        </w:rPr>
        <w:t xml:space="preserve">to </w:t>
      </w:r>
      <w:r w:rsidR="000561B5" w:rsidRPr="002B0146">
        <w:rPr>
          <w:b/>
          <w:sz w:val="28"/>
          <w:szCs w:val="28"/>
        </w:rPr>
        <w:t>be considered by the Meeting</w:t>
      </w:r>
      <w:r w:rsidR="000561B5">
        <w:rPr>
          <w:b/>
          <w:sz w:val="28"/>
          <w:szCs w:val="28"/>
        </w:rPr>
        <w:t>s</w:t>
      </w:r>
      <w:r w:rsidR="000561B5" w:rsidRPr="002B0146">
        <w:rPr>
          <w:b/>
          <w:sz w:val="28"/>
          <w:szCs w:val="28"/>
        </w:rPr>
        <w:t xml:space="preserve"> of the Parties </w:t>
      </w:r>
    </w:p>
    <w:p w14:paraId="0A82B8E7" w14:textId="77777777" w:rsidR="00CB14F5" w:rsidRPr="000561B5" w:rsidRDefault="00CB14F5" w:rsidP="00CB14F5">
      <w:pPr>
        <w:spacing w:before="120" w:line="240" w:lineRule="auto"/>
        <w:rPr>
          <w:sz w:val="22"/>
          <w:szCs w:val="22"/>
        </w:rPr>
      </w:pPr>
      <w:bookmarkStart w:id="1" w:name="_Hlk512270590"/>
      <w:bookmarkStart w:id="2" w:name="_Hlk512256733"/>
      <w:bookmarkStart w:id="3" w:name="_Hlk525834128"/>
    </w:p>
    <w:tbl>
      <w:tblPr>
        <w:tblW w:w="8897" w:type="dxa"/>
        <w:tblBorders>
          <w:top w:val="single" w:sz="4" w:space="0" w:color="auto"/>
          <w:bottom w:val="single" w:sz="4" w:space="0" w:color="auto"/>
          <w:insideH w:val="single" w:sz="4" w:space="0" w:color="auto"/>
        </w:tblBorders>
        <w:tblLook w:val="01E0" w:firstRow="1" w:lastRow="1" w:firstColumn="1" w:lastColumn="1" w:noHBand="0" w:noVBand="0"/>
      </w:tblPr>
      <w:tblGrid>
        <w:gridCol w:w="4928"/>
        <w:gridCol w:w="1131"/>
        <w:gridCol w:w="1365"/>
        <w:gridCol w:w="1473"/>
      </w:tblGrid>
      <w:tr w:rsidR="000561B5" w:rsidRPr="00B97CFB" w14:paraId="018A908A" w14:textId="77777777" w:rsidTr="00714DE6">
        <w:trPr>
          <w:trHeight w:val="430"/>
          <w:tblHeader/>
        </w:trPr>
        <w:tc>
          <w:tcPr>
            <w:tcW w:w="4928" w:type="dxa"/>
            <w:shd w:val="clear" w:color="auto" w:fill="auto"/>
          </w:tcPr>
          <w:p w14:paraId="53FC2AE4" w14:textId="77777777" w:rsidR="000561B5" w:rsidRPr="00B97CFB" w:rsidRDefault="000561B5" w:rsidP="00476CB0">
            <w:pPr>
              <w:suppressAutoHyphens w:val="0"/>
              <w:spacing w:line="240" w:lineRule="auto"/>
              <w:ind w:right="-398"/>
              <w:rPr>
                <w:b/>
                <w:i/>
                <w:iCs/>
                <w:sz w:val="22"/>
                <w:szCs w:val="22"/>
              </w:rPr>
            </w:pPr>
            <w:r w:rsidRPr="00B97CFB">
              <w:rPr>
                <w:b/>
                <w:i/>
                <w:iCs/>
                <w:sz w:val="22"/>
                <w:szCs w:val="22"/>
              </w:rPr>
              <w:t>Title</w:t>
            </w:r>
          </w:p>
        </w:tc>
        <w:tc>
          <w:tcPr>
            <w:tcW w:w="1131" w:type="dxa"/>
            <w:tcBorders>
              <w:bottom w:val="single" w:sz="4" w:space="0" w:color="auto"/>
            </w:tcBorders>
            <w:shd w:val="clear" w:color="auto" w:fill="auto"/>
          </w:tcPr>
          <w:p w14:paraId="0C0656C8" w14:textId="77777777" w:rsidR="000561B5" w:rsidRPr="00B97CFB" w:rsidRDefault="000561B5" w:rsidP="00476CB0">
            <w:pPr>
              <w:suppressAutoHyphens w:val="0"/>
              <w:spacing w:line="240" w:lineRule="auto"/>
              <w:rPr>
                <w:b/>
                <w:i/>
                <w:iCs/>
                <w:sz w:val="22"/>
                <w:szCs w:val="22"/>
              </w:rPr>
            </w:pPr>
            <w:r w:rsidRPr="00B97CFB">
              <w:rPr>
                <w:b/>
                <w:i/>
                <w:iCs/>
                <w:sz w:val="22"/>
                <w:szCs w:val="22"/>
              </w:rPr>
              <w:t>MOP</w:t>
            </w:r>
            <w:r>
              <w:rPr>
                <w:b/>
                <w:i/>
                <w:iCs/>
                <w:sz w:val="22"/>
                <w:szCs w:val="22"/>
              </w:rPr>
              <w:t>8</w:t>
            </w:r>
          </w:p>
        </w:tc>
        <w:tc>
          <w:tcPr>
            <w:tcW w:w="1365" w:type="dxa"/>
            <w:tcBorders>
              <w:bottom w:val="single" w:sz="4" w:space="0" w:color="auto"/>
            </w:tcBorders>
            <w:shd w:val="clear" w:color="auto" w:fill="auto"/>
          </w:tcPr>
          <w:p w14:paraId="6A3BE3FC" w14:textId="77777777" w:rsidR="000561B5" w:rsidRPr="00B97CFB" w:rsidRDefault="000561B5" w:rsidP="00476CB0">
            <w:pPr>
              <w:suppressAutoHyphens w:val="0"/>
              <w:spacing w:line="240" w:lineRule="auto"/>
              <w:rPr>
                <w:b/>
                <w:i/>
                <w:iCs/>
                <w:sz w:val="22"/>
                <w:szCs w:val="22"/>
              </w:rPr>
            </w:pPr>
            <w:r w:rsidRPr="00B97CFB">
              <w:rPr>
                <w:b/>
                <w:i/>
                <w:iCs/>
                <w:sz w:val="22"/>
                <w:szCs w:val="22"/>
              </w:rPr>
              <w:t>MOP/MOP</w:t>
            </w:r>
            <w:r>
              <w:rPr>
                <w:b/>
                <w:i/>
                <w:iCs/>
                <w:sz w:val="22"/>
                <w:szCs w:val="22"/>
              </w:rPr>
              <w:t>4</w:t>
            </w:r>
          </w:p>
        </w:tc>
        <w:tc>
          <w:tcPr>
            <w:tcW w:w="1473" w:type="dxa"/>
            <w:shd w:val="clear" w:color="auto" w:fill="auto"/>
          </w:tcPr>
          <w:p w14:paraId="16A636A2" w14:textId="77777777" w:rsidR="000561B5" w:rsidRPr="00B97CFB" w:rsidRDefault="000561B5" w:rsidP="00476CB0">
            <w:pPr>
              <w:suppressAutoHyphens w:val="0"/>
              <w:spacing w:line="240" w:lineRule="auto"/>
              <w:rPr>
                <w:b/>
                <w:i/>
                <w:iCs/>
                <w:sz w:val="22"/>
                <w:szCs w:val="22"/>
              </w:rPr>
            </w:pPr>
            <w:r w:rsidRPr="00B97CFB">
              <w:rPr>
                <w:b/>
                <w:i/>
                <w:iCs/>
                <w:sz w:val="22"/>
                <w:szCs w:val="22"/>
              </w:rPr>
              <w:t>Observations</w:t>
            </w:r>
          </w:p>
        </w:tc>
      </w:tr>
      <w:tr w:rsidR="00D32638" w:rsidRPr="008154FF" w14:paraId="6E2AC5C5" w14:textId="77777777" w:rsidTr="00714DE6">
        <w:trPr>
          <w:trHeight w:val="400"/>
        </w:trPr>
        <w:tc>
          <w:tcPr>
            <w:tcW w:w="4928" w:type="dxa"/>
            <w:shd w:val="clear" w:color="auto" w:fill="auto"/>
          </w:tcPr>
          <w:p w14:paraId="3BD7ADA3" w14:textId="77777777" w:rsidR="00D32638" w:rsidRPr="00B36EE8" w:rsidRDefault="00D32638" w:rsidP="00EF3148"/>
        </w:tc>
        <w:tc>
          <w:tcPr>
            <w:tcW w:w="1131" w:type="dxa"/>
            <w:tcBorders>
              <w:bottom w:val="single" w:sz="4" w:space="0" w:color="auto"/>
            </w:tcBorders>
            <w:shd w:val="clear" w:color="auto" w:fill="auto"/>
          </w:tcPr>
          <w:p w14:paraId="5C2D2633" w14:textId="77777777" w:rsidR="00D32638" w:rsidRPr="006510A0" w:rsidRDefault="00D32638" w:rsidP="00EF3148"/>
        </w:tc>
        <w:tc>
          <w:tcPr>
            <w:tcW w:w="1365" w:type="dxa"/>
            <w:tcBorders>
              <w:bottom w:val="single" w:sz="4" w:space="0" w:color="auto"/>
            </w:tcBorders>
            <w:shd w:val="clear" w:color="auto" w:fill="auto"/>
          </w:tcPr>
          <w:p w14:paraId="4B1F4B9E" w14:textId="77777777" w:rsidR="00D32638" w:rsidRPr="006510A0" w:rsidRDefault="00D32638" w:rsidP="00EF3148"/>
        </w:tc>
        <w:tc>
          <w:tcPr>
            <w:tcW w:w="1473" w:type="dxa"/>
            <w:shd w:val="clear" w:color="auto" w:fill="auto"/>
          </w:tcPr>
          <w:p w14:paraId="0AA4C51E" w14:textId="77777777" w:rsidR="00D32638" w:rsidRPr="008154FF" w:rsidRDefault="00EE48A3" w:rsidP="00EF3148">
            <w:pPr>
              <w:rPr>
                <w:b/>
                <w:bCs/>
                <w:i/>
                <w:iCs/>
              </w:rPr>
            </w:pPr>
            <w:r w:rsidRPr="008154FF">
              <w:rPr>
                <w:b/>
                <w:bCs/>
                <w:i/>
                <w:iCs/>
              </w:rPr>
              <w:t>Joint decisions</w:t>
            </w:r>
          </w:p>
        </w:tc>
      </w:tr>
      <w:tr w:rsidR="00EF3148" w:rsidRPr="00D1571A" w14:paraId="6F54BC2E" w14:textId="77777777" w:rsidTr="00714DE6">
        <w:trPr>
          <w:trHeight w:val="680"/>
        </w:trPr>
        <w:tc>
          <w:tcPr>
            <w:tcW w:w="4928" w:type="dxa"/>
            <w:shd w:val="clear" w:color="auto" w:fill="auto"/>
          </w:tcPr>
          <w:p w14:paraId="79F20768" w14:textId="1FACB082" w:rsidR="00EF3148" w:rsidRPr="00B36EE8" w:rsidRDefault="00FF2295" w:rsidP="00EF3148">
            <w:r>
              <w:t>F</w:t>
            </w:r>
            <w:r w:rsidR="00EF3148" w:rsidRPr="00B36EE8">
              <w:t xml:space="preserve">inancial arrangements </w:t>
            </w:r>
            <w:r w:rsidR="001C34B2">
              <w:t>for 2021–202</w:t>
            </w:r>
            <w:r w:rsidR="004B0989">
              <w:t>3</w:t>
            </w:r>
          </w:p>
        </w:tc>
        <w:tc>
          <w:tcPr>
            <w:tcW w:w="1131" w:type="dxa"/>
            <w:tcBorders>
              <w:bottom w:val="single" w:sz="4" w:space="0" w:color="auto"/>
            </w:tcBorders>
            <w:shd w:val="clear" w:color="auto" w:fill="auto"/>
          </w:tcPr>
          <w:p w14:paraId="55130FE6" w14:textId="77777777" w:rsidR="00EF3148" w:rsidRPr="006510A0" w:rsidRDefault="00EF3148" w:rsidP="00EF3148">
            <w:r w:rsidRPr="006510A0">
              <w:t>VIII/</w:t>
            </w:r>
            <w:r>
              <w:t>1</w:t>
            </w:r>
          </w:p>
        </w:tc>
        <w:tc>
          <w:tcPr>
            <w:tcW w:w="1365" w:type="dxa"/>
            <w:tcBorders>
              <w:bottom w:val="single" w:sz="4" w:space="0" w:color="auto"/>
            </w:tcBorders>
            <w:shd w:val="clear" w:color="auto" w:fill="auto"/>
          </w:tcPr>
          <w:p w14:paraId="5755D2C7" w14:textId="77777777" w:rsidR="00EF3148" w:rsidRPr="006510A0" w:rsidRDefault="00EF3148" w:rsidP="00EF3148">
            <w:r w:rsidRPr="006510A0">
              <w:t>IV/</w:t>
            </w:r>
            <w:r>
              <w:t>1</w:t>
            </w:r>
          </w:p>
        </w:tc>
        <w:tc>
          <w:tcPr>
            <w:tcW w:w="1473" w:type="dxa"/>
            <w:shd w:val="clear" w:color="auto" w:fill="auto"/>
          </w:tcPr>
          <w:p w14:paraId="12840F89" w14:textId="77777777" w:rsidR="00EF3148" w:rsidRDefault="00EF3148" w:rsidP="00EF3148"/>
        </w:tc>
      </w:tr>
      <w:tr w:rsidR="00EF3148" w:rsidRPr="00D1571A" w14:paraId="26D625EE" w14:textId="77777777" w:rsidTr="00714DE6">
        <w:trPr>
          <w:trHeight w:val="680"/>
        </w:trPr>
        <w:tc>
          <w:tcPr>
            <w:tcW w:w="4928" w:type="dxa"/>
            <w:shd w:val="clear" w:color="auto" w:fill="auto"/>
          </w:tcPr>
          <w:p w14:paraId="20C42082" w14:textId="77777777" w:rsidR="00EF3148" w:rsidRPr="00E74956" w:rsidRDefault="00EF3148" w:rsidP="00EF3148">
            <w:r w:rsidRPr="00E74956">
              <w:t>Adoption of the workplan</w:t>
            </w:r>
          </w:p>
        </w:tc>
        <w:tc>
          <w:tcPr>
            <w:tcW w:w="1131" w:type="dxa"/>
            <w:tcBorders>
              <w:bottom w:val="single" w:sz="4" w:space="0" w:color="auto"/>
            </w:tcBorders>
            <w:shd w:val="clear" w:color="auto" w:fill="auto"/>
          </w:tcPr>
          <w:p w14:paraId="1F1FCF01" w14:textId="77777777" w:rsidR="00EF3148" w:rsidRPr="00E74956" w:rsidRDefault="00EF3148" w:rsidP="00EF3148">
            <w:r w:rsidRPr="00E74956">
              <w:t>VIII/</w:t>
            </w:r>
            <w:r>
              <w:t>2</w:t>
            </w:r>
          </w:p>
        </w:tc>
        <w:tc>
          <w:tcPr>
            <w:tcW w:w="1365" w:type="dxa"/>
            <w:tcBorders>
              <w:bottom w:val="single" w:sz="4" w:space="0" w:color="auto"/>
            </w:tcBorders>
            <w:shd w:val="clear" w:color="auto" w:fill="auto"/>
          </w:tcPr>
          <w:p w14:paraId="2255208C" w14:textId="77777777" w:rsidR="00EF3148" w:rsidRPr="00E74956" w:rsidRDefault="00EF3148" w:rsidP="00EF3148">
            <w:r w:rsidRPr="00E74956">
              <w:t>IV/</w:t>
            </w:r>
            <w:r>
              <w:t>2</w:t>
            </w:r>
          </w:p>
        </w:tc>
        <w:tc>
          <w:tcPr>
            <w:tcW w:w="1473" w:type="dxa"/>
            <w:shd w:val="clear" w:color="auto" w:fill="auto"/>
          </w:tcPr>
          <w:p w14:paraId="36CE63C4" w14:textId="77777777" w:rsidR="00EF3148" w:rsidRDefault="00EF3148" w:rsidP="00EF3148"/>
        </w:tc>
      </w:tr>
      <w:tr w:rsidR="00EF3148" w:rsidRPr="00D1571A" w14:paraId="63330708" w14:textId="77777777" w:rsidTr="00714DE6">
        <w:trPr>
          <w:trHeight w:val="680"/>
        </w:trPr>
        <w:tc>
          <w:tcPr>
            <w:tcW w:w="4928" w:type="dxa"/>
            <w:shd w:val="clear" w:color="auto" w:fill="auto"/>
          </w:tcPr>
          <w:p w14:paraId="0079D922" w14:textId="18BF9C0B" w:rsidR="00EF3148" w:rsidRPr="008423C4" w:rsidRDefault="00EF3148" w:rsidP="00EF3148">
            <w:r w:rsidRPr="008423C4">
              <w:t xml:space="preserve">Long term-strategy and </w:t>
            </w:r>
            <w:r w:rsidR="00F923D1">
              <w:t>the</w:t>
            </w:r>
            <w:r w:rsidRPr="008423C4">
              <w:t xml:space="preserve"> action plan for the Convention and its Protocol</w:t>
            </w:r>
          </w:p>
        </w:tc>
        <w:tc>
          <w:tcPr>
            <w:tcW w:w="1131" w:type="dxa"/>
            <w:tcBorders>
              <w:bottom w:val="single" w:sz="4" w:space="0" w:color="auto"/>
            </w:tcBorders>
            <w:shd w:val="clear" w:color="auto" w:fill="auto"/>
          </w:tcPr>
          <w:p w14:paraId="5D8B8D45" w14:textId="77777777" w:rsidR="00EF3148" w:rsidRPr="008423C4" w:rsidRDefault="00EF3148" w:rsidP="00EF3148">
            <w:r w:rsidRPr="008423C4">
              <w:t>VIII/</w:t>
            </w:r>
            <w:r>
              <w:t>3</w:t>
            </w:r>
          </w:p>
        </w:tc>
        <w:tc>
          <w:tcPr>
            <w:tcW w:w="1365" w:type="dxa"/>
            <w:tcBorders>
              <w:bottom w:val="single" w:sz="4" w:space="0" w:color="auto"/>
            </w:tcBorders>
            <w:shd w:val="clear" w:color="auto" w:fill="auto"/>
          </w:tcPr>
          <w:p w14:paraId="4DB77871" w14:textId="77777777" w:rsidR="00EF3148" w:rsidRPr="008423C4" w:rsidRDefault="00EF3148" w:rsidP="00EF3148">
            <w:r w:rsidRPr="008423C4">
              <w:t>IV/</w:t>
            </w:r>
            <w:r>
              <w:t>3</w:t>
            </w:r>
          </w:p>
        </w:tc>
        <w:tc>
          <w:tcPr>
            <w:tcW w:w="1473" w:type="dxa"/>
            <w:shd w:val="clear" w:color="auto" w:fill="auto"/>
          </w:tcPr>
          <w:p w14:paraId="12946D55" w14:textId="77777777" w:rsidR="00EF3148" w:rsidRDefault="00EF3148" w:rsidP="00EF3148"/>
        </w:tc>
      </w:tr>
      <w:tr w:rsidR="00D32638" w:rsidRPr="00D1571A" w14:paraId="60F25826" w14:textId="77777777" w:rsidTr="00714DE6">
        <w:trPr>
          <w:trHeight w:val="337"/>
        </w:trPr>
        <w:tc>
          <w:tcPr>
            <w:tcW w:w="4928" w:type="dxa"/>
            <w:shd w:val="clear" w:color="auto" w:fill="auto"/>
          </w:tcPr>
          <w:p w14:paraId="37A19DBE" w14:textId="77777777" w:rsidR="00D32638" w:rsidRPr="008423C4" w:rsidRDefault="00D32638" w:rsidP="00EF3148"/>
        </w:tc>
        <w:tc>
          <w:tcPr>
            <w:tcW w:w="1131" w:type="dxa"/>
            <w:tcBorders>
              <w:bottom w:val="single" w:sz="4" w:space="0" w:color="auto"/>
            </w:tcBorders>
            <w:shd w:val="clear" w:color="auto" w:fill="auto"/>
          </w:tcPr>
          <w:p w14:paraId="4E2D41B6" w14:textId="77777777" w:rsidR="00D32638" w:rsidRPr="008423C4" w:rsidRDefault="00D32638" w:rsidP="00EF3148"/>
        </w:tc>
        <w:tc>
          <w:tcPr>
            <w:tcW w:w="1365" w:type="dxa"/>
            <w:tcBorders>
              <w:bottom w:val="single" w:sz="4" w:space="0" w:color="auto"/>
            </w:tcBorders>
            <w:shd w:val="clear" w:color="auto" w:fill="auto"/>
          </w:tcPr>
          <w:p w14:paraId="393ECC18" w14:textId="77777777" w:rsidR="00D32638" w:rsidRPr="008423C4" w:rsidRDefault="00D32638" w:rsidP="00EF3148"/>
        </w:tc>
        <w:tc>
          <w:tcPr>
            <w:tcW w:w="1473" w:type="dxa"/>
            <w:shd w:val="clear" w:color="auto" w:fill="auto"/>
          </w:tcPr>
          <w:p w14:paraId="39287A8D" w14:textId="77777777" w:rsidR="00D32638" w:rsidRPr="008154FF" w:rsidRDefault="00D32638" w:rsidP="00EF3148">
            <w:pPr>
              <w:rPr>
                <w:b/>
                <w:bCs/>
                <w:i/>
                <w:iCs/>
              </w:rPr>
            </w:pPr>
            <w:r w:rsidRPr="008154FF">
              <w:rPr>
                <w:b/>
                <w:bCs/>
                <w:i/>
                <w:iCs/>
              </w:rPr>
              <w:t>MOP decisions</w:t>
            </w:r>
          </w:p>
        </w:tc>
      </w:tr>
      <w:tr w:rsidR="00D15727" w:rsidRPr="00D1571A" w14:paraId="5A43BAF8" w14:textId="77777777" w:rsidTr="00714DE6">
        <w:trPr>
          <w:trHeight w:val="690"/>
        </w:trPr>
        <w:tc>
          <w:tcPr>
            <w:tcW w:w="4928" w:type="dxa"/>
            <w:shd w:val="clear" w:color="auto" w:fill="auto"/>
          </w:tcPr>
          <w:p w14:paraId="4C2C9D58" w14:textId="77777777" w:rsidR="00D15727" w:rsidRPr="00953226" w:rsidRDefault="00D15727" w:rsidP="00D15727">
            <w:pPr>
              <w:suppressAutoHyphens w:val="0"/>
              <w:spacing w:line="240" w:lineRule="auto"/>
            </w:pPr>
            <w:r w:rsidRPr="00953226">
              <w:t>General issues of compliance with the Convention</w:t>
            </w:r>
          </w:p>
        </w:tc>
        <w:tc>
          <w:tcPr>
            <w:tcW w:w="1131" w:type="dxa"/>
            <w:tcBorders>
              <w:bottom w:val="single" w:sz="4" w:space="0" w:color="auto"/>
            </w:tcBorders>
            <w:shd w:val="clear" w:color="auto" w:fill="auto"/>
          </w:tcPr>
          <w:p w14:paraId="669D1641" w14:textId="77777777" w:rsidR="00D15727" w:rsidRPr="00953226" w:rsidRDefault="00D15727" w:rsidP="00476CB0">
            <w:pPr>
              <w:suppressAutoHyphens w:val="0"/>
              <w:spacing w:line="240" w:lineRule="auto"/>
              <w:rPr>
                <w:iCs/>
              </w:rPr>
            </w:pPr>
            <w:r w:rsidRPr="00953226">
              <w:rPr>
                <w:iCs/>
              </w:rPr>
              <w:t>VIII/</w:t>
            </w:r>
            <w:r w:rsidR="00EF3148">
              <w:rPr>
                <w:iCs/>
              </w:rPr>
              <w:t>4</w:t>
            </w:r>
            <w:r w:rsidRPr="00953226">
              <w:rPr>
                <w:iCs/>
              </w:rPr>
              <w:t xml:space="preserve"> </w:t>
            </w:r>
          </w:p>
        </w:tc>
        <w:tc>
          <w:tcPr>
            <w:tcW w:w="1365" w:type="dxa"/>
            <w:tcBorders>
              <w:bottom w:val="single" w:sz="4" w:space="0" w:color="auto"/>
            </w:tcBorders>
            <w:shd w:val="clear" w:color="auto" w:fill="auto"/>
          </w:tcPr>
          <w:p w14:paraId="336B9AEC" w14:textId="77777777" w:rsidR="00D15727" w:rsidRPr="00953226" w:rsidRDefault="00D15727" w:rsidP="00476CB0">
            <w:pPr>
              <w:suppressAutoHyphens w:val="0"/>
              <w:spacing w:line="240" w:lineRule="auto"/>
              <w:rPr>
                <w:iCs/>
              </w:rPr>
            </w:pPr>
          </w:p>
        </w:tc>
        <w:tc>
          <w:tcPr>
            <w:tcW w:w="1473" w:type="dxa"/>
            <w:shd w:val="clear" w:color="auto" w:fill="auto"/>
          </w:tcPr>
          <w:p w14:paraId="42232B5F" w14:textId="77777777" w:rsidR="00D15727" w:rsidRPr="00EF3148" w:rsidRDefault="00D15727" w:rsidP="00476CB0">
            <w:pPr>
              <w:suppressAutoHyphens w:val="0"/>
              <w:spacing w:line="240" w:lineRule="auto"/>
            </w:pPr>
          </w:p>
        </w:tc>
      </w:tr>
      <w:tr w:rsidR="00D15727" w:rsidRPr="00D1571A" w14:paraId="7E9F299E" w14:textId="77777777" w:rsidTr="00714DE6">
        <w:trPr>
          <w:trHeight w:val="690"/>
        </w:trPr>
        <w:tc>
          <w:tcPr>
            <w:tcW w:w="4928" w:type="dxa"/>
            <w:shd w:val="clear" w:color="auto" w:fill="auto"/>
          </w:tcPr>
          <w:p w14:paraId="7368A5AA" w14:textId="77777777" w:rsidR="00D15727" w:rsidRPr="00953226" w:rsidRDefault="00D15727" w:rsidP="00D15727">
            <w:pPr>
              <w:suppressAutoHyphens w:val="0"/>
              <w:spacing w:line="240" w:lineRule="auto"/>
            </w:pPr>
            <w:r w:rsidRPr="00953226">
              <w:t xml:space="preserve">Compliance by Armenia with its obligations under the Convention in respect of its national legislation </w:t>
            </w:r>
          </w:p>
          <w:p w14:paraId="10A86857" w14:textId="77777777" w:rsidR="00D15727" w:rsidRPr="00953226" w:rsidRDefault="00D15727" w:rsidP="00D15727">
            <w:pPr>
              <w:suppressAutoHyphens w:val="0"/>
              <w:spacing w:line="240" w:lineRule="auto"/>
            </w:pPr>
          </w:p>
        </w:tc>
        <w:tc>
          <w:tcPr>
            <w:tcW w:w="1131" w:type="dxa"/>
            <w:tcBorders>
              <w:bottom w:val="single" w:sz="4" w:space="0" w:color="auto"/>
            </w:tcBorders>
            <w:shd w:val="clear" w:color="auto" w:fill="auto"/>
          </w:tcPr>
          <w:p w14:paraId="27B79591" w14:textId="77777777" w:rsidR="00D15727" w:rsidRPr="00953226" w:rsidRDefault="00D15727" w:rsidP="00476CB0">
            <w:pPr>
              <w:suppressAutoHyphens w:val="0"/>
              <w:spacing w:line="240" w:lineRule="auto"/>
              <w:rPr>
                <w:iCs/>
              </w:rPr>
            </w:pPr>
            <w:r w:rsidRPr="00953226">
              <w:rPr>
                <w:iCs/>
              </w:rPr>
              <w:t>VIII/</w:t>
            </w:r>
            <w:r w:rsidR="00EF3148">
              <w:rPr>
                <w:iCs/>
              </w:rPr>
              <w:t>4</w:t>
            </w:r>
            <w:r w:rsidRPr="00953226">
              <w:rPr>
                <w:iCs/>
              </w:rPr>
              <w:t xml:space="preserve"> a</w:t>
            </w:r>
          </w:p>
        </w:tc>
        <w:tc>
          <w:tcPr>
            <w:tcW w:w="1365" w:type="dxa"/>
            <w:tcBorders>
              <w:bottom w:val="single" w:sz="4" w:space="0" w:color="auto"/>
            </w:tcBorders>
            <w:shd w:val="clear" w:color="auto" w:fill="auto"/>
          </w:tcPr>
          <w:p w14:paraId="48F1ABD9" w14:textId="77777777" w:rsidR="00D15727" w:rsidRPr="00953226" w:rsidRDefault="00D15727" w:rsidP="00476CB0">
            <w:pPr>
              <w:suppressAutoHyphens w:val="0"/>
              <w:spacing w:line="240" w:lineRule="auto"/>
              <w:rPr>
                <w:iCs/>
              </w:rPr>
            </w:pPr>
          </w:p>
        </w:tc>
        <w:tc>
          <w:tcPr>
            <w:tcW w:w="1473" w:type="dxa"/>
            <w:shd w:val="clear" w:color="auto" w:fill="auto"/>
          </w:tcPr>
          <w:p w14:paraId="7A5A8B4E" w14:textId="77777777" w:rsidR="00D15727" w:rsidRPr="00953226" w:rsidRDefault="00D15727" w:rsidP="00476CB0">
            <w:pPr>
              <w:suppressAutoHyphens w:val="0"/>
              <w:spacing w:line="240" w:lineRule="auto"/>
              <w:rPr>
                <w:i/>
                <w:iCs/>
              </w:rPr>
            </w:pPr>
          </w:p>
        </w:tc>
      </w:tr>
      <w:tr w:rsidR="00D15727" w:rsidRPr="00D1571A" w14:paraId="15EA57E4" w14:textId="77777777" w:rsidTr="00714DE6">
        <w:trPr>
          <w:trHeight w:val="690"/>
        </w:trPr>
        <w:tc>
          <w:tcPr>
            <w:tcW w:w="4928" w:type="dxa"/>
            <w:shd w:val="clear" w:color="auto" w:fill="auto"/>
          </w:tcPr>
          <w:p w14:paraId="3B0C7D06" w14:textId="77777777" w:rsidR="00D15727" w:rsidRPr="00953226" w:rsidRDefault="00D15727" w:rsidP="00D15727">
            <w:pPr>
              <w:suppressAutoHyphens w:val="0"/>
              <w:spacing w:line="240" w:lineRule="auto"/>
            </w:pPr>
            <w:r w:rsidRPr="00953226">
              <w:t>Compliance by Azerbaijan with its obligations under the Convention in respect of its national legislation</w:t>
            </w:r>
          </w:p>
          <w:p w14:paraId="692514F0" w14:textId="77777777" w:rsidR="00D15727" w:rsidRPr="00953226" w:rsidRDefault="00D15727" w:rsidP="00D15727">
            <w:pPr>
              <w:suppressAutoHyphens w:val="0"/>
              <w:spacing w:line="240" w:lineRule="auto"/>
            </w:pPr>
          </w:p>
        </w:tc>
        <w:tc>
          <w:tcPr>
            <w:tcW w:w="1131" w:type="dxa"/>
            <w:tcBorders>
              <w:bottom w:val="single" w:sz="4" w:space="0" w:color="auto"/>
            </w:tcBorders>
            <w:shd w:val="clear" w:color="auto" w:fill="auto"/>
          </w:tcPr>
          <w:p w14:paraId="4EA11926" w14:textId="77777777" w:rsidR="00D15727" w:rsidRPr="00953226" w:rsidRDefault="00D15727" w:rsidP="00476CB0">
            <w:pPr>
              <w:suppressAutoHyphens w:val="0"/>
              <w:spacing w:line="240" w:lineRule="auto"/>
              <w:rPr>
                <w:iCs/>
              </w:rPr>
            </w:pPr>
            <w:r w:rsidRPr="00953226">
              <w:rPr>
                <w:iCs/>
              </w:rPr>
              <w:t>VIII/</w:t>
            </w:r>
            <w:r w:rsidR="00EF3148">
              <w:rPr>
                <w:iCs/>
              </w:rPr>
              <w:t>4</w:t>
            </w:r>
            <w:r w:rsidRPr="00953226">
              <w:rPr>
                <w:iCs/>
              </w:rPr>
              <w:t xml:space="preserve"> </w:t>
            </w:r>
            <w:r w:rsidR="00174A32">
              <w:rPr>
                <w:iCs/>
              </w:rPr>
              <w:t>b</w:t>
            </w:r>
          </w:p>
        </w:tc>
        <w:tc>
          <w:tcPr>
            <w:tcW w:w="1365" w:type="dxa"/>
            <w:tcBorders>
              <w:bottom w:val="single" w:sz="4" w:space="0" w:color="auto"/>
            </w:tcBorders>
            <w:shd w:val="clear" w:color="auto" w:fill="auto"/>
          </w:tcPr>
          <w:p w14:paraId="154E981B" w14:textId="77777777" w:rsidR="00D15727" w:rsidRPr="00953226" w:rsidRDefault="00D15727" w:rsidP="00476CB0">
            <w:pPr>
              <w:suppressAutoHyphens w:val="0"/>
              <w:spacing w:line="240" w:lineRule="auto"/>
              <w:rPr>
                <w:iCs/>
              </w:rPr>
            </w:pPr>
          </w:p>
        </w:tc>
        <w:tc>
          <w:tcPr>
            <w:tcW w:w="1473" w:type="dxa"/>
            <w:shd w:val="clear" w:color="auto" w:fill="auto"/>
          </w:tcPr>
          <w:p w14:paraId="032DFA5C" w14:textId="77777777" w:rsidR="00D15727" w:rsidRPr="00953226" w:rsidRDefault="00D15727" w:rsidP="00476CB0">
            <w:pPr>
              <w:suppressAutoHyphens w:val="0"/>
              <w:spacing w:line="240" w:lineRule="auto"/>
              <w:rPr>
                <w:i/>
                <w:iCs/>
              </w:rPr>
            </w:pPr>
          </w:p>
        </w:tc>
      </w:tr>
      <w:tr w:rsidR="00D15727" w:rsidRPr="00D1571A" w14:paraId="23FF72F5" w14:textId="77777777" w:rsidTr="00714DE6">
        <w:trPr>
          <w:trHeight w:val="690"/>
        </w:trPr>
        <w:tc>
          <w:tcPr>
            <w:tcW w:w="4928" w:type="dxa"/>
            <w:shd w:val="clear" w:color="auto" w:fill="auto"/>
          </w:tcPr>
          <w:p w14:paraId="5A3A8FB5" w14:textId="77777777" w:rsidR="00D15727" w:rsidRPr="00953226" w:rsidRDefault="00D15727" w:rsidP="00D15727">
            <w:pPr>
              <w:suppressAutoHyphens w:val="0"/>
              <w:spacing w:line="240" w:lineRule="auto"/>
            </w:pPr>
            <w:r w:rsidRPr="00953226">
              <w:t xml:space="preserve">Compliance by Belarus with its obligations under the Convention in respect of the Belarusian nuclear power plant in </w:t>
            </w:r>
            <w:proofErr w:type="spellStart"/>
            <w:r w:rsidRPr="00953226">
              <w:t>Ostrovets</w:t>
            </w:r>
            <w:proofErr w:type="spellEnd"/>
          </w:p>
        </w:tc>
        <w:tc>
          <w:tcPr>
            <w:tcW w:w="1131" w:type="dxa"/>
            <w:tcBorders>
              <w:bottom w:val="single" w:sz="4" w:space="0" w:color="auto"/>
            </w:tcBorders>
            <w:shd w:val="clear" w:color="auto" w:fill="auto"/>
          </w:tcPr>
          <w:p w14:paraId="13A80758" w14:textId="77777777" w:rsidR="00D15727" w:rsidRPr="00953226" w:rsidRDefault="00D15727" w:rsidP="00476CB0">
            <w:pPr>
              <w:suppressAutoHyphens w:val="0"/>
              <w:spacing w:line="240" w:lineRule="auto"/>
              <w:rPr>
                <w:iCs/>
              </w:rPr>
            </w:pPr>
            <w:r w:rsidRPr="00953226">
              <w:rPr>
                <w:iCs/>
              </w:rPr>
              <w:t>VIII/</w:t>
            </w:r>
            <w:r w:rsidR="00EF3148">
              <w:rPr>
                <w:iCs/>
              </w:rPr>
              <w:t>4</w:t>
            </w:r>
            <w:r w:rsidRPr="00953226">
              <w:rPr>
                <w:iCs/>
              </w:rPr>
              <w:t xml:space="preserve"> </w:t>
            </w:r>
            <w:r w:rsidR="00174A32">
              <w:rPr>
                <w:iCs/>
              </w:rPr>
              <w:t>c</w:t>
            </w:r>
          </w:p>
        </w:tc>
        <w:tc>
          <w:tcPr>
            <w:tcW w:w="1365" w:type="dxa"/>
            <w:tcBorders>
              <w:bottom w:val="single" w:sz="4" w:space="0" w:color="auto"/>
            </w:tcBorders>
            <w:shd w:val="clear" w:color="auto" w:fill="auto"/>
          </w:tcPr>
          <w:p w14:paraId="302E86B9" w14:textId="77777777" w:rsidR="00D15727" w:rsidRPr="00953226" w:rsidRDefault="00D15727" w:rsidP="00476CB0">
            <w:pPr>
              <w:suppressAutoHyphens w:val="0"/>
              <w:spacing w:line="240" w:lineRule="auto"/>
              <w:rPr>
                <w:iCs/>
              </w:rPr>
            </w:pPr>
          </w:p>
        </w:tc>
        <w:tc>
          <w:tcPr>
            <w:tcW w:w="1473" w:type="dxa"/>
            <w:shd w:val="clear" w:color="auto" w:fill="auto"/>
          </w:tcPr>
          <w:p w14:paraId="03F33330" w14:textId="77777777" w:rsidR="00D15727" w:rsidRPr="00953226" w:rsidRDefault="00D15727" w:rsidP="00476CB0">
            <w:pPr>
              <w:suppressAutoHyphens w:val="0"/>
              <w:spacing w:line="240" w:lineRule="auto"/>
              <w:rPr>
                <w:i/>
                <w:iCs/>
              </w:rPr>
            </w:pPr>
          </w:p>
        </w:tc>
      </w:tr>
      <w:tr w:rsidR="00D15727" w:rsidRPr="00D1571A" w14:paraId="1CAB45D8" w14:textId="77777777" w:rsidTr="00714DE6">
        <w:trPr>
          <w:trHeight w:val="690"/>
        </w:trPr>
        <w:tc>
          <w:tcPr>
            <w:tcW w:w="4928" w:type="dxa"/>
            <w:shd w:val="clear" w:color="auto" w:fill="auto"/>
          </w:tcPr>
          <w:p w14:paraId="19E9F587" w14:textId="77777777" w:rsidR="00D15727" w:rsidRPr="00953226" w:rsidRDefault="00D15727" w:rsidP="00953226">
            <w:pPr>
              <w:suppressAutoHyphens w:val="0"/>
              <w:spacing w:line="240" w:lineRule="auto"/>
            </w:pPr>
            <w:r w:rsidRPr="00953226">
              <w:t xml:space="preserve">Compliance by Ukraine with its obligations under the Convention in respect of the Danube-Black Sea Deep Water Navigation Canal in the Ukrainian sector of the Danube Delta </w:t>
            </w:r>
          </w:p>
        </w:tc>
        <w:tc>
          <w:tcPr>
            <w:tcW w:w="1131" w:type="dxa"/>
            <w:tcBorders>
              <w:bottom w:val="single" w:sz="4" w:space="0" w:color="auto"/>
            </w:tcBorders>
            <w:shd w:val="clear" w:color="auto" w:fill="auto"/>
          </w:tcPr>
          <w:p w14:paraId="3F7CEB53" w14:textId="77777777" w:rsidR="00D15727" w:rsidRPr="00953226" w:rsidRDefault="00D15727" w:rsidP="00476CB0">
            <w:pPr>
              <w:suppressAutoHyphens w:val="0"/>
              <w:spacing w:line="240" w:lineRule="auto"/>
              <w:rPr>
                <w:iCs/>
              </w:rPr>
            </w:pPr>
            <w:r w:rsidRPr="00953226">
              <w:rPr>
                <w:iCs/>
              </w:rPr>
              <w:t>VIII/</w:t>
            </w:r>
            <w:r w:rsidR="00EF3148">
              <w:rPr>
                <w:iCs/>
              </w:rPr>
              <w:t>4</w:t>
            </w:r>
            <w:r w:rsidRPr="00953226">
              <w:rPr>
                <w:iCs/>
              </w:rPr>
              <w:t xml:space="preserve"> </w:t>
            </w:r>
            <w:r w:rsidR="00174A32">
              <w:rPr>
                <w:iCs/>
              </w:rPr>
              <w:t>d</w:t>
            </w:r>
          </w:p>
        </w:tc>
        <w:tc>
          <w:tcPr>
            <w:tcW w:w="1365" w:type="dxa"/>
            <w:tcBorders>
              <w:bottom w:val="single" w:sz="4" w:space="0" w:color="auto"/>
            </w:tcBorders>
            <w:shd w:val="clear" w:color="auto" w:fill="auto"/>
          </w:tcPr>
          <w:p w14:paraId="365C9A3B" w14:textId="77777777" w:rsidR="00D15727" w:rsidRPr="00953226" w:rsidRDefault="00D15727" w:rsidP="00476CB0">
            <w:pPr>
              <w:suppressAutoHyphens w:val="0"/>
              <w:spacing w:line="240" w:lineRule="auto"/>
              <w:rPr>
                <w:iCs/>
              </w:rPr>
            </w:pPr>
          </w:p>
        </w:tc>
        <w:tc>
          <w:tcPr>
            <w:tcW w:w="1473" w:type="dxa"/>
            <w:shd w:val="clear" w:color="auto" w:fill="auto"/>
          </w:tcPr>
          <w:p w14:paraId="1995A36D" w14:textId="77777777" w:rsidR="00D15727" w:rsidRPr="00953226" w:rsidRDefault="00D15727" w:rsidP="00476CB0">
            <w:pPr>
              <w:suppressAutoHyphens w:val="0"/>
              <w:spacing w:line="240" w:lineRule="auto"/>
              <w:rPr>
                <w:i/>
                <w:iCs/>
              </w:rPr>
            </w:pPr>
          </w:p>
        </w:tc>
      </w:tr>
      <w:tr w:rsidR="00D15727" w:rsidRPr="00D1571A" w14:paraId="2E2D2E2C" w14:textId="77777777" w:rsidTr="00714DE6">
        <w:trPr>
          <w:trHeight w:val="690"/>
        </w:trPr>
        <w:tc>
          <w:tcPr>
            <w:tcW w:w="4928" w:type="dxa"/>
            <w:shd w:val="clear" w:color="auto" w:fill="auto"/>
          </w:tcPr>
          <w:p w14:paraId="71A3409D" w14:textId="77777777" w:rsidR="00D15727" w:rsidRPr="00953226" w:rsidRDefault="00D15727" w:rsidP="00D15727">
            <w:pPr>
              <w:suppressAutoHyphens w:val="0"/>
              <w:spacing w:line="240" w:lineRule="auto"/>
            </w:pPr>
            <w:r w:rsidRPr="00953226">
              <w:t>Compliance by Ukraine with its obligations under the Convention in respect of extension of the lifetime of the Rivne nuclear power plant</w:t>
            </w:r>
          </w:p>
        </w:tc>
        <w:tc>
          <w:tcPr>
            <w:tcW w:w="1131" w:type="dxa"/>
            <w:tcBorders>
              <w:bottom w:val="single" w:sz="4" w:space="0" w:color="auto"/>
            </w:tcBorders>
            <w:shd w:val="clear" w:color="auto" w:fill="auto"/>
          </w:tcPr>
          <w:p w14:paraId="1EF2BC60" w14:textId="77777777" w:rsidR="00D15727" w:rsidRPr="00953226" w:rsidRDefault="00D15727" w:rsidP="00476CB0">
            <w:pPr>
              <w:suppressAutoHyphens w:val="0"/>
              <w:spacing w:line="240" w:lineRule="auto"/>
              <w:rPr>
                <w:iCs/>
              </w:rPr>
            </w:pPr>
            <w:r w:rsidRPr="00953226">
              <w:rPr>
                <w:iCs/>
              </w:rPr>
              <w:t>VIII/</w:t>
            </w:r>
            <w:r w:rsidR="00EF3148">
              <w:rPr>
                <w:iCs/>
              </w:rPr>
              <w:t>4</w:t>
            </w:r>
            <w:r w:rsidRPr="00953226">
              <w:rPr>
                <w:iCs/>
              </w:rPr>
              <w:t xml:space="preserve"> </w:t>
            </w:r>
            <w:r w:rsidR="00174A32">
              <w:rPr>
                <w:iCs/>
              </w:rPr>
              <w:t>e</w:t>
            </w:r>
          </w:p>
        </w:tc>
        <w:tc>
          <w:tcPr>
            <w:tcW w:w="1365" w:type="dxa"/>
            <w:tcBorders>
              <w:bottom w:val="single" w:sz="4" w:space="0" w:color="auto"/>
            </w:tcBorders>
            <w:shd w:val="clear" w:color="auto" w:fill="auto"/>
          </w:tcPr>
          <w:p w14:paraId="613173BB" w14:textId="77777777" w:rsidR="00D15727" w:rsidRPr="00953226" w:rsidRDefault="00D15727" w:rsidP="00476CB0">
            <w:pPr>
              <w:suppressAutoHyphens w:val="0"/>
              <w:spacing w:line="240" w:lineRule="auto"/>
              <w:rPr>
                <w:iCs/>
              </w:rPr>
            </w:pPr>
          </w:p>
        </w:tc>
        <w:tc>
          <w:tcPr>
            <w:tcW w:w="1473" w:type="dxa"/>
            <w:shd w:val="clear" w:color="auto" w:fill="auto"/>
          </w:tcPr>
          <w:p w14:paraId="4131CA5D" w14:textId="77777777" w:rsidR="00D15727" w:rsidRPr="00953226" w:rsidRDefault="00D15727" w:rsidP="00476CB0">
            <w:pPr>
              <w:suppressAutoHyphens w:val="0"/>
              <w:spacing w:line="240" w:lineRule="auto"/>
              <w:rPr>
                <w:i/>
                <w:iCs/>
              </w:rPr>
            </w:pPr>
          </w:p>
        </w:tc>
      </w:tr>
      <w:tr w:rsidR="00EF3148" w:rsidRPr="00D1571A" w14:paraId="2D8BBB06" w14:textId="77777777" w:rsidTr="00714DE6">
        <w:trPr>
          <w:trHeight w:val="690"/>
        </w:trPr>
        <w:tc>
          <w:tcPr>
            <w:tcW w:w="4928" w:type="dxa"/>
            <w:shd w:val="clear" w:color="auto" w:fill="auto"/>
          </w:tcPr>
          <w:p w14:paraId="16512667" w14:textId="77777777" w:rsidR="00EF3148" w:rsidRPr="00C20288" w:rsidRDefault="00EF3148" w:rsidP="00EF3148">
            <w:r w:rsidRPr="00C20288">
              <w:t>Reporting and review of implementation of the Convention</w:t>
            </w:r>
          </w:p>
        </w:tc>
        <w:tc>
          <w:tcPr>
            <w:tcW w:w="1131" w:type="dxa"/>
            <w:tcBorders>
              <w:bottom w:val="single" w:sz="4" w:space="0" w:color="auto"/>
            </w:tcBorders>
            <w:shd w:val="clear" w:color="auto" w:fill="auto"/>
          </w:tcPr>
          <w:p w14:paraId="423AFDC8" w14:textId="77777777" w:rsidR="00EF3148" w:rsidRPr="00C20288" w:rsidRDefault="00EF3148" w:rsidP="00EF3148">
            <w:r w:rsidRPr="00C20288">
              <w:t>VIII/</w:t>
            </w:r>
            <w:r>
              <w:t>5</w:t>
            </w:r>
          </w:p>
        </w:tc>
        <w:tc>
          <w:tcPr>
            <w:tcW w:w="1365" w:type="dxa"/>
            <w:tcBorders>
              <w:bottom w:val="single" w:sz="4" w:space="0" w:color="auto"/>
            </w:tcBorders>
            <w:shd w:val="clear" w:color="auto" w:fill="auto"/>
          </w:tcPr>
          <w:p w14:paraId="6C26BC9E" w14:textId="77777777" w:rsidR="00EF3148" w:rsidRPr="00C20288" w:rsidRDefault="00EF3148" w:rsidP="00EF3148"/>
        </w:tc>
        <w:tc>
          <w:tcPr>
            <w:tcW w:w="1473" w:type="dxa"/>
            <w:shd w:val="clear" w:color="auto" w:fill="auto"/>
          </w:tcPr>
          <w:p w14:paraId="251EE6DF" w14:textId="77777777" w:rsidR="00EF3148" w:rsidRPr="00C20288" w:rsidRDefault="00EF3148" w:rsidP="00EF3148"/>
        </w:tc>
      </w:tr>
      <w:tr w:rsidR="00EF3148" w:rsidRPr="00D1571A" w14:paraId="71CB2493" w14:textId="77777777" w:rsidTr="00714DE6">
        <w:trPr>
          <w:trHeight w:val="690"/>
        </w:trPr>
        <w:tc>
          <w:tcPr>
            <w:tcW w:w="4928" w:type="dxa"/>
            <w:shd w:val="clear" w:color="auto" w:fill="auto"/>
          </w:tcPr>
          <w:p w14:paraId="6492AFFE" w14:textId="77777777" w:rsidR="00EF3148" w:rsidRPr="00C20288" w:rsidRDefault="00D32638" w:rsidP="00EF3148">
            <w:r>
              <w:t>A</w:t>
            </w:r>
            <w:r w:rsidRPr="00D32638">
              <w:t>pplicability of the Convention to the life-time extension of nuclear power plants</w:t>
            </w:r>
          </w:p>
        </w:tc>
        <w:tc>
          <w:tcPr>
            <w:tcW w:w="1131" w:type="dxa"/>
            <w:tcBorders>
              <w:bottom w:val="single" w:sz="4" w:space="0" w:color="auto"/>
            </w:tcBorders>
            <w:shd w:val="clear" w:color="auto" w:fill="auto"/>
          </w:tcPr>
          <w:p w14:paraId="6A7682CE" w14:textId="77777777" w:rsidR="00EF3148" w:rsidRPr="00C20288" w:rsidRDefault="00D32638" w:rsidP="00EF3148">
            <w:r w:rsidRPr="00C20288">
              <w:t>VIII/</w:t>
            </w:r>
            <w:r>
              <w:t>6</w:t>
            </w:r>
          </w:p>
        </w:tc>
        <w:tc>
          <w:tcPr>
            <w:tcW w:w="1365" w:type="dxa"/>
            <w:tcBorders>
              <w:bottom w:val="single" w:sz="4" w:space="0" w:color="auto"/>
            </w:tcBorders>
            <w:shd w:val="clear" w:color="auto" w:fill="auto"/>
          </w:tcPr>
          <w:p w14:paraId="5F850960" w14:textId="77777777" w:rsidR="00EF3148" w:rsidRPr="00C20288" w:rsidRDefault="00EF3148" w:rsidP="00EF3148"/>
        </w:tc>
        <w:tc>
          <w:tcPr>
            <w:tcW w:w="1473" w:type="dxa"/>
            <w:shd w:val="clear" w:color="auto" w:fill="auto"/>
          </w:tcPr>
          <w:p w14:paraId="0DC5A156" w14:textId="77777777" w:rsidR="00EF3148" w:rsidRPr="00C20288" w:rsidRDefault="00EF3148" w:rsidP="00EF3148"/>
        </w:tc>
      </w:tr>
      <w:tr w:rsidR="00EF3148" w:rsidRPr="00D1571A" w14:paraId="1D157494" w14:textId="77777777" w:rsidTr="00714DE6">
        <w:trPr>
          <w:trHeight w:val="397"/>
        </w:trPr>
        <w:tc>
          <w:tcPr>
            <w:tcW w:w="4928" w:type="dxa"/>
            <w:shd w:val="clear" w:color="auto" w:fill="auto"/>
          </w:tcPr>
          <w:p w14:paraId="19470E6C" w14:textId="77777777" w:rsidR="00EF3148" w:rsidRPr="00C20288" w:rsidRDefault="00EF3148" w:rsidP="00EF3148"/>
        </w:tc>
        <w:tc>
          <w:tcPr>
            <w:tcW w:w="1131" w:type="dxa"/>
            <w:tcBorders>
              <w:bottom w:val="single" w:sz="4" w:space="0" w:color="auto"/>
            </w:tcBorders>
            <w:shd w:val="clear" w:color="auto" w:fill="auto"/>
          </w:tcPr>
          <w:p w14:paraId="5600F1D1" w14:textId="77777777" w:rsidR="00EF3148" w:rsidRPr="00C20288" w:rsidRDefault="00EF3148" w:rsidP="00EF3148"/>
        </w:tc>
        <w:tc>
          <w:tcPr>
            <w:tcW w:w="1365" w:type="dxa"/>
            <w:tcBorders>
              <w:bottom w:val="single" w:sz="4" w:space="0" w:color="auto"/>
            </w:tcBorders>
            <w:shd w:val="clear" w:color="auto" w:fill="auto"/>
          </w:tcPr>
          <w:p w14:paraId="7D49BBAF" w14:textId="77777777" w:rsidR="00EF3148" w:rsidRPr="00C20288" w:rsidRDefault="00EF3148" w:rsidP="00EF3148"/>
        </w:tc>
        <w:tc>
          <w:tcPr>
            <w:tcW w:w="1473" w:type="dxa"/>
            <w:shd w:val="clear" w:color="auto" w:fill="auto"/>
          </w:tcPr>
          <w:p w14:paraId="10B223D6" w14:textId="77777777" w:rsidR="00EF3148" w:rsidRPr="008154FF" w:rsidRDefault="00EF3148" w:rsidP="00EF3148">
            <w:pPr>
              <w:rPr>
                <w:b/>
                <w:bCs/>
                <w:i/>
                <w:iCs/>
              </w:rPr>
            </w:pPr>
            <w:r w:rsidRPr="008154FF">
              <w:rPr>
                <w:b/>
                <w:bCs/>
                <w:i/>
                <w:iCs/>
              </w:rPr>
              <w:t>MOP/MOP decisions</w:t>
            </w:r>
          </w:p>
        </w:tc>
      </w:tr>
      <w:tr w:rsidR="000561B5" w:rsidRPr="00D1571A" w14:paraId="5ECA6C64" w14:textId="77777777" w:rsidTr="00714DE6">
        <w:trPr>
          <w:trHeight w:val="552"/>
        </w:trPr>
        <w:tc>
          <w:tcPr>
            <w:tcW w:w="4928" w:type="dxa"/>
            <w:shd w:val="clear" w:color="auto" w:fill="auto"/>
          </w:tcPr>
          <w:p w14:paraId="5B260F35" w14:textId="77777777" w:rsidR="000561B5" w:rsidRPr="00D32638" w:rsidRDefault="00D32638" w:rsidP="00476CB0">
            <w:pPr>
              <w:suppressAutoHyphens w:val="0"/>
              <w:spacing w:line="240" w:lineRule="auto"/>
            </w:pPr>
            <w:r w:rsidRPr="00D32638">
              <w:t xml:space="preserve">General issues of </w:t>
            </w:r>
            <w:bookmarkStart w:id="4" w:name="_Hlk31302077"/>
            <w:r w:rsidRPr="00D32638">
              <w:t>compliance with the Protocol</w:t>
            </w:r>
            <w:bookmarkEnd w:id="4"/>
          </w:p>
        </w:tc>
        <w:tc>
          <w:tcPr>
            <w:tcW w:w="1131" w:type="dxa"/>
            <w:tcBorders>
              <w:bottom w:val="single" w:sz="4" w:space="0" w:color="auto"/>
            </w:tcBorders>
            <w:shd w:val="clear" w:color="auto" w:fill="auto"/>
          </w:tcPr>
          <w:p w14:paraId="5E223BFE" w14:textId="77777777" w:rsidR="000561B5" w:rsidRPr="00953226" w:rsidRDefault="000561B5" w:rsidP="00476CB0">
            <w:pPr>
              <w:suppressAutoHyphens w:val="0"/>
              <w:spacing w:line="240" w:lineRule="auto"/>
              <w:rPr>
                <w:iCs/>
              </w:rPr>
            </w:pPr>
          </w:p>
        </w:tc>
        <w:tc>
          <w:tcPr>
            <w:tcW w:w="1365" w:type="dxa"/>
            <w:tcBorders>
              <w:bottom w:val="single" w:sz="4" w:space="0" w:color="auto"/>
            </w:tcBorders>
            <w:shd w:val="clear" w:color="auto" w:fill="auto"/>
          </w:tcPr>
          <w:p w14:paraId="62647403" w14:textId="77777777" w:rsidR="000561B5" w:rsidRPr="00953226" w:rsidRDefault="00D32638" w:rsidP="00476CB0">
            <w:pPr>
              <w:suppressAutoHyphens w:val="0"/>
              <w:spacing w:line="240" w:lineRule="auto"/>
              <w:rPr>
                <w:iCs/>
              </w:rPr>
            </w:pPr>
            <w:bookmarkStart w:id="5" w:name="_Hlk31302110"/>
            <w:r w:rsidRPr="00953226">
              <w:rPr>
                <w:iCs/>
              </w:rPr>
              <w:t>IV/</w:t>
            </w:r>
            <w:bookmarkEnd w:id="5"/>
            <w:r w:rsidR="00714DE6">
              <w:rPr>
                <w:iCs/>
              </w:rPr>
              <w:t>4</w:t>
            </w:r>
          </w:p>
        </w:tc>
        <w:tc>
          <w:tcPr>
            <w:tcW w:w="1473" w:type="dxa"/>
            <w:shd w:val="clear" w:color="auto" w:fill="auto"/>
          </w:tcPr>
          <w:p w14:paraId="42C370C7" w14:textId="77777777" w:rsidR="000561B5" w:rsidRPr="00953226" w:rsidRDefault="000561B5" w:rsidP="00476CB0">
            <w:pPr>
              <w:suppressAutoHyphens w:val="0"/>
              <w:spacing w:line="240" w:lineRule="auto"/>
              <w:rPr>
                <w:i/>
                <w:iCs/>
              </w:rPr>
            </w:pPr>
          </w:p>
        </w:tc>
      </w:tr>
      <w:tr w:rsidR="00D32638" w:rsidRPr="00D1571A" w14:paraId="0FCDCD1E" w14:textId="77777777" w:rsidTr="00714DE6">
        <w:trPr>
          <w:trHeight w:val="552"/>
        </w:trPr>
        <w:tc>
          <w:tcPr>
            <w:tcW w:w="4928" w:type="dxa"/>
            <w:shd w:val="clear" w:color="auto" w:fill="auto"/>
          </w:tcPr>
          <w:p w14:paraId="22B28916" w14:textId="77777777" w:rsidR="00D32638" w:rsidRPr="0062120E" w:rsidRDefault="00D32638" w:rsidP="00D32638">
            <w:r w:rsidRPr="0062120E">
              <w:t>Reporting and review of implementation of the Protocol</w:t>
            </w:r>
          </w:p>
        </w:tc>
        <w:tc>
          <w:tcPr>
            <w:tcW w:w="1131" w:type="dxa"/>
            <w:tcBorders>
              <w:bottom w:val="single" w:sz="4" w:space="0" w:color="auto"/>
            </w:tcBorders>
            <w:shd w:val="clear" w:color="auto" w:fill="auto"/>
          </w:tcPr>
          <w:p w14:paraId="3641CE82" w14:textId="77777777" w:rsidR="00D32638" w:rsidRPr="0062120E" w:rsidRDefault="00D32638" w:rsidP="00D32638"/>
        </w:tc>
        <w:tc>
          <w:tcPr>
            <w:tcW w:w="1365" w:type="dxa"/>
            <w:tcBorders>
              <w:bottom w:val="single" w:sz="4" w:space="0" w:color="auto"/>
            </w:tcBorders>
            <w:shd w:val="clear" w:color="auto" w:fill="auto"/>
          </w:tcPr>
          <w:p w14:paraId="159C2FF0" w14:textId="77777777" w:rsidR="00D32638" w:rsidRPr="0062120E" w:rsidRDefault="00D32638" w:rsidP="00D32638">
            <w:r w:rsidRPr="0062120E">
              <w:t>IV/</w:t>
            </w:r>
            <w:r w:rsidR="00714DE6">
              <w:t>5</w:t>
            </w:r>
          </w:p>
        </w:tc>
        <w:tc>
          <w:tcPr>
            <w:tcW w:w="1473" w:type="dxa"/>
            <w:shd w:val="clear" w:color="auto" w:fill="auto"/>
          </w:tcPr>
          <w:p w14:paraId="23E7D472" w14:textId="77777777" w:rsidR="00D32638" w:rsidRDefault="00D32638" w:rsidP="00D32638"/>
        </w:tc>
      </w:tr>
      <w:tr w:rsidR="00446672" w:rsidRPr="00D1571A" w14:paraId="2184DCCE" w14:textId="77777777" w:rsidTr="00714DE6">
        <w:trPr>
          <w:trHeight w:val="552"/>
        </w:trPr>
        <w:tc>
          <w:tcPr>
            <w:tcW w:w="4928" w:type="dxa"/>
            <w:shd w:val="clear" w:color="auto" w:fill="auto"/>
          </w:tcPr>
          <w:p w14:paraId="6542B81C" w14:textId="77777777" w:rsidR="00446672" w:rsidRPr="00953226" w:rsidRDefault="00D32638" w:rsidP="00476CB0">
            <w:pPr>
              <w:suppressAutoHyphens w:val="0"/>
              <w:spacing w:line="240" w:lineRule="auto"/>
            </w:pPr>
            <w:r w:rsidRPr="00D32638">
              <w:t>Assessing health impacts in strategic environmental assessment</w:t>
            </w:r>
          </w:p>
        </w:tc>
        <w:tc>
          <w:tcPr>
            <w:tcW w:w="1131" w:type="dxa"/>
            <w:tcBorders>
              <w:bottom w:val="single" w:sz="4" w:space="0" w:color="auto"/>
            </w:tcBorders>
            <w:shd w:val="clear" w:color="auto" w:fill="auto"/>
          </w:tcPr>
          <w:p w14:paraId="4B9DFD90" w14:textId="77777777" w:rsidR="00446672" w:rsidRPr="00953226" w:rsidRDefault="00446672" w:rsidP="00476CB0">
            <w:pPr>
              <w:suppressAutoHyphens w:val="0"/>
              <w:spacing w:line="240" w:lineRule="auto"/>
              <w:rPr>
                <w:iCs/>
              </w:rPr>
            </w:pPr>
          </w:p>
        </w:tc>
        <w:tc>
          <w:tcPr>
            <w:tcW w:w="1365" w:type="dxa"/>
            <w:tcBorders>
              <w:bottom w:val="single" w:sz="4" w:space="0" w:color="auto"/>
            </w:tcBorders>
            <w:shd w:val="clear" w:color="auto" w:fill="auto"/>
          </w:tcPr>
          <w:p w14:paraId="07154CAA" w14:textId="77777777" w:rsidR="00446672" w:rsidRPr="00953226" w:rsidRDefault="00D32638" w:rsidP="00476CB0">
            <w:pPr>
              <w:suppressAutoHyphens w:val="0"/>
              <w:spacing w:line="240" w:lineRule="auto"/>
              <w:rPr>
                <w:iCs/>
              </w:rPr>
            </w:pPr>
            <w:r>
              <w:rPr>
                <w:iCs/>
              </w:rPr>
              <w:t>IV/</w:t>
            </w:r>
            <w:r w:rsidR="00714DE6">
              <w:rPr>
                <w:iCs/>
              </w:rPr>
              <w:t>6</w:t>
            </w:r>
          </w:p>
        </w:tc>
        <w:tc>
          <w:tcPr>
            <w:tcW w:w="1473" w:type="dxa"/>
            <w:shd w:val="clear" w:color="auto" w:fill="auto"/>
          </w:tcPr>
          <w:p w14:paraId="572AD6F2" w14:textId="77777777" w:rsidR="00446672" w:rsidRPr="00953226" w:rsidRDefault="00446672" w:rsidP="00476CB0">
            <w:pPr>
              <w:suppressAutoHyphens w:val="0"/>
              <w:spacing w:line="240" w:lineRule="auto"/>
              <w:rPr>
                <w:i/>
                <w:iCs/>
              </w:rPr>
            </w:pPr>
          </w:p>
        </w:tc>
      </w:tr>
    </w:tbl>
    <w:p w14:paraId="3A455CCF" w14:textId="77777777" w:rsidR="00FF2295" w:rsidRDefault="00FF2295" w:rsidP="000561B5">
      <w:pPr>
        <w:ind w:left="567" w:hanging="567"/>
        <w:rPr>
          <w:sz w:val="22"/>
          <w:szCs w:val="22"/>
          <w:lang w:val="ru-RU"/>
        </w:rPr>
      </w:pPr>
    </w:p>
    <w:p w14:paraId="01178AFB" w14:textId="12063CF4" w:rsidR="000561B5" w:rsidRPr="00594395" w:rsidRDefault="00FF2295" w:rsidP="000561B5">
      <w:pPr>
        <w:ind w:left="567" w:hanging="567"/>
        <w:rPr>
          <w:sz w:val="22"/>
          <w:szCs w:val="22"/>
          <w:lang w:val="ru-RU"/>
        </w:rPr>
      </w:pPr>
      <w:r>
        <w:rPr>
          <w:sz w:val="22"/>
          <w:szCs w:val="22"/>
          <w:lang w:val="ru-RU"/>
        </w:rPr>
        <w:br w:type="page"/>
      </w:r>
      <w:r w:rsidR="00594395">
        <w:rPr>
          <w:sz w:val="22"/>
          <w:szCs w:val="22"/>
          <w:lang w:val="ru-RU"/>
        </w:rPr>
        <w:lastRenderedPageBreak/>
        <w:tab/>
      </w:r>
    </w:p>
    <w:p w14:paraId="7F3B5EE0" w14:textId="497493F8" w:rsidR="00045A02" w:rsidRPr="00480FD2" w:rsidRDefault="00D32638" w:rsidP="00480FD2">
      <w:pPr>
        <w:spacing w:before="120" w:after="240" w:line="240" w:lineRule="auto"/>
        <w:rPr>
          <w:b/>
          <w:sz w:val="28"/>
          <w:szCs w:val="28"/>
        </w:rPr>
      </w:pPr>
      <w:bookmarkStart w:id="6" w:name="_Hlk512274554"/>
      <w:bookmarkEnd w:id="1"/>
      <w:bookmarkEnd w:id="2"/>
      <w:r>
        <w:rPr>
          <w:b/>
          <w:sz w:val="28"/>
          <w:szCs w:val="28"/>
        </w:rPr>
        <w:t>II</w:t>
      </w:r>
      <w:r w:rsidR="00446672" w:rsidRPr="00480FD2">
        <w:rPr>
          <w:b/>
          <w:sz w:val="28"/>
          <w:szCs w:val="28"/>
        </w:rPr>
        <w:t xml:space="preserve">. </w:t>
      </w:r>
      <w:r w:rsidR="009B0C78" w:rsidRPr="00480FD2">
        <w:rPr>
          <w:b/>
          <w:sz w:val="28"/>
          <w:szCs w:val="28"/>
        </w:rPr>
        <w:tab/>
      </w:r>
      <w:r w:rsidR="004B0989">
        <w:rPr>
          <w:b/>
          <w:sz w:val="28"/>
          <w:szCs w:val="28"/>
        </w:rPr>
        <w:t>Draft l</w:t>
      </w:r>
      <w:r w:rsidR="000561B5" w:rsidRPr="00480FD2">
        <w:rPr>
          <w:b/>
          <w:sz w:val="28"/>
          <w:szCs w:val="28"/>
        </w:rPr>
        <w:t xml:space="preserve">ist of official documents </w:t>
      </w:r>
    </w:p>
    <w:p w14:paraId="23B3B136" w14:textId="77777777" w:rsidR="00045A02" w:rsidRPr="00480FD2" w:rsidRDefault="00045A02" w:rsidP="00045A02">
      <w:pPr>
        <w:rPr>
          <w:i/>
          <w:iCs/>
          <w:sz w:val="22"/>
          <w:szCs w:val="22"/>
        </w:rPr>
      </w:pPr>
      <w:r w:rsidRPr="00480FD2">
        <w:rPr>
          <w:i/>
          <w:iCs/>
          <w:sz w:val="22"/>
          <w:szCs w:val="22"/>
        </w:rPr>
        <w:t xml:space="preserve">(Document titles and their symbols </w:t>
      </w:r>
      <w:r w:rsidR="00D32638">
        <w:rPr>
          <w:i/>
          <w:iCs/>
          <w:sz w:val="22"/>
          <w:szCs w:val="22"/>
        </w:rPr>
        <w:t xml:space="preserve">may still be </w:t>
      </w:r>
      <w:r w:rsidRPr="00480FD2">
        <w:rPr>
          <w:i/>
          <w:iCs/>
          <w:sz w:val="22"/>
          <w:szCs w:val="22"/>
        </w:rPr>
        <w:t>subject to changes)</w:t>
      </w:r>
    </w:p>
    <w:p w14:paraId="3FA230F8" w14:textId="77777777" w:rsidR="00045A02" w:rsidRPr="00480FD2" w:rsidRDefault="00045A02" w:rsidP="00045A02">
      <w:pPr>
        <w:rPr>
          <w:i/>
          <w:iCs/>
        </w:rPr>
      </w:pPr>
    </w:p>
    <w:p w14:paraId="4C3D7774" w14:textId="77777777" w:rsidR="00045A02" w:rsidRPr="00480FD2" w:rsidRDefault="00045A02" w:rsidP="00480FD2">
      <w:pPr>
        <w:spacing w:after="240"/>
        <w:rPr>
          <w:b/>
          <w:sz w:val="24"/>
          <w:szCs w:val="24"/>
        </w:rPr>
      </w:pPr>
      <w:r w:rsidRPr="00480FD2">
        <w:rPr>
          <w:b/>
          <w:sz w:val="24"/>
          <w:szCs w:val="24"/>
        </w:rPr>
        <w:t xml:space="preserve">1. </w:t>
      </w:r>
      <w:r w:rsidRPr="00480FD2">
        <w:rPr>
          <w:b/>
          <w:sz w:val="24"/>
          <w:szCs w:val="24"/>
        </w:rPr>
        <w:tab/>
      </w:r>
      <w:r w:rsidR="00D32638">
        <w:rPr>
          <w:b/>
          <w:sz w:val="24"/>
          <w:szCs w:val="24"/>
        </w:rPr>
        <w:t xml:space="preserve">Joint </w:t>
      </w:r>
      <w:r w:rsidRPr="00480FD2">
        <w:rPr>
          <w:b/>
          <w:sz w:val="24"/>
          <w:szCs w:val="24"/>
        </w:rPr>
        <w:t>MOP8 and MOP/MOP4</w:t>
      </w:r>
      <w:r w:rsidR="00D32638">
        <w:rPr>
          <w:b/>
          <w:sz w:val="24"/>
          <w:szCs w:val="24"/>
        </w:rPr>
        <w:t xml:space="preserve"> documents</w:t>
      </w:r>
    </w:p>
    <w:p w14:paraId="6D1C836A" w14:textId="77777777" w:rsidR="00045A02" w:rsidRPr="00594395" w:rsidRDefault="00045A02" w:rsidP="00FE2C36">
      <w:pPr>
        <w:pStyle w:val="ListParagraph"/>
        <w:numPr>
          <w:ilvl w:val="0"/>
          <w:numId w:val="31"/>
        </w:numPr>
        <w:spacing w:after="240" w:line="259" w:lineRule="auto"/>
        <w:ind w:left="927"/>
        <w:rPr>
          <w:rFonts w:ascii="Times New Roman" w:hAnsi="Times New Roman" w:cs="Times New Roman"/>
          <w:sz w:val="20"/>
          <w:szCs w:val="20"/>
          <w:lang w:val="es-ES"/>
        </w:rPr>
      </w:pPr>
      <w:r w:rsidRPr="00594395">
        <w:rPr>
          <w:rFonts w:ascii="Times New Roman" w:hAnsi="Times New Roman" w:cs="Times New Roman"/>
          <w:sz w:val="20"/>
          <w:szCs w:val="20"/>
          <w:lang w:val="es-ES"/>
        </w:rPr>
        <w:t xml:space="preserve">Provisional agenda </w:t>
      </w:r>
      <w:bookmarkStart w:id="7" w:name="_Hlk31118723"/>
      <w:r w:rsidRPr="00594395">
        <w:rPr>
          <w:rFonts w:ascii="Times New Roman" w:hAnsi="Times New Roman" w:cs="Times New Roman"/>
          <w:sz w:val="20"/>
          <w:szCs w:val="20"/>
          <w:lang w:val="es-ES"/>
        </w:rPr>
        <w:t>(ECE/MP.EIA/29– ECE/MP.EIA/SEA/12)</w:t>
      </w:r>
      <w:r w:rsidRPr="00594395" w:rsidDel="00577B84">
        <w:rPr>
          <w:rFonts w:ascii="Times New Roman" w:hAnsi="Times New Roman" w:cs="Times New Roman"/>
          <w:sz w:val="20"/>
          <w:szCs w:val="20"/>
          <w:lang w:val="es-ES"/>
        </w:rPr>
        <w:t xml:space="preserve"> </w:t>
      </w:r>
      <w:bookmarkEnd w:id="7"/>
    </w:p>
    <w:p w14:paraId="79EA7762" w14:textId="77777777" w:rsidR="00480FD2" w:rsidRPr="00594395" w:rsidRDefault="00480FD2" w:rsidP="00FE2C36">
      <w:pPr>
        <w:pStyle w:val="ListParagraph"/>
        <w:spacing w:after="240" w:line="259" w:lineRule="auto"/>
        <w:ind w:left="927"/>
        <w:rPr>
          <w:rFonts w:ascii="Times New Roman" w:hAnsi="Times New Roman" w:cs="Times New Roman"/>
          <w:sz w:val="20"/>
          <w:szCs w:val="20"/>
          <w:lang w:val="es-ES"/>
        </w:rPr>
      </w:pPr>
    </w:p>
    <w:p w14:paraId="32F2F0CD" w14:textId="77777777" w:rsidR="00480FD2" w:rsidRPr="00480FD2" w:rsidRDefault="00480FD2" w:rsidP="00FE2C36">
      <w:pPr>
        <w:pStyle w:val="ListParagraph"/>
        <w:numPr>
          <w:ilvl w:val="0"/>
          <w:numId w:val="31"/>
        </w:numPr>
        <w:spacing w:after="240" w:line="259" w:lineRule="auto"/>
        <w:ind w:left="927"/>
        <w:rPr>
          <w:rFonts w:ascii="Times New Roman" w:hAnsi="Times New Roman" w:cs="Times New Roman"/>
          <w:sz w:val="20"/>
          <w:szCs w:val="20"/>
          <w:lang w:val="en-GB"/>
        </w:rPr>
      </w:pPr>
      <w:r w:rsidRPr="00480FD2">
        <w:rPr>
          <w:rFonts w:ascii="Times New Roman" w:hAnsi="Times New Roman" w:cs="Times New Roman"/>
          <w:sz w:val="20"/>
          <w:szCs w:val="20"/>
          <w:lang w:val="en-GB"/>
        </w:rPr>
        <w:t>Report of the eighth and the fourth sessions of the</w:t>
      </w:r>
      <w:r>
        <w:rPr>
          <w:rFonts w:ascii="Times New Roman" w:hAnsi="Times New Roman" w:cs="Times New Roman"/>
          <w:sz w:val="20"/>
          <w:szCs w:val="20"/>
          <w:lang w:val="en-GB"/>
        </w:rPr>
        <w:t xml:space="preserve"> </w:t>
      </w:r>
      <w:r w:rsidRPr="00480FD2">
        <w:rPr>
          <w:rFonts w:ascii="Times New Roman" w:hAnsi="Times New Roman" w:cs="Times New Roman"/>
          <w:sz w:val="20"/>
          <w:szCs w:val="20"/>
          <w:lang w:val="en-GB"/>
        </w:rPr>
        <w:t>Meetings of the Parties to the Convention and the Protocol</w:t>
      </w:r>
      <w:r>
        <w:rPr>
          <w:rFonts w:ascii="Times New Roman" w:hAnsi="Times New Roman" w:cs="Times New Roman"/>
          <w:sz w:val="20"/>
          <w:szCs w:val="20"/>
          <w:lang w:val="en-GB"/>
        </w:rPr>
        <w:t xml:space="preserve"> </w:t>
      </w:r>
      <w:r w:rsidRPr="00480FD2">
        <w:rPr>
          <w:rFonts w:ascii="Times New Roman" w:hAnsi="Times New Roman" w:cs="Times New Roman"/>
          <w:sz w:val="20"/>
          <w:szCs w:val="20"/>
          <w:lang w:val="en-GB"/>
        </w:rPr>
        <w:t>(ECE/MP.EIA/</w:t>
      </w:r>
      <w:r>
        <w:rPr>
          <w:rFonts w:ascii="Times New Roman" w:hAnsi="Times New Roman" w:cs="Times New Roman"/>
          <w:sz w:val="20"/>
          <w:szCs w:val="20"/>
          <w:lang w:val="en-GB"/>
        </w:rPr>
        <w:t>30</w:t>
      </w:r>
      <w:r w:rsidRPr="00480FD2">
        <w:rPr>
          <w:rFonts w:ascii="Times New Roman" w:hAnsi="Times New Roman" w:cs="Times New Roman"/>
          <w:sz w:val="20"/>
          <w:szCs w:val="20"/>
          <w:lang w:val="en-GB"/>
        </w:rPr>
        <w:t>– ECE/MP.EIA/SEA/1</w:t>
      </w:r>
      <w:r>
        <w:rPr>
          <w:rFonts w:ascii="Times New Roman" w:hAnsi="Times New Roman" w:cs="Times New Roman"/>
          <w:sz w:val="20"/>
          <w:szCs w:val="20"/>
          <w:lang w:val="en-GB"/>
        </w:rPr>
        <w:t>3</w:t>
      </w:r>
      <w:r w:rsidRPr="00480FD2">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8C2EAC">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CC393E">
        <w:rPr>
          <w:rFonts w:ascii="Times New Roman" w:hAnsi="Times New Roman" w:cs="Times New Roman"/>
          <w:color w:val="000000"/>
          <w:sz w:val="20"/>
          <w:szCs w:val="20"/>
          <w:lang w:val="en-GB"/>
        </w:rPr>
        <w:t>Post session</w:t>
      </w:r>
      <w:r w:rsidR="008C2EAC" w:rsidRPr="00CC393E">
        <w:rPr>
          <w:rFonts w:ascii="Times New Roman" w:hAnsi="Times New Roman" w:cs="Times New Roman"/>
          <w:color w:val="000000"/>
          <w:sz w:val="20"/>
          <w:szCs w:val="20"/>
          <w:lang w:val="en-GB"/>
        </w:rPr>
        <w:t>)</w:t>
      </w:r>
    </w:p>
    <w:p w14:paraId="2D0CA83D" w14:textId="77777777" w:rsidR="00045A02" w:rsidRPr="00480FD2" w:rsidRDefault="00045A02" w:rsidP="00FE2C36">
      <w:pPr>
        <w:numPr>
          <w:ilvl w:val="0"/>
          <w:numId w:val="31"/>
        </w:numPr>
        <w:tabs>
          <w:tab w:val="left" w:pos="540"/>
        </w:tabs>
        <w:spacing w:after="240" w:line="276" w:lineRule="auto"/>
        <w:ind w:left="927"/>
      </w:pPr>
      <w:r w:rsidRPr="00480FD2">
        <w:t xml:space="preserve">Draft joint decisions by the Meeting of the Parties to the Convention and the Meeting of the Parties to the Convention serving as the Meeting of the Parties to the Protocol </w:t>
      </w:r>
      <w:bookmarkStart w:id="8" w:name="_Hlk30604203"/>
      <w:r w:rsidRPr="00480FD2">
        <w:t>(ECE/MP.EIA/2020/1– ECE/MP.EIA/SEA/2020/1)</w:t>
      </w:r>
    </w:p>
    <w:bookmarkEnd w:id="8"/>
    <w:p w14:paraId="599EF5BD" w14:textId="77777777" w:rsidR="00045A02" w:rsidRDefault="00045A02" w:rsidP="00FE2C36">
      <w:pPr>
        <w:numPr>
          <w:ilvl w:val="0"/>
          <w:numId w:val="31"/>
        </w:numPr>
        <w:tabs>
          <w:tab w:val="left" w:pos="540"/>
        </w:tabs>
        <w:spacing w:after="240" w:line="276" w:lineRule="auto"/>
        <w:ind w:left="927"/>
      </w:pPr>
      <w:r w:rsidRPr="00045A02">
        <w:t>Report on the budget and financial arrangements</w:t>
      </w:r>
      <w:r w:rsidR="000A1AD0">
        <w:t xml:space="preserve"> 2017–2020</w:t>
      </w:r>
      <w:r w:rsidRPr="00045A02">
        <w:t xml:space="preserve"> </w:t>
      </w:r>
      <w:bookmarkStart w:id="9" w:name="_Hlk30604234"/>
      <w:r w:rsidRPr="00045A02">
        <w:t>(ECE/MP.EIA/2020/</w:t>
      </w:r>
      <w:r w:rsidR="00AC284A">
        <w:t>2</w:t>
      </w:r>
      <w:r w:rsidRPr="00045A02">
        <w:t>– ECE/MP.EIA/SEA/2020/</w:t>
      </w:r>
      <w:r w:rsidR="00AC284A">
        <w:t>2</w:t>
      </w:r>
      <w:r w:rsidRPr="00045A02">
        <w:t>)</w:t>
      </w:r>
    </w:p>
    <w:p w14:paraId="42463BBC" w14:textId="77777777" w:rsidR="00480FD2" w:rsidRDefault="005B5831" w:rsidP="00FE2C36">
      <w:pPr>
        <w:numPr>
          <w:ilvl w:val="0"/>
          <w:numId w:val="31"/>
        </w:numPr>
        <w:ind w:left="927"/>
      </w:pPr>
      <w:r>
        <w:t>L</w:t>
      </w:r>
      <w:r w:rsidR="00480FD2" w:rsidRPr="00480FD2">
        <w:t>ong-term strategy and an action plan for the Convention and the Protocol (ECE/MP.EIA/2020/</w:t>
      </w:r>
      <w:r w:rsidR="00480FD2">
        <w:t>3</w:t>
      </w:r>
      <w:r w:rsidR="00480FD2" w:rsidRPr="00480FD2">
        <w:t>–ECE/MP.EIA/SEA/2020/</w:t>
      </w:r>
      <w:r w:rsidR="00480FD2">
        <w:t>3</w:t>
      </w:r>
      <w:r w:rsidR="00480FD2" w:rsidRPr="00480FD2">
        <w:t>)</w:t>
      </w:r>
    </w:p>
    <w:p w14:paraId="1B6E809A" w14:textId="77777777" w:rsidR="00480FD2" w:rsidRPr="00480FD2" w:rsidRDefault="00480FD2" w:rsidP="00FE2C36">
      <w:pPr>
        <w:ind w:left="927"/>
      </w:pPr>
    </w:p>
    <w:p w14:paraId="79485D99" w14:textId="1E3404DE" w:rsidR="00045A02" w:rsidRPr="00FE2C36" w:rsidRDefault="00045A02" w:rsidP="006D5A7C">
      <w:pPr>
        <w:numPr>
          <w:ilvl w:val="0"/>
          <w:numId w:val="31"/>
        </w:numPr>
        <w:tabs>
          <w:tab w:val="left" w:pos="540"/>
        </w:tabs>
        <w:spacing w:after="240" w:line="276" w:lineRule="auto"/>
        <w:ind w:left="927"/>
      </w:pPr>
      <w:bookmarkStart w:id="10" w:name="_Hlk30583257"/>
      <w:bookmarkEnd w:id="9"/>
      <w:r w:rsidRPr="00045A02">
        <w:t xml:space="preserve">Report on the activities of the Implementation Committee </w:t>
      </w:r>
      <w:bookmarkStart w:id="11" w:name="_Hlk30604274"/>
      <w:r w:rsidR="00FE2C36">
        <w:br/>
      </w:r>
      <w:r w:rsidRPr="00FE2C36">
        <w:t>(ECE/MP.EIA/2020/</w:t>
      </w:r>
      <w:r w:rsidR="00480FD2" w:rsidRPr="00FE2C36">
        <w:t>4</w:t>
      </w:r>
      <w:r w:rsidRPr="00FE2C36">
        <w:t>–ECE/MP.EIA/SEA/2020/</w:t>
      </w:r>
      <w:r w:rsidR="00480FD2" w:rsidRPr="00FE2C36">
        <w:t>4</w:t>
      </w:r>
      <w:r w:rsidRPr="00FE2C36">
        <w:t>)</w:t>
      </w:r>
      <w:bookmarkEnd w:id="11"/>
    </w:p>
    <w:p w14:paraId="683BA5A0" w14:textId="77777777" w:rsidR="00480FD2" w:rsidRPr="00480FD2" w:rsidRDefault="00480FD2" w:rsidP="00FE2C36">
      <w:pPr>
        <w:numPr>
          <w:ilvl w:val="0"/>
          <w:numId w:val="31"/>
        </w:numPr>
        <w:ind w:left="927"/>
        <w:rPr>
          <w:lang w:val="es-ES"/>
        </w:rPr>
      </w:pPr>
      <w:r w:rsidRPr="00480FD2">
        <w:rPr>
          <w:lang w:val="es-ES"/>
        </w:rPr>
        <w:t>Draft</w:t>
      </w:r>
      <w:r>
        <w:rPr>
          <w:lang w:val="es-ES"/>
        </w:rPr>
        <w:t xml:space="preserve"> </w:t>
      </w:r>
      <w:proofErr w:type="spellStart"/>
      <w:r>
        <w:rPr>
          <w:lang w:val="es-ES"/>
        </w:rPr>
        <w:t>Vilnius</w:t>
      </w:r>
      <w:proofErr w:type="spellEnd"/>
      <w:r>
        <w:rPr>
          <w:lang w:val="es-ES"/>
        </w:rPr>
        <w:t xml:space="preserve"> </w:t>
      </w:r>
      <w:proofErr w:type="spellStart"/>
      <w:r w:rsidRPr="00480FD2">
        <w:rPr>
          <w:lang w:val="es-ES"/>
        </w:rPr>
        <w:t>declaration</w:t>
      </w:r>
      <w:proofErr w:type="spellEnd"/>
      <w:r w:rsidRPr="00480FD2">
        <w:rPr>
          <w:lang w:val="es-ES"/>
        </w:rPr>
        <w:t xml:space="preserve"> (ECE/MP.EIA/2020/</w:t>
      </w:r>
      <w:r>
        <w:rPr>
          <w:lang w:val="es-ES"/>
        </w:rPr>
        <w:t>5</w:t>
      </w:r>
      <w:r w:rsidRPr="00480FD2">
        <w:rPr>
          <w:lang w:val="es-ES"/>
        </w:rPr>
        <w:t>– ECE/MP.EIA/SEA/2020/</w:t>
      </w:r>
      <w:r>
        <w:rPr>
          <w:lang w:val="es-ES"/>
        </w:rPr>
        <w:t>5</w:t>
      </w:r>
      <w:r w:rsidRPr="00480FD2">
        <w:rPr>
          <w:lang w:val="es-ES"/>
        </w:rPr>
        <w:t>)</w:t>
      </w:r>
      <w:r>
        <w:rPr>
          <w:lang w:val="es-ES"/>
        </w:rPr>
        <w:br/>
      </w:r>
    </w:p>
    <w:p w14:paraId="534DCC75" w14:textId="77777777" w:rsidR="00045A02" w:rsidRPr="00045A02" w:rsidRDefault="00045A02" w:rsidP="00FE2C36">
      <w:pPr>
        <w:numPr>
          <w:ilvl w:val="0"/>
          <w:numId w:val="31"/>
        </w:numPr>
        <w:tabs>
          <w:tab w:val="left" w:pos="540"/>
        </w:tabs>
        <w:spacing w:after="240" w:line="276" w:lineRule="auto"/>
        <w:ind w:left="927"/>
      </w:pPr>
      <w:bookmarkStart w:id="12" w:name="_Hlk30604304"/>
      <w:bookmarkEnd w:id="10"/>
      <w:r w:rsidRPr="00045A02">
        <w:t xml:space="preserve">Summary report on the implementation of technical assistance and capacity-building activities </w:t>
      </w:r>
      <w:bookmarkStart w:id="13" w:name="_Hlk31303194"/>
      <w:r w:rsidRPr="00045A02">
        <w:t>in the period from June 2017- September 2020</w:t>
      </w:r>
      <w:r w:rsidR="00FE2C36">
        <w:t xml:space="preserve"> </w:t>
      </w:r>
      <w:bookmarkStart w:id="14" w:name="_Hlk30582365"/>
      <w:bookmarkEnd w:id="13"/>
      <w:r w:rsidRPr="00045A02">
        <w:t>(ECE/MP.EIA/2020/</w:t>
      </w:r>
      <w:r w:rsidR="00480FD2">
        <w:t>6</w:t>
      </w:r>
      <w:r w:rsidRPr="00045A02">
        <w:t>– ECE/MP.EIA/SEA/2020/</w:t>
      </w:r>
      <w:r w:rsidR="00480FD2">
        <w:t>6</w:t>
      </w:r>
      <w:r w:rsidRPr="00045A02">
        <w:t>)</w:t>
      </w:r>
      <w:bookmarkEnd w:id="14"/>
    </w:p>
    <w:bookmarkEnd w:id="12"/>
    <w:p w14:paraId="6AA97C78" w14:textId="77777777" w:rsidR="00045A02" w:rsidRPr="00045A02" w:rsidRDefault="00045A02" w:rsidP="00045A02">
      <w:pPr>
        <w:rPr>
          <w:b/>
          <w:bCs/>
        </w:rPr>
      </w:pPr>
    </w:p>
    <w:p w14:paraId="0318EAE1" w14:textId="77777777" w:rsidR="00045A02" w:rsidRPr="00FE2C36" w:rsidRDefault="00045A02" w:rsidP="00FE2C36">
      <w:pPr>
        <w:spacing w:after="240"/>
        <w:rPr>
          <w:b/>
          <w:sz w:val="24"/>
          <w:szCs w:val="24"/>
        </w:rPr>
      </w:pPr>
      <w:r w:rsidRPr="00FE2C36">
        <w:rPr>
          <w:b/>
          <w:sz w:val="24"/>
          <w:szCs w:val="24"/>
        </w:rPr>
        <w:t xml:space="preserve">2. </w:t>
      </w:r>
      <w:r w:rsidRPr="00FE2C36">
        <w:rPr>
          <w:b/>
          <w:sz w:val="24"/>
          <w:szCs w:val="24"/>
        </w:rPr>
        <w:tab/>
        <w:t>MOP 8</w:t>
      </w:r>
      <w:r w:rsidR="00D32638">
        <w:rPr>
          <w:b/>
          <w:sz w:val="24"/>
          <w:szCs w:val="24"/>
        </w:rPr>
        <w:t xml:space="preserve"> documents</w:t>
      </w:r>
    </w:p>
    <w:p w14:paraId="6DF760B3" w14:textId="77777777" w:rsidR="00045A02" w:rsidRPr="00045A02" w:rsidRDefault="00FE2C36" w:rsidP="00045A02">
      <w:pPr>
        <w:numPr>
          <w:ilvl w:val="0"/>
          <w:numId w:val="32"/>
        </w:numPr>
        <w:spacing w:after="240" w:line="276" w:lineRule="auto"/>
      </w:pPr>
      <w:r>
        <w:t xml:space="preserve">Draft decisions </w:t>
      </w:r>
      <w:r w:rsidR="00045A02" w:rsidRPr="00045A02">
        <w:t xml:space="preserve">by the Meeting of the Parties to the Convention </w:t>
      </w:r>
      <w:bookmarkStart w:id="15" w:name="_Hlk30511937"/>
      <w:r w:rsidR="00045A02" w:rsidRPr="00045A02">
        <w:t>(ECE/MP.EIA/2020/7)</w:t>
      </w:r>
      <w:bookmarkEnd w:id="15"/>
    </w:p>
    <w:p w14:paraId="46459E41" w14:textId="77777777" w:rsidR="00045A02" w:rsidRPr="00045A02" w:rsidRDefault="00045A02" w:rsidP="00045A02">
      <w:pPr>
        <w:numPr>
          <w:ilvl w:val="0"/>
          <w:numId w:val="32"/>
        </w:numPr>
        <w:tabs>
          <w:tab w:val="left" w:pos="540"/>
        </w:tabs>
        <w:spacing w:after="240" w:line="276" w:lineRule="auto"/>
      </w:pPr>
      <w:bookmarkStart w:id="16" w:name="_Hlk30583172"/>
      <w:bookmarkStart w:id="17" w:name="_Hlk30511995"/>
      <w:r w:rsidRPr="00045A02">
        <w:t>Draft sixth review of implementation of the Convention (ECE/MP.EIA/2020/</w:t>
      </w:r>
      <w:r w:rsidR="003B53E2">
        <w:t>8</w:t>
      </w:r>
      <w:r w:rsidRPr="00045A02">
        <w:t>)</w:t>
      </w:r>
    </w:p>
    <w:bookmarkEnd w:id="16"/>
    <w:p w14:paraId="77D4EB51" w14:textId="77777777" w:rsidR="00045A02" w:rsidRDefault="005B5831" w:rsidP="004471BD">
      <w:pPr>
        <w:numPr>
          <w:ilvl w:val="0"/>
          <w:numId w:val="32"/>
        </w:numPr>
        <w:tabs>
          <w:tab w:val="left" w:pos="540"/>
        </w:tabs>
        <w:spacing w:after="240" w:line="276" w:lineRule="auto"/>
      </w:pPr>
      <w:r>
        <w:t>G</w:t>
      </w:r>
      <w:r w:rsidR="00045A02" w:rsidRPr="00045A02">
        <w:t xml:space="preserve">uidance on the applicability of the Convention to the lifetime extension of nuclear power plants </w:t>
      </w:r>
      <w:bookmarkStart w:id="18" w:name="_Hlk31722006"/>
      <w:r w:rsidR="00045A02" w:rsidRPr="00045A02">
        <w:t>(ECE/MP.EIA/2020/</w:t>
      </w:r>
      <w:r w:rsidR="003B53E2">
        <w:t>9</w:t>
      </w:r>
      <w:r w:rsidR="00045A02" w:rsidRPr="00045A02">
        <w:t>)</w:t>
      </w:r>
    </w:p>
    <w:bookmarkEnd w:id="18"/>
    <w:p w14:paraId="3E547C1C" w14:textId="77777777" w:rsidR="00FE2C36" w:rsidRDefault="00FE2C36" w:rsidP="00FE2C36">
      <w:pPr>
        <w:numPr>
          <w:ilvl w:val="0"/>
          <w:numId w:val="32"/>
        </w:numPr>
        <w:tabs>
          <w:tab w:val="left" w:pos="540"/>
        </w:tabs>
        <w:spacing w:after="240" w:line="276" w:lineRule="auto"/>
      </w:pPr>
      <w:r>
        <w:t>Draft decision VIII/</w:t>
      </w:r>
      <w:r w:rsidR="00A74EA0">
        <w:t>4</w:t>
      </w:r>
      <w:r>
        <w:t xml:space="preserve"> on the general issues of compliance with the Convention (ECE/MP.EIA/2020/10)</w:t>
      </w:r>
    </w:p>
    <w:p w14:paraId="4A2A1769" w14:textId="77777777" w:rsidR="00FE2C36" w:rsidRDefault="00FE2C36" w:rsidP="00FE2C36">
      <w:pPr>
        <w:numPr>
          <w:ilvl w:val="0"/>
          <w:numId w:val="32"/>
        </w:numPr>
        <w:tabs>
          <w:tab w:val="left" w:pos="540"/>
        </w:tabs>
        <w:spacing w:after="240" w:line="276" w:lineRule="auto"/>
      </w:pPr>
      <w:r>
        <w:t>Draft decision VIII/</w:t>
      </w:r>
      <w:r w:rsidR="00A74EA0">
        <w:t>4</w:t>
      </w:r>
      <w:r>
        <w:t>a on compliance by Armenia with its obligations under the Convention in respect of its national legislation (ECE/MP.EIA/2020/11)</w:t>
      </w:r>
    </w:p>
    <w:p w14:paraId="4BD0FDCC" w14:textId="77777777" w:rsidR="00FE2C36" w:rsidRDefault="00FE2C36" w:rsidP="00FE2C36">
      <w:pPr>
        <w:numPr>
          <w:ilvl w:val="0"/>
          <w:numId w:val="32"/>
        </w:numPr>
        <w:tabs>
          <w:tab w:val="left" w:pos="540"/>
        </w:tabs>
        <w:spacing w:after="240" w:line="276" w:lineRule="auto"/>
      </w:pPr>
      <w:r>
        <w:t>Draft decision VIII/</w:t>
      </w:r>
      <w:r w:rsidR="00A74EA0">
        <w:t>4</w:t>
      </w:r>
      <w:r>
        <w:t>b on compliance by Azerbaijan with its obligations under the Convention in respect of its national legislation (ECE/MP.EIA/2020/12)</w:t>
      </w:r>
    </w:p>
    <w:p w14:paraId="2BA54F1B" w14:textId="77777777" w:rsidR="00FE2C36" w:rsidRDefault="00FE2C36" w:rsidP="00FE2C36">
      <w:pPr>
        <w:numPr>
          <w:ilvl w:val="0"/>
          <w:numId w:val="32"/>
        </w:numPr>
        <w:tabs>
          <w:tab w:val="left" w:pos="540"/>
        </w:tabs>
        <w:spacing w:after="240" w:line="276" w:lineRule="auto"/>
      </w:pPr>
      <w:r>
        <w:t>Draft decision VIII/</w:t>
      </w:r>
      <w:r w:rsidR="00A74EA0">
        <w:t>4</w:t>
      </w:r>
      <w:r>
        <w:t xml:space="preserve">c on compliance by Belarus with its obligations under the Convention in respect of the Belarusian nuclear power plant in </w:t>
      </w:r>
      <w:proofErr w:type="spellStart"/>
      <w:r>
        <w:t>Ostrovets</w:t>
      </w:r>
      <w:proofErr w:type="spellEnd"/>
      <w:r>
        <w:t xml:space="preserve"> (ECE/MP.EIA/2020/13)</w:t>
      </w:r>
    </w:p>
    <w:p w14:paraId="7FD88A08" w14:textId="77777777" w:rsidR="00FE2C36" w:rsidRDefault="00FE2C36" w:rsidP="00FE2C36">
      <w:pPr>
        <w:numPr>
          <w:ilvl w:val="0"/>
          <w:numId w:val="32"/>
        </w:numPr>
        <w:tabs>
          <w:tab w:val="left" w:pos="540"/>
        </w:tabs>
        <w:spacing w:after="240" w:line="276" w:lineRule="auto"/>
      </w:pPr>
      <w:r>
        <w:lastRenderedPageBreak/>
        <w:t>Draft decision VIII/</w:t>
      </w:r>
      <w:r w:rsidR="00A74EA0">
        <w:t>4</w:t>
      </w:r>
      <w:r>
        <w:t>d on compliance by Ukraine with its obligations under the Convention in respect of the Danube-Black Sea Deep Water Navigation Canal in the Ukrainian sector of the Danube Delta (ECE/MP.EIA/2020/14)</w:t>
      </w:r>
    </w:p>
    <w:p w14:paraId="31346332" w14:textId="77777777" w:rsidR="00FE2C36" w:rsidRDefault="00FE2C36" w:rsidP="00FE2C36">
      <w:pPr>
        <w:numPr>
          <w:ilvl w:val="0"/>
          <w:numId w:val="32"/>
        </w:numPr>
        <w:tabs>
          <w:tab w:val="left" w:pos="540"/>
        </w:tabs>
        <w:spacing w:after="240" w:line="276" w:lineRule="auto"/>
      </w:pPr>
      <w:r>
        <w:t>Draft decision VIII/</w:t>
      </w:r>
      <w:r w:rsidR="00A74EA0">
        <w:t>4</w:t>
      </w:r>
      <w:r>
        <w:t xml:space="preserve">e on compliance by Ukraine with its obligations under the Convention in respect of extension of the lifetime of the Rivne nuclear power plant </w:t>
      </w:r>
      <w:bookmarkStart w:id="19" w:name="_Hlk31303453"/>
      <w:r>
        <w:t>(ECE/MP.EIA/2020/15)</w:t>
      </w:r>
    </w:p>
    <w:p w14:paraId="41CE4C9B" w14:textId="77777777" w:rsidR="000A1AD0" w:rsidRDefault="000A1AD0" w:rsidP="000A1AD0">
      <w:pPr>
        <w:numPr>
          <w:ilvl w:val="0"/>
          <w:numId w:val="32"/>
        </w:numPr>
        <w:tabs>
          <w:tab w:val="left" w:pos="540"/>
        </w:tabs>
        <w:spacing w:after="240" w:line="276" w:lineRule="auto"/>
      </w:pPr>
      <w:bookmarkStart w:id="20" w:name="_Hlk31303521"/>
      <w:bookmarkEnd w:id="19"/>
      <w:r>
        <w:t>[</w:t>
      </w:r>
      <w:r w:rsidRPr="000A1AD0">
        <w:t>Convention on Environmental Impact Assessment in a Transboundary context (</w:t>
      </w:r>
      <w:proofErr w:type="spellStart"/>
      <w:r w:rsidRPr="000A1AD0">
        <w:t>FasTips</w:t>
      </w:r>
      <w:proofErr w:type="spellEnd"/>
      <w:r w:rsidRPr="000A1AD0">
        <w:t xml:space="preserve">) </w:t>
      </w:r>
      <w:bookmarkStart w:id="21" w:name="_Hlk31303488"/>
      <w:bookmarkEnd w:id="20"/>
      <w:r>
        <w:t>(ECE/MP.EIA/2020/16)]</w:t>
      </w:r>
    </w:p>
    <w:bookmarkEnd w:id="17"/>
    <w:bookmarkEnd w:id="21"/>
    <w:p w14:paraId="225DAF2D" w14:textId="77777777" w:rsidR="00045A02" w:rsidRPr="00FE2C36" w:rsidRDefault="00045A02" w:rsidP="00FE2C36">
      <w:pPr>
        <w:spacing w:after="240"/>
        <w:rPr>
          <w:b/>
          <w:sz w:val="24"/>
          <w:szCs w:val="24"/>
        </w:rPr>
      </w:pPr>
      <w:r w:rsidRPr="00FE2C36">
        <w:rPr>
          <w:b/>
          <w:sz w:val="24"/>
          <w:szCs w:val="24"/>
        </w:rPr>
        <w:t xml:space="preserve">3. </w:t>
      </w:r>
      <w:r w:rsidRPr="00FE2C36">
        <w:rPr>
          <w:b/>
          <w:sz w:val="24"/>
          <w:szCs w:val="24"/>
        </w:rPr>
        <w:tab/>
        <w:t>MOP/MOP 4</w:t>
      </w:r>
      <w:r w:rsidR="00D32638">
        <w:rPr>
          <w:b/>
          <w:sz w:val="24"/>
          <w:szCs w:val="24"/>
        </w:rPr>
        <w:t xml:space="preserve"> documents</w:t>
      </w:r>
    </w:p>
    <w:p w14:paraId="7F161527" w14:textId="77777777" w:rsidR="00045A02" w:rsidRPr="00045A02" w:rsidRDefault="00045A02" w:rsidP="00EE48A3">
      <w:pPr>
        <w:numPr>
          <w:ilvl w:val="0"/>
          <w:numId w:val="32"/>
        </w:numPr>
        <w:tabs>
          <w:tab w:val="left" w:pos="540"/>
        </w:tabs>
        <w:spacing w:after="240" w:line="276" w:lineRule="auto"/>
      </w:pPr>
      <w:r w:rsidRPr="00045A02">
        <w:t>Draft decisions by the Meeting of the Parties to the Protocol (ECE/MP.EIA/SEA/2020/</w:t>
      </w:r>
      <w:r w:rsidR="00317381">
        <w:t>7</w:t>
      </w:r>
      <w:r w:rsidRPr="00045A02">
        <w:t>)</w:t>
      </w:r>
    </w:p>
    <w:p w14:paraId="0D368822" w14:textId="77777777" w:rsidR="00045A02" w:rsidRDefault="00045A02" w:rsidP="00EE48A3">
      <w:pPr>
        <w:numPr>
          <w:ilvl w:val="0"/>
          <w:numId w:val="32"/>
        </w:numPr>
        <w:tabs>
          <w:tab w:val="left" w:pos="540"/>
        </w:tabs>
        <w:spacing w:after="240" w:line="276" w:lineRule="auto"/>
      </w:pPr>
      <w:r w:rsidRPr="00045A02">
        <w:t xml:space="preserve">Draft third review of implementation of the Protocol </w:t>
      </w:r>
      <w:bookmarkStart w:id="22" w:name="_Hlk30583234"/>
      <w:r w:rsidRPr="00045A02">
        <w:t>(ECE/MP.EIA/SEA/2020/</w:t>
      </w:r>
      <w:r w:rsidR="00317381">
        <w:t>8</w:t>
      </w:r>
      <w:r w:rsidRPr="00045A02">
        <w:t>)</w:t>
      </w:r>
    </w:p>
    <w:p w14:paraId="001149B6" w14:textId="77777777" w:rsidR="00317381" w:rsidRDefault="00317381" w:rsidP="00EE48A3">
      <w:pPr>
        <w:numPr>
          <w:ilvl w:val="0"/>
          <w:numId w:val="32"/>
        </w:numPr>
        <w:tabs>
          <w:tab w:val="left" w:pos="540"/>
        </w:tabs>
        <w:spacing w:after="240" w:line="276" w:lineRule="auto"/>
      </w:pPr>
      <w:r w:rsidRPr="00317381">
        <w:t>Draft decision on general issues of compliance with the Protocol (ECE/MP.EIA/SEA/2020/</w:t>
      </w:r>
      <w:r>
        <w:t>9</w:t>
      </w:r>
      <w:r w:rsidRPr="00317381">
        <w:t>)</w:t>
      </w:r>
    </w:p>
    <w:bookmarkEnd w:id="22"/>
    <w:p w14:paraId="324577ED" w14:textId="77777777" w:rsidR="00045A02" w:rsidRDefault="00045A02" w:rsidP="00EE48A3">
      <w:pPr>
        <w:numPr>
          <w:ilvl w:val="0"/>
          <w:numId w:val="32"/>
        </w:numPr>
        <w:tabs>
          <w:tab w:val="left" w:pos="540"/>
        </w:tabs>
        <w:spacing w:after="240" w:line="276" w:lineRule="auto"/>
      </w:pPr>
      <w:r w:rsidRPr="00045A02">
        <w:t xml:space="preserve">Guidance on assessing health impacts in strategic environmental assessment </w:t>
      </w:r>
      <w:bookmarkStart w:id="23" w:name="_Hlk31303696"/>
      <w:r w:rsidRPr="00045A02">
        <w:t>(ECE/MP.EIA/SEA/2020/</w:t>
      </w:r>
      <w:r w:rsidR="00FE2C36">
        <w:t>10</w:t>
      </w:r>
      <w:r w:rsidRPr="00045A02">
        <w:t>)</w:t>
      </w:r>
    </w:p>
    <w:bookmarkEnd w:id="23"/>
    <w:p w14:paraId="2E168A67" w14:textId="77777777" w:rsidR="0095157F" w:rsidRDefault="0095157F" w:rsidP="0095157F">
      <w:pPr>
        <w:numPr>
          <w:ilvl w:val="0"/>
          <w:numId w:val="32"/>
        </w:numPr>
        <w:tabs>
          <w:tab w:val="left" w:pos="540"/>
        </w:tabs>
        <w:spacing w:after="240" w:line="276" w:lineRule="auto"/>
      </w:pPr>
      <w:r>
        <w:t>[</w:t>
      </w:r>
      <w:r w:rsidRPr="000A1AD0">
        <w:t>Protocol on Strategic Environmental Assessment (</w:t>
      </w:r>
      <w:proofErr w:type="spellStart"/>
      <w:r w:rsidRPr="000A1AD0">
        <w:t>FasTips</w:t>
      </w:r>
      <w:proofErr w:type="spellEnd"/>
      <w:r w:rsidRPr="000A1AD0">
        <w:t>)</w:t>
      </w:r>
      <w:r w:rsidRPr="0095157F">
        <w:t xml:space="preserve"> </w:t>
      </w:r>
      <w:r w:rsidRPr="00045A02">
        <w:t>(ECE/MP.EIA/SEA/2020/</w:t>
      </w:r>
      <w:r>
        <w:t>11</w:t>
      </w:r>
      <w:r w:rsidRPr="00045A02">
        <w:t>)</w:t>
      </w:r>
      <w:r>
        <w:t>]</w:t>
      </w:r>
    </w:p>
    <w:p w14:paraId="31C86796" w14:textId="77777777" w:rsidR="008F67C9" w:rsidRDefault="008F67C9" w:rsidP="009B0C78">
      <w:pPr>
        <w:spacing w:before="120" w:line="240" w:lineRule="auto"/>
        <w:rPr>
          <w:b/>
          <w:sz w:val="24"/>
          <w:szCs w:val="24"/>
        </w:rPr>
      </w:pPr>
    </w:p>
    <w:p w14:paraId="703ABAFC" w14:textId="18377E60" w:rsidR="008F67C9" w:rsidRDefault="008F67C9" w:rsidP="008F67C9">
      <w:pPr>
        <w:suppressAutoHyphens w:val="0"/>
        <w:autoSpaceDE w:val="0"/>
        <w:autoSpaceDN w:val="0"/>
        <w:adjustRightInd w:val="0"/>
        <w:spacing w:line="240" w:lineRule="auto"/>
        <w:rPr>
          <w:b/>
          <w:bCs/>
          <w:sz w:val="28"/>
          <w:szCs w:val="28"/>
          <w:lang w:eastAsia="zh-CN"/>
        </w:rPr>
      </w:pPr>
      <w:r>
        <w:rPr>
          <w:b/>
          <w:bCs/>
          <w:sz w:val="28"/>
          <w:szCs w:val="28"/>
          <w:lang w:eastAsia="zh-CN"/>
        </w:rPr>
        <w:t xml:space="preserve">III. </w:t>
      </w:r>
      <w:r>
        <w:rPr>
          <w:b/>
          <w:bCs/>
          <w:sz w:val="28"/>
          <w:szCs w:val="28"/>
          <w:lang w:eastAsia="zh-CN"/>
        </w:rPr>
        <w:tab/>
      </w:r>
      <w:r w:rsidR="005D5A1C">
        <w:rPr>
          <w:b/>
          <w:bCs/>
          <w:sz w:val="28"/>
          <w:szCs w:val="28"/>
          <w:lang w:eastAsia="zh-CN"/>
        </w:rPr>
        <w:t>Draft l</w:t>
      </w:r>
      <w:r>
        <w:rPr>
          <w:b/>
          <w:bCs/>
          <w:sz w:val="28"/>
          <w:szCs w:val="28"/>
          <w:lang w:eastAsia="zh-CN"/>
        </w:rPr>
        <w:t>ist of informal documents for the MOPs</w:t>
      </w:r>
    </w:p>
    <w:p w14:paraId="1824390E" w14:textId="77777777" w:rsidR="006402DC" w:rsidRDefault="006402DC" w:rsidP="008F67C9">
      <w:pPr>
        <w:suppressAutoHyphens w:val="0"/>
        <w:autoSpaceDE w:val="0"/>
        <w:autoSpaceDN w:val="0"/>
        <w:adjustRightInd w:val="0"/>
        <w:spacing w:line="240" w:lineRule="auto"/>
        <w:rPr>
          <w:b/>
          <w:bCs/>
          <w:sz w:val="28"/>
          <w:szCs w:val="28"/>
          <w:lang w:eastAsia="zh-CN"/>
        </w:rPr>
      </w:pPr>
    </w:p>
    <w:p w14:paraId="40AD89F4" w14:textId="77777777" w:rsidR="008F67C9" w:rsidRPr="00EE48A3" w:rsidRDefault="006402DC" w:rsidP="00EE48A3">
      <w:pPr>
        <w:numPr>
          <w:ilvl w:val="0"/>
          <w:numId w:val="32"/>
        </w:numPr>
        <w:spacing w:after="240" w:line="276" w:lineRule="auto"/>
      </w:pPr>
      <w:r w:rsidRPr="00EE48A3">
        <w:t>Informal notes on the agenda (ECE/MP.EIA/2020/INF.1)</w:t>
      </w:r>
    </w:p>
    <w:p w14:paraId="5C923480" w14:textId="77777777" w:rsidR="00AB62AD" w:rsidRPr="00EE48A3" w:rsidRDefault="00AB62AD" w:rsidP="00EE48A3">
      <w:pPr>
        <w:numPr>
          <w:ilvl w:val="0"/>
          <w:numId w:val="32"/>
        </w:numPr>
        <w:spacing w:after="240" w:line="276" w:lineRule="auto"/>
      </w:pPr>
      <w:r w:rsidRPr="00EE48A3">
        <w:t>Status of ratification of the Convention, its amendments and its Protocol (ECE/MP.EIA/2020/INF.2)</w:t>
      </w:r>
    </w:p>
    <w:p w14:paraId="6FF4EAB0" w14:textId="77777777" w:rsidR="00AB62AD" w:rsidRPr="00EE48A3" w:rsidRDefault="00AB62AD" w:rsidP="00EE48A3">
      <w:pPr>
        <w:numPr>
          <w:ilvl w:val="0"/>
          <w:numId w:val="32"/>
        </w:numPr>
        <w:spacing w:after="240" w:line="276" w:lineRule="auto"/>
      </w:pPr>
      <w:r w:rsidRPr="00EE48A3">
        <w:t>Status of contributions to the trust fund (ECE/MP.EIA/2020/INF.</w:t>
      </w:r>
      <w:r w:rsidR="00EE48A3">
        <w:t>3</w:t>
      </w:r>
      <w:r w:rsidRPr="00EE48A3">
        <w:t>)</w:t>
      </w:r>
    </w:p>
    <w:p w14:paraId="21DC5A20" w14:textId="554CC312" w:rsidR="00AB62AD" w:rsidRDefault="001E3041" w:rsidP="00EE48A3">
      <w:pPr>
        <w:numPr>
          <w:ilvl w:val="0"/>
          <w:numId w:val="32"/>
        </w:numPr>
        <w:spacing w:after="240" w:line="276" w:lineRule="auto"/>
      </w:pPr>
      <w:r>
        <w:t>I</w:t>
      </w:r>
      <w:r w:rsidR="00AB62AD" w:rsidRPr="00EE48A3">
        <w:t>nformation on pledged contributions for the period 2021–2023 (ECE/MP.EIA/20</w:t>
      </w:r>
      <w:r w:rsidR="000A1AD0">
        <w:t>20</w:t>
      </w:r>
      <w:r w:rsidR="00AB62AD" w:rsidRPr="00EE48A3">
        <w:t>/INF.</w:t>
      </w:r>
      <w:r w:rsidR="00EE48A3">
        <w:t>4</w:t>
      </w:r>
      <w:r w:rsidR="00AB62AD" w:rsidRPr="00EE48A3">
        <w:t>)</w:t>
      </w:r>
    </w:p>
    <w:p w14:paraId="1D7A3E97" w14:textId="77777777" w:rsidR="00EE48A3" w:rsidRDefault="00EE48A3" w:rsidP="00EE48A3">
      <w:pPr>
        <w:numPr>
          <w:ilvl w:val="0"/>
          <w:numId w:val="32"/>
        </w:numPr>
        <w:spacing w:after="240" w:line="276" w:lineRule="auto"/>
      </w:pPr>
      <w:r w:rsidRPr="00EE48A3">
        <w:t>Informal assessment of the completion of the workplan (ECE/MP.EIA/2020/INF.</w:t>
      </w:r>
      <w:r>
        <w:t>5</w:t>
      </w:r>
      <w:r w:rsidRPr="00EE48A3">
        <w:t>)</w:t>
      </w:r>
    </w:p>
    <w:p w14:paraId="75BFECD6" w14:textId="1BE65CDA" w:rsidR="004774EB" w:rsidRDefault="004774EB" w:rsidP="004774EB">
      <w:pPr>
        <w:numPr>
          <w:ilvl w:val="0"/>
          <w:numId w:val="32"/>
        </w:numPr>
      </w:pPr>
      <w:r w:rsidRPr="004774EB">
        <w:t xml:space="preserve">Information note for the panel discussion on </w:t>
      </w:r>
      <w:r w:rsidR="001E3041">
        <w:t>[</w:t>
      </w:r>
      <w:r w:rsidRPr="004774EB">
        <w:t>sustainable infrastructure</w:t>
      </w:r>
      <w:r w:rsidR="001E3041">
        <w:t>, including</w:t>
      </w:r>
      <w:r w:rsidRPr="004774EB">
        <w:t xml:space="preserve"> energy transition</w:t>
      </w:r>
      <w:r w:rsidR="001E3041">
        <w:t>]</w:t>
      </w:r>
      <w:r w:rsidRPr="004774EB">
        <w:t xml:space="preserve"> (ECE/MP.EIA/2020/INF.</w:t>
      </w:r>
      <w:r>
        <w:t>6)</w:t>
      </w:r>
    </w:p>
    <w:p w14:paraId="5EEDC09B" w14:textId="77777777" w:rsidR="004774EB" w:rsidRPr="004774EB" w:rsidRDefault="004774EB" w:rsidP="004774EB">
      <w:pPr>
        <w:ind w:left="927"/>
      </w:pPr>
    </w:p>
    <w:p w14:paraId="6202E5AE" w14:textId="77777777" w:rsidR="00AB62AD" w:rsidRPr="00EE48A3" w:rsidRDefault="00AB62AD" w:rsidP="00EE48A3">
      <w:pPr>
        <w:numPr>
          <w:ilvl w:val="0"/>
          <w:numId w:val="32"/>
        </w:numPr>
        <w:spacing w:after="240" w:line="276" w:lineRule="auto"/>
      </w:pPr>
      <w:r w:rsidRPr="00EE48A3">
        <w:t>Informal list of nominations</w:t>
      </w:r>
      <w:r w:rsidR="003C3109">
        <w:t xml:space="preserve"> </w:t>
      </w:r>
      <w:r w:rsidR="003C3109" w:rsidRPr="003C3109">
        <w:t xml:space="preserve">and </w:t>
      </w:r>
      <w:r w:rsidR="00E35C06">
        <w:t xml:space="preserve">proposed election </w:t>
      </w:r>
      <w:r w:rsidR="003C3109" w:rsidRPr="003C3109">
        <w:t xml:space="preserve">criteria </w:t>
      </w:r>
      <w:r w:rsidRPr="00EE48A3">
        <w:t>(ECE/MP.EIA/2020/INF.</w:t>
      </w:r>
      <w:r w:rsidR="003C3109">
        <w:t>7</w:t>
      </w:r>
      <w:r w:rsidRPr="00EE48A3">
        <w:t>)</w:t>
      </w:r>
    </w:p>
    <w:p w14:paraId="24322937" w14:textId="77777777" w:rsidR="00AB62AD" w:rsidRPr="00EE48A3" w:rsidRDefault="00AB62AD" w:rsidP="00EE48A3">
      <w:pPr>
        <w:numPr>
          <w:ilvl w:val="0"/>
          <w:numId w:val="32"/>
        </w:numPr>
        <w:spacing w:after="240" w:line="276" w:lineRule="auto"/>
      </w:pPr>
      <w:r w:rsidRPr="00EE48A3">
        <w:t>Provisional schedule of meetings (ECE/MP.EIA/20</w:t>
      </w:r>
      <w:r w:rsidR="008D62D5" w:rsidRPr="00EE48A3">
        <w:t>20</w:t>
      </w:r>
      <w:r w:rsidRPr="00EE48A3">
        <w:t>/INF.</w:t>
      </w:r>
      <w:r w:rsidR="003C3109">
        <w:t>8</w:t>
      </w:r>
      <w:r w:rsidRPr="00EE48A3">
        <w:t>)</w:t>
      </w:r>
    </w:p>
    <w:p w14:paraId="3363F720" w14:textId="77777777" w:rsidR="00667470" w:rsidRDefault="00667470" w:rsidP="00EE48A3">
      <w:pPr>
        <w:numPr>
          <w:ilvl w:val="0"/>
          <w:numId w:val="32"/>
        </w:numPr>
        <w:spacing w:after="240" w:line="276" w:lineRule="auto"/>
      </w:pPr>
      <w:r w:rsidRPr="002A6612">
        <w:t xml:space="preserve">Information </w:t>
      </w:r>
      <w:r>
        <w:t xml:space="preserve">note </w:t>
      </w:r>
      <w:r w:rsidRPr="002A6612">
        <w:t xml:space="preserve">on the </w:t>
      </w:r>
      <w:r>
        <w:t>h</w:t>
      </w:r>
      <w:r w:rsidRPr="00066787">
        <w:t xml:space="preserve">igh-level event to mark the </w:t>
      </w:r>
      <w:r w:rsidR="00692B18" w:rsidRPr="00692B18">
        <w:t>thirtieth</w:t>
      </w:r>
      <w:r w:rsidRPr="00066787">
        <w:t xml:space="preserve"> anniversary of the Convention</w:t>
      </w:r>
      <w:r w:rsidRPr="002A6612">
        <w:t xml:space="preserve"> </w:t>
      </w:r>
      <w:bookmarkStart w:id="24" w:name="_Hlk31303529"/>
      <w:r w:rsidRPr="002A6612">
        <w:t>(ECE/MP.EIA/20</w:t>
      </w:r>
      <w:r w:rsidR="00692B18">
        <w:t>20</w:t>
      </w:r>
      <w:r w:rsidRPr="002A6612">
        <w:t>/INF</w:t>
      </w:r>
      <w:r>
        <w:t>.</w:t>
      </w:r>
      <w:r w:rsidR="00827860">
        <w:t>9</w:t>
      </w:r>
      <w:r w:rsidRPr="002A6612">
        <w:t>)</w:t>
      </w:r>
      <w:r>
        <w:t xml:space="preserve"> </w:t>
      </w:r>
      <w:bookmarkEnd w:id="24"/>
    </w:p>
    <w:p w14:paraId="1D0C5FCB" w14:textId="77777777" w:rsidR="00667470" w:rsidRDefault="000A1AD0" w:rsidP="000A1AD0">
      <w:pPr>
        <w:numPr>
          <w:ilvl w:val="0"/>
          <w:numId w:val="32"/>
        </w:numPr>
        <w:spacing w:after="240" w:line="276" w:lineRule="auto"/>
      </w:pPr>
      <w:r w:rsidRPr="000A1AD0">
        <w:t>[Convention on Environmental Impact Assessment in a Transboundary context (</w:t>
      </w:r>
      <w:proofErr w:type="spellStart"/>
      <w:r w:rsidRPr="000A1AD0">
        <w:t>FasTips</w:t>
      </w:r>
      <w:proofErr w:type="spellEnd"/>
      <w:r w:rsidRPr="000A1AD0">
        <w:t xml:space="preserve">) </w:t>
      </w:r>
      <w:bookmarkStart w:id="25" w:name="_Hlk31303591"/>
      <w:bookmarkStart w:id="26" w:name="_Hlk31303556"/>
      <w:r w:rsidRPr="000A1AD0">
        <w:t>(ECE/MP.EIA/2020/INF.</w:t>
      </w:r>
      <w:r>
        <w:t>10</w:t>
      </w:r>
      <w:r w:rsidRPr="000A1AD0">
        <w:t>)</w:t>
      </w:r>
      <w:bookmarkEnd w:id="25"/>
      <w:r w:rsidR="0095157F">
        <w:t>]</w:t>
      </w:r>
    </w:p>
    <w:p w14:paraId="7EC3A810" w14:textId="77777777" w:rsidR="009C3C8A" w:rsidRDefault="000A1AD0" w:rsidP="009C3C8A">
      <w:pPr>
        <w:numPr>
          <w:ilvl w:val="0"/>
          <w:numId w:val="32"/>
        </w:numPr>
        <w:spacing w:after="240" w:line="276" w:lineRule="auto"/>
      </w:pPr>
      <w:r>
        <w:t xml:space="preserve"> </w:t>
      </w:r>
      <w:bookmarkStart w:id="27" w:name="_Hlk31303689"/>
      <w:bookmarkEnd w:id="26"/>
      <w:r>
        <w:t>[</w:t>
      </w:r>
      <w:r w:rsidRPr="000A1AD0">
        <w:t>Protocol on Strategic Environmental Assessment (</w:t>
      </w:r>
      <w:proofErr w:type="spellStart"/>
      <w:r w:rsidRPr="000A1AD0">
        <w:t>FasTips</w:t>
      </w:r>
      <w:proofErr w:type="spellEnd"/>
      <w:r w:rsidRPr="000A1AD0">
        <w:t>)</w:t>
      </w:r>
      <w:r>
        <w:t xml:space="preserve"> </w:t>
      </w:r>
      <w:bookmarkStart w:id="28" w:name="_Hlk31303668"/>
      <w:bookmarkEnd w:id="27"/>
      <w:r w:rsidRPr="000A1AD0">
        <w:t>(ECE/MP.EIA/2020/INF.</w:t>
      </w:r>
      <w:r>
        <w:t>11)</w:t>
      </w:r>
      <w:r w:rsidR="0095157F">
        <w:t>]</w:t>
      </w:r>
      <w:bookmarkEnd w:id="3"/>
      <w:bookmarkEnd w:id="6"/>
      <w:bookmarkEnd w:id="28"/>
    </w:p>
    <w:p w14:paraId="33136C4B" w14:textId="77777777" w:rsidR="009C3C8A" w:rsidRDefault="009C3C8A" w:rsidP="009C3C8A">
      <w:pPr>
        <w:suppressAutoHyphens w:val="0"/>
        <w:autoSpaceDE w:val="0"/>
        <w:autoSpaceDN w:val="0"/>
        <w:adjustRightInd w:val="0"/>
        <w:spacing w:line="240" w:lineRule="auto"/>
        <w:rPr>
          <w:b/>
          <w:bCs/>
          <w:sz w:val="28"/>
          <w:szCs w:val="28"/>
        </w:rPr>
      </w:pPr>
      <w:r>
        <w:br w:type="page"/>
      </w:r>
      <w:r w:rsidRPr="009C3C8A">
        <w:rPr>
          <w:b/>
          <w:bCs/>
          <w:sz w:val="28"/>
          <w:szCs w:val="28"/>
        </w:rPr>
        <w:lastRenderedPageBreak/>
        <w:t>IV.</w:t>
      </w:r>
      <w:r w:rsidRPr="009C3C8A">
        <w:rPr>
          <w:b/>
          <w:bCs/>
          <w:sz w:val="28"/>
          <w:szCs w:val="28"/>
        </w:rPr>
        <w:tab/>
        <w:t>Panel discussions at the general and high-level segments</w:t>
      </w:r>
    </w:p>
    <w:p w14:paraId="0B2E441A" w14:textId="77777777" w:rsidR="00271B2C" w:rsidRDefault="00271B2C" w:rsidP="009C3C8A">
      <w:pPr>
        <w:suppressAutoHyphens w:val="0"/>
        <w:autoSpaceDE w:val="0"/>
        <w:autoSpaceDN w:val="0"/>
        <w:adjustRightInd w:val="0"/>
        <w:spacing w:line="240" w:lineRule="auto"/>
        <w:rPr>
          <w:b/>
          <w:bCs/>
          <w:sz w:val="28"/>
          <w:szCs w:val="28"/>
        </w:rPr>
      </w:pPr>
    </w:p>
    <w:p w14:paraId="08F75E88" w14:textId="1BD5F091" w:rsidR="009C3C8A" w:rsidRDefault="009C3C8A" w:rsidP="009C3C8A">
      <w:pPr>
        <w:suppressAutoHyphens w:val="0"/>
        <w:autoSpaceDE w:val="0"/>
        <w:autoSpaceDN w:val="0"/>
        <w:adjustRightInd w:val="0"/>
        <w:spacing w:line="240" w:lineRule="auto"/>
        <w:rPr>
          <w:b/>
          <w:bCs/>
          <w:sz w:val="24"/>
          <w:szCs w:val="24"/>
        </w:rPr>
      </w:pPr>
      <w:bookmarkStart w:id="29" w:name="_Hlk38547316"/>
      <w:r w:rsidRPr="009C3C8A">
        <w:rPr>
          <w:b/>
          <w:bCs/>
          <w:sz w:val="24"/>
          <w:szCs w:val="24"/>
        </w:rPr>
        <w:t>A.</w:t>
      </w:r>
      <w:r w:rsidRPr="009C3C8A">
        <w:rPr>
          <w:b/>
          <w:bCs/>
          <w:sz w:val="24"/>
          <w:szCs w:val="24"/>
        </w:rPr>
        <w:tab/>
        <w:t>General segment</w:t>
      </w:r>
    </w:p>
    <w:bookmarkEnd w:id="29"/>
    <w:p w14:paraId="797AB05B" w14:textId="72CC9069" w:rsidR="00A63789" w:rsidRDefault="00A63789" w:rsidP="009C3C8A">
      <w:pPr>
        <w:suppressAutoHyphens w:val="0"/>
        <w:autoSpaceDE w:val="0"/>
        <w:autoSpaceDN w:val="0"/>
        <w:adjustRightInd w:val="0"/>
        <w:spacing w:line="240" w:lineRule="auto"/>
        <w:rPr>
          <w:b/>
          <w:bCs/>
          <w:sz w:val="24"/>
          <w:szCs w:val="24"/>
        </w:rPr>
      </w:pPr>
    </w:p>
    <w:p w14:paraId="2CCD0801" w14:textId="0033C518" w:rsidR="00A63789" w:rsidRPr="00A63789" w:rsidRDefault="00A63789" w:rsidP="009C3C8A">
      <w:pPr>
        <w:suppressAutoHyphens w:val="0"/>
        <w:autoSpaceDE w:val="0"/>
        <w:autoSpaceDN w:val="0"/>
        <w:adjustRightInd w:val="0"/>
        <w:spacing w:line="240" w:lineRule="auto"/>
        <w:rPr>
          <w:b/>
          <w:bCs/>
        </w:rPr>
      </w:pPr>
      <w:bookmarkStart w:id="30" w:name="_Hlk38532357"/>
      <w:r w:rsidRPr="00A63789">
        <w:rPr>
          <w:b/>
          <w:bCs/>
        </w:rPr>
        <w:t>1.</w:t>
      </w:r>
      <w:r w:rsidRPr="00A63789">
        <w:rPr>
          <w:b/>
          <w:bCs/>
        </w:rPr>
        <w:tab/>
        <w:t xml:space="preserve">Relevant considerations by the Working Group </w:t>
      </w:r>
      <w:r>
        <w:rPr>
          <w:b/>
          <w:bCs/>
        </w:rPr>
        <w:t>in November 2019</w:t>
      </w:r>
      <w:r w:rsidRPr="00A63789">
        <w:rPr>
          <w:b/>
          <w:bCs/>
        </w:rPr>
        <w:t xml:space="preserve"> </w:t>
      </w:r>
    </w:p>
    <w:bookmarkEnd w:id="30"/>
    <w:p w14:paraId="14F24D05" w14:textId="77777777" w:rsidR="009C3C8A" w:rsidRDefault="009C3C8A" w:rsidP="009C3C8A">
      <w:pPr>
        <w:suppressAutoHyphens w:val="0"/>
        <w:autoSpaceDE w:val="0"/>
        <w:autoSpaceDN w:val="0"/>
        <w:adjustRightInd w:val="0"/>
        <w:spacing w:line="240" w:lineRule="auto"/>
        <w:rPr>
          <w:b/>
          <w:bCs/>
          <w:sz w:val="24"/>
          <w:szCs w:val="24"/>
        </w:rPr>
      </w:pPr>
    </w:p>
    <w:p w14:paraId="2E81627A" w14:textId="354943F5" w:rsidR="00C83040" w:rsidRDefault="007B0F5A" w:rsidP="00271B2C">
      <w:pPr>
        <w:spacing w:after="120"/>
        <w:ind w:left="567" w:right="1134"/>
        <w:jc w:val="both"/>
      </w:pPr>
      <w:r>
        <w:t>1.</w:t>
      </w:r>
      <w:r>
        <w:tab/>
      </w:r>
      <w:r w:rsidR="009C3C8A">
        <w:t>At its last meeting</w:t>
      </w:r>
      <w:r>
        <w:t xml:space="preserve"> (</w:t>
      </w:r>
      <w:r w:rsidR="005D5A1C">
        <w:t xml:space="preserve">Geneva, </w:t>
      </w:r>
      <w:r>
        <w:t>26</w:t>
      </w:r>
      <w:r w:rsidR="005D5A1C">
        <w:t>–</w:t>
      </w:r>
      <w:r>
        <w:t>28 November 2019)</w:t>
      </w:r>
      <w:r w:rsidR="009C3C8A">
        <w:t>,</w:t>
      </w:r>
      <w:r w:rsidR="00A63789">
        <w:t xml:space="preserve"> based on proposals by the Bureau,</w:t>
      </w:r>
      <w:r w:rsidR="009C3C8A">
        <w:t xml:space="preserve"> t</w:t>
      </w:r>
      <w:r w:rsidR="009C3C8A" w:rsidRPr="009C3C8A">
        <w:t xml:space="preserve">he Working Group </w:t>
      </w:r>
      <w:r w:rsidR="00C80CB0">
        <w:t xml:space="preserve">had </w:t>
      </w:r>
      <w:r w:rsidR="009C3C8A" w:rsidRPr="009C3C8A">
        <w:t xml:space="preserve">suggested that the panel discussions </w:t>
      </w:r>
      <w:r w:rsidR="005D5A1C">
        <w:t xml:space="preserve">to be held </w:t>
      </w:r>
      <w:r w:rsidR="009C3C8A" w:rsidRPr="009C3C8A">
        <w:t xml:space="preserve">during the general segment of the </w:t>
      </w:r>
      <w:r w:rsidR="005D5A1C">
        <w:t>Meetings of the Parties</w:t>
      </w:r>
      <w:r w:rsidR="00132B29">
        <w:t>’</w:t>
      </w:r>
      <w:r w:rsidR="005D5A1C">
        <w:t xml:space="preserve"> next </w:t>
      </w:r>
      <w:r w:rsidR="009C3C8A" w:rsidRPr="009C3C8A">
        <w:t>sessions</w:t>
      </w:r>
      <w:r w:rsidR="005D5A1C">
        <w:t xml:space="preserve"> (Vilnius, 8–11 December 2020)</w:t>
      </w:r>
      <w:r w:rsidR="009C3C8A" w:rsidRPr="009C3C8A">
        <w:t xml:space="preserve"> focus on </w:t>
      </w:r>
      <w:r w:rsidR="00C83040" w:rsidRPr="00C83040">
        <w:t xml:space="preserve">the role of strategic environmental assessment </w:t>
      </w:r>
      <w:r w:rsidR="00C83040">
        <w:t xml:space="preserve">in connection with one of the </w:t>
      </w:r>
      <w:r w:rsidR="009C3C8A" w:rsidRPr="009C3C8A">
        <w:t xml:space="preserve">following topics: smart and sustainable cities; sustainable infrastructure; energy transition; or circular economy. </w:t>
      </w:r>
    </w:p>
    <w:p w14:paraId="34ABBBDC" w14:textId="50174993" w:rsidR="009C3C8A" w:rsidRDefault="00C83040" w:rsidP="00271B2C">
      <w:pPr>
        <w:spacing w:after="120"/>
        <w:ind w:left="567" w:right="1134"/>
        <w:jc w:val="both"/>
      </w:pPr>
      <w:r>
        <w:t>2.</w:t>
      </w:r>
      <w:r>
        <w:tab/>
      </w:r>
      <w:r w:rsidR="009C3C8A" w:rsidRPr="009C3C8A">
        <w:t xml:space="preserve">The Working Group </w:t>
      </w:r>
      <w:r w:rsidR="00C80CB0">
        <w:t xml:space="preserve">had </w:t>
      </w:r>
      <w:r w:rsidR="009C3C8A" w:rsidRPr="009C3C8A">
        <w:t>invited delegations to comment on the proposed topics</w:t>
      </w:r>
      <w:r w:rsidR="009C3C8A">
        <w:t xml:space="preserve">, and to suggest </w:t>
      </w:r>
      <w:r w:rsidR="009C3C8A" w:rsidRPr="009C3C8A">
        <w:t>possible speakers and facilitators for the panels, and to volunteer as lead countries and organizations for the organization of the panel discussions. It also requested the Bureau to further consider the topics and to narrow them down to two key priority topics for the Working Group to decide on at its next meeting</w:t>
      </w:r>
      <w:r w:rsidR="009C3C8A">
        <w:t xml:space="preserve"> (Geneva, </w:t>
      </w:r>
      <w:r w:rsidR="005D5A1C">
        <w:t>24–26 August</w:t>
      </w:r>
      <w:r w:rsidR="009C3C8A">
        <w:t xml:space="preserve"> 2020)</w:t>
      </w:r>
      <w:r w:rsidR="005D5A1C">
        <w:t>.</w:t>
      </w:r>
    </w:p>
    <w:p w14:paraId="41E15743" w14:textId="13FB255B" w:rsidR="00132B29" w:rsidRDefault="00C83040" w:rsidP="00271B2C">
      <w:pPr>
        <w:spacing w:after="120"/>
        <w:ind w:left="567" w:right="1134"/>
        <w:jc w:val="both"/>
      </w:pPr>
      <w:r>
        <w:t>3</w:t>
      </w:r>
      <w:r w:rsidR="007B0F5A">
        <w:t>.</w:t>
      </w:r>
      <w:r w:rsidR="007B0F5A">
        <w:tab/>
        <w:t xml:space="preserve">Following the </w:t>
      </w:r>
      <w:r w:rsidR="00EF370C">
        <w:t xml:space="preserve">Working Group’s </w:t>
      </w:r>
      <w:r w:rsidR="007B0F5A">
        <w:t xml:space="preserve">meeting, </w:t>
      </w:r>
      <w:r>
        <w:t xml:space="preserve">only </w:t>
      </w:r>
      <w:r w:rsidR="007B0F5A">
        <w:t xml:space="preserve">the </w:t>
      </w:r>
      <w:r w:rsidR="00EF370C">
        <w:t xml:space="preserve">delegation of the </w:t>
      </w:r>
      <w:r w:rsidR="007B0F5A">
        <w:t>E</w:t>
      </w:r>
      <w:r w:rsidR="00EF370C">
        <w:t xml:space="preserve">uropean Union submitted written comments regarding the panel discussions. </w:t>
      </w:r>
      <w:r w:rsidR="00132B29">
        <w:t xml:space="preserve">It considered possible to </w:t>
      </w:r>
      <w:r w:rsidR="00132B29" w:rsidRPr="00132B29">
        <w:t>address</w:t>
      </w:r>
      <w:r w:rsidR="00132B29">
        <w:t xml:space="preserve"> </w:t>
      </w:r>
      <w:r w:rsidR="00132B29" w:rsidRPr="00132B29">
        <w:t xml:space="preserve">several </w:t>
      </w:r>
      <w:r w:rsidR="00132B29">
        <w:t xml:space="preserve">of the </w:t>
      </w:r>
      <w:r w:rsidR="00132B29" w:rsidRPr="00132B29">
        <w:t xml:space="preserve">topics, some </w:t>
      </w:r>
      <w:r w:rsidR="00132B29">
        <w:t xml:space="preserve">through a </w:t>
      </w:r>
      <w:r w:rsidR="00132B29" w:rsidRPr="00132B29">
        <w:t xml:space="preserve">panel discussion and some as a side event </w:t>
      </w:r>
      <w:r w:rsidR="00EF370C">
        <w:t xml:space="preserve">It </w:t>
      </w:r>
      <w:r w:rsidR="007B0F5A">
        <w:t>invite</w:t>
      </w:r>
      <w:r w:rsidR="00EF370C">
        <w:t>d</w:t>
      </w:r>
      <w:r w:rsidR="007B0F5A">
        <w:t xml:space="preserve"> the Bureau to </w:t>
      </w:r>
      <w:r w:rsidR="008B5209">
        <w:t xml:space="preserve">consider </w:t>
      </w:r>
      <w:r w:rsidR="007B0F5A">
        <w:t xml:space="preserve">the following two criteria when prioritizing the topics: </w:t>
      </w:r>
    </w:p>
    <w:p w14:paraId="4B604D5E" w14:textId="5D8C8EF2" w:rsidR="00132B29" w:rsidRDefault="00132B29" w:rsidP="00271B2C">
      <w:pPr>
        <w:spacing w:after="120"/>
        <w:ind w:left="567" w:right="1134"/>
        <w:jc w:val="both"/>
      </w:pPr>
      <w:r>
        <w:tab/>
        <w:t xml:space="preserve">(a) </w:t>
      </w:r>
      <w:r>
        <w:tab/>
        <w:t>T</w:t>
      </w:r>
      <w:r w:rsidR="007B0F5A">
        <w:t>he possibility of the topic to trigger a discussion related either to projects with transboundary environmental impacts, or to the planning of plans and programmes</w:t>
      </w:r>
      <w:r w:rsidR="00252489">
        <w:t xml:space="preserve"> (strategic environmental assessment)</w:t>
      </w:r>
      <w:r>
        <w:t>;</w:t>
      </w:r>
      <w:r w:rsidR="007B0F5A">
        <w:t xml:space="preserve"> </w:t>
      </w:r>
    </w:p>
    <w:p w14:paraId="3E2C03B9" w14:textId="77777777" w:rsidR="00132B29" w:rsidRDefault="00132B29" w:rsidP="00271B2C">
      <w:pPr>
        <w:spacing w:after="120"/>
        <w:ind w:left="567" w:right="1134"/>
        <w:jc w:val="both"/>
      </w:pPr>
      <w:r>
        <w:tab/>
        <w:t>(b)</w:t>
      </w:r>
      <w:r>
        <w:tab/>
        <w:t>T</w:t>
      </w:r>
      <w:r w:rsidR="007B0F5A">
        <w:t xml:space="preserve">he potential of the topic to attract political attention. </w:t>
      </w:r>
    </w:p>
    <w:p w14:paraId="7112E680" w14:textId="5DB86C46" w:rsidR="007B0F5A" w:rsidRDefault="00DD4D6D" w:rsidP="00271B2C">
      <w:pPr>
        <w:spacing w:after="120"/>
        <w:ind w:left="567" w:right="1134"/>
        <w:jc w:val="both"/>
      </w:pPr>
      <w:r>
        <w:t>4.</w:t>
      </w:r>
      <w:r>
        <w:tab/>
      </w:r>
      <w:r w:rsidR="007B0F5A">
        <w:t>Additionally</w:t>
      </w:r>
      <w:r w:rsidR="00EF370C">
        <w:t>,</w:t>
      </w:r>
      <w:r w:rsidR="007B0F5A">
        <w:t xml:space="preserve"> the E</w:t>
      </w:r>
      <w:r w:rsidR="00EF370C">
        <w:t xml:space="preserve">uropean Union delegation </w:t>
      </w:r>
      <w:r w:rsidR="00304D6B">
        <w:t>made the following comments to th</w:t>
      </w:r>
      <w:r w:rsidR="007B0F5A">
        <w:t xml:space="preserve">e </w:t>
      </w:r>
      <w:r w:rsidR="00EF370C">
        <w:t xml:space="preserve">initially </w:t>
      </w:r>
      <w:r w:rsidR="007B0F5A">
        <w:t>proposed topics:</w:t>
      </w:r>
    </w:p>
    <w:p w14:paraId="7D21AF96" w14:textId="276962B1" w:rsidR="007B0F5A" w:rsidRDefault="00EF370C" w:rsidP="00271B2C">
      <w:pPr>
        <w:spacing w:after="120"/>
        <w:ind w:left="567" w:right="1134"/>
        <w:jc w:val="both"/>
      </w:pPr>
      <w:r>
        <w:tab/>
        <w:t>(a)</w:t>
      </w:r>
      <w:r>
        <w:tab/>
      </w:r>
      <w:r w:rsidR="007B0F5A">
        <w:t>Role of SEA for smart and sustainable cities, including to address SDGs, climate change and health considerations in urban planning</w:t>
      </w:r>
      <w:r>
        <w:t xml:space="preserve">: </w:t>
      </w:r>
      <w:r w:rsidR="00132B29">
        <w:t xml:space="preserve">Considering the scope of the Protocol on SEA, the </w:t>
      </w:r>
      <w:r w:rsidR="007B0F5A">
        <w:t xml:space="preserve">topic </w:t>
      </w:r>
      <w:r w:rsidR="00132B29">
        <w:t xml:space="preserve">is interesting due to its link </w:t>
      </w:r>
      <w:r w:rsidR="007B0F5A">
        <w:t>to climate change and health</w:t>
      </w:r>
      <w:r w:rsidR="00664D14">
        <w:t>;</w:t>
      </w:r>
    </w:p>
    <w:p w14:paraId="105A0DB3" w14:textId="529D4C46" w:rsidR="007B0F5A" w:rsidRDefault="00EF370C" w:rsidP="00271B2C">
      <w:pPr>
        <w:spacing w:after="120"/>
        <w:ind w:left="567" w:right="1134"/>
        <w:jc w:val="both"/>
      </w:pPr>
      <w:r>
        <w:tab/>
        <w:t>(b)</w:t>
      </w:r>
      <w:r>
        <w:tab/>
      </w:r>
      <w:r w:rsidR="007B0F5A">
        <w:t>Greening of China’s Belt and Road Initiative: role of SEA and transboundary EIA of infrastructure planning and projects (sustainable infrastructure)</w:t>
      </w:r>
      <w:r w:rsidR="00304D6B">
        <w:t>:</w:t>
      </w:r>
    </w:p>
    <w:p w14:paraId="282B6A9F" w14:textId="2D450DED" w:rsidR="00D33F89" w:rsidRDefault="00D33F89" w:rsidP="00D33F89">
      <w:pPr>
        <w:spacing w:after="120"/>
        <w:ind w:left="1134" w:right="1134"/>
        <w:jc w:val="both"/>
      </w:pPr>
      <w:r>
        <w:t>(i)</w:t>
      </w:r>
      <w:r>
        <w:tab/>
      </w:r>
      <w:r w:rsidR="007B0F5A">
        <w:t xml:space="preserve">The topic covers a wide range of infrastructure activities undertaken between China, Central Asia and Europe (now also expanding </w:t>
      </w:r>
      <w:r w:rsidR="00304D6B">
        <w:t xml:space="preserve">e.g. to </w:t>
      </w:r>
      <w:r w:rsidR="007B0F5A">
        <w:t xml:space="preserve">the Arctic, Africa and Latin America). Hence, this provides a good margin for touching upon the global outreach of the </w:t>
      </w:r>
      <w:r w:rsidR="00304D6B">
        <w:t>P</w:t>
      </w:r>
      <w:r w:rsidR="007B0F5A">
        <w:t xml:space="preserve">rotocol, as well as the Convention. The topic can attract </w:t>
      </w:r>
      <w:r w:rsidR="00304D6B">
        <w:t xml:space="preserve">the </w:t>
      </w:r>
      <w:r w:rsidR="007B0F5A">
        <w:t>attention of various stakeholders, including business, project developers</w:t>
      </w:r>
      <w:r w:rsidR="00304D6B">
        <w:t xml:space="preserve"> and</w:t>
      </w:r>
      <w:r w:rsidR="007B0F5A">
        <w:t xml:space="preserve"> IFIs</w:t>
      </w:r>
      <w:r w:rsidR="00664D14">
        <w:t>;</w:t>
      </w:r>
    </w:p>
    <w:p w14:paraId="5A769780" w14:textId="5E44B631" w:rsidR="007B0F5A" w:rsidRDefault="00D33F89" w:rsidP="00D33F89">
      <w:pPr>
        <w:spacing w:after="120"/>
        <w:ind w:left="1134" w:right="1134"/>
        <w:jc w:val="both"/>
      </w:pPr>
      <w:r>
        <w:t>(ii)</w:t>
      </w:r>
      <w:r>
        <w:tab/>
      </w:r>
      <w:r w:rsidR="007B0F5A">
        <w:t>Alternative ways to formulate the topic could be “Belt and Road Initiative - the role of SEA and transboundary EIA of infrastructure planning and projects or “Sustainable infrastructure - role of SEA and transboundary EIA of infrastructure planning and projects”, to attract greater interest among more states, and to neutralize the topic</w:t>
      </w:r>
      <w:r w:rsidR="00664D14">
        <w:t>;</w:t>
      </w:r>
    </w:p>
    <w:p w14:paraId="129EF9F8" w14:textId="7AD28412" w:rsidR="007B0F5A" w:rsidRDefault="00EF370C" w:rsidP="00271B2C">
      <w:pPr>
        <w:spacing w:after="120"/>
        <w:ind w:left="567" w:right="1134"/>
        <w:jc w:val="both"/>
      </w:pPr>
      <w:r>
        <w:tab/>
        <w:t>(c)</w:t>
      </w:r>
      <w:r>
        <w:tab/>
      </w:r>
      <w:r w:rsidR="007B0F5A">
        <w:t xml:space="preserve"> Promoting circular economy through environmental assessment of related planning and projects (e.g. regarding waste)</w:t>
      </w:r>
      <w:r>
        <w:t>: the EU delegation is of</w:t>
      </w:r>
      <w:r w:rsidR="007B0F5A">
        <w:t xml:space="preserve"> the view that</w:t>
      </w:r>
      <w:r w:rsidR="00304D6B">
        <w:t xml:space="preserve"> </w:t>
      </w:r>
      <w:r w:rsidR="007B0F5A">
        <w:t>energy transition could be considered as a possible topic</w:t>
      </w:r>
      <w:r w:rsidR="00304D6B">
        <w:t xml:space="preserve"> instead</w:t>
      </w:r>
      <w:r w:rsidR="00664D14">
        <w:t>;</w:t>
      </w:r>
    </w:p>
    <w:p w14:paraId="77E86B38" w14:textId="58BB0E0F" w:rsidR="00AC2650" w:rsidRDefault="00EF370C" w:rsidP="00271B2C">
      <w:pPr>
        <w:spacing w:after="120"/>
        <w:ind w:left="567" w:right="1134"/>
        <w:jc w:val="both"/>
      </w:pPr>
      <w:r>
        <w:tab/>
        <w:t>(d)</w:t>
      </w:r>
      <w:r>
        <w:tab/>
        <w:t xml:space="preserve">Energy transition: </w:t>
      </w:r>
      <w:r w:rsidR="00304D6B">
        <w:t>A</w:t>
      </w:r>
      <w:r>
        <w:t xml:space="preserve"> topical issue in many Parties to the Convention.</w:t>
      </w:r>
    </w:p>
    <w:p w14:paraId="39ABDE54" w14:textId="117CFD1B" w:rsidR="00A63789" w:rsidRDefault="00A63789" w:rsidP="00271B2C">
      <w:pPr>
        <w:spacing w:after="120"/>
        <w:ind w:left="567" w:right="1134"/>
        <w:jc w:val="both"/>
      </w:pPr>
    </w:p>
    <w:p w14:paraId="0306BE51" w14:textId="34BFE42C" w:rsidR="00A63789" w:rsidRDefault="00A63789" w:rsidP="00271B2C">
      <w:pPr>
        <w:spacing w:after="120"/>
        <w:ind w:left="567" w:right="1134"/>
        <w:jc w:val="both"/>
      </w:pPr>
    </w:p>
    <w:p w14:paraId="2750D12D" w14:textId="2BD8B1C9" w:rsidR="00182453" w:rsidRPr="00C80CB0" w:rsidRDefault="0023673F" w:rsidP="00182453">
      <w:pPr>
        <w:spacing w:after="120"/>
        <w:ind w:right="1134"/>
        <w:jc w:val="both"/>
        <w:rPr>
          <w:b/>
          <w:bCs/>
        </w:rPr>
      </w:pPr>
      <w:r w:rsidRPr="00C80CB0">
        <w:rPr>
          <w:b/>
          <w:bCs/>
        </w:rPr>
        <w:lastRenderedPageBreak/>
        <w:t>2</w:t>
      </w:r>
      <w:r w:rsidR="00182453" w:rsidRPr="00C80CB0">
        <w:rPr>
          <w:b/>
          <w:bCs/>
        </w:rPr>
        <w:t>.</w:t>
      </w:r>
      <w:r w:rsidR="00182453" w:rsidRPr="00C80CB0">
        <w:rPr>
          <w:b/>
          <w:bCs/>
        </w:rPr>
        <w:tab/>
        <w:t>Re</w:t>
      </w:r>
      <w:r w:rsidRPr="00C80CB0">
        <w:rPr>
          <w:b/>
          <w:bCs/>
        </w:rPr>
        <w:t xml:space="preserve">commendation </w:t>
      </w:r>
      <w:r w:rsidR="00304D6B">
        <w:rPr>
          <w:b/>
          <w:bCs/>
        </w:rPr>
        <w:t>of</w:t>
      </w:r>
      <w:r w:rsidR="00182453" w:rsidRPr="00C80CB0">
        <w:rPr>
          <w:b/>
          <w:bCs/>
        </w:rPr>
        <w:t xml:space="preserve"> the Bureau</w:t>
      </w:r>
      <w:r w:rsidR="001540EF">
        <w:rPr>
          <w:b/>
          <w:bCs/>
        </w:rPr>
        <w:t xml:space="preserve">: </w:t>
      </w:r>
      <w:r w:rsidR="00304D6B">
        <w:rPr>
          <w:b/>
          <w:bCs/>
        </w:rPr>
        <w:t xml:space="preserve">a </w:t>
      </w:r>
      <w:r w:rsidR="001540EF">
        <w:rPr>
          <w:b/>
          <w:bCs/>
        </w:rPr>
        <w:t>p</w:t>
      </w:r>
      <w:r w:rsidR="00C80CB0" w:rsidRPr="00C80CB0">
        <w:rPr>
          <w:b/>
          <w:bCs/>
        </w:rPr>
        <w:t xml:space="preserve">anel discussion on sustainable </w:t>
      </w:r>
      <w:r w:rsidR="001540EF">
        <w:rPr>
          <w:b/>
          <w:bCs/>
        </w:rPr>
        <w:tab/>
      </w:r>
      <w:r w:rsidR="00C80CB0" w:rsidRPr="00C80CB0">
        <w:rPr>
          <w:b/>
          <w:bCs/>
        </w:rPr>
        <w:t>infrastructure</w:t>
      </w:r>
      <w:r w:rsidR="008B5209">
        <w:rPr>
          <w:b/>
          <w:bCs/>
        </w:rPr>
        <w:t>, covering also energy transition</w:t>
      </w:r>
    </w:p>
    <w:p w14:paraId="1FF5E2E2" w14:textId="08BEFC54" w:rsidR="00D33F89" w:rsidRDefault="00D33F89" w:rsidP="00D33F89">
      <w:pPr>
        <w:spacing w:after="120"/>
        <w:ind w:left="567" w:right="1134"/>
        <w:jc w:val="both"/>
      </w:pPr>
      <w:r>
        <w:t>5.</w:t>
      </w:r>
      <w:r>
        <w:tab/>
      </w:r>
      <w:r w:rsidR="00304D6B">
        <w:t>As</w:t>
      </w:r>
      <w:r>
        <w:t xml:space="preserve"> the Working Group </w:t>
      </w:r>
      <w:r w:rsidR="00C80CB0">
        <w:t xml:space="preserve">had </w:t>
      </w:r>
      <w:r>
        <w:t xml:space="preserve">agreed to devote the high-level segment of the Meetings of the Parties’ sessions </w:t>
      </w:r>
      <w:r w:rsidR="00304D6B">
        <w:t>to</w:t>
      </w:r>
      <w:r>
        <w:t xml:space="preserve"> the celebrations of the 30</w:t>
      </w:r>
      <w:r w:rsidRPr="002F1ED8">
        <w:rPr>
          <w:vertAlign w:val="superscript"/>
        </w:rPr>
        <w:t>th</w:t>
      </w:r>
      <w:r>
        <w:t xml:space="preserve"> anniversary of the Convention’s adoption, the Bureau recommend</w:t>
      </w:r>
      <w:r w:rsidR="00304D6B">
        <w:t>ed</w:t>
      </w:r>
      <w:r>
        <w:t xml:space="preserve"> that the general segment’s panel discussions focus predominantly on the application of the Protocol. Moreover, th</w:t>
      </w:r>
      <w:r w:rsidR="00304D6B">
        <w:t xml:space="preserve">e </w:t>
      </w:r>
      <w:r>
        <w:t xml:space="preserve">Protocol will also have an anniversary in 2020, </w:t>
      </w:r>
      <w:r w:rsidR="00304D6B">
        <w:t xml:space="preserve">having </w:t>
      </w:r>
      <w:r>
        <w:t>entered into force ten years ago, in 2010.</w:t>
      </w:r>
    </w:p>
    <w:p w14:paraId="3ED3765F" w14:textId="3A84F8F5" w:rsidR="006E7FF9" w:rsidRDefault="008B5209" w:rsidP="006E7FF9">
      <w:pPr>
        <w:spacing w:after="120"/>
        <w:ind w:left="567" w:right="1134"/>
        <w:jc w:val="both"/>
        <w:rPr>
          <w:lang w:val="en-US"/>
        </w:rPr>
      </w:pPr>
      <w:r>
        <w:t>6.</w:t>
      </w:r>
      <w:r>
        <w:tab/>
        <w:t>The Bureau</w:t>
      </w:r>
      <w:r w:rsidR="00C80CB0" w:rsidRPr="005A5865">
        <w:rPr>
          <w:lang w:val="en-US"/>
        </w:rPr>
        <w:t xml:space="preserve"> recommended that the panel discussions </w:t>
      </w:r>
      <w:r w:rsidR="00304D6B">
        <w:rPr>
          <w:lang w:val="en-US"/>
        </w:rPr>
        <w:t>focus on t</w:t>
      </w:r>
      <w:r w:rsidR="006E7FF9" w:rsidRPr="00C66226">
        <w:rPr>
          <w:lang w:val="en-US"/>
        </w:rPr>
        <w:t xml:space="preserve">he role of strategic environmental assessment </w:t>
      </w:r>
      <w:r w:rsidR="006E7FF9">
        <w:rPr>
          <w:lang w:val="en-US"/>
        </w:rPr>
        <w:t xml:space="preserve">for </w:t>
      </w:r>
      <w:r w:rsidR="006E7FF9" w:rsidRPr="005A5865">
        <w:rPr>
          <w:lang w:val="en-US"/>
        </w:rPr>
        <w:t>sustainable infrastructure</w:t>
      </w:r>
      <w:r w:rsidR="006E7FF9">
        <w:rPr>
          <w:lang w:val="en-US"/>
        </w:rPr>
        <w:t xml:space="preserve">, covering </w:t>
      </w:r>
      <w:proofErr w:type="gramStart"/>
      <w:r w:rsidR="006E7FF9">
        <w:rPr>
          <w:lang w:val="en-US"/>
        </w:rPr>
        <w:t>in particular the</w:t>
      </w:r>
      <w:proofErr w:type="gramEnd"/>
      <w:r w:rsidR="006E7FF9">
        <w:rPr>
          <w:lang w:val="en-US"/>
        </w:rPr>
        <w:t xml:space="preserve"> Protocol’s application to energy and transport infrastructure planning. The panel would cover </w:t>
      </w:r>
      <w:r w:rsidR="00664D14">
        <w:rPr>
          <w:lang w:val="en-US"/>
        </w:rPr>
        <w:t xml:space="preserve">key issues such as </w:t>
      </w:r>
      <w:r w:rsidR="006E7FF9" w:rsidRPr="005A5865">
        <w:rPr>
          <w:lang w:val="en-US"/>
        </w:rPr>
        <w:t xml:space="preserve">energy transition, Belt and Road Initiative, the Trans-European Transport Network (TEN-T) corridor and climate </w:t>
      </w:r>
      <w:r w:rsidR="006E7FF9">
        <w:rPr>
          <w:lang w:val="en-US"/>
        </w:rPr>
        <w:t>change</w:t>
      </w:r>
      <w:r w:rsidR="006E7FF9" w:rsidRPr="005A5865">
        <w:rPr>
          <w:lang w:val="en-US"/>
        </w:rPr>
        <w:t xml:space="preserve">. </w:t>
      </w:r>
    </w:p>
    <w:p w14:paraId="152E6BFB" w14:textId="043DA397" w:rsidR="002240F4" w:rsidRDefault="002240F4" w:rsidP="002240F4">
      <w:pPr>
        <w:spacing w:after="120"/>
        <w:ind w:left="567" w:right="1134"/>
        <w:jc w:val="both"/>
      </w:pPr>
      <w:r>
        <w:t>7.</w:t>
      </w:r>
      <w:r>
        <w:tab/>
      </w:r>
      <w:r w:rsidR="00304D6B">
        <w:t>The Bureau</w:t>
      </w:r>
      <w:r>
        <w:t xml:space="preserve"> proposed that the panellists be invited to:</w:t>
      </w:r>
    </w:p>
    <w:p w14:paraId="7FD506BD" w14:textId="7F6B3D01" w:rsidR="002240F4" w:rsidRDefault="002240F4" w:rsidP="002240F4">
      <w:pPr>
        <w:spacing w:after="120"/>
        <w:ind w:left="567" w:right="1134"/>
        <w:jc w:val="both"/>
      </w:pPr>
      <w:r>
        <w:tab/>
        <w:t>(a)</w:t>
      </w:r>
      <w:r>
        <w:tab/>
        <w:t xml:space="preserve">Discuss how to enhance a more systematic and holistic application of SEA to all infrastructure development planning, as a means for preventing and mitigating possible adverse environmental impacts early </w:t>
      </w:r>
      <w:r w:rsidR="00044965">
        <w:t xml:space="preserve">in </w:t>
      </w:r>
      <w:r>
        <w:t xml:space="preserve">the planning stage; </w:t>
      </w:r>
    </w:p>
    <w:p w14:paraId="79F357A2" w14:textId="77777777" w:rsidR="002240F4" w:rsidRDefault="002240F4" w:rsidP="002240F4">
      <w:pPr>
        <w:spacing w:after="120"/>
        <w:ind w:left="567" w:right="1134"/>
        <w:jc w:val="both"/>
      </w:pPr>
      <w:r>
        <w:tab/>
        <w:t>(b)</w:t>
      </w:r>
      <w:r>
        <w:tab/>
        <w:t xml:space="preserve">Share good practice examples; </w:t>
      </w:r>
    </w:p>
    <w:p w14:paraId="689E2D18" w14:textId="3FC5F041" w:rsidR="002240F4" w:rsidRDefault="002240F4" w:rsidP="002240F4">
      <w:pPr>
        <w:spacing w:after="120"/>
        <w:ind w:left="567" w:right="1134"/>
        <w:jc w:val="both"/>
      </w:pPr>
      <w:r>
        <w:tab/>
        <w:t>(c)</w:t>
      </w:r>
      <w:r>
        <w:tab/>
        <w:t xml:space="preserve">Explore ways for expanding the awareness and the application of the Protocol on SEA to </w:t>
      </w:r>
      <w:r w:rsidR="00850274">
        <w:t>infrastructure development planning within and beyond the ECE region</w:t>
      </w:r>
      <w:r>
        <w:t>.</w:t>
      </w:r>
    </w:p>
    <w:p w14:paraId="6847F981" w14:textId="0D5437E9" w:rsidR="006E7FF9" w:rsidRDefault="006E7FF9" w:rsidP="006E7FF9">
      <w:pPr>
        <w:spacing w:after="120"/>
        <w:ind w:left="567" w:right="1134"/>
        <w:jc w:val="both"/>
        <w:rPr>
          <w:lang w:val="en-US"/>
        </w:rPr>
      </w:pPr>
      <w:bookmarkStart w:id="31" w:name="_Hlk38540076"/>
      <w:r>
        <w:rPr>
          <w:lang w:val="en-US"/>
        </w:rPr>
        <w:t>8.</w:t>
      </w:r>
      <w:r>
        <w:rPr>
          <w:lang w:val="en-US"/>
        </w:rPr>
        <w:tab/>
        <w:t xml:space="preserve">The </w:t>
      </w:r>
      <w:r w:rsidR="00044965">
        <w:rPr>
          <w:lang w:val="en-US"/>
        </w:rPr>
        <w:t>panelists c</w:t>
      </w:r>
      <w:r>
        <w:rPr>
          <w:lang w:val="en-US"/>
        </w:rPr>
        <w:t>ould include representatives of Parties, including from Central Asia, but also of civil society, and possibly also of International Financial Institutions, and relevant international and regional organizations</w:t>
      </w:r>
      <w:r w:rsidR="00C2115E">
        <w:rPr>
          <w:lang w:val="en-US"/>
        </w:rPr>
        <w:t>,</w:t>
      </w:r>
      <w:r>
        <w:rPr>
          <w:lang w:val="en-US"/>
        </w:rPr>
        <w:t xml:space="preserve"> referring to relevant initiatives, such as </w:t>
      </w:r>
      <w:r w:rsidR="00C2115E">
        <w:rPr>
          <w:lang w:val="en-US"/>
        </w:rPr>
        <w:t>the Su</w:t>
      </w:r>
      <w:r w:rsidRPr="004E3D48">
        <w:rPr>
          <w:lang w:val="en-US"/>
        </w:rPr>
        <w:t>stainable Infrastructure Partnership</w:t>
      </w:r>
      <w:r>
        <w:rPr>
          <w:rStyle w:val="FootnoteReference"/>
          <w:lang w:val="en-US"/>
        </w:rPr>
        <w:footnoteReference w:id="2"/>
      </w:r>
      <w:r w:rsidRPr="004E3D48">
        <w:rPr>
          <w:lang w:val="en-US"/>
        </w:rPr>
        <w:t xml:space="preserve"> </w:t>
      </w:r>
      <w:r>
        <w:rPr>
          <w:lang w:val="en-US"/>
        </w:rPr>
        <w:t xml:space="preserve">launched </w:t>
      </w:r>
      <w:r w:rsidR="00C2115E">
        <w:rPr>
          <w:lang w:val="en-US"/>
        </w:rPr>
        <w:t xml:space="preserve">by the UN Environment </w:t>
      </w:r>
      <w:r w:rsidRPr="004E3D48">
        <w:rPr>
          <w:lang w:val="en-US"/>
        </w:rPr>
        <w:t>in 2018 as a platform to promote and support integrated approaches to sustainable infrastructure planning and development.</w:t>
      </w:r>
      <w:r>
        <w:rPr>
          <w:lang w:val="en-US"/>
        </w:rPr>
        <w:t xml:space="preserve"> The Bureau however </w:t>
      </w:r>
      <w:r w:rsidR="00044965">
        <w:rPr>
          <w:lang w:val="en-US"/>
        </w:rPr>
        <w:t>emphasized that the panelists should</w:t>
      </w:r>
      <w:r>
        <w:rPr>
          <w:lang w:val="en-US"/>
        </w:rPr>
        <w:t xml:space="preserve"> </w:t>
      </w:r>
      <w:r w:rsidR="00044965">
        <w:rPr>
          <w:lang w:val="en-US"/>
        </w:rPr>
        <w:t>mainly focus o</w:t>
      </w:r>
      <w:r w:rsidR="00C2115E">
        <w:rPr>
          <w:lang w:val="en-US"/>
        </w:rPr>
        <w:t xml:space="preserve">n </w:t>
      </w:r>
      <w:r>
        <w:rPr>
          <w:lang w:val="en-US"/>
        </w:rPr>
        <w:t>the implementation of the Protocol on SEA</w:t>
      </w:r>
      <w:r w:rsidR="00044965">
        <w:rPr>
          <w:lang w:val="en-US"/>
        </w:rPr>
        <w:t>, instead of other instruments or initiatives</w:t>
      </w:r>
      <w:r>
        <w:rPr>
          <w:lang w:val="en-US"/>
        </w:rPr>
        <w:t>.</w:t>
      </w:r>
    </w:p>
    <w:bookmarkEnd w:id="31"/>
    <w:p w14:paraId="35AB012C" w14:textId="15ADE0E4" w:rsidR="008B5209" w:rsidRDefault="00C2115E" w:rsidP="00D33F89">
      <w:pPr>
        <w:spacing w:after="120"/>
        <w:ind w:left="567" w:right="1134"/>
        <w:jc w:val="both"/>
        <w:rPr>
          <w:lang w:val="en-US"/>
        </w:rPr>
      </w:pPr>
      <w:r>
        <w:rPr>
          <w:lang w:val="en-US"/>
        </w:rPr>
        <w:t>9</w:t>
      </w:r>
      <w:r w:rsidR="008B5209">
        <w:rPr>
          <w:lang w:val="en-US"/>
        </w:rPr>
        <w:t>.</w:t>
      </w:r>
      <w:r w:rsidR="008B5209">
        <w:rPr>
          <w:lang w:val="en-US"/>
        </w:rPr>
        <w:tab/>
        <w:t xml:space="preserve">The Bureau also noted that </w:t>
      </w:r>
      <w:r w:rsidR="00C80CB0" w:rsidRPr="005A5865">
        <w:rPr>
          <w:lang w:val="en-US"/>
        </w:rPr>
        <w:t xml:space="preserve">one </w:t>
      </w:r>
      <w:r w:rsidR="008B5209">
        <w:rPr>
          <w:lang w:val="en-US"/>
        </w:rPr>
        <w:t xml:space="preserve">of </w:t>
      </w:r>
      <w:r w:rsidR="00C80CB0" w:rsidRPr="005A5865">
        <w:rPr>
          <w:lang w:val="en-US"/>
        </w:rPr>
        <w:t xml:space="preserve">the two main themes </w:t>
      </w:r>
      <w:r w:rsidR="00F67B7A">
        <w:rPr>
          <w:lang w:val="en-US"/>
        </w:rPr>
        <w:t xml:space="preserve">selected </w:t>
      </w:r>
      <w:r w:rsidR="008B5209">
        <w:rPr>
          <w:lang w:val="en-US"/>
        </w:rPr>
        <w:t xml:space="preserve">for </w:t>
      </w:r>
      <w:r w:rsidR="00C80CB0" w:rsidRPr="005A5865">
        <w:rPr>
          <w:lang w:val="en-US"/>
        </w:rPr>
        <w:t xml:space="preserve">the Ninth Environment for Europe Ministerial Conference (Nicosia, 3–5 November 2021) </w:t>
      </w:r>
      <w:r w:rsidR="008B5209">
        <w:rPr>
          <w:lang w:val="en-US"/>
        </w:rPr>
        <w:t xml:space="preserve">was </w:t>
      </w:r>
      <w:r w:rsidR="00F67B7A">
        <w:rPr>
          <w:lang w:val="en-US"/>
        </w:rPr>
        <w:t xml:space="preserve">about </w:t>
      </w:r>
      <w:r w:rsidR="008B5209">
        <w:rPr>
          <w:lang w:val="en-US"/>
        </w:rPr>
        <w:t>sustainable infrastructure: “</w:t>
      </w:r>
      <w:r w:rsidR="008B5209" w:rsidRPr="00C80CB0">
        <w:rPr>
          <w:lang w:val="en-US"/>
        </w:rPr>
        <w:t>Greening the economy in the pan-European region: working towards sustainable infrastructure</w:t>
      </w:r>
      <w:r w:rsidR="008B5209">
        <w:rPr>
          <w:lang w:val="en-US"/>
        </w:rPr>
        <w:t>”.  It a</w:t>
      </w:r>
      <w:r w:rsidR="008B5209">
        <w:t xml:space="preserve">greed that </w:t>
      </w:r>
      <w:r w:rsidR="00F67B7A">
        <w:t xml:space="preserve">the outcomes of the panel and other relevant activities </w:t>
      </w:r>
      <w:r w:rsidR="008B5209">
        <w:t xml:space="preserve">under the Espoo Convention and its Protocol </w:t>
      </w:r>
      <w:r w:rsidR="00F67B7A">
        <w:t xml:space="preserve">should be reported at the Ministerial Conference to </w:t>
      </w:r>
      <w:r w:rsidR="008B5209">
        <w:t>enhanc</w:t>
      </w:r>
      <w:r w:rsidR="00F67B7A">
        <w:t>e</w:t>
      </w:r>
      <w:r w:rsidR="008B5209">
        <w:t xml:space="preserve"> the visibility of the treaties and </w:t>
      </w:r>
      <w:r w:rsidR="00F67B7A">
        <w:t xml:space="preserve">to </w:t>
      </w:r>
      <w:r w:rsidR="008B5209">
        <w:t xml:space="preserve">advocate their role in addressing national, regional and global challenges.  </w:t>
      </w:r>
      <w:r w:rsidR="008B5209">
        <w:rPr>
          <w:lang w:val="en-US"/>
        </w:rPr>
        <w:t xml:space="preserve"> </w:t>
      </w:r>
    </w:p>
    <w:p w14:paraId="32ABDC33" w14:textId="478AC71B" w:rsidR="00C80CB0" w:rsidRDefault="00C2115E" w:rsidP="00D33F89">
      <w:pPr>
        <w:spacing w:after="120"/>
        <w:ind w:left="567" w:right="1134"/>
        <w:jc w:val="both"/>
        <w:rPr>
          <w:lang w:val="en-US"/>
        </w:rPr>
      </w:pPr>
      <w:r>
        <w:rPr>
          <w:lang w:val="en-US"/>
        </w:rPr>
        <w:t>10</w:t>
      </w:r>
      <w:r w:rsidR="008B5209">
        <w:rPr>
          <w:lang w:val="en-US"/>
        </w:rPr>
        <w:t>.</w:t>
      </w:r>
      <w:r w:rsidR="008B5209">
        <w:rPr>
          <w:lang w:val="en-US"/>
        </w:rPr>
        <w:tab/>
      </w:r>
      <w:r w:rsidR="00C80CB0" w:rsidRPr="005A5865">
        <w:rPr>
          <w:lang w:val="en-US"/>
        </w:rPr>
        <w:t xml:space="preserve">Acknowledging that that topic </w:t>
      </w:r>
      <w:r w:rsidR="008B5209">
        <w:rPr>
          <w:lang w:val="en-US"/>
        </w:rPr>
        <w:t xml:space="preserve">of sustainable infrastructure, including energy transition, </w:t>
      </w:r>
      <w:r w:rsidR="00C80CB0" w:rsidRPr="005A5865">
        <w:rPr>
          <w:lang w:val="en-US"/>
        </w:rPr>
        <w:t xml:space="preserve">was likely to be of interest also to ministers and other heads of delegations, the Bureau agreed that the panel </w:t>
      </w:r>
      <w:r w:rsidR="008B5209">
        <w:rPr>
          <w:lang w:val="en-US"/>
        </w:rPr>
        <w:t xml:space="preserve">discussion </w:t>
      </w:r>
      <w:r w:rsidR="00C80CB0" w:rsidRPr="005A5865">
        <w:rPr>
          <w:lang w:val="en-US"/>
        </w:rPr>
        <w:t xml:space="preserve">should be organized at the very end of the general segment, that is, in the afternoon of Thursday, 10 December. That would allow those heads of delegations </w:t>
      </w:r>
      <w:r w:rsidR="00162626">
        <w:rPr>
          <w:lang w:val="en-US"/>
        </w:rPr>
        <w:t>that</w:t>
      </w:r>
      <w:r w:rsidR="00C80CB0" w:rsidRPr="005A5865">
        <w:rPr>
          <w:lang w:val="en-US"/>
        </w:rPr>
        <w:t xml:space="preserve"> planned to travel to Vilnius for the high-level segment of Friday, 11 December, to consider arriving sufficiently early on the day before to also attend the general segment’s panel discussions</w:t>
      </w:r>
      <w:r w:rsidR="00162626">
        <w:rPr>
          <w:lang w:val="en-US"/>
        </w:rPr>
        <w:t>.</w:t>
      </w:r>
    </w:p>
    <w:p w14:paraId="67987C14" w14:textId="6A0DDA51" w:rsidR="00675D28" w:rsidRPr="00675D28" w:rsidRDefault="00675D28" w:rsidP="00D33F89">
      <w:pPr>
        <w:spacing w:after="120"/>
        <w:ind w:left="567" w:right="1134"/>
        <w:jc w:val="both"/>
        <w:rPr>
          <w:i/>
          <w:iCs/>
        </w:rPr>
      </w:pPr>
      <w:bookmarkStart w:id="32" w:name="_Hlk38548341"/>
      <w:r w:rsidRPr="00675D28">
        <w:rPr>
          <w:i/>
          <w:iCs/>
          <w:lang w:val="en-US"/>
        </w:rPr>
        <w:t>Background information</w:t>
      </w:r>
    </w:p>
    <w:bookmarkEnd w:id="32"/>
    <w:p w14:paraId="7C98CB5D" w14:textId="2946763E" w:rsidR="00675D28" w:rsidRDefault="00C2115E" w:rsidP="00675D28">
      <w:pPr>
        <w:spacing w:after="120"/>
        <w:ind w:left="567" w:right="1134"/>
        <w:jc w:val="both"/>
      </w:pPr>
      <w:r>
        <w:t>11</w:t>
      </w:r>
      <w:r w:rsidR="001950D3">
        <w:t xml:space="preserve">. </w:t>
      </w:r>
      <w:r w:rsidR="00675D28">
        <w:tab/>
        <w:t xml:space="preserve">As a basis for its deliberations, the Bureau considered </w:t>
      </w:r>
      <w:r w:rsidR="00162626">
        <w:t xml:space="preserve">some </w:t>
      </w:r>
      <w:r w:rsidR="00675D28">
        <w:t>background information provided by the secretariat, including the following excerpt from a draft inter-</w:t>
      </w:r>
      <w:r w:rsidR="00675D28">
        <w:lastRenderedPageBreak/>
        <w:t>agency statement on sustainable infrastructure and how an integrated approach can build bridges towards Agenda 2030.</w:t>
      </w:r>
      <w:r w:rsidR="002240F4" w:rsidRPr="002240F4">
        <w:rPr>
          <w:vertAlign w:val="superscript"/>
        </w:rPr>
        <w:t xml:space="preserve"> </w:t>
      </w:r>
      <w:r w:rsidR="002240F4" w:rsidRPr="005F5644">
        <w:rPr>
          <w:vertAlign w:val="superscript"/>
        </w:rPr>
        <w:footnoteReference w:id="3"/>
      </w:r>
      <w:r w:rsidR="00675D28">
        <w:t xml:space="preserve"> </w:t>
      </w:r>
    </w:p>
    <w:p w14:paraId="0CBEB1B0" w14:textId="57F68D3C" w:rsidR="00675D28" w:rsidRDefault="00675D28" w:rsidP="00675D28">
      <w:pPr>
        <w:spacing w:after="120"/>
        <w:ind w:left="1134" w:right="1134"/>
        <w:jc w:val="both"/>
      </w:pPr>
      <w:r>
        <w:t xml:space="preserve">Industry and innovation drive infrastructure development and consequently, economic growth. Resilient infrastructure is an essential foundation for achieving growth, sustainable development and addressing societal well-being. Furthermore, investing in infrastructure provides opportunities for employment creation, income generation and economic growth. </w:t>
      </w:r>
    </w:p>
    <w:p w14:paraId="0AB36D01" w14:textId="67DBC971" w:rsidR="00675D28" w:rsidRDefault="00675D28" w:rsidP="00675D28">
      <w:pPr>
        <w:spacing w:after="120"/>
        <w:ind w:left="1134" w:right="1134"/>
        <w:jc w:val="both"/>
      </w:pPr>
      <w:r>
        <w:t xml:space="preserve">At the same time, transport and water systems, industrial facilities, extractive industries, power plants and other infrastructure affect </w:t>
      </w:r>
      <w:r w:rsidR="00664D14">
        <w:t xml:space="preserve">the </w:t>
      </w:r>
      <w:r>
        <w:t xml:space="preserve">environment. Infrastructure is also itself threatened by environmental and climate change-related risks. If poorly conceived, and not subject to a prior assessment of its potential environmental and health impacts, infrastructure may undermine sustainable development. Approximately 70% of greenhouse gases, including air pollutants, are linked to the construction and operation of infrastructure. In turn, the increasingly visible effects of climate change can pose major threats to infrastructure; buildings in coastal areas are vulnerable to sea level rise and nuclear power must shut down when the ambient temperature of the cooling water (from rivers, lakes and the sea) upon which they depend, rises beyond a certain level. Failure of infrastructure and accidents can also cause the loss of lives and severe damage to human health. Natural hazards triggering technological accidents events are on the rise and, </w:t>
      </w:r>
      <w:proofErr w:type="gramStart"/>
      <w:r>
        <w:t>in light of</w:t>
      </w:r>
      <w:proofErr w:type="gramEnd"/>
      <w:r>
        <w:t xml:space="preserve"> the expected increase in intensity and frequency of extreme weather events, existing and planned infrastructure developments need to be risk-informed, safely operated and resilient. Furthermore, the rejection of infrastructure projects at late stages due to lack of effective stakeholder consultation and public participation in their development lead to costly mitigation measures and, in many occasions, to social protests, or, in case of negative cross boarder impacts, can result to international tensions. </w:t>
      </w:r>
    </w:p>
    <w:p w14:paraId="18CD5846" w14:textId="77777777" w:rsidR="00675D28" w:rsidRDefault="00675D28" w:rsidP="00675D28">
      <w:pPr>
        <w:spacing w:after="120"/>
        <w:ind w:left="1134" w:right="1134"/>
        <w:jc w:val="both"/>
      </w:pPr>
      <w:r>
        <w:t>Effective participation of the public, including local communities, and, as needed public in other concerned countries, should be ensured at all stages of infrastructure development and its impact assessment. Planners should apply a mitigation hierarchy that prioritises efforts to avoid negative environmental impacts, followed by minimisation, then restoration, with offsetting as a last resort. Application of the mitigation hierarchy is most effective at the earliest stages of planning, when avoidance and minimization options are still cost-effective and politically feasible.</w:t>
      </w:r>
    </w:p>
    <w:p w14:paraId="0A24FFBC" w14:textId="1449C149" w:rsidR="00675D28" w:rsidRDefault="00675D28" w:rsidP="00675D28">
      <w:pPr>
        <w:spacing w:after="120"/>
        <w:ind w:left="567" w:right="1134"/>
        <w:jc w:val="both"/>
      </w:pPr>
      <w:r>
        <w:t>1</w:t>
      </w:r>
      <w:r w:rsidR="00C2115E">
        <w:t>2</w:t>
      </w:r>
      <w:r>
        <w:t>.</w:t>
      </w:r>
      <w:r>
        <w:tab/>
        <w:t xml:space="preserve">The Bureau also noted that </w:t>
      </w:r>
      <w:r w:rsidRPr="009C098B">
        <w:rPr>
          <w:b/>
          <w:bCs/>
        </w:rPr>
        <w:t>the Belt and Road Initiative</w:t>
      </w:r>
      <w:r>
        <w:t xml:space="preserve"> will importantly impact many countries in the ECE region and beyond, presenting both opportunities and risks. It would therefore be important and topical to address it during the panel discussions. The Initiative is expected to bring trillions of dollars of investment to over 60 countries</w:t>
      </w:r>
      <w:r w:rsidR="009C098B">
        <w:t>, primarily in Asia and Europe</w:t>
      </w:r>
      <w:r>
        <w:t>. It will help meet</w:t>
      </w:r>
      <w:r w:rsidR="009C098B">
        <w:t xml:space="preserve"> </w:t>
      </w:r>
      <w:r>
        <w:t>infrastructure needs for transportation, communication, energy supply and industry, and presents a major opportunity to enhance connectivity and economic prosperity as well as to boost socio-economic and institutional development and regional cooperation</w:t>
      </w:r>
      <w:r w:rsidR="009C098B">
        <w:t xml:space="preserve"> for example </w:t>
      </w:r>
      <w:r>
        <w:t xml:space="preserve">in Central Asia. If investments in carbon-intensive infrastructure can be avoided, the initiative is an excellent opportunity for countries to develop green infrastructure, clean energy and clean technology and human capital that will help to work towards the 2030 Agenda for Sustainable Development.  </w:t>
      </w:r>
      <w:r w:rsidR="00C86F89">
        <w:t>At the same time, important e</w:t>
      </w:r>
      <w:r>
        <w:t xml:space="preserve">fforts will be needed to green the Belt and Road initiative by ensuring that environmental safeguards are in place, and that the related plans and projects include effective stakeholder engagement. In absence of such safeguards, substantial and irreversible environmental impacts are likely (including contamination of water, air </w:t>
      </w:r>
      <w:r>
        <w:lastRenderedPageBreak/>
        <w:t xml:space="preserve">pollution and impact on climate; destruction and fragmentation of habitats, nature reserves and migratory paths, deforestation and soil erosion.) </w:t>
      </w:r>
    </w:p>
    <w:p w14:paraId="6BAEF53E" w14:textId="34D9B50F" w:rsidR="001540EF" w:rsidRDefault="0089746E" w:rsidP="00F97506">
      <w:pPr>
        <w:spacing w:after="120"/>
        <w:ind w:left="567" w:right="1134"/>
        <w:jc w:val="both"/>
      </w:pPr>
      <w:r>
        <w:t>13.</w:t>
      </w:r>
      <w:r>
        <w:tab/>
        <w:t xml:space="preserve">The Bureau agreed that </w:t>
      </w:r>
      <w:r w:rsidR="005F0117">
        <w:t xml:space="preserve">the panel should also cover the role of SEA (and EIA) in promoting </w:t>
      </w:r>
      <w:r w:rsidRPr="005F0117">
        <w:rPr>
          <w:b/>
          <w:bCs/>
        </w:rPr>
        <w:t>energy transition</w:t>
      </w:r>
      <w:r w:rsidR="005F0117">
        <w:t xml:space="preserve">, as that was key for </w:t>
      </w:r>
      <w:r>
        <w:t>meet</w:t>
      </w:r>
      <w:r w:rsidR="005F0117">
        <w:t>ing</w:t>
      </w:r>
      <w:r>
        <w:t xml:space="preserve"> the Paris Agreement objectives and to achieve the Sustainable Development Goal 7 on sustainable energy. </w:t>
      </w:r>
      <w:r w:rsidR="005F0117">
        <w:t xml:space="preserve">The </w:t>
      </w:r>
      <w:r>
        <w:t xml:space="preserve">transformation of the energy sector from fossil-based to zero-carbon, </w:t>
      </w:r>
      <w:r w:rsidR="005F0117">
        <w:t xml:space="preserve">was </w:t>
      </w:r>
      <w:r>
        <w:t>largely motivated by the need to reduce energy-related CO2 emissions to limit climate change</w:t>
      </w:r>
      <w:r w:rsidR="005F0117">
        <w:t xml:space="preserve">, and required </w:t>
      </w:r>
      <w:r>
        <w:t>urgent action, at national, regional and global scale.</w:t>
      </w:r>
      <w:r w:rsidR="005F0117">
        <w:t xml:space="preserve"> These would importantly include r</w:t>
      </w:r>
      <w:r>
        <w:t xml:space="preserve">enewable energy and energy efficiency measures. </w:t>
      </w:r>
      <w:r w:rsidR="005F0117">
        <w:t xml:space="preserve">The Bureau pointed out that six </w:t>
      </w:r>
      <w:r>
        <w:t xml:space="preserve">past panels or seminars have focused on the application of the Convention and the Protocol to energy related activities and </w:t>
      </w:r>
      <w:r w:rsidR="005F0117">
        <w:t xml:space="preserve">that </w:t>
      </w:r>
      <w:r>
        <w:t xml:space="preserve">climate change </w:t>
      </w:r>
      <w:r w:rsidR="005F0117">
        <w:t>had been</w:t>
      </w:r>
      <w:r>
        <w:t xml:space="preserve"> discussed at the </w:t>
      </w:r>
      <w:r w:rsidR="005F0117">
        <w:t xml:space="preserve">at the </w:t>
      </w:r>
      <w:r>
        <w:t xml:space="preserve">sessions of the Meeting of the Parties </w:t>
      </w:r>
      <w:r w:rsidR="00684D94">
        <w:t xml:space="preserve">held </w:t>
      </w:r>
      <w:r>
        <w:t xml:space="preserve">in Minsk on 2017. </w:t>
      </w:r>
      <w:r w:rsidR="00684D94">
        <w:t>It recommended therefore, that the f</w:t>
      </w:r>
      <w:r>
        <w:t>urther discussions on th</w:t>
      </w:r>
      <w:r w:rsidR="00684D94">
        <w:t xml:space="preserve">e </w:t>
      </w:r>
      <w:r>
        <w:t xml:space="preserve">topic </w:t>
      </w:r>
      <w:r w:rsidR="00684D94">
        <w:t xml:space="preserve">of energy would </w:t>
      </w:r>
      <w:r>
        <w:t xml:space="preserve">refer to the past ones. </w:t>
      </w:r>
      <w:r w:rsidR="00684D94">
        <w:t xml:space="preserve">As needed </w:t>
      </w:r>
      <w:r>
        <w:t>Cooperation and input from the ECE Sustainable Development Division could again be sought.</w:t>
      </w:r>
    </w:p>
    <w:p w14:paraId="4E80F6C5" w14:textId="721C174B" w:rsidR="00182453" w:rsidRPr="001540EF" w:rsidRDefault="001540EF" w:rsidP="001540EF">
      <w:pPr>
        <w:suppressAutoHyphens w:val="0"/>
        <w:autoSpaceDE w:val="0"/>
        <w:autoSpaceDN w:val="0"/>
        <w:adjustRightInd w:val="0"/>
        <w:spacing w:line="240" w:lineRule="auto"/>
        <w:rPr>
          <w:b/>
          <w:bCs/>
          <w:sz w:val="24"/>
          <w:szCs w:val="24"/>
        </w:rPr>
      </w:pPr>
      <w:bookmarkStart w:id="33" w:name="_Hlk38547450"/>
      <w:r w:rsidRPr="001540EF">
        <w:rPr>
          <w:b/>
          <w:bCs/>
          <w:sz w:val="24"/>
          <w:szCs w:val="24"/>
        </w:rPr>
        <w:t>B.</w:t>
      </w:r>
      <w:r w:rsidRPr="001540EF">
        <w:rPr>
          <w:b/>
          <w:bCs/>
          <w:sz w:val="24"/>
          <w:szCs w:val="24"/>
        </w:rPr>
        <w:tab/>
        <w:t>High-level segment</w:t>
      </w:r>
    </w:p>
    <w:bookmarkEnd w:id="33"/>
    <w:p w14:paraId="76B1F57C" w14:textId="0E40F8DF" w:rsidR="001540EF" w:rsidRDefault="00AB07D3" w:rsidP="001540EF">
      <w:pPr>
        <w:spacing w:after="120"/>
        <w:ind w:left="567" w:right="1134"/>
      </w:pPr>
      <w:r>
        <w:br/>
      </w:r>
      <w:r w:rsidR="001540EF">
        <w:t>1</w:t>
      </w:r>
      <w:r w:rsidR="00684D94">
        <w:t>4</w:t>
      </w:r>
      <w:r w:rsidR="001540EF">
        <w:t>.</w:t>
      </w:r>
      <w:r w:rsidR="001540EF">
        <w:tab/>
        <w:t xml:space="preserve">The Bureau also discussed the preparation and the contents of the Convention’s high-level 30-year anniversary event, recommending the following: </w:t>
      </w:r>
    </w:p>
    <w:p w14:paraId="242381CC" w14:textId="77777777" w:rsidR="001540EF" w:rsidRDefault="001540EF" w:rsidP="001540EF">
      <w:pPr>
        <w:spacing w:after="120"/>
        <w:ind w:left="567" w:right="1134"/>
      </w:pPr>
      <w:r>
        <w:tab/>
        <w:t xml:space="preserve">(a) </w:t>
      </w:r>
      <w:r>
        <w:tab/>
        <w:t xml:space="preserve">The preparation by the secretariat of a video presenting the Convention and its benefits; </w:t>
      </w:r>
    </w:p>
    <w:p w14:paraId="01372A62" w14:textId="77777777" w:rsidR="001540EF" w:rsidRDefault="001540EF" w:rsidP="001540EF">
      <w:pPr>
        <w:spacing w:after="120"/>
        <w:ind w:left="567" w:right="1134"/>
      </w:pPr>
      <w:r>
        <w:tab/>
        <w:t>(b)</w:t>
      </w:r>
      <w:r>
        <w:tab/>
        <w:t xml:space="preserve">Obtaining a video message from the United Nation’s Secretary General on the Convention; </w:t>
      </w:r>
    </w:p>
    <w:p w14:paraId="3C6198B7" w14:textId="77777777" w:rsidR="001540EF" w:rsidRDefault="001540EF" w:rsidP="001540EF">
      <w:pPr>
        <w:spacing w:after="120"/>
        <w:ind w:left="567" w:right="1134"/>
      </w:pPr>
      <w:r>
        <w:tab/>
        <w:t>(c)</w:t>
      </w:r>
      <w:r>
        <w:tab/>
        <w:t xml:space="preserve">Resources permitting, the preparation of another video that would illustrate key people, major events and deliverables from the Convention’s past and present, featuring, for example: </w:t>
      </w:r>
      <w:proofErr w:type="gramStart"/>
      <w:r>
        <w:t>the</w:t>
      </w:r>
      <w:proofErr w:type="gramEnd"/>
      <w:r>
        <w:t xml:space="preserve"> Chairs of the treaty bodies; Meetings of the Parties’ sessions and their hosts; the secretaries to the Convention; and the publications issued. The Bureau called for volunteering Parties or stakeholders to take on the preparation of the video;</w:t>
      </w:r>
    </w:p>
    <w:p w14:paraId="288CF4AB" w14:textId="120EABED" w:rsidR="001540EF" w:rsidRDefault="001540EF" w:rsidP="001540EF">
      <w:pPr>
        <w:spacing w:after="120"/>
        <w:ind w:left="567" w:right="1134"/>
        <w:jc w:val="both"/>
      </w:pPr>
      <w:r>
        <w:tab/>
        <w:t>(d)</w:t>
      </w:r>
      <w:r>
        <w:tab/>
        <w:t>Soliciting interventions by invited high-level representatives of Parties, future Parties and stakeholders representing different sub-regions, highlighting the Convention’s benefits to their countries and sub-regions.</w:t>
      </w:r>
    </w:p>
    <w:p w14:paraId="57E64B1C" w14:textId="77777777" w:rsidR="00AB07D3" w:rsidRDefault="00AB07D3" w:rsidP="001540EF">
      <w:pPr>
        <w:spacing w:after="120"/>
        <w:ind w:left="567" w:right="1134"/>
        <w:jc w:val="both"/>
      </w:pPr>
    </w:p>
    <w:p w14:paraId="3245D3CB" w14:textId="19FEACF3" w:rsidR="001540EF" w:rsidRPr="001540EF" w:rsidRDefault="001540EF" w:rsidP="001540EF">
      <w:pPr>
        <w:spacing w:after="120"/>
        <w:ind w:right="1134"/>
        <w:jc w:val="both"/>
        <w:rPr>
          <w:b/>
          <w:bCs/>
          <w:sz w:val="24"/>
          <w:szCs w:val="24"/>
        </w:rPr>
      </w:pPr>
      <w:r w:rsidRPr="001540EF">
        <w:rPr>
          <w:b/>
          <w:bCs/>
          <w:sz w:val="24"/>
          <w:szCs w:val="24"/>
        </w:rPr>
        <w:t>C.</w:t>
      </w:r>
      <w:r w:rsidRPr="001540EF">
        <w:rPr>
          <w:b/>
          <w:bCs/>
          <w:sz w:val="24"/>
          <w:szCs w:val="24"/>
        </w:rPr>
        <w:tab/>
      </w:r>
      <w:r w:rsidR="00162626">
        <w:rPr>
          <w:b/>
          <w:bCs/>
          <w:sz w:val="24"/>
          <w:szCs w:val="24"/>
        </w:rPr>
        <w:t>A p</w:t>
      </w:r>
      <w:r>
        <w:rPr>
          <w:b/>
          <w:bCs/>
          <w:sz w:val="24"/>
          <w:szCs w:val="24"/>
        </w:rPr>
        <w:t>ossible side event on (smart and) sustainable cities</w:t>
      </w:r>
    </w:p>
    <w:p w14:paraId="70C149E1" w14:textId="052F96E9" w:rsidR="001540EF" w:rsidRDefault="00AB07D3" w:rsidP="00182453">
      <w:pPr>
        <w:spacing w:after="120"/>
        <w:ind w:left="567" w:right="1134"/>
        <w:jc w:val="both"/>
      </w:pPr>
      <w:r>
        <w:t>1</w:t>
      </w:r>
      <w:r w:rsidR="00684D94">
        <w:t>5</w:t>
      </w:r>
      <w:r w:rsidR="001540EF" w:rsidRPr="001540EF">
        <w:t>.</w:t>
      </w:r>
      <w:r w:rsidR="001540EF" w:rsidRPr="001540EF">
        <w:tab/>
        <w:t xml:space="preserve">The Bureau agreed that </w:t>
      </w:r>
      <w:r w:rsidR="00F76024">
        <w:t>the contribution of the Protocol on SEA to (</w:t>
      </w:r>
      <w:r w:rsidR="001540EF" w:rsidRPr="001540EF">
        <w:t>smart and</w:t>
      </w:r>
      <w:r w:rsidR="00F76024">
        <w:t>)</w:t>
      </w:r>
      <w:r w:rsidR="001540EF" w:rsidRPr="001540EF">
        <w:t xml:space="preserve"> sustainable cities would be </w:t>
      </w:r>
      <w:r w:rsidR="00162626">
        <w:t>another particularly</w:t>
      </w:r>
      <w:r w:rsidR="001540EF" w:rsidRPr="001540EF">
        <w:t xml:space="preserve"> interesting topic, which was linked to several topics of relevance for the application of the Protocol such as, climate change, health, and Sustainable Development Goals. The Bureau proposed that that theme be addressed during a possible side event – </w:t>
      </w:r>
      <w:proofErr w:type="gramStart"/>
      <w:r w:rsidR="001540EF" w:rsidRPr="001540EF">
        <w:t>provided that</w:t>
      </w:r>
      <w:proofErr w:type="gramEnd"/>
      <w:r w:rsidR="00FD741E">
        <w:t xml:space="preserve"> volunteering</w:t>
      </w:r>
      <w:r w:rsidR="001540EF" w:rsidRPr="001540EF">
        <w:t xml:space="preserve"> lead countries or organizations to organize it in the margins of the sessions</w:t>
      </w:r>
      <w:r w:rsidR="00FD741E" w:rsidRPr="00FD741E">
        <w:t xml:space="preserve"> </w:t>
      </w:r>
      <w:r w:rsidR="00FD741E" w:rsidRPr="001540EF">
        <w:t xml:space="preserve">would </w:t>
      </w:r>
      <w:r w:rsidR="00FD741E">
        <w:t>be identified</w:t>
      </w:r>
      <w:r w:rsidR="001540EF" w:rsidRPr="001540EF">
        <w:t>.</w:t>
      </w:r>
    </w:p>
    <w:p w14:paraId="709FA9D6" w14:textId="2C45936A" w:rsidR="0089746E" w:rsidRPr="00EF3446" w:rsidRDefault="0089746E" w:rsidP="0089746E">
      <w:pPr>
        <w:spacing w:after="120"/>
        <w:ind w:left="567" w:right="1134"/>
        <w:jc w:val="both"/>
      </w:pPr>
      <w:r>
        <w:t>1</w:t>
      </w:r>
      <w:r w:rsidR="00684D94">
        <w:t>6</w:t>
      </w:r>
      <w:r>
        <w:t>.</w:t>
      </w:r>
      <w:r>
        <w:tab/>
        <w:t xml:space="preserve">While cities are crucial hubs for the economic and technological development, they have, at the same time, significant environmental, health, and climate change impacts. Many cities and communities have embarked on a more sustainable path of urban and local development and are therefore important actors in achieving the </w:t>
      </w:r>
      <w:r w:rsidRPr="00CD6AA9">
        <w:t>Sustainable Development Goals</w:t>
      </w:r>
      <w:r>
        <w:t xml:space="preserve">. </w:t>
      </w:r>
    </w:p>
    <w:p w14:paraId="0AB4C5FC" w14:textId="199AEC4F" w:rsidR="006465F4" w:rsidRPr="00C83040" w:rsidRDefault="006465F4" w:rsidP="006465F4">
      <w:pPr>
        <w:spacing w:after="120"/>
        <w:ind w:left="567" w:right="1134"/>
        <w:jc w:val="both"/>
      </w:pPr>
      <w:r>
        <w:t>1</w:t>
      </w:r>
      <w:r w:rsidR="00684D94">
        <w:t>7</w:t>
      </w:r>
      <w:r>
        <w:t>.</w:t>
      </w:r>
      <w:r>
        <w:tab/>
        <w:t>T</w:t>
      </w:r>
      <w:r w:rsidRPr="00C83040">
        <w:t>he Protocol</w:t>
      </w:r>
      <w:r w:rsidR="0089746E">
        <w:t>, in turn,</w:t>
      </w:r>
      <w:r>
        <w:t xml:space="preserve"> is a key instrument for </w:t>
      </w:r>
      <w:r w:rsidRPr="00C83040">
        <w:t>integrating environmental</w:t>
      </w:r>
      <w:r>
        <w:t>, including health</w:t>
      </w:r>
      <w:r w:rsidRPr="00C83040">
        <w:t xml:space="preserve"> consideration</w:t>
      </w:r>
      <w:r>
        <w:t>s</w:t>
      </w:r>
      <w:r w:rsidRPr="00C83040">
        <w:t xml:space="preserve"> into </w:t>
      </w:r>
      <w:r>
        <w:t>regional development and town/</w:t>
      </w:r>
      <w:r w:rsidRPr="00C83040">
        <w:t>urban planning at early stage</w:t>
      </w:r>
      <w:r>
        <w:t>s</w:t>
      </w:r>
      <w:r w:rsidRPr="00C83040">
        <w:t xml:space="preserve"> of the decision-making</w:t>
      </w:r>
      <w:r>
        <w:t xml:space="preserve"> - </w:t>
      </w:r>
      <w:r w:rsidRPr="00C83040">
        <w:t>facilitating an integrated approach to sustainable urban development</w:t>
      </w:r>
      <w:r>
        <w:t>. It can h</w:t>
      </w:r>
      <w:r w:rsidRPr="00C83040">
        <w:t xml:space="preserve">elp promoting more efficient and sustainable </w:t>
      </w:r>
      <w:r>
        <w:t xml:space="preserve">planning of </w:t>
      </w:r>
      <w:r w:rsidR="00664D14">
        <w:t xml:space="preserve">urban transport, </w:t>
      </w:r>
      <w:r w:rsidRPr="00C83040">
        <w:t>water and energy infrastructure</w:t>
      </w:r>
      <w:r>
        <w:t>, contributing to the r</w:t>
      </w:r>
      <w:r w:rsidRPr="00C83040">
        <w:t>eduction of pollution and waste generation</w:t>
      </w:r>
      <w:r w:rsidR="00664D14">
        <w:t>, and to promoting sustainable mobility</w:t>
      </w:r>
      <w:r w:rsidRPr="00C83040">
        <w:t>.</w:t>
      </w:r>
    </w:p>
    <w:p w14:paraId="541BFE81" w14:textId="62171E7A" w:rsidR="006465F4" w:rsidRDefault="006465F4" w:rsidP="006465F4">
      <w:pPr>
        <w:spacing w:after="120"/>
        <w:ind w:left="567" w:right="1134"/>
        <w:jc w:val="both"/>
      </w:pPr>
      <w:r>
        <w:lastRenderedPageBreak/>
        <w:t>1</w:t>
      </w:r>
      <w:r w:rsidR="00684D94">
        <w:t>8</w:t>
      </w:r>
      <w:r>
        <w:t>.</w:t>
      </w:r>
      <w:r>
        <w:tab/>
      </w:r>
      <w:bookmarkStart w:id="34" w:name="_Hlk38552961"/>
      <w:r>
        <w:t>To</w:t>
      </w:r>
      <w:r w:rsidRPr="00F76024">
        <w:t xml:space="preserve">wn and country planning </w:t>
      </w:r>
      <w:r>
        <w:t>and</w:t>
      </w:r>
      <w:r w:rsidRPr="00F76024">
        <w:t xml:space="preserve"> land use</w:t>
      </w:r>
      <w:r>
        <w:t xml:space="preserve"> are fields where SEA is applied the most, and, therefore, Parties and stakeholders would have much practical experience to share</w:t>
      </w:r>
      <w:r w:rsidRPr="00C83040">
        <w:t>.</w:t>
      </w:r>
      <w:r>
        <w:t xml:space="preserve"> </w:t>
      </w:r>
      <w:bookmarkEnd w:id="34"/>
      <w:r>
        <w:t xml:space="preserve">At the same time, the plans at urban (local) level, have this far not yet been focused on by the treaty bodies. </w:t>
      </w:r>
    </w:p>
    <w:p w14:paraId="672D3D18" w14:textId="0BFA1BBA" w:rsidR="006465F4" w:rsidRDefault="007461E9" w:rsidP="00182453">
      <w:pPr>
        <w:spacing w:after="120"/>
        <w:ind w:left="567" w:right="1134"/>
        <w:jc w:val="both"/>
      </w:pPr>
      <w:r>
        <w:t>1</w:t>
      </w:r>
      <w:r w:rsidR="00684D94">
        <w:t>9</w:t>
      </w:r>
      <w:r>
        <w:t>.</w:t>
      </w:r>
      <w:r>
        <w:tab/>
      </w:r>
      <w:r w:rsidRPr="007461E9">
        <w:t xml:space="preserve">The </w:t>
      </w:r>
      <w:r w:rsidR="006465F4">
        <w:t xml:space="preserve">possible side </w:t>
      </w:r>
      <w:r>
        <w:t xml:space="preserve">event </w:t>
      </w:r>
      <w:r w:rsidR="0089746E">
        <w:t xml:space="preserve">on sustainable cities </w:t>
      </w:r>
      <w:r w:rsidRPr="007461E9">
        <w:t xml:space="preserve">could </w:t>
      </w:r>
      <w:r w:rsidR="006465F4">
        <w:t xml:space="preserve">provide a forum for </w:t>
      </w:r>
      <w:r w:rsidRPr="007461E9">
        <w:t xml:space="preserve"> </w:t>
      </w:r>
    </w:p>
    <w:p w14:paraId="33BFA1D6" w14:textId="53792060" w:rsidR="006465F4" w:rsidRDefault="006465F4" w:rsidP="00182453">
      <w:pPr>
        <w:spacing w:after="120"/>
        <w:ind w:left="567" w:right="1134"/>
        <w:jc w:val="both"/>
      </w:pPr>
      <w:r>
        <w:tab/>
        <w:t>(a)</w:t>
      </w:r>
      <w:r>
        <w:tab/>
        <w:t>T</w:t>
      </w:r>
      <w:r w:rsidR="007461E9" w:rsidRPr="007461E9">
        <w:t>he exchange of good practices in the application of SEA</w:t>
      </w:r>
      <w:r w:rsidRPr="006465F4">
        <w:t xml:space="preserve"> </w:t>
      </w:r>
      <w:r>
        <w:t>to urban planning (town and land-use or regional development planning)</w:t>
      </w:r>
      <w:r w:rsidR="0089746E">
        <w:t>;</w:t>
      </w:r>
    </w:p>
    <w:p w14:paraId="35B7D648" w14:textId="337B978E" w:rsidR="006465F4" w:rsidRDefault="006465F4" w:rsidP="00182453">
      <w:pPr>
        <w:spacing w:after="120"/>
        <w:ind w:left="567" w:right="1134"/>
        <w:jc w:val="both"/>
      </w:pPr>
      <w:r>
        <w:tab/>
        <w:t>(b)</w:t>
      </w:r>
      <w:r>
        <w:tab/>
      </w:r>
      <w:r w:rsidR="0089746E">
        <w:t xml:space="preserve">Addressing </w:t>
      </w:r>
      <w:r w:rsidR="007461E9" w:rsidRPr="007461E9">
        <w:t>existing challenges, in general, or regarding specific methodological aspects, for example for description of alternatives etc., or in relation to coordination and communication between tiers of government or in raising awareness of the local level about the Protocol and its application</w:t>
      </w:r>
      <w:r w:rsidR="0089746E">
        <w:t>;</w:t>
      </w:r>
    </w:p>
    <w:p w14:paraId="34D06894" w14:textId="2771F23D" w:rsidR="0089746E" w:rsidRDefault="006465F4" w:rsidP="00182453">
      <w:pPr>
        <w:spacing w:after="120"/>
        <w:ind w:left="567" w:right="1134"/>
        <w:jc w:val="both"/>
      </w:pPr>
      <w:r>
        <w:tab/>
        <w:t>(</w:t>
      </w:r>
      <w:r w:rsidR="0089746E">
        <w:t>c</w:t>
      </w:r>
      <w:r>
        <w:t>)</w:t>
      </w:r>
      <w:r>
        <w:tab/>
      </w:r>
      <w:r w:rsidR="0089746E">
        <w:t xml:space="preserve">Sharing and identifying </w:t>
      </w:r>
      <w:r w:rsidR="007461E9" w:rsidRPr="007461E9">
        <w:t>ways to overcome the challenges</w:t>
      </w:r>
      <w:r w:rsidR="0089746E">
        <w:t>;</w:t>
      </w:r>
    </w:p>
    <w:p w14:paraId="628B3F26" w14:textId="265DE3DC" w:rsidR="007461E9" w:rsidRDefault="0089746E" w:rsidP="0089746E">
      <w:pPr>
        <w:spacing w:after="120"/>
        <w:ind w:left="567" w:right="1134"/>
        <w:jc w:val="both"/>
      </w:pPr>
      <w:r>
        <w:tab/>
        <w:t>(d)</w:t>
      </w:r>
      <w:r>
        <w:tab/>
        <w:t xml:space="preserve">Drawing </w:t>
      </w:r>
      <w:r w:rsidR="007461E9" w:rsidRPr="007461E9">
        <w:t>conclusions and recommendations</w:t>
      </w:r>
      <w:r>
        <w:t>, including on</w:t>
      </w:r>
      <w:r w:rsidR="007461E9" w:rsidRPr="007461E9">
        <w:t xml:space="preserve"> possible follow-up activities for the next intersessional period(s).  </w:t>
      </w:r>
    </w:p>
    <w:p w14:paraId="0E5BA7CF" w14:textId="676847E5" w:rsidR="0089746E" w:rsidRPr="00CD6AA9" w:rsidRDefault="00684D94" w:rsidP="0089746E">
      <w:pPr>
        <w:spacing w:after="120"/>
        <w:ind w:left="567" w:right="1134"/>
        <w:jc w:val="both"/>
      </w:pPr>
      <w:r>
        <w:t>20</w:t>
      </w:r>
      <w:r w:rsidR="0089746E">
        <w:t>.</w:t>
      </w:r>
      <w:r w:rsidR="0089746E">
        <w:tab/>
      </w:r>
      <w:r w:rsidR="0089746E" w:rsidRPr="007461E9">
        <w:t>To make use of synergies with other relevant ECE sub-programmes, the event could be organised with inputs from the ECE Housing and Land Management Department that works with the association of Mayors of ECE region and the joint ECE and WHO Transport Environment Health Pan-European Programme</w:t>
      </w:r>
      <w:r w:rsidR="00664D14">
        <w:t>.</w:t>
      </w:r>
      <w:r w:rsidR="0089746E" w:rsidRPr="007461E9">
        <w:t xml:space="preserve">  </w:t>
      </w:r>
    </w:p>
    <w:p w14:paraId="5CB37007" w14:textId="31F63B28" w:rsidR="00006241" w:rsidRDefault="007461E9" w:rsidP="00684D94">
      <w:pPr>
        <w:spacing w:after="120"/>
        <w:ind w:left="567" w:right="1134"/>
        <w:jc w:val="both"/>
      </w:pPr>
      <w:r>
        <w:t>2</w:t>
      </w:r>
      <w:r w:rsidR="00684D94">
        <w:t>1</w:t>
      </w:r>
      <w:r w:rsidR="00934CBD">
        <w:t>.</w:t>
      </w:r>
      <w:r w:rsidR="00934CBD">
        <w:tab/>
        <w:t xml:space="preserve">The topic would also be of interest to countries from outside the </w:t>
      </w:r>
      <w:r w:rsidR="0089746E">
        <w:t xml:space="preserve">ECE </w:t>
      </w:r>
      <w:r w:rsidR="00934CBD">
        <w:t xml:space="preserve">region </w:t>
      </w:r>
      <w:r w:rsidR="005F72DF">
        <w:t xml:space="preserve">struggle with urban pollution and </w:t>
      </w:r>
      <w:r w:rsidR="00934CBD">
        <w:t>that would benefit from the good practice in the ECE region to</w:t>
      </w:r>
      <w:r w:rsidR="0089746E">
        <w:t xml:space="preserve"> </w:t>
      </w:r>
      <w:r w:rsidR="00934CBD">
        <w:t xml:space="preserve">address </w:t>
      </w:r>
      <w:r w:rsidR="005F72DF">
        <w:t>it</w:t>
      </w:r>
      <w:r w:rsidR="00934CBD">
        <w:t xml:space="preserve">. A country from Asia or from Central America could be invited to share their </w:t>
      </w:r>
      <w:r w:rsidR="005F72DF">
        <w:t xml:space="preserve">concerns and </w:t>
      </w:r>
      <w:r w:rsidR="00934CBD">
        <w:t>experience in this respect. (As needed, U</w:t>
      </w:r>
      <w:r w:rsidR="00C83040" w:rsidRPr="00C83040">
        <w:t>NEP</w:t>
      </w:r>
      <w:r w:rsidR="00934CBD">
        <w:t>’s</w:t>
      </w:r>
      <w:r w:rsidR="00C83040" w:rsidRPr="00C83040">
        <w:t xml:space="preserve"> Cities and </w:t>
      </w:r>
      <w:proofErr w:type="spellStart"/>
      <w:r w:rsidR="00C83040" w:rsidRPr="00C83040">
        <w:t>LifeStyles</w:t>
      </w:r>
      <w:proofErr w:type="spellEnd"/>
      <w:r w:rsidR="00C83040" w:rsidRPr="00C83040">
        <w:t xml:space="preserve"> Unit</w:t>
      </w:r>
      <w:r w:rsidR="00934CBD">
        <w:t xml:space="preserve"> </w:t>
      </w:r>
      <w:r w:rsidR="005F72DF">
        <w:t xml:space="preserve">that works on a global scale </w:t>
      </w:r>
      <w:r w:rsidR="00934CBD">
        <w:t>could be contacted for inputs)</w:t>
      </w:r>
      <w:r w:rsidR="005F72DF">
        <w:t xml:space="preserve">. </w:t>
      </w:r>
    </w:p>
    <w:p w14:paraId="4E4834CA" w14:textId="77777777" w:rsidR="00684D94" w:rsidRDefault="00684D94" w:rsidP="00684D94">
      <w:pPr>
        <w:spacing w:after="120"/>
        <w:ind w:left="567" w:right="1134"/>
        <w:jc w:val="both"/>
      </w:pPr>
    </w:p>
    <w:p w14:paraId="512147CF" w14:textId="60F49929" w:rsidR="009C3C8A" w:rsidRPr="00DF27AE" w:rsidRDefault="00684D94" w:rsidP="00684D94">
      <w:pPr>
        <w:pStyle w:val="SingleTxtG"/>
        <w:ind w:left="567"/>
        <w:jc w:val="center"/>
      </w:pPr>
      <w:r>
        <w:t>____________</w:t>
      </w:r>
    </w:p>
    <w:sectPr w:rsidR="009C3C8A" w:rsidRPr="00DF27AE" w:rsidSect="000A7DEE">
      <w:headerReference w:type="even" r:id="rId8"/>
      <w:headerReference w:type="default" r:id="rId9"/>
      <w:footerReference w:type="default" r:id="rId10"/>
      <w:endnotePr>
        <w:numFmt w:val="decimal"/>
      </w:endnotePr>
      <w:pgSz w:w="11907" w:h="16840" w:code="9"/>
      <w:pgMar w:top="1440" w:right="1440" w:bottom="1530" w:left="1440" w:header="965"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5CB6A" w14:textId="77777777" w:rsidR="00132B29" w:rsidRDefault="00132B29"/>
  </w:endnote>
  <w:endnote w:type="continuationSeparator" w:id="0">
    <w:p w14:paraId="1A1806B6" w14:textId="77777777" w:rsidR="00132B29" w:rsidRDefault="00132B29"/>
  </w:endnote>
  <w:endnote w:type="continuationNotice" w:id="1">
    <w:p w14:paraId="1D84A5E4" w14:textId="77777777" w:rsidR="00132B29" w:rsidRDefault="00132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2209" w14:textId="77777777" w:rsidR="00132B29" w:rsidRPr="00072CC7" w:rsidRDefault="00132B29" w:rsidP="00072CC7">
    <w:pPr>
      <w:pStyle w:val="Footer"/>
      <w:tabs>
        <w:tab w:val="right" w:pos="9638"/>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CF5D1" w14:textId="77777777" w:rsidR="00132B29" w:rsidRPr="000B175B" w:rsidRDefault="00132B29" w:rsidP="000B175B">
      <w:pPr>
        <w:tabs>
          <w:tab w:val="right" w:pos="2155"/>
        </w:tabs>
        <w:spacing w:after="80"/>
        <w:ind w:left="680"/>
        <w:rPr>
          <w:u w:val="single"/>
        </w:rPr>
      </w:pPr>
      <w:r>
        <w:rPr>
          <w:u w:val="single"/>
        </w:rPr>
        <w:tab/>
      </w:r>
    </w:p>
  </w:footnote>
  <w:footnote w:type="continuationSeparator" w:id="0">
    <w:p w14:paraId="4F0149D8" w14:textId="77777777" w:rsidR="00132B29" w:rsidRPr="00FC68B7" w:rsidRDefault="00132B29" w:rsidP="00FC68B7">
      <w:pPr>
        <w:tabs>
          <w:tab w:val="left" w:pos="2155"/>
        </w:tabs>
        <w:spacing w:after="80"/>
        <w:ind w:left="680"/>
        <w:rPr>
          <w:u w:val="single"/>
        </w:rPr>
      </w:pPr>
      <w:r>
        <w:rPr>
          <w:u w:val="single"/>
        </w:rPr>
        <w:tab/>
      </w:r>
    </w:p>
  </w:footnote>
  <w:footnote w:type="continuationNotice" w:id="1">
    <w:p w14:paraId="23080E03" w14:textId="77777777" w:rsidR="00132B29" w:rsidRDefault="00132B29"/>
  </w:footnote>
  <w:footnote w:id="2">
    <w:p w14:paraId="2C3BBA8F" w14:textId="77777777" w:rsidR="00132B29" w:rsidRPr="006E7FF9" w:rsidRDefault="00132B29" w:rsidP="006E7FF9">
      <w:pPr>
        <w:pStyle w:val="FootnoteText"/>
      </w:pPr>
      <w:r>
        <w:tab/>
      </w:r>
      <w:r>
        <w:tab/>
      </w:r>
      <w:r>
        <w:rPr>
          <w:rStyle w:val="FootnoteReference"/>
        </w:rPr>
        <w:footnoteRef/>
      </w:r>
      <w:r>
        <w:t xml:space="preserve"> </w:t>
      </w:r>
      <w:r w:rsidRPr="004E3D48">
        <w:t>https://www.unenvironment.org/explore-topics/green-economy/what-we-do/economic-and-fiscal-policy/sustainable-infrastructure</w:t>
      </w:r>
    </w:p>
  </w:footnote>
  <w:footnote w:id="3">
    <w:p w14:paraId="4B5E91DE" w14:textId="77777777" w:rsidR="00132B29" w:rsidRDefault="00132B29" w:rsidP="002240F4">
      <w:pPr>
        <w:pStyle w:val="FootnoteText"/>
      </w:pPr>
      <w:r>
        <w:tab/>
      </w:r>
      <w:r>
        <w:tab/>
      </w:r>
      <w:r>
        <w:rPr>
          <w:rStyle w:val="FootnoteReference"/>
        </w:rPr>
        <w:footnoteRef/>
      </w:r>
      <w:r>
        <w:t xml:space="preserve"> The finalized document is available at: </w:t>
      </w:r>
      <w:hyperlink r:id="rId1" w:history="1">
        <w:r w:rsidRPr="00521640">
          <w:rPr>
            <w:rStyle w:val="Hyperlink"/>
          </w:rPr>
          <w:t>https://www.greengrowthknowledge.org/sites/default/files/Interagency%20Statement%20On%20Sustainable%20Infrastructure_UN%20Environment.pdf</w:t>
        </w:r>
      </w:hyperlink>
    </w:p>
    <w:p w14:paraId="060ED276" w14:textId="77777777" w:rsidR="00132B29" w:rsidRPr="0037559B" w:rsidRDefault="00132B29" w:rsidP="00224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709D" w14:textId="77777777" w:rsidR="00132B29" w:rsidRPr="00687389" w:rsidRDefault="00132B29" w:rsidP="00687389">
    <w:pPr>
      <w:pStyle w:val="Header"/>
      <w:jc w:val="right"/>
    </w:pPr>
    <w:r w:rsidRPr="0007592F">
      <w:t>ECE/MP.EIA/WG.2/2020/INF.</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DF04" w14:textId="77777777" w:rsidR="00132B29" w:rsidRPr="00687389" w:rsidRDefault="00132B29" w:rsidP="00687389">
    <w:pPr>
      <w:pStyle w:val="Header"/>
    </w:pPr>
    <w:r w:rsidRPr="0007592F">
      <w:t>ECE/MP.EIA/WG.2/2020/INF.</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23B10"/>
    <w:multiLevelType w:val="hybridMultilevel"/>
    <w:tmpl w:val="243A0A42"/>
    <w:lvl w:ilvl="0" w:tplc="70025814">
      <w:numFmt w:val="bullet"/>
      <w:lvlText w:val="-"/>
      <w:lvlJc w:val="left"/>
      <w:pPr>
        <w:ind w:left="927" w:hanging="360"/>
      </w:pPr>
      <w:rPr>
        <w:rFonts w:ascii="Calibri" w:eastAsia="DengXi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182718"/>
    <w:multiLevelType w:val="hybridMultilevel"/>
    <w:tmpl w:val="9018582A"/>
    <w:lvl w:ilvl="0" w:tplc="04090015">
      <w:start w:val="1"/>
      <w:numFmt w:val="upperLetter"/>
      <w:lvlText w:val="%1."/>
      <w:lvlJc w:val="left"/>
      <w:pPr>
        <w:ind w:left="1854" w:hanging="720"/>
      </w:pPr>
      <w:rPr>
        <w:rFonts w:hint="default"/>
        <w:b/>
        <w:sz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407718"/>
    <w:multiLevelType w:val="hybridMultilevel"/>
    <w:tmpl w:val="88D6F294"/>
    <w:lvl w:ilvl="0" w:tplc="04090015">
      <w:start w:val="1"/>
      <w:numFmt w:val="upperLetter"/>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5" w15:restartNumberingAfterBreak="0">
    <w:nsid w:val="28B56C6B"/>
    <w:multiLevelType w:val="hybridMultilevel"/>
    <w:tmpl w:val="40905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3560A"/>
    <w:multiLevelType w:val="hybridMultilevel"/>
    <w:tmpl w:val="25CEA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D7064"/>
    <w:multiLevelType w:val="hybridMultilevel"/>
    <w:tmpl w:val="86AE3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D4596"/>
    <w:multiLevelType w:val="hybridMultilevel"/>
    <w:tmpl w:val="7D800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36B860BF"/>
    <w:multiLevelType w:val="hybridMultilevel"/>
    <w:tmpl w:val="9E5E1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A114B7C"/>
    <w:multiLevelType w:val="hybridMultilevel"/>
    <w:tmpl w:val="3BBC2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A8833DF"/>
    <w:multiLevelType w:val="hybridMultilevel"/>
    <w:tmpl w:val="2026DC62"/>
    <w:lvl w:ilvl="0" w:tplc="AD00824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45F4F"/>
    <w:multiLevelType w:val="hybridMultilevel"/>
    <w:tmpl w:val="40542450"/>
    <w:lvl w:ilvl="0" w:tplc="09FA14D8">
      <w:numFmt w:val="bullet"/>
      <w:lvlText w:val="•"/>
      <w:lvlJc w:val="left"/>
      <w:pPr>
        <w:ind w:left="720" w:hanging="360"/>
      </w:pPr>
      <w:rPr>
        <w:rFonts w:ascii="Verdana" w:hAnsi="Verdana"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104EA"/>
    <w:multiLevelType w:val="hybridMultilevel"/>
    <w:tmpl w:val="88D6F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47036D"/>
    <w:multiLevelType w:val="hybridMultilevel"/>
    <w:tmpl w:val="3EE08B98"/>
    <w:lvl w:ilvl="0" w:tplc="08090001">
      <w:start w:val="1"/>
      <w:numFmt w:val="bullet"/>
      <w:lvlText w:val=""/>
      <w:lvlJc w:val="left"/>
      <w:pPr>
        <w:ind w:left="-612" w:hanging="360"/>
      </w:pPr>
      <w:rPr>
        <w:rFonts w:ascii="Symbol" w:hAnsi="Symbol" w:hint="default"/>
        <w:sz w:val="20"/>
      </w:rPr>
    </w:lvl>
    <w:lvl w:ilvl="1" w:tplc="08090003">
      <w:start w:val="1"/>
      <w:numFmt w:val="bullet"/>
      <w:lvlText w:val="o"/>
      <w:lvlJc w:val="left"/>
      <w:pPr>
        <w:ind w:left="108" w:hanging="360"/>
      </w:pPr>
      <w:rPr>
        <w:rFonts w:ascii="Courier New" w:hAnsi="Courier New" w:cs="Courier New" w:hint="default"/>
      </w:rPr>
    </w:lvl>
    <w:lvl w:ilvl="2" w:tplc="08090005" w:tentative="1">
      <w:start w:val="1"/>
      <w:numFmt w:val="bullet"/>
      <w:lvlText w:val=""/>
      <w:lvlJc w:val="left"/>
      <w:pPr>
        <w:ind w:left="828" w:hanging="360"/>
      </w:pPr>
      <w:rPr>
        <w:rFonts w:ascii="Wingdings" w:hAnsi="Wingdings" w:hint="default"/>
      </w:rPr>
    </w:lvl>
    <w:lvl w:ilvl="3" w:tplc="08090001" w:tentative="1">
      <w:start w:val="1"/>
      <w:numFmt w:val="bullet"/>
      <w:lvlText w:val=""/>
      <w:lvlJc w:val="left"/>
      <w:pPr>
        <w:ind w:left="1548" w:hanging="360"/>
      </w:pPr>
      <w:rPr>
        <w:rFonts w:ascii="Symbol" w:hAnsi="Symbol" w:hint="default"/>
      </w:rPr>
    </w:lvl>
    <w:lvl w:ilvl="4" w:tplc="08090003" w:tentative="1">
      <w:start w:val="1"/>
      <w:numFmt w:val="bullet"/>
      <w:lvlText w:val="o"/>
      <w:lvlJc w:val="left"/>
      <w:pPr>
        <w:ind w:left="2268" w:hanging="360"/>
      </w:pPr>
      <w:rPr>
        <w:rFonts w:ascii="Courier New" w:hAnsi="Courier New" w:cs="Courier New" w:hint="default"/>
      </w:rPr>
    </w:lvl>
    <w:lvl w:ilvl="5" w:tplc="08090005" w:tentative="1">
      <w:start w:val="1"/>
      <w:numFmt w:val="bullet"/>
      <w:lvlText w:val=""/>
      <w:lvlJc w:val="left"/>
      <w:pPr>
        <w:ind w:left="2988" w:hanging="360"/>
      </w:pPr>
      <w:rPr>
        <w:rFonts w:ascii="Wingdings" w:hAnsi="Wingdings" w:hint="default"/>
      </w:rPr>
    </w:lvl>
    <w:lvl w:ilvl="6" w:tplc="08090001" w:tentative="1">
      <w:start w:val="1"/>
      <w:numFmt w:val="bullet"/>
      <w:lvlText w:val=""/>
      <w:lvlJc w:val="left"/>
      <w:pPr>
        <w:ind w:left="3708" w:hanging="360"/>
      </w:pPr>
      <w:rPr>
        <w:rFonts w:ascii="Symbol" w:hAnsi="Symbol" w:hint="default"/>
      </w:rPr>
    </w:lvl>
    <w:lvl w:ilvl="7" w:tplc="08090003" w:tentative="1">
      <w:start w:val="1"/>
      <w:numFmt w:val="bullet"/>
      <w:lvlText w:val="o"/>
      <w:lvlJc w:val="left"/>
      <w:pPr>
        <w:ind w:left="4428" w:hanging="360"/>
      </w:pPr>
      <w:rPr>
        <w:rFonts w:ascii="Courier New" w:hAnsi="Courier New" w:cs="Courier New" w:hint="default"/>
      </w:rPr>
    </w:lvl>
    <w:lvl w:ilvl="8" w:tplc="08090005" w:tentative="1">
      <w:start w:val="1"/>
      <w:numFmt w:val="bullet"/>
      <w:lvlText w:val=""/>
      <w:lvlJc w:val="left"/>
      <w:pPr>
        <w:ind w:left="5148" w:hanging="360"/>
      </w:pPr>
      <w:rPr>
        <w:rFonts w:ascii="Wingdings" w:hAnsi="Wingdings" w:hint="default"/>
      </w:rPr>
    </w:lvl>
  </w:abstractNum>
  <w:abstractNum w:abstractNumId="25" w15:restartNumberingAfterBreak="0">
    <w:nsid w:val="492E2632"/>
    <w:multiLevelType w:val="hybridMultilevel"/>
    <w:tmpl w:val="FCEA219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B177683"/>
    <w:multiLevelType w:val="hybridMultilevel"/>
    <w:tmpl w:val="C6E0F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5E2C38"/>
    <w:multiLevelType w:val="hybridMultilevel"/>
    <w:tmpl w:val="E236F3BC"/>
    <w:lvl w:ilvl="0" w:tplc="08090013">
      <w:start w:val="1"/>
      <w:numFmt w:val="upperRoman"/>
      <w:lvlText w:val="%1."/>
      <w:lvlJc w:val="right"/>
      <w:pPr>
        <w:ind w:left="2391" w:hanging="720"/>
      </w:pPr>
      <w:rPr>
        <w:rFonts w:hint="default"/>
        <w:b/>
        <w:sz w:val="28"/>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29" w15:restartNumberingAfterBreak="0">
    <w:nsid w:val="5ED71F3A"/>
    <w:multiLevelType w:val="hybridMultilevel"/>
    <w:tmpl w:val="5220EE2C"/>
    <w:lvl w:ilvl="0" w:tplc="08090013">
      <w:start w:val="1"/>
      <w:numFmt w:val="upperRoman"/>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1E7949"/>
    <w:multiLevelType w:val="hybridMultilevel"/>
    <w:tmpl w:val="4AEA8506"/>
    <w:lvl w:ilvl="0" w:tplc="9EAA5C06">
      <w:start w:val="1"/>
      <w:numFmt w:val="decimal"/>
      <w:lvlText w:val="%1."/>
      <w:lvlJc w:val="left"/>
      <w:pPr>
        <w:ind w:left="927" w:hanging="360"/>
      </w:pPr>
      <w:rPr>
        <w:rFonts w:ascii="Times New Roman" w:hAnsi="Times New Roman" w:hint="default"/>
        <w:sz w:val="2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2F642A0"/>
    <w:multiLevelType w:val="hybridMultilevel"/>
    <w:tmpl w:val="5FC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E7576"/>
    <w:multiLevelType w:val="hybridMultilevel"/>
    <w:tmpl w:val="15BACC10"/>
    <w:lvl w:ilvl="0" w:tplc="09FA14D8">
      <w:numFmt w:val="bullet"/>
      <w:lvlText w:val="•"/>
      <w:lvlJc w:val="left"/>
      <w:pPr>
        <w:ind w:left="720" w:hanging="360"/>
      </w:pPr>
      <w:rPr>
        <w:rFonts w:ascii="Verdana" w:hAnsi="Verdana"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51BE0"/>
    <w:multiLevelType w:val="hybridMultilevel"/>
    <w:tmpl w:val="110A1B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F3C7E"/>
    <w:multiLevelType w:val="hybridMultilevel"/>
    <w:tmpl w:val="BA782780"/>
    <w:lvl w:ilvl="0" w:tplc="E1B8F65C">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3"/>
  </w:num>
  <w:num w:numId="13">
    <w:abstractNumId w:val="11"/>
  </w:num>
  <w:num w:numId="14">
    <w:abstractNumId w:val="33"/>
  </w:num>
  <w:num w:numId="15">
    <w:abstractNumId w:val="36"/>
  </w:num>
  <w:num w:numId="16">
    <w:abstractNumId w:val="23"/>
  </w:num>
  <w:num w:numId="17">
    <w:abstractNumId w:val="26"/>
  </w:num>
  <w:num w:numId="18">
    <w:abstractNumId w:val="32"/>
  </w:num>
  <w:num w:numId="19">
    <w:abstractNumId w:val="22"/>
  </w:num>
  <w:num w:numId="20">
    <w:abstractNumId w:val="34"/>
  </w:num>
  <w:num w:numId="21">
    <w:abstractNumId w:val="17"/>
  </w:num>
  <w:num w:numId="22">
    <w:abstractNumId w:val="14"/>
  </w:num>
  <w:num w:numId="23">
    <w:abstractNumId w:val="29"/>
  </w:num>
  <w:num w:numId="24">
    <w:abstractNumId w:val="37"/>
  </w:num>
  <w:num w:numId="25">
    <w:abstractNumId w:val="28"/>
  </w:num>
  <w:num w:numId="26">
    <w:abstractNumId w:val="12"/>
  </w:num>
  <w:num w:numId="27">
    <w:abstractNumId w:val="31"/>
  </w:num>
  <w:num w:numId="28">
    <w:abstractNumId w:val="21"/>
  </w:num>
  <w:num w:numId="29">
    <w:abstractNumId w:val="15"/>
  </w:num>
  <w:num w:numId="30">
    <w:abstractNumId w:val="16"/>
  </w:num>
  <w:num w:numId="31">
    <w:abstractNumId w:val="27"/>
  </w:num>
  <w:num w:numId="32">
    <w:abstractNumId w:val="25"/>
  </w:num>
  <w:num w:numId="33">
    <w:abstractNumId w:val="24"/>
  </w:num>
  <w:num w:numId="34">
    <w:abstractNumId w:val="18"/>
  </w:num>
  <w:num w:numId="35">
    <w:abstractNumId w:val="35"/>
  </w:num>
  <w:num w:numId="36">
    <w:abstractNumId w:val="19"/>
  </w:num>
  <w:num w:numId="37">
    <w:abstractNumId w:val="20"/>
  </w:num>
  <w:num w:numId="3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9A0"/>
    <w:rsid w:val="0000177A"/>
    <w:rsid w:val="00001A20"/>
    <w:rsid w:val="000021C0"/>
    <w:rsid w:val="000023B8"/>
    <w:rsid w:val="000043CC"/>
    <w:rsid w:val="000043D2"/>
    <w:rsid w:val="00006241"/>
    <w:rsid w:val="00010403"/>
    <w:rsid w:val="00012D3A"/>
    <w:rsid w:val="000130A2"/>
    <w:rsid w:val="000165FA"/>
    <w:rsid w:val="000203B7"/>
    <w:rsid w:val="00021BF9"/>
    <w:rsid w:val="000238B0"/>
    <w:rsid w:val="0003230C"/>
    <w:rsid w:val="00034330"/>
    <w:rsid w:val="00035FAD"/>
    <w:rsid w:val="000370B7"/>
    <w:rsid w:val="000436AE"/>
    <w:rsid w:val="00044965"/>
    <w:rsid w:val="0004599B"/>
    <w:rsid w:val="00045A02"/>
    <w:rsid w:val="000463DC"/>
    <w:rsid w:val="00046B1F"/>
    <w:rsid w:val="00050F6B"/>
    <w:rsid w:val="00051058"/>
    <w:rsid w:val="000513A4"/>
    <w:rsid w:val="000514F6"/>
    <w:rsid w:val="00052CEB"/>
    <w:rsid w:val="000537E2"/>
    <w:rsid w:val="000553CE"/>
    <w:rsid w:val="000561B5"/>
    <w:rsid w:val="00057E97"/>
    <w:rsid w:val="0006405C"/>
    <w:rsid w:val="00067774"/>
    <w:rsid w:val="00067881"/>
    <w:rsid w:val="00072C8C"/>
    <w:rsid w:val="00072CC7"/>
    <w:rsid w:val="000733B5"/>
    <w:rsid w:val="000755D8"/>
    <w:rsid w:val="00080CF9"/>
    <w:rsid w:val="00081815"/>
    <w:rsid w:val="00082C95"/>
    <w:rsid w:val="00085369"/>
    <w:rsid w:val="00085A4B"/>
    <w:rsid w:val="00086F0E"/>
    <w:rsid w:val="00091BA3"/>
    <w:rsid w:val="000931C0"/>
    <w:rsid w:val="00093D07"/>
    <w:rsid w:val="000942CC"/>
    <w:rsid w:val="000951AE"/>
    <w:rsid w:val="0009609C"/>
    <w:rsid w:val="00097875"/>
    <w:rsid w:val="00097DCF"/>
    <w:rsid w:val="000A1AD0"/>
    <w:rsid w:val="000A2253"/>
    <w:rsid w:val="000A3839"/>
    <w:rsid w:val="000A472A"/>
    <w:rsid w:val="000A635C"/>
    <w:rsid w:val="000A6EC0"/>
    <w:rsid w:val="000A76D9"/>
    <w:rsid w:val="000A7DEE"/>
    <w:rsid w:val="000A7E3C"/>
    <w:rsid w:val="000B0595"/>
    <w:rsid w:val="000B13BC"/>
    <w:rsid w:val="000B175B"/>
    <w:rsid w:val="000B3A0F"/>
    <w:rsid w:val="000B4EF7"/>
    <w:rsid w:val="000C2C03"/>
    <w:rsid w:val="000C2D2E"/>
    <w:rsid w:val="000C34AA"/>
    <w:rsid w:val="000C3D5C"/>
    <w:rsid w:val="000C4CFC"/>
    <w:rsid w:val="000C50E0"/>
    <w:rsid w:val="000D0218"/>
    <w:rsid w:val="000D2331"/>
    <w:rsid w:val="000E0415"/>
    <w:rsid w:val="000E270B"/>
    <w:rsid w:val="000E3FB6"/>
    <w:rsid w:val="000E5BFF"/>
    <w:rsid w:val="000F0BB3"/>
    <w:rsid w:val="000F2C68"/>
    <w:rsid w:val="000F6325"/>
    <w:rsid w:val="0010286C"/>
    <w:rsid w:val="00104A9A"/>
    <w:rsid w:val="001103AA"/>
    <w:rsid w:val="00113D04"/>
    <w:rsid w:val="00115F08"/>
    <w:rsid w:val="0011666B"/>
    <w:rsid w:val="00116AC6"/>
    <w:rsid w:val="00116CE4"/>
    <w:rsid w:val="00117B48"/>
    <w:rsid w:val="00120404"/>
    <w:rsid w:val="00121D67"/>
    <w:rsid w:val="00127608"/>
    <w:rsid w:val="00130D4D"/>
    <w:rsid w:val="001320BB"/>
    <w:rsid w:val="00132B29"/>
    <w:rsid w:val="0013304F"/>
    <w:rsid w:val="00133435"/>
    <w:rsid w:val="00134691"/>
    <w:rsid w:val="00135043"/>
    <w:rsid w:val="00141249"/>
    <w:rsid w:val="00144221"/>
    <w:rsid w:val="001540EF"/>
    <w:rsid w:val="001545C2"/>
    <w:rsid w:val="00154A1F"/>
    <w:rsid w:val="00154FD9"/>
    <w:rsid w:val="001561CF"/>
    <w:rsid w:val="00160DA1"/>
    <w:rsid w:val="00162626"/>
    <w:rsid w:val="00165F3A"/>
    <w:rsid w:val="00165F8B"/>
    <w:rsid w:val="001705C4"/>
    <w:rsid w:val="00172CC8"/>
    <w:rsid w:val="001736A5"/>
    <w:rsid w:val="00174A32"/>
    <w:rsid w:val="00174D80"/>
    <w:rsid w:val="00175F12"/>
    <w:rsid w:val="00176AD6"/>
    <w:rsid w:val="00182453"/>
    <w:rsid w:val="001926DB"/>
    <w:rsid w:val="00192C52"/>
    <w:rsid w:val="00193DBA"/>
    <w:rsid w:val="00194B32"/>
    <w:rsid w:val="001950D3"/>
    <w:rsid w:val="00195E75"/>
    <w:rsid w:val="001969F4"/>
    <w:rsid w:val="001A3336"/>
    <w:rsid w:val="001B3E53"/>
    <w:rsid w:val="001B4B04"/>
    <w:rsid w:val="001B69B3"/>
    <w:rsid w:val="001B7949"/>
    <w:rsid w:val="001C34B2"/>
    <w:rsid w:val="001C6663"/>
    <w:rsid w:val="001C66B7"/>
    <w:rsid w:val="001C7895"/>
    <w:rsid w:val="001D0C8C"/>
    <w:rsid w:val="001D1419"/>
    <w:rsid w:val="001D14D1"/>
    <w:rsid w:val="001D156F"/>
    <w:rsid w:val="001D18FA"/>
    <w:rsid w:val="001D26DF"/>
    <w:rsid w:val="001D3A03"/>
    <w:rsid w:val="001D65E7"/>
    <w:rsid w:val="001D7C93"/>
    <w:rsid w:val="001E04C2"/>
    <w:rsid w:val="001E1D5C"/>
    <w:rsid w:val="001E3041"/>
    <w:rsid w:val="001E3044"/>
    <w:rsid w:val="001E3535"/>
    <w:rsid w:val="001E5BC1"/>
    <w:rsid w:val="001E70DB"/>
    <w:rsid w:val="001E7B67"/>
    <w:rsid w:val="001F0637"/>
    <w:rsid w:val="001F275E"/>
    <w:rsid w:val="001F38E9"/>
    <w:rsid w:val="001F3F9B"/>
    <w:rsid w:val="001F4E6C"/>
    <w:rsid w:val="00201C09"/>
    <w:rsid w:val="00202DA8"/>
    <w:rsid w:val="0020334A"/>
    <w:rsid w:val="002045F7"/>
    <w:rsid w:val="002052AC"/>
    <w:rsid w:val="002058F6"/>
    <w:rsid w:val="00206D87"/>
    <w:rsid w:val="00207083"/>
    <w:rsid w:val="002070B2"/>
    <w:rsid w:val="00211E0B"/>
    <w:rsid w:val="00216735"/>
    <w:rsid w:val="00216DE0"/>
    <w:rsid w:val="00217CE9"/>
    <w:rsid w:val="00222453"/>
    <w:rsid w:val="002240F4"/>
    <w:rsid w:val="00227B88"/>
    <w:rsid w:val="00230C33"/>
    <w:rsid w:val="002335D5"/>
    <w:rsid w:val="0023592F"/>
    <w:rsid w:val="00235D82"/>
    <w:rsid w:val="00235F9B"/>
    <w:rsid w:val="0023673F"/>
    <w:rsid w:val="00245F86"/>
    <w:rsid w:val="0024772E"/>
    <w:rsid w:val="00252489"/>
    <w:rsid w:val="002533FF"/>
    <w:rsid w:val="00256A41"/>
    <w:rsid w:val="00257073"/>
    <w:rsid w:val="00265574"/>
    <w:rsid w:val="00267F5F"/>
    <w:rsid w:val="00271140"/>
    <w:rsid w:val="002719B9"/>
    <w:rsid w:val="00271B2C"/>
    <w:rsid w:val="00275313"/>
    <w:rsid w:val="00275564"/>
    <w:rsid w:val="0027642B"/>
    <w:rsid w:val="00276F8C"/>
    <w:rsid w:val="00280492"/>
    <w:rsid w:val="00280981"/>
    <w:rsid w:val="002847EB"/>
    <w:rsid w:val="00286B4D"/>
    <w:rsid w:val="0029143E"/>
    <w:rsid w:val="00292E05"/>
    <w:rsid w:val="00293D84"/>
    <w:rsid w:val="00295B60"/>
    <w:rsid w:val="00296362"/>
    <w:rsid w:val="002A234B"/>
    <w:rsid w:val="002A47FC"/>
    <w:rsid w:val="002A5043"/>
    <w:rsid w:val="002A7731"/>
    <w:rsid w:val="002A7E7C"/>
    <w:rsid w:val="002B20E9"/>
    <w:rsid w:val="002B7A00"/>
    <w:rsid w:val="002C096C"/>
    <w:rsid w:val="002C4FD1"/>
    <w:rsid w:val="002C786B"/>
    <w:rsid w:val="002C7D6D"/>
    <w:rsid w:val="002D239B"/>
    <w:rsid w:val="002D4643"/>
    <w:rsid w:val="002D75C8"/>
    <w:rsid w:val="002E206A"/>
    <w:rsid w:val="002E57AF"/>
    <w:rsid w:val="002E5AA9"/>
    <w:rsid w:val="002E66B5"/>
    <w:rsid w:val="002F175C"/>
    <w:rsid w:val="002F1C3B"/>
    <w:rsid w:val="002F1ED8"/>
    <w:rsid w:val="002F2B7D"/>
    <w:rsid w:val="002F624C"/>
    <w:rsid w:val="00302E18"/>
    <w:rsid w:val="003041D5"/>
    <w:rsid w:val="00304D6B"/>
    <w:rsid w:val="00305357"/>
    <w:rsid w:val="00317134"/>
    <w:rsid w:val="0031713E"/>
    <w:rsid w:val="00317381"/>
    <w:rsid w:val="003229D8"/>
    <w:rsid w:val="00326212"/>
    <w:rsid w:val="00327709"/>
    <w:rsid w:val="003311B8"/>
    <w:rsid w:val="00331D43"/>
    <w:rsid w:val="00333799"/>
    <w:rsid w:val="00335E22"/>
    <w:rsid w:val="00335E75"/>
    <w:rsid w:val="00343002"/>
    <w:rsid w:val="003430BF"/>
    <w:rsid w:val="00344191"/>
    <w:rsid w:val="00352709"/>
    <w:rsid w:val="00355CEA"/>
    <w:rsid w:val="00355E5E"/>
    <w:rsid w:val="003574AD"/>
    <w:rsid w:val="00357A79"/>
    <w:rsid w:val="003619B5"/>
    <w:rsid w:val="00365763"/>
    <w:rsid w:val="00371178"/>
    <w:rsid w:val="00371D92"/>
    <w:rsid w:val="00372054"/>
    <w:rsid w:val="00372901"/>
    <w:rsid w:val="00374EC9"/>
    <w:rsid w:val="00375208"/>
    <w:rsid w:val="0037559B"/>
    <w:rsid w:val="00375F95"/>
    <w:rsid w:val="00380E4B"/>
    <w:rsid w:val="00382207"/>
    <w:rsid w:val="00384A9F"/>
    <w:rsid w:val="00386B4D"/>
    <w:rsid w:val="00387462"/>
    <w:rsid w:val="00391599"/>
    <w:rsid w:val="00392E47"/>
    <w:rsid w:val="00395075"/>
    <w:rsid w:val="0039523A"/>
    <w:rsid w:val="003A33DF"/>
    <w:rsid w:val="003A55F8"/>
    <w:rsid w:val="003A674E"/>
    <w:rsid w:val="003A6810"/>
    <w:rsid w:val="003A6C2C"/>
    <w:rsid w:val="003B2499"/>
    <w:rsid w:val="003B4680"/>
    <w:rsid w:val="003B53E2"/>
    <w:rsid w:val="003B5679"/>
    <w:rsid w:val="003B6C17"/>
    <w:rsid w:val="003B7688"/>
    <w:rsid w:val="003C15F7"/>
    <w:rsid w:val="003C1D8C"/>
    <w:rsid w:val="003C2041"/>
    <w:rsid w:val="003C261B"/>
    <w:rsid w:val="003C2CC4"/>
    <w:rsid w:val="003C3109"/>
    <w:rsid w:val="003C57B9"/>
    <w:rsid w:val="003C5AE5"/>
    <w:rsid w:val="003C76E0"/>
    <w:rsid w:val="003D4B23"/>
    <w:rsid w:val="003D54F7"/>
    <w:rsid w:val="003D6CB5"/>
    <w:rsid w:val="003E2029"/>
    <w:rsid w:val="003E34C8"/>
    <w:rsid w:val="003E479E"/>
    <w:rsid w:val="003F1EB5"/>
    <w:rsid w:val="003F6524"/>
    <w:rsid w:val="003F75CD"/>
    <w:rsid w:val="004001A4"/>
    <w:rsid w:val="00401439"/>
    <w:rsid w:val="0040230B"/>
    <w:rsid w:val="00402B99"/>
    <w:rsid w:val="00403846"/>
    <w:rsid w:val="00405864"/>
    <w:rsid w:val="00410C89"/>
    <w:rsid w:val="00411074"/>
    <w:rsid w:val="0041114B"/>
    <w:rsid w:val="00414548"/>
    <w:rsid w:val="004156DA"/>
    <w:rsid w:val="00415E5D"/>
    <w:rsid w:val="00422E03"/>
    <w:rsid w:val="00422E58"/>
    <w:rsid w:val="00423391"/>
    <w:rsid w:val="00424453"/>
    <w:rsid w:val="00424854"/>
    <w:rsid w:val="00424C20"/>
    <w:rsid w:val="00424E54"/>
    <w:rsid w:val="00426B9B"/>
    <w:rsid w:val="004309C6"/>
    <w:rsid w:val="004314B7"/>
    <w:rsid w:val="0043175A"/>
    <w:rsid w:val="004325CB"/>
    <w:rsid w:val="00434432"/>
    <w:rsid w:val="004344EB"/>
    <w:rsid w:val="00436788"/>
    <w:rsid w:val="00440A1C"/>
    <w:rsid w:val="00440F90"/>
    <w:rsid w:val="00442A83"/>
    <w:rsid w:val="00442DD3"/>
    <w:rsid w:val="00444A36"/>
    <w:rsid w:val="00444B18"/>
    <w:rsid w:val="004455E7"/>
    <w:rsid w:val="0044648C"/>
    <w:rsid w:val="00446672"/>
    <w:rsid w:val="004471BD"/>
    <w:rsid w:val="00450998"/>
    <w:rsid w:val="00450B16"/>
    <w:rsid w:val="00453C8D"/>
    <w:rsid w:val="0045495B"/>
    <w:rsid w:val="00455479"/>
    <w:rsid w:val="00455EC4"/>
    <w:rsid w:val="00460D0C"/>
    <w:rsid w:val="00460DCD"/>
    <w:rsid w:val="00461B22"/>
    <w:rsid w:val="00462D4E"/>
    <w:rsid w:val="004630DA"/>
    <w:rsid w:val="00463217"/>
    <w:rsid w:val="00466275"/>
    <w:rsid w:val="004669A4"/>
    <w:rsid w:val="00470424"/>
    <w:rsid w:val="00471778"/>
    <w:rsid w:val="00473A48"/>
    <w:rsid w:val="00476CB0"/>
    <w:rsid w:val="004774EB"/>
    <w:rsid w:val="00480FD2"/>
    <w:rsid w:val="00482860"/>
    <w:rsid w:val="004832BF"/>
    <w:rsid w:val="004834CB"/>
    <w:rsid w:val="0048397A"/>
    <w:rsid w:val="004841D1"/>
    <w:rsid w:val="0048586E"/>
    <w:rsid w:val="00485C70"/>
    <w:rsid w:val="00485CBB"/>
    <w:rsid w:val="004866B7"/>
    <w:rsid w:val="00490C60"/>
    <w:rsid w:val="0049253B"/>
    <w:rsid w:val="00495514"/>
    <w:rsid w:val="0049750A"/>
    <w:rsid w:val="004A3561"/>
    <w:rsid w:val="004B0989"/>
    <w:rsid w:val="004B10AF"/>
    <w:rsid w:val="004B349D"/>
    <w:rsid w:val="004B527B"/>
    <w:rsid w:val="004C2461"/>
    <w:rsid w:val="004C31A6"/>
    <w:rsid w:val="004C7462"/>
    <w:rsid w:val="004C7688"/>
    <w:rsid w:val="004D0352"/>
    <w:rsid w:val="004D0720"/>
    <w:rsid w:val="004D1757"/>
    <w:rsid w:val="004D2A3A"/>
    <w:rsid w:val="004D5201"/>
    <w:rsid w:val="004D7F77"/>
    <w:rsid w:val="004E65F0"/>
    <w:rsid w:val="004E77B2"/>
    <w:rsid w:val="004E7C48"/>
    <w:rsid w:val="004F491C"/>
    <w:rsid w:val="004F78DF"/>
    <w:rsid w:val="004F7CC2"/>
    <w:rsid w:val="00500459"/>
    <w:rsid w:val="00500E87"/>
    <w:rsid w:val="0050282E"/>
    <w:rsid w:val="00504B2D"/>
    <w:rsid w:val="00510FB8"/>
    <w:rsid w:val="005111B5"/>
    <w:rsid w:val="0051342F"/>
    <w:rsid w:val="00516780"/>
    <w:rsid w:val="0052136D"/>
    <w:rsid w:val="005223EF"/>
    <w:rsid w:val="00522999"/>
    <w:rsid w:val="005243A7"/>
    <w:rsid w:val="0052775E"/>
    <w:rsid w:val="00530F43"/>
    <w:rsid w:val="00531EA6"/>
    <w:rsid w:val="005323DD"/>
    <w:rsid w:val="005329FB"/>
    <w:rsid w:val="00533F78"/>
    <w:rsid w:val="00534545"/>
    <w:rsid w:val="00540CF3"/>
    <w:rsid w:val="00541F3B"/>
    <w:rsid w:val="005420F2"/>
    <w:rsid w:val="00543ECA"/>
    <w:rsid w:val="005443C4"/>
    <w:rsid w:val="005477E7"/>
    <w:rsid w:val="00550071"/>
    <w:rsid w:val="00553D63"/>
    <w:rsid w:val="00556A39"/>
    <w:rsid w:val="00557178"/>
    <w:rsid w:val="00561030"/>
    <w:rsid w:val="00562450"/>
    <w:rsid w:val="005628B6"/>
    <w:rsid w:val="00570924"/>
    <w:rsid w:val="00570DFA"/>
    <w:rsid w:val="00571274"/>
    <w:rsid w:val="00571667"/>
    <w:rsid w:val="00571A2C"/>
    <w:rsid w:val="00574A0E"/>
    <w:rsid w:val="00576AD6"/>
    <w:rsid w:val="00577B84"/>
    <w:rsid w:val="0058146C"/>
    <w:rsid w:val="0058257D"/>
    <w:rsid w:val="005828FE"/>
    <w:rsid w:val="00582E5D"/>
    <w:rsid w:val="005837C1"/>
    <w:rsid w:val="00585516"/>
    <w:rsid w:val="00594395"/>
    <w:rsid w:val="0059724D"/>
    <w:rsid w:val="005A1FFD"/>
    <w:rsid w:val="005A4A8B"/>
    <w:rsid w:val="005A5F6D"/>
    <w:rsid w:val="005B0F8A"/>
    <w:rsid w:val="005B122C"/>
    <w:rsid w:val="005B164E"/>
    <w:rsid w:val="005B264B"/>
    <w:rsid w:val="005B3DB3"/>
    <w:rsid w:val="005B4B75"/>
    <w:rsid w:val="005B4E13"/>
    <w:rsid w:val="005B5831"/>
    <w:rsid w:val="005C1F7B"/>
    <w:rsid w:val="005C342F"/>
    <w:rsid w:val="005C363C"/>
    <w:rsid w:val="005C6691"/>
    <w:rsid w:val="005C7153"/>
    <w:rsid w:val="005C7A0A"/>
    <w:rsid w:val="005C7ABA"/>
    <w:rsid w:val="005D2609"/>
    <w:rsid w:val="005D4B8C"/>
    <w:rsid w:val="005D5A1C"/>
    <w:rsid w:val="005E04EE"/>
    <w:rsid w:val="005E1B98"/>
    <w:rsid w:val="005E1F6D"/>
    <w:rsid w:val="005E3C40"/>
    <w:rsid w:val="005E3D25"/>
    <w:rsid w:val="005E41D5"/>
    <w:rsid w:val="005F0117"/>
    <w:rsid w:val="005F1D0E"/>
    <w:rsid w:val="005F5644"/>
    <w:rsid w:val="005F72DF"/>
    <w:rsid w:val="005F76B5"/>
    <w:rsid w:val="005F7B75"/>
    <w:rsid w:val="006001EE"/>
    <w:rsid w:val="00601935"/>
    <w:rsid w:val="00602BB5"/>
    <w:rsid w:val="00603655"/>
    <w:rsid w:val="00604E33"/>
    <w:rsid w:val="00605042"/>
    <w:rsid w:val="006057CA"/>
    <w:rsid w:val="0060610A"/>
    <w:rsid w:val="00607E93"/>
    <w:rsid w:val="00610026"/>
    <w:rsid w:val="00611D6C"/>
    <w:rsid w:val="00611FC4"/>
    <w:rsid w:val="00612AC5"/>
    <w:rsid w:val="006176FB"/>
    <w:rsid w:val="00621152"/>
    <w:rsid w:val="00623C65"/>
    <w:rsid w:val="006249BD"/>
    <w:rsid w:val="00625710"/>
    <w:rsid w:val="00632EBE"/>
    <w:rsid w:val="0063496F"/>
    <w:rsid w:val="006402DC"/>
    <w:rsid w:val="00640B26"/>
    <w:rsid w:val="006429E3"/>
    <w:rsid w:val="00642D00"/>
    <w:rsid w:val="006442DA"/>
    <w:rsid w:val="00644921"/>
    <w:rsid w:val="006465F4"/>
    <w:rsid w:val="006466F0"/>
    <w:rsid w:val="00646CEC"/>
    <w:rsid w:val="006513C0"/>
    <w:rsid w:val="00652D0A"/>
    <w:rsid w:val="0065365D"/>
    <w:rsid w:val="006555A1"/>
    <w:rsid w:val="00656308"/>
    <w:rsid w:val="00662908"/>
    <w:rsid w:val="00662ABE"/>
    <w:rsid w:val="00662BB6"/>
    <w:rsid w:val="00664CE6"/>
    <w:rsid w:val="00664D14"/>
    <w:rsid w:val="00664D3E"/>
    <w:rsid w:val="00665ECD"/>
    <w:rsid w:val="006661F3"/>
    <w:rsid w:val="00667470"/>
    <w:rsid w:val="00672450"/>
    <w:rsid w:val="00672F9D"/>
    <w:rsid w:val="00674E84"/>
    <w:rsid w:val="00674F64"/>
    <w:rsid w:val="00675D28"/>
    <w:rsid w:val="00676606"/>
    <w:rsid w:val="00676707"/>
    <w:rsid w:val="00676C93"/>
    <w:rsid w:val="00677C77"/>
    <w:rsid w:val="0068138A"/>
    <w:rsid w:val="00681533"/>
    <w:rsid w:val="006825CF"/>
    <w:rsid w:val="00684C21"/>
    <w:rsid w:val="00684D94"/>
    <w:rsid w:val="00685BE6"/>
    <w:rsid w:val="006869FE"/>
    <w:rsid w:val="00687389"/>
    <w:rsid w:val="00687740"/>
    <w:rsid w:val="00691375"/>
    <w:rsid w:val="00692B18"/>
    <w:rsid w:val="00697C0C"/>
    <w:rsid w:val="006A2530"/>
    <w:rsid w:val="006A2D69"/>
    <w:rsid w:val="006A4093"/>
    <w:rsid w:val="006A6F75"/>
    <w:rsid w:val="006A79B2"/>
    <w:rsid w:val="006B1217"/>
    <w:rsid w:val="006B3B3F"/>
    <w:rsid w:val="006B3D83"/>
    <w:rsid w:val="006B5205"/>
    <w:rsid w:val="006B59DB"/>
    <w:rsid w:val="006B6686"/>
    <w:rsid w:val="006B75A5"/>
    <w:rsid w:val="006C3589"/>
    <w:rsid w:val="006D11CD"/>
    <w:rsid w:val="006D37AF"/>
    <w:rsid w:val="006D51D0"/>
    <w:rsid w:val="006D5A7C"/>
    <w:rsid w:val="006D5FB9"/>
    <w:rsid w:val="006D6F2B"/>
    <w:rsid w:val="006D79D8"/>
    <w:rsid w:val="006D7DC0"/>
    <w:rsid w:val="006E226B"/>
    <w:rsid w:val="006E34DC"/>
    <w:rsid w:val="006E4532"/>
    <w:rsid w:val="006E564B"/>
    <w:rsid w:val="006E6AE4"/>
    <w:rsid w:val="006E7191"/>
    <w:rsid w:val="006E7FF9"/>
    <w:rsid w:val="006F4610"/>
    <w:rsid w:val="006F4F0D"/>
    <w:rsid w:val="006F6FFB"/>
    <w:rsid w:val="0070342C"/>
    <w:rsid w:val="00703577"/>
    <w:rsid w:val="00704F37"/>
    <w:rsid w:val="00705894"/>
    <w:rsid w:val="007078FC"/>
    <w:rsid w:val="00714027"/>
    <w:rsid w:val="007145F3"/>
    <w:rsid w:val="00714DE6"/>
    <w:rsid w:val="00722A85"/>
    <w:rsid w:val="007240F4"/>
    <w:rsid w:val="00725236"/>
    <w:rsid w:val="00725A80"/>
    <w:rsid w:val="0072632A"/>
    <w:rsid w:val="00726A4F"/>
    <w:rsid w:val="00727B22"/>
    <w:rsid w:val="0073108C"/>
    <w:rsid w:val="00732254"/>
    <w:rsid w:val="00732727"/>
    <w:rsid w:val="007327D5"/>
    <w:rsid w:val="00733C31"/>
    <w:rsid w:val="00735C2D"/>
    <w:rsid w:val="00742C0E"/>
    <w:rsid w:val="007461E9"/>
    <w:rsid w:val="00754D91"/>
    <w:rsid w:val="00760C99"/>
    <w:rsid w:val="00761690"/>
    <w:rsid w:val="007629C8"/>
    <w:rsid w:val="00764974"/>
    <w:rsid w:val="00764F3E"/>
    <w:rsid w:val="00767625"/>
    <w:rsid w:val="007677A0"/>
    <w:rsid w:val="0077047D"/>
    <w:rsid w:val="00772B4E"/>
    <w:rsid w:val="00773E6B"/>
    <w:rsid w:val="00776317"/>
    <w:rsid w:val="007801A7"/>
    <w:rsid w:val="007807D6"/>
    <w:rsid w:val="007808CC"/>
    <w:rsid w:val="00783974"/>
    <w:rsid w:val="0078551F"/>
    <w:rsid w:val="00787085"/>
    <w:rsid w:val="0078769E"/>
    <w:rsid w:val="007937A3"/>
    <w:rsid w:val="00793940"/>
    <w:rsid w:val="00794022"/>
    <w:rsid w:val="00795638"/>
    <w:rsid w:val="007963BD"/>
    <w:rsid w:val="007A3559"/>
    <w:rsid w:val="007A38B0"/>
    <w:rsid w:val="007A6522"/>
    <w:rsid w:val="007A7D46"/>
    <w:rsid w:val="007B064A"/>
    <w:rsid w:val="007B0F5A"/>
    <w:rsid w:val="007B32F5"/>
    <w:rsid w:val="007B44F8"/>
    <w:rsid w:val="007B6BA5"/>
    <w:rsid w:val="007B7B52"/>
    <w:rsid w:val="007C3390"/>
    <w:rsid w:val="007C3C55"/>
    <w:rsid w:val="007C4F4B"/>
    <w:rsid w:val="007C51E9"/>
    <w:rsid w:val="007C53D7"/>
    <w:rsid w:val="007C71C2"/>
    <w:rsid w:val="007D0609"/>
    <w:rsid w:val="007D63E5"/>
    <w:rsid w:val="007E01E9"/>
    <w:rsid w:val="007E63F3"/>
    <w:rsid w:val="007E7D1F"/>
    <w:rsid w:val="007F1C4F"/>
    <w:rsid w:val="007F5842"/>
    <w:rsid w:val="007F642D"/>
    <w:rsid w:val="007F6611"/>
    <w:rsid w:val="00800573"/>
    <w:rsid w:val="00801F5D"/>
    <w:rsid w:val="00803233"/>
    <w:rsid w:val="00803B5C"/>
    <w:rsid w:val="00803EF2"/>
    <w:rsid w:val="00805308"/>
    <w:rsid w:val="008062B8"/>
    <w:rsid w:val="00811920"/>
    <w:rsid w:val="008135D5"/>
    <w:rsid w:val="00813CB2"/>
    <w:rsid w:val="008154FF"/>
    <w:rsid w:val="00815AD0"/>
    <w:rsid w:val="008174C9"/>
    <w:rsid w:val="008204AB"/>
    <w:rsid w:val="00820994"/>
    <w:rsid w:val="0082144E"/>
    <w:rsid w:val="008242D7"/>
    <w:rsid w:val="00824B2F"/>
    <w:rsid w:val="008257B1"/>
    <w:rsid w:val="00827860"/>
    <w:rsid w:val="00832334"/>
    <w:rsid w:val="00835DBD"/>
    <w:rsid w:val="008379E1"/>
    <w:rsid w:val="00842967"/>
    <w:rsid w:val="00842C55"/>
    <w:rsid w:val="00843767"/>
    <w:rsid w:val="0084634F"/>
    <w:rsid w:val="008476C4"/>
    <w:rsid w:val="00850274"/>
    <w:rsid w:val="00854DDF"/>
    <w:rsid w:val="00854FFD"/>
    <w:rsid w:val="00855070"/>
    <w:rsid w:val="008603AC"/>
    <w:rsid w:val="00860DE4"/>
    <w:rsid w:val="0086185E"/>
    <w:rsid w:val="00861DD9"/>
    <w:rsid w:val="00862C2F"/>
    <w:rsid w:val="0086685B"/>
    <w:rsid w:val="008679D9"/>
    <w:rsid w:val="0087005B"/>
    <w:rsid w:val="008747A2"/>
    <w:rsid w:val="00876A78"/>
    <w:rsid w:val="00877C10"/>
    <w:rsid w:val="008817F7"/>
    <w:rsid w:val="0088751F"/>
    <w:rsid w:val="008878DE"/>
    <w:rsid w:val="0089460B"/>
    <w:rsid w:val="0089746E"/>
    <w:rsid w:val="008979B1"/>
    <w:rsid w:val="008A003D"/>
    <w:rsid w:val="008A175D"/>
    <w:rsid w:val="008A3258"/>
    <w:rsid w:val="008A40ED"/>
    <w:rsid w:val="008A4457"/>
    <w:rsid w:val="008A4848"/>
    <w:rsid w:val="008A484A"/>
    <w:rsid w:val="008A6B25"/>
    <w:rsid w:val="008A6B7E"/>
    <w:rsid w:val="008A6C4F"/>
    <w:rsid w:val="008B2335"/>
    <w:rsid w:val="008B3B4C"/>
    <w:rsid w:val="008B3BAC"/>
    <w:rsid w:val="008B5209"/>
    <w:rsid w:val="008C2EAC"/>
    <w:rsid w:val="008C5544"/>
    <w:rsid w:val="008D06C8"/>
    <w:rsid w:val="008D0FD0"/>
    <w:rsid w:val="008D3266"/>
    <w:rsid w:val="008D4B31"/>
    <w:rsid w:val="008D62D5"/>
    <w:rsid w:val="008D715C"/>
    <w:rsid w:val="008D76F0"/>
    <w:rsid w:val="008E0678"/>
    <w:rsid w:val="008E0AAB"/>
    <w:rsid w:val="008E65C7"/>
    <w:rsid w:val="008E68A0"/>
    <w:rsid w:val="008F0991"/>
    <w:rsid w:val="008F1802"/>
    <w:rsid w:val="008F1A16"/>
    <w:rsid w:val="008F1E30"/>
    <w:rsid w:val="008F627B"/>
    <w:rsid w:val="008F6516"/>
    <w:rsid w:val="008F67C9"/>
    <w:rsid w:val="00903E34"/>
    <w:rsid w:val="00906658"/>
    <w:rsid w:val="00910266"/>
    <w:rsid w:val="0091188B"/>
    <w:rsid w:val="0091542F"/>
    <w:rsid w:val="00915A4B"/>
    <w:rsid w:val="009205E4"/>
    <w:rsid w:val="00922117"/>
    <w:rsid w:val="009223CA"/>
    <w:rsid w:val="00924CE6"/>
    <w:rsid w:val="009264C4"/>
    <w:rsid w:val="009264D5"/>
    <w:rsid w:val="0093008D"/>
    <w:rsid w:val="00932654"/>
    <w:rsid w:val="009330ED"/>
    <w:rsid w:val="00934CBD"/>
    <w:rsid w:val="00940B38"/>
    <w:rsid w:val="00940F15"/>
    <w:rsid w:val="00940F93"/>
    <w:rsid w:val="00944ACC"/>
    <w:rsid w:val="00946131"/>
    <w:rsid w:val="00946A9C"/>
    <w:rsid w:val="0094718E"/>
    <w:rsid w:val="00947994"/>
    <w:rsid w:val="00947DC8"/>
    <w:rsid w:val="0095157F"/>
    <w:rsid w:val="00952B29"/>
    <w:rsid w:val="00953226"/>
    <w:rsid w:val="009538F4"/>
    <w:rsid w:val="00953D87"/>
    <w:rsid w:val="00955D99"/>
    <w:rsid w:val="009575BF"/>
    <w:rsid w:val="009625AB"/>
    <w:rsid w:val="0096400C"/>
    <w:rsid w:val="00964FAD"/>
    <w:rsid w:val="00965254"/>
    <w:rsid w:val="009653C5"/>
    <w:rsid w:val="00965BF2"/>
    <w:rsid w:val="009670A1"/>
    <w:rsid w:val="00971BD6"/>
    <w:rsid w:val="00971CD4"/>
    <w:rsid w:val="009760F3"/>
    <w:rsid w:val="00976C1C"/>
    <w:rsid w:val="00976CFB"/>
    <w:rsid w:val="0097740F"/>
    <w:rsid w:val="00984117"/>
    <w:rsid w:val="009926B0"/>
    <w:rsid w:val="0099647B"/>
    <w:rsid w:val="00996F07"/>
    <w:rsid w:val="00997E60"/>
    <w:rsid w:val="009A04ED"/>
    <w:rsid w:val="009A0830"/>
    <w:rsid w:val="009A0E8D"/>
    <w:rsid w:val="009A1312"/>
    <w:rsid w:val="009A19F5"/>
    <w:rsid w:val="009A463D"/>
    <w:rsid w:val="009B0C78"/>
    <w:rsid w:val="009B1CAA"/>
    <w:rsid w:val="009B20BD"/>
    <w:rsid w:val="009B25F6"/>
    <w:rsid w:val="009B26E7"/>
    <w:rsid w:val="009B4F9F"/>
    <w:rsid w:val="009B60F3"/>
    <w:rsid w:val="009B764A"/>
    <w:rsid w:val="009C098B"/>
    <w:rsid w:val="009C2206"/>
    <w:rsid w:val="009C22BF"/>
    <w:rsid w:val="009C3C8A"/>
    <w:rsid w:val="009C4AC5"/>
    <w:rsid w:val="009C51AD"/>
    <w:rsid w:val="009C7FEE"/>
    <w:rsid w:val="009D3AB3"/>
    <w:rsid w:val="009D6821"/>
    <w:rsid w:val="009D6B2B"/>
    <w:rsid w:val="009D6D3B"/>
    <w:rsid w:val="009E34D9"/>
    <w:rsid w:val="009E3AB7"/>
    <w:rsid w:val="009E568D"/>
    <w:rsid w:val="009F0C5B"/>
    <w:rsid w:val="009F18DD"/>
    <w:rsid w:val="009F1C11"/>
    <w:rsid w:val="009F3A93"/>
    <w:rsid w:val="009F5297"/>
    <w:rsid w:val="009F5E73"/>
    <w:rsid w:val="009F718B"/>
    <w:rsid w:val="009F77CC"/>
    <w:rsid w:val="00A00697"/>
    <w:rsid w:val="00A00A3F"/>
    <w:rsid w:val="00A01489"/>
    <w:rsid w:val="00A0499A"/>
    <w:rsid w:val="00A049BF"/>
    <w:rsid w:val="00A0562E"/>
    <w:rsid w:val="00A0613D"/>
    <w:rsid w:val="00A06416"/>
    <w:rsid w:val="00A066A7"/>
    <w:rsid w:val="00A0698F"/>
    <w:rsid w:val="00A1130A"/>
    <w:rsid w:val="00A1302B"/>
    <w:rsid w:val="00A15477"/>
    <w:rsid w:val="00A15955"/>
    <w:rsid w:val="00A16AFC"/>
    <w:rsid w:val="00A1771A"/>
    <w:rsid w:val="00A2112D"/>
    <w:rsid w:val="00A22B49"/>
    <w:rsid w:val="00A3026E"/>
    <w:rsid w:val="00A311A4"/>
    <w:rsid w:val="00A338F1"/>
    <w:rsid w:val="00A33958"/>
    <w:rsid w:val="00A34392"/>
    <w:rsid w:val="00A3506D"/>
    <w:rsid w:val="00A355D4"/>
    <w:rsid w:val="00A35BE0"/>
    <w:rsid w:val="00A367BB"/>
    <w:rsid w:val="00A42CF5"/>
    <w:rsid w:val="00A43FA9"/>
    <w:rsid w:val="00A454F9"/>
    <w:rsid w:val="00A45841"/>
    <w:rsid w:val="00A459E3"/>
    <w:rsid w:val="00A45BE7"/>
    <w:rsid w:val="00A512C8"/>
    <w:rsid w:val="00A559EC"/>
    <w:rsid w:val="00A6071D"/>
    <w:rsid w:val="00A62AFF"/>
    <w:rsid w:val="00A63314"/>
    <w:rsid w:val="00A63789"/>
    <w:rsid w:val="00A65E4E"/>
    <w:rsid w:val="00A66C2B"/>
    <w:rsid w:val="00A700B8"/>
    <w:rsid w:val="00A72F22"/>
    <w:rsid w:val="00A731A4"/>
    <w:rsid w:val="00A7360F"/>
    <w:rsid w:val="00A748A6"/>
    <w:rsid w:val="00A74EA0"/>
    <w:rsid w:val="00A769F4"/>
    <w:rsid w:val="00A776B4"/>
    <w:rsid w:val="00A8262E"/>
    <w:rsid w:val="00A90343"/>
    <w:rsid w:val="00A94361"/>
    <w:rsid w:val="00A9597E"/>
    <w:rsid w:val="00AA1CC4"/>
    <w:rsid w:val="00AA293C"/>
    <w:rsid w:val="00AA56D2"/>
    <w:rsid w:val="00AA5DF8"/>
    <w:rsid w:val="00AA73B1"/>
    <w:rsid w:val="00AB07D3"/>
    <w:rsid w:val="00AB375F"/>
    <w:rsid w:val="00AB3B2A"/>
    <w:rsid w:val="00AB3D36"/>
    <w:rsid w:val="00AB43FB"/>
    <w:rsid w:val="00AB62AD"/>
    <w:rsid w:val="00AC2650"/>
    <w:rsid w:val="00AC284A"/>
    <w:rsid w:val="00AD2B80"/>
    <w:rsid w:val="00AD30C6"/>
    <w:rsid w:val="00AD313E"/>
    <w:rsid w:val="00AD4844"/>
    <w:rsid w:val="00AD75B4"/>
    <w:rsid w:val="00AD7E78"/>
    <w:rsid w:val="00AE064B"/>
    <w:rsid w:val="00AE0E1D"/>
    <w:rsid w:val="00AE1A9B"/>
    <w:rsid w:val="00AE24E6"/>
    <w:rsid w:val="00AE6AC2"/>
    <w:rsid w:val="00AE77A5"/>
    <w:rsid w:val="00AE7B18"/>
    <w:rsid w:val="00AF5703"/>
    <w:rsid w:val="00B01998"/>
    <w:rsid w:val="00B0438A"/>
    <w:rsid w:val="00B11901"/>
    <w:rsid w:val="00B13DD1"/>
    <w:rsid w:val="00B15C81"/>
    <w:rsid w:val="00B21A5F"/>
    <w:rsid w:val="00B30179"/>
    <w:rsid w:val="00B31E6F"/>
    <w:rsid w:val="00B32E1F"/>
    <w:rsid w:val="00B354CD"/>
    <w:rsid w:val="00B354FB"/>
    <w:rsid w:val="00B36DE6"/>
    <w:rsid w:val="00B4010D"/>
    <w:rsid w:val="00B40506"/>
    <w:rsid w:val="00B40F2B"/>
    <w:rsid w:val="00B421C1"/>
    <w:rsid w:val="00B4222A"/>
    <w:rsid w:val="00B46323"/>
    <w:rsid w:val="00B46ADA"/>
    <w:rsid w:val="00B473C1"/>
    <w:rsid w:val="00B52D90"/>
    <w:rsid w:val="00B53221"/>
    <w:rsid w:val="00B5381C"/>
    <w:rsid w:val="00B55C71"/>
    <w:rsid w:val="00B56E4A"/>
    <w:rsid w:val="00B56E9C"/>
    <w:rsid w:val="00B60BD3"/>
    <w:rsid w:val="00B6154E"/>
    <w:rsid w:val="00B64B1F"/>
    <w:rsid w:val="00B6553F"/>
    <w:rsid w:val="00B65A30"/>
    <w:rsid w:val="00B74DD1"/>
    <w:rsid w:val="00B759EC"/>
    <w:rsid w:val="00B77D05"/>
    <w:rsid w:val="00B81206"/>
    <w:rsid w:val="00B81E12"/>
    <w:rsid w:val="00B84A9E"/>
    <w:rsid w:val="00B850A5"/>
    <w:rsid w:val="00B85F57"/>
    <w:rsid w:val="00B86459"/>
    <w:rsid w:val="00B87FE1"/>
    <w:rsid w:val="00B91296"/>
    <w:rsid w:val="00B92E53"/>
    <w:rsid w:val="00B93029"/>
    <w:rsid w:val="00B93B4B"/>
    <w:rsid w:val="00B93D4D"/>
    <w:rsid w:val="00B95CB2"/>
    <w:rsid w:val="00B96148"/>
    <w:rsid w:val="00B964E9"/>
    <w:rsid w:val="00B9744D"/>
    <w:rsid w:val="00BA003F"/>
    <w:rsid w:val="00BA2E4D"/>
    <w:rsid w:val="00BA702D"/>
    <w:rsid w:val="00BB0B0D"/>
    <w:rsid w:val="00BB2320"/>
    <w:rsid w:val="00BB2AAD"/>
    <w:rsid w:val="00BB2D96"/>
    <w:rsid w:val="00BB3945"/>
    <w:rsid w:val="00BB41BC"/>
    <w:rsid w:val="00BC2589"/>
    <w:rsid w:val="00BC3FA0"/>
    <w:rsid w:val="00BC4D61"/>
    <w:rsid w:val="00BC74E9"/>
    <w:rsid w:val="00BD3C5E"/>
    <w:rsid w:val="00BD4269"/>
    <w:rsid w:val="00BD6FCC"/>
    <w:rsid w:val="00BE1946"/>
    <w:rsid w:val="00BE3810"/>
    <w:rsid w:val="00BF1DB5"/>
    <w:rsid w:val="00BF3B37"/>
    <w:rsid w:val="00BF68A8"/>
    <w:rsid w:val="00BF714C"/>
    <w:rsid w:val="00C00616"/>
    <w:rsid w:val="00C028A6"/>
    <w:rsid w:val="00C04261"/>
    <w:rsid w:val="00C06DBE"/>
    <w:rsid w:val="00C11A03"/>
    <w:rsid w:val="00C11DDB"/>
    <w:rsid w:val="00C12180"/>
    <w:rsid w:val="00C137E3"/>
    <w:rsid w:val="00C2115E"/>
    <w:rsid w:val="00C22C0C"/>
    <w:rsid w:val="00C25AB7"/>
    <w:rsid w:val="00C274E8"/>
    <w:rsid w:val="00C27FDD"/>
    <w:rsid w:val="00C31D8D"/>
    <w:rsid w:val="00C34AE7"/>
    <w:rsid w:val="00C3504E"/>
    <w:rsid w:val="00C35F1F"/>
    <w:rsid w:val="00C37535"/>
    <w:rsid w:val="00C408A8"/>
    <w:rsid w:val="00C41146"/>
    <w:rsid w:val="00C44609"/>
    <w:rsid w:val="00C44F70"/>
    <w:rsid w:val="00C4527F"/>
    <w:rsid w:val="00C463DD"/>
    <w:rsid w:val="00C467DA"/>
    <w:rsid w:val="00C4724C"/>
    <w:rsid w:val="00C52712"/>
    <w:rsid w:val="00C53B43"/>
    <w:rsid w:val="00C54916"/>
    <w:rsid w:val="00C55E46"/>
    <w:rsid w:val="00C6067E"/>
    <w:rsid w:val="00C62678"/>
    <w:rsid w:val="00C629A0"/>
    <w:rsid w:val="00C62A40"/>
    <w:rsid w:val="00C62D58"/>
    <w:rsid w:val="00C64629"/>
    <w:rsid w:val="00C745C3"/>
    <w:rsid w:val="00C75251"/>
    <w:rsid w:val="00C75622"/>
    <w:rsid w:val="00C76756"/>
    <w:rsid w:val="00C80517"/>
    <w:rsid w:val="00C80A28"/>
    <w:rsid w:val="00C80CB0"/>
    <w:rsid w:val="00C81830"/>
    <w:rsid w:val="00C82935"/>
    <w:rsid w:val="00C83040"/>
    <w:rsid w:val="00C831C3"/>
    <w:rsid w:val="00C83EE9"/>
    <w:rsid w:val="00C86F89"/>
    <w:rsid w:val="00C870A3"/>
    <w:rsid w:val="00C870FF"/>
    <w:rsid w:val="00C91B27"/>
    <w:rsid w:val="00C92075"/>
    <w:rsid w:val="00C93EEE"/>
    <w:rsid w:val="00C96DF2"/>
    <w:rsid w:val="00CA3928"/>
    <w:rsid w:val="00CA42A6"/>
    <w:rsid w:val="00CA7673"/>
    <w:rsid w:val="00CA7941"/>
    <w:rsid w:val="00CA7F4E"/>
    <w:rsid w:val="00CB0FA6"/>
    <w:rsid w:val="00CB14F5"/>
    <w:rsid w:val="00CB3E03"/>
    <w:rsid w:val="00CB5DCD"/>
    <w:rsid w:val="00CB61B3"/>
    <w:rsid w:val="00CC017F"/>
    <w:rsid w:val="00CC0396"/>
    <w:rsid w:val="00CC0841"/>
    <w:rsid w:val="00CC0E7B"/>
    <w:rsid w:val="00CC393E"/>
    <w:rsid w:val="00CC4881"/>
    <w:rsid w:val="00CC56FE"/>
    <w:rsid w:val="00CC5A26"/>
    <w:rsid w:val="00CC6FB4"/>
    <w:rsid w:val="00CD24FD"/>
    <w:rsid w:val="00CD55BB"/>
    <w:rsid w:val="00CD6AA9"/>
    <w:rsid w:val="00CD7628"/>
    <w:rsid w:val="00CE0C56"/>
    <w:rsid w:val="00CE285F"/>
    <w:rsid w:val="00CE4A8F"/>
    <w:rsid w:val="00CE5B4D"/>
    <w:rsid w:val="00CE7F47"/>
    <w:rsid w:val="00CF0A74"/>
    <w:rsid w:val="00CF159D"/>
    <w:rsid w:val="00CF36C1"/>
    <w:rsid w:val="00CF389A"/>
    <w:rsid w:val="00CF6745"/>
    <w:rsid w:val="00CF72AD"/>
    <w:rsid w:val="00D02901"/>
    <w:rsid w:val="00D03133"/>
    <w:rsid w:val="00D05CDB"/>
    <w:rsid w:val="00D07BD5"/>
    <w:rsid w:val="00D11E36"/>
    <w:rsid w:val="00D15727"/>
    <w:rsid w:val="00D169F1"/>
    <w:rsid w:val="00D177BF"/>
    <w:rsid w:val="00D17916"/>
    <w:rsid w:val="00D17FC1"/>
    <w:rsid w:val="00D2031B"/>
    <w:rsid w:val="00D20CFE"/>
    <w:rsid w:val="00D235D1"/>
    <w:rsid w:val="00D24525"/>
    <w:rsid w:val="00D25FE2"/>
    <w:rsid w:val="00D26270"/>
    <w:rsid w:val="00D314A5"/>
    <w:rsid w:val="00D32638"/>
    <w:rsid w:val="00D33F89"/>
    <w:rsid w:val="00D36A5E"/>
    <w:rsid w:val="00D42FE5"/>
    <w:rsid w:val="00D43252"/>
    <w:rsid w:val="00D44F86"/>
    <w:rsid w:val="00D451F4"/>
    <w:rsid w:val="00D45A02"/>
    <w:rsid w:val="00D45F66"/>
    <w:rsid w:val="00D478D2"/>
    <w:rsid w:val="00D47EEA"/>
    <w:rsid w:val="00D502B9"/>
    <w:rsid w:val="00D50963"/>
    <w:rsid w:val="00D50C27"/>
    <w:rsid w:val="00D563D1"/>
    <w:rsid w:val="00D61B32"/>
    <w:rsid w:val="00D652A5"/>
    <w:rsid w:val="00D65774"/>
    <w:rsid w:val="00D65FEB"/>
    <w:rsid w:val="00D67D77"/>
    <w:rsid w:val="00D71A30"/>
    <w:rsid w:val="00D74314"/>
    <w:rsid w:val="00D74FD8"/>
    <w:rsid w:val="00D77306"/>
    <w:rsid w:val="00D773DF"/>
    <w:rsid w:val="00D801C8"/>
    <w:rsid w:val="00D8172F"/>
    <w:rsid w:val="00D821E3"/>
    <w:rsid w:val="00D8634A"/>
    <w:rsid w:val="00D86C43"/>
    <w:rsid w:val="00D87085"/>
    <w:rsid w:val="00D91253"/>
    <w:rsid w:val="00D92A54"/>
    <w:rsid w:val="00D95303"/>
    <w:rsid w:val="00D978C6"/>
    <w:rsid w:val="00DA11E6"/>
    <w:rsid w:val="00DA3733"/>
    <w:rsid w:val="00DA3826"/>
    <w:rsid w:val="00DA3C1C"/>
    <w:rsid w:val="00DA510B"/>
    <w:rsid w:val="00DA733A"/>
    <w:rsid w:val="00DB0E6A"/>
    <w:rsid w:val="00DB2A48"/>
    <w:rsid w:val="00DB334C"/>
    <w:rsid w:val="00DB3DFB"/>
    <w:rsid w:val="00DB75ED"/>
    <w:rsid w:val="00DB79C9"/>
    <w:rsid w:val="00DC5061"/>
    <w:rsid w:val="00DD054B"/>
    <w:rsid w:val="00DD0CBB"/>
    <w:rsid w:val="00DD3246"/>
    <w:rsid w:val="00DD45AF"/>
    <w:rsid w:val="00DD4D6D"/>
    <w:rsid w:val="00DD7055"/>
    <w:rsid w:val="00DE0810"/>
    <w:rsid w:val="00DE0FB2"/>
    <w:rsid w:val="00DE2C76"/>
    <w:rsid w:val="00DE633B"/>
    <w:rsid w:val="00DE7F69"/>
    <w:rsid w:val="00DF2618"/>
    <w:rsid w:val="00DF27AE"/>
    <w:rsid w:val="00E027C3"/>
    <w:rsid w:val="00E03261"/>
    <w:rsid w:val="00E046DF"/>
    <w:rsid w:val="00E13BB7"/>
    <w:rsid w:val="00E16492"/>
    <w:rsid w:val="00E170A3"/>
    <w:rsid w:val="00E20B60"/>
    <w:rsid w:val="00E225CA"/>
    <w:rsid w:val="00E22D2D"/>
    <w:rsid w:val="00E23A5F"/>
    <w:rsid w:val="00E248D5"/>
    <w:rsid w:val="00E27346"/>
    <w:rsid w:val="00E32563"/>
    <w:rsid w:val="00E35C06"/>
    <w:rsid w:val="00E36ACA"/>
    <w:rsid w:val="00E4097B"/>
    <w:rsid w:val="00E41014"/>
    <w:rsid w:val="00E414E7"/>
    <w:rsid w:val="00E44AFD"/>
    <w:rsid w:val="00E460EC"/>
    <w:rsid w:val="00E47636"/>
    <w:rsid w:val="00E5001F"/>
    <w:rsid w:val="00E5054E"/>
    <w:rsid w:val="00E50FEA"/>
    <w:rsid w:val="00E5476C"/>
    <w:rsid w:val="00E5616C"/>
    <w:rsid w:val="00E57814"/>
    <w:rsid w:val="00E57988"/>
    <w:rsid w:val="00E6055D"/>
    <w:rsid w:val="00E6169D"/>
    <w:rsid w:val="00E64483"/>
    <w:rsid w:val="00E667D9"/>
    <w:rsid w:val="00E674F6"/>
    <w:rsid w:val="00E67A68"/>
    <w:rsid w:val="00E7000F"/>
    <w:rsid w:val="00E7046F"/>
    <w:rsid w:val="00E71BC8"/>
    <w:rsid w:val="00E7244A"/>
    <w:rsid w:val="00E7260F"/>
    <w:rsid w:val="00E728D3"/>
    <w:rsid w:val="00E72B58"/>
    <w:rsid w:val="00E72C5F"/>
    <w:rsid w:val="00E733EC"/>
    <w:rsid w:val="00E73F5D"/>
    <w:rsid w:val="00E74B39"/>
    <w:rsid w:val="00E74E26"/>
    <w:rsid w:val="00E7643A"/>
    <w:rsid w:val="00E77E4E"/>
    <w:rsid w:val="00E77F36"/>
    <w:rsid w:val="00E82AAC"/>
    <w:rsid w:val="00E82ED2"/>
    <w:rsid w:val="00E839EB"/>
    <w:rsid w:val="00E86C86"/>
    <w:rsid w:val="00E87EFD"/>
    <w:rsid w:val="00E926F7"/>
    <w:rsid w:val="00E928DE"/>
    <w:rsid w:val="00E92B09"/>
    <w:rsid w:val="00E92F01"/>
    <w:rsid w:val="00E92F16"/>
    <w:rsid w:val="00E945B9"/>
    <w:rsid w:val="00E94839"/>
    <w:rsid w:val="00E96630"/>
    <w:rsid w:val="00E96EF1"/>
    <w:rsid w:val="00EA2775"/>
    <w:rsid w:val="00EA2C07"/>
    <w:rsid w:val="00EB1138"/>
    <w:rsid w:val="00EB1975"/>
    <w:rsid w:val="00EB1E69"/>
    <w:rsid w:val="00EB3A1B"/>
    <w:rsid w:val="00EB40B2"/>
    <w:rsid w:val="00EB53AC"/>
    <w:rsid w:val="00EB62FF"/>
    <w:rsid w:val="00EB70E7"/>
    <w:rsid w:val="00EC08B0"/>
    <w:rsid w:val="00EC2522"/>
    <w:rsid w:val="00EC376B"/>
    <w:rsid w:val="00EC44A6"/>
    <w:rsid w:val="00EC767F"/>
    <w:rsid w:val="00ED0FE5"/>
    <w:rsid w:val="00ED3496"/>
    <w:rsid w:val="00ED5AD2"/>
    <w:rsid w:val="00ED7A2A"/>
    <w:rsid w:val="00EE15D4"/>
    <w:rsid w:val="00EE36A0"/>
    <w:rsid w:val="00EE3DDA"/>
    <w:rsid w:val="00EE465B"/>
    <w:rsid w:val="00EE48A3"/>
    <w:rsid w:val="00EE5330"/>
    <w:rsid w:val="00EF08BA"/>
    <w:rsid w:val="00EF1D7F"/>
    <w:rsid w:val="00EF25C6"/>
    <w:rsid w:val="00EF3148"/>
    <w:rsid w:val="00EF3446"/>
    <w:rsid w:val="00EF370C"/>
    <w:rsid w:val="00EF371C"/>
    <w:rsid w:val="00EF554F"/>
    <w:rsid w:val="00EF63B5"/>
    <w:rsid w:val="00EF64C4"/>
    <w:rsid w:val="00EF6701"/>
    <w:rsid w:val="00EF7F41"/>
    <w:rsid w:val="00F012C6"/>
    <w:rsid w:val="00F03C62"/>
    <w:rsid w:val="00F03F14"/>
    <w:rsid w:val="00F04CAC"/>
    <w:rsid w:val="00F06F38"/>
    <w:rsid w:val="00F10D41"/>
    <w:rsid w:val="00F13E01"/>
    <w:rsid w:val="00F17CD5"/>
    <w:rsid w:val="00F21875"/>
    <w:rsid w:val="00F218FA"/>
    <w:rsid w:val="00F2510A"/>
    <w:rsid w:val="00F31E5F"/>
    <w:rsid w:val="00F33BC7"/>
    <w:rsid w:val="00F45C80"/>
    <w:rsid w:val="00F50602"/>
    <w:rsid w:val="00F52366"/>
    <w:rsid w:val="00F529AF"/>
    <w:rsid w:val="00F54E70"/>
    <w:rsid w:val="00F56C8E"/>
    <w:rsid w:val="00F6100A"/>
    <w:rsid w:val="00F62CBE"/>
    <w:rsid w:val="00F67B7A"/>
    <w:rsid w:val="00F70AB1"/>
    <w:rsid w:val="00F744E3"/>
    <w:rsid w:val="00F754F2"/>
    <w:rsid w:val="00F754F8"/>
    <w:rsid w:val="00F76024"/>
    <w:rsid w:val="00F81C03"/>
    <w:rsid w:val="00F848EA"/>
    <w:rsid w:val="00F85EC0"/>
    <w:rsid w:val="00F875B3"/>
    <w:rsid w:val="00F91533"/>
    <w:rsid w:val="00F923D1"/>
    <w:rsid w:val="00F925D2"/>
    <w:rsid w:val="00F93781"/>
    <w:rsid w:val="00F93EFA"/>
    <w:rsid w:val="00F9436A"/>
    <w:rsid w:val="00F95649"/>
    <w:rsid w:val="00F96F1E"/>
    <w:rsid w:val="00F97506"/>
    <w:rsid w:val="00FA0753"/>
    <w:rsid w:val="00FA3271"/>
    <w:rsid w:val="00FA43E9"/>
    <w:rsid w:val="00FA51CF"/>
    <w:rsid w:val="00FA6678"/>
    <w:rsid w:val="00FA6914"/>
    <w:rsid w:val="00FB05A5"/>
    <w:rsid w:val="00FB613B"/>
    <w:rsid w:val="00FC1BFB"/>
    <w:rsid w:val="00FC32A9"/>
    <w:rsid w:val="00FC3482"/>
    <w:rsid w:val="00FC6150"/>
    <w:rsid w:val="00FC6155"/>
    <w:rsid w:val="00FC657D"/>
    <w:rsid w:val="00FC68B7"/>
    <w:rsid w:val="00FC6FE1"/>
    <w:rsid w:val="00FD0148"/>
    <w:rsid w:val="00FD3F98"/>
    <w:rsid w:val="00FD741E"/>
    <w:rsid w:val="00FD7E0F"/>
    <w:rsid w:val="00FE01A5"/>
    <w:rsid w:val="00FE106A"/>
    <w:rsid w:val="00FE2C36"/>
    <w:rsid w:val="00FE4746"/>
    <w:rsid w:val="00FE4EF6"/>
    <w:rsid w:val="00FF036B"/>
    <w:rsid w:val="00FF145D"/>
    <w:rsid w:val="00FF229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F7B9A3B"/>
  <w15:chartTrackingRefBased/>
  <w15:docId w15:val="{9B595FAB-C0E8-428B-8149-6301EE4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EE9"/>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uiPriority w:val="99"/>
    <w:rsid w:val="00DC5061"/>
    <w:rPr>
      <w:rFonts w:ascii="Times New Roman" w:hAnsi="Times New Roman"/>
      <w:sz w:val="18"/>
      <w:vertAlign w:val="superscript"/>
    </w:rPr>
  </w:style>
  <w:style w:type="paragraph" w:styleId="FootnoteText">
    <w:name w:val="footnote text"/>
    <w:aliases w:val="5_G"/>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ListParagraph">
    <w:name w:val="List Paragraph"/>
    <w:basedOn w:val="Normal"/>
    <w:uiPriority w:val="34"/>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paragraph" w:styleId="CommentSubject">
    <w:name w:val="annotation subject"/>
    <w:basedOn w:val="CommentText"/>
    <w:next w:val="CommentText"/>
    <w:link w:val="CommentSubjectChar"/>
    <w:rsid w:val="00DD054B"/>
    <w:rPr>
      <w:b/>
      <w:bCs/>
    </w:rPr>
  </w:style>
  <w:style w:type="character" w:customStyle="1" w:styleId="CommentTextChar">
    <w:name w:val="Comment Text Char"/>
    <w:link w:val="CommentText"/>
    <w:uiPriority w:val="99"/>
    <w:semiHidden/>
    <w:rsid w:val="00DD054B"/>
    <w:rPr>
      <w:lang w:val="en-GB"/>
    </w:rPr>
  </w:style>
  <w:style w:type="character" w:customStyle="1" w:styleId="CommentSubjectChar">
    <w:name w:val="Comment Subject Char"/>
    <w:link w:val="CommentSubject"/>
    <w:rsid w:val="00DD054B"/>
    <w:rPr>
      <w:b/>
      <w:bCs/>
      <w:lang w:val="en-GB"/>
    </w:rPr>
  </w:style>
  <w:style w:type="character" w:customStyle="1" w:styleId="HeaderChar">
    <w:name w:val="Header Char"/>
    <w:aliases w:val="6_G Char"/>
    <w:link w:val="Header"/>
    <w:uiPriority w:val="99"/>
    <w:rsid w:val="00C80517"/>
    <w:rPr>
      <w:b/>
      <w:sz w:val="18"/>
      <w:lang w:val="en-GB" w:eastAsia="en-US"/>
    </w:rPr>
  </w:style>
  <w:style w:type="character" w:customStyle="1" w:styleId="SingleTxtGChar">
    <w:name w:val="_ Single Txt_G Char"/>
    <w:link w:val="SingleTxtG"/>
    <w:rsid w:val="00CD55BB"/>
    <w:rPr>
      <w:lang w:val="en-GB" w:eastAsia="en-US"/>
    </w:rPr>
  </w:style>
  <w:style w:type="character" w:customStyle="1" w:styleId="H1GChar">
    <w:name w:val="_ H_1_G Char"/>
    <w:link w:val="H1G"/>
    <w:rsid w:val="00134691"/>
    <w:rPr>
      <w:b/>
      <w:sz w:val="24"/>
      <w:lang w:val="en-GB" w:eastAsia="en-US"/>
    </w:rPr>
  </w:style>
  <w:style w:type="character" w:customStyle="1" w:styleId="FootnoteTextChar">
    <w:name w:val="Footnote Text Char"/>
    <w:aliases w:val="5_G Char"/>
    <w:link w:val="FootnoteText"/>
    <w:uiPriority w:val="99"/>
    <w:rsid w:val="006442DA"/>
    <w:rPr>
      <w:sz w:val="18"/>
      <w:lang w:val="en-GB" w:eastAsia="en-US"/>
    </w:rPr>
  </w:style>
  <w:style w:type="character" w:customStyle="1" w:styleId="Heading5Char">
    <w:name w:val="Heading 5 Char"/>
    <w:link w:val="Heading5"/>
    <w:rsid w:val="000A7DEE"/>
    <w:rPr>
      <w:lang w:eastAsia="en-US"/>
    </w:rPr>
  </w:style>
  <w:style w:type="character" w:styleId="UnresolvedMention">
    <w:name w:val="Unresolved Mention"/>
    <w:uiPriority w:val="99"/>
    <w:semiHidden/>
    <w:unhideWhenUsed/>
    <w:rsid w:val="00271B2C"/>
    <w:rPr>
      <w:color w:val="605E5C"/>
      <w:shd w:val="clear" w:color="auto" w:fill="E1DFDD"/>
    </w:rPr>
  </w:style>
  <w:style w:type="paragraph" w:customStyle="1" w:styleId="align-justify">
    <w:name w:val="align-justify"/>
    <w:basedOn w:val="Normal"/>
    <w:rsid w:val="00C83040"/>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AE6A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431">
      <w:bodyDiv w:val="1"/>
      <w:marLeft w:val="0"/>
      <w:marRight w:val="0"/>
      <w:marTop w:val="0"/>
      <w:marBottom w:val="0"/>
      <w:divBdr>
        <w:top w:val="none" w:sz="0" w:space="0" w:color="auto"/>
        <w:left w:val="none" w:sz="0" w:space="0" w:color="auto"/>
        <w:bottom w:val="none" w:sz="0" w:space="0" w:color="auto"/>
        <w:right w:val="none" w:sz="0" w:space="0" w:color="auto"/>
      </w:divBdr>
    </w:div>
    <w:div w:id="42871377">
      <w:bodyDiv w:val="1"/>
      <w:marLeft w:val="0"/>
      <w:marRight w:val="0"/>
      <w:marTop w:val="0"/>
      <w:marBottom w:val="0"/>
      <w:divBdr>
        <w:top w:val="none" w:sz="0" w:space="0" w:color="auto"/>
        <w:left w:val="none" w:sz="0" w:space="0" w:color="auto"/>
        <w:bottom w:val="none" w:sz="0" w:space="0" w:color="auto"/>
        <w:right w:val="none" w:sz="0" w:space="0" w:color="auto"/>
      </w:divBdr>
    </w:div>
    <w:div w:id="158664945">
      <w:bodyDiv w:val="1"/>
      <w:marLeft w:val="0"/>
      <w:marRight w:val="0"/>
      <w:marTop w:val="0"/>
      <w:marBottom w:val="0"/>
      <w:divBdr>
        <w:top w:val="none" w:sz="0" w:space="0" w:color="auto"/>
        <w:left w:val="none" w:sz="0" w:space="0" w:color="auto"/>
        <w:bottom w:val="none" w:sz="0" w:space="0" w:color="auto"/>
        <w:right w:val="none" w:sz="0" w:space="0" w:color="auto"/>
      </w:divBdr>
      <w:divsChild>
        <w:div w:id="270665959">
          <w:marLeft w:val="0"/>
          <w:marRight w:val="0"/>
          <w:marTop w:val="0"/>
          <w:marBottom w:val="0"/>
          <w:divBdr>
            <w:top w:val="none" w:sz="0" w:space="0" w:color="auto"/>
            <w:left w:val="none" w:sz="0" w:space="0" w:color="auto"/>
            <w:bottom w:val="none" w:sz="0" w:space="0" w:color="auto"/>
            <w:right w:val="none" w:sz="0" w:space="0" w:color="auto"/>
          </w:divBdr>
        </w:div>
        <w:div w:id="484127044">
          <w:marLeft w:val="0"/>
          <w:marRight w:val="0"/>
          <w:marTop w:val="0"/>
          <w:marBottom w:val="0"/>
          <w:divBdr>
            <w:top w:val="none" w:sz="0" w:space="0" w:color="auto"/>
            <w:left w:val="none" w:sz="0" w:space="0" w:color="auto"/>
            <w:bottom w:val="none" w:sz="0" w:space="0" w:color="auto"/>
            <w:right w:val="none" w:sz="0" w:space="0" w:color="auto"/>
          </w:divBdr>
        </w:div>
        <w:div w:id="1940598564">
          <w:marLeft w:val="0"/>
          <w:marRight w:val="0"/>
          <w:marTop w:val="0"/>
          <w:marBottom w:val="0"/>
          <w:divBdr>
            <w:top w:val="none" w:sz="0" w:space="0" w:color="auto"/>
            <w:left w:val="none" w:sz="0" w:space="0" w:color="auto"/>
            <w:bottom w:val="none" w:sz="0" w:space="0" w:color="auto"/>
            <w:right w:val="none" w:sz="0" w:space="0" w:color="auto"/>
          </w:divBdr>
        </w:div>
      </w:divsChild>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649746185">
      <w:bodyDiv w:val="1"/>
      <w:marLeft w:val="0"/>
      <w:marRight w:val="0"/>
      <w:marTop w:val="0"/>
      <w:marBottom w:val="0"/>
      <w:divBdr>
        <w:top w:val="none" w:sz="0" w:space="0" w:color="auto"/>
        <w:left w:val="none" w:sz="0" w:space="0" w:color="auto"/>
        <w:bottom w:val="none" w:sz="0" w:space="0" w:color="auto"/>
        <w:right w:val="none" w:sz="0" w:space="0" w:color="auto"/>
      </w:divBdr>
      <w:divsChild>
        <w:div w:id="235286512">
          <w:marLeft w:val="0"/>
          <w:marRight w:val="0"/>
          <w:marTop w:val="0"/>
          <w:marBottom w:val="0"/>
          <w:divBdr>
            <w:top w:val="none" w:sz="0" w:space="0" w:color="auto"/>
            <w:left w:val="none" w:sz="0" w:space="0" w:color="auto"/>
            <w:bottom w:val="none" w:sz="0" w:space="0" w:color="auto"/>
            <w:right w:val="none" w:sz="0" w:space="0" w:color="auto"/>
          </w:divBdr>
        </w:div>
        <w:div w:id="361593439">
          <w:marLeft w:val="0"/>
          <w:marRight w:val="0"/>
          <w:marTop w:val="0"/>
          <w:marBottom w:val="0"/>
          <w:divBdr>
            <w:top w:val="none" w:sz="0" w:space="0" w:color="auto"/>
            <w:left w:val="none" w:sz="0" w:space="0" w:color="auto"/>
            <w:bottom w:val="none" w:sz="0" w:space="0" w:color="auto"/>
            <w:right w:val="none" w:sz="0" w:space="0" w:color="auto"/>
          </w:divBdr>
        </w:div>
        <w:div w:id="430124002">
          <w:marLeft w:val="0"/>
          <w:marRight w:val="0"/>
          <w:marTop w:val="0"/>
          <w:marBottom w:val="0"/>
          <w:divBdr>
            <w:top w:val="none" w:sz="0" w:space="0" w:color="auto"/>
            <w:left w:val="none" w:sz="0" w:space="0" w:color="auto"/>
            <w:bottom w:val="none" w:sz="0" w:space="0" w:color="auto"/>
            <w:right w:val="none" w:sz="0" w:space="0" w:color="auto"/>
          </w:divBdr>
        </w:div>
        <w:div w:id="499395230">
          <w:marLeft w:val="0"/>
          <w:marRight w:val="0"/>
          <w:marTop w:val="0"/>
          <w:marBottom w:val="0"/>
          <w:divBdr>
            <w:top w:val="none" w:sz="0" w:space="0" w:color="auto"/>
            <w:left w:val="none" w:sz="0" w:space="0" w:color="auto"/>
            <w:bottom w:val="none" w:sz="0" w:space="0" w:color="auto"/>
            <w:right w:val="none" w:sz="0" w:space="0" w:color="auto"/>
          </w:divBdr>
        </w:div>
        <w:div w:id="548882918">
          <w:marLeft w:val="0"/>
          <w:marRight w:val="0"/>
          <w:marTop w:val="0"/>
          <w:marBottom w:val="0"/>
          <w:divBdr>
            <w:top w:val="none" w:sz="0" w:space="0" w:color="auto"/>
            <w:left w:val="none" w:sz="0" w:space="0" w:color="auto"/>
            <w:bottom w:val="none" w:sz="0" w:space="0" w:color="auto"/>
            <w:right w:val="none" w:sz="0" w:space="0" w:color="auto"/>
          </w:divBdr>
        </w:div>
        <w:div w:id="793864955">
          <w:marLeft w:val="0"/>
          <w:marRight w:val="0"/>
          <w:marTop w:val="0"/>
          <w:marBottom w:val="0"/>
          <w:divBdr>
            <w:top w:val="none" w:sz="0" w:space="0" w:color="auto"/>
            <w:left w:val="none" w:sz="0" w:space="0" w:color="auto"/>
            <w:bottom w:val="none" w:sz="0" w:space="0" w:color="auto"/>
            <w:right w:val="none" w:sz="0" w:space="0" w:color="auto"/>
          </w:divBdr>
        </w:div>
        <w:div w:id="863665433">
          <w:marLeft w:val="0"/>
          <w:marRight w:val="0"/>
          <w:marTop w:val="0"/>
          <w:marBottom w:val="0"/>
          <w:divBdr>
            <w:top w:val="none" w:sz="0" w:space="0" w:color="auto"/>
            <w:left w:val="none" w:sz="0" w:space="0" w:color="auto"/>
            <w:bottom w:val="none" w:sz="0" w:space="0" w:color="auto"/>
            <w:right w:val="none" w:sz="0" w:space="0" w:color="auto"/>
          </w:divBdr>
        </w:div>
        <w:div w:id="944382951">
          <w:marLeft w:val="0"/>
          <w:marRight w:val="0"/>
          <w:marTop w:val="0"/>
          <w:marBottom w:val="0"/>
          <w:divBdr>
            <w:top w:val="none" w:sz="0" w:space="0" w:color="auto"/>
            <w:left w:val="none" w:sz="0" w:space="0" w:color="auto"/>
            <w:bottom w:val="none" w:sz="0" w:space="0" w:color="auto"/>
            <w:right w:val="none" w:sz="0" w:space="0" w:color="auto"/>
          </w:divBdr>
        </w:div>
        <w:div w:id="1610888887">
          <w:marLeft w:val="0"/>
          <w:marRight w:val="0"/>
          <w:marTop w:val="0"/>
          <w:marBottom w:val="0"/>
          <w:divBdr>
            <w:top w:val="none" w:sz="0" w:space="0" w:color="auto"/>
            <w:left w:val="none" w:sz="0" w:space="0" w:color="auto"/>
            <w:bottom w:val="none" w:sz="0" w:space="0" w:color="auto"/>
            <w:right w:val="none" w:sz="0" w:space="0" w:color="auto"/>
          </w:divBdr>
        </w:div>
        <w:div w:id="1631206722">
          <w:marLeft w:val="0"/>
          <w:marRight w:val="0"/>
          <w:marTop w:val="0"/>
          <w:marBottom w:val="0"/>
          <w:divBdr>
            <w:top w:val="none" w:sz="0" w:space="0" w:color="auto"/>
            <w:left w:val="none" w:sz="0" w:space="0" w:color="auto"/>
            <w:bottom w:val="none" w:sz="0" w:space="0" w:color="auto"/>
            <w:right w:val="none" w:sz="0" w:space="0" w:color="auto"/>
          </w:divBdr>
        </w:div>
      </w:divsChild>
    </w:div>
    <w:div w:id="834691005">
      <w:bodyDiv w:val="1"/>
      <w:marLeft w:val="0"/>
      <w:marRight w:val="0"/>
      <w:marTop w:val="0"/>
      <w:marBottom w:val="0"/>
      <w:divBdr>
        <w:top w:val="none" w:sz="0" w:space="0" w:color="auto"/>
        <w:left w:val="none" w:sz="0" w:space="0" w:color="auto"/>
        <w:bottom w:val="none" w:sz="0" w:space="0" w:color="auto"/>
        <w:right w:val="none" w:sz="0" w:space="0" w:color="auto"/>
      </w:divBdr>
      <w:divsChild>
        <w:div w:id="736778669">
          <w:marLeft w:val="0"/>
          <w:marRight w:val="0"/>
          <w:marTop w:val="0"/>
          <w:marBottom w:val="0"/>
          <w:divBdr>
            <w:top w:val="none" w:sz="0" w:space="0" w:color="auto"/>
            <w:left w:val="none" w:sz="0" w:space="0" w:color="auto"/>
            <w:bottom w:val="none" w:sz="0" w:space="0" w:color="auto"/>
            <w:right w:val="none" w:sz="0" w:space="0" w:color="auto"/>
          </w:divBdr>
        </w:div>
        <w:div w:id="854030352">
          <w:marLeft w:val="0"/>
          <w:marRight w:val="0"/>
          <w:marTop w:val="0"/>
          <w:marBottom w:val="0"/>
          <w:divBdr>
            <w:top w:val="none" w:sz="0" w:space="0" w:color="auto"/>
            <w:left w:val="none" w:sz="0" w:space="0" w:color="auto"/>
            <w:bottom w:val="none" w:sz="0" w:space="0" w:color="auto"/>
            <w:right w:val="none" w:sz="0" w:space="0" w:color="auto"/>
          </w:divBdr>
        </w:div>
        <w:div w:id="1495225089">
          <w:marLeft w:val="0"/>
          <w:marRight w:val="0"/>
          <w:marTop w:val="0"/>
          <w:marBottom w:val="0"/>
          <w:divBdr>
            <w:top w:val="none" w:sz="0" w:space="0" w:color="auto"/>
            <w:left w:val="none" w:sz="0" w:space="0" w:color="auto"/>
            <w:bottom w:val="none" w:sz="0" w:space="0" w:color="auto"/>
            <w:right w:val="none" w:sz="0" w:space="0" w:color="auto"/>
          </w:divBdr>
        </w:div>
        <w:div w:id="1710568169">
          <w:marLeft w:val="0"/>
          <w:marRight w:val="0"/>
          <w:marTop w:val="0"/>
          <w:marBottom w:val="0"/>
          <w:divBdr>
            <w:top w:val="none" w:sz="0" w:space="0" w:color="auto"/>
            <w:left w:val="none" w:sz="0" w:space="0" w:color="auto"/>
            <w:bottom w:val="none" w:sz="0" w:space="0" w:color="auto"/>
            <w:right w:val="none" w:sz="0" w:space="0" w:color="auto"/>
          </w:divBdr>
        </w:div>
        <w:div w:id="1733001181">
          <w:marLeft w:val="0"/>
          <w:marRight w:val="0"/>
          <w:marTop w:val="0"/>
          <w:marBottom w:val="0"/>
          <w:divBdr>
            <w:top w:val="none" w:sz="0" w:space="0" w:color="auto"/>
            <w:left w:val="none" w:sz="0" w:space="0" w:color="auto"/>
            <w:bottom w:val="none" w:sz="0" w:space="0" w:color="auto"/>
            <w:right w:val="none" w:sz="0" w:space="0" w:color="auto"/>
          </w:divBdr>
        </w:div>
        <w:div w:id="1751580990">
          <w:marLeft w:val="0"/>
          <w:marRight w:val="0"/>
          <w:marTop w:val="0"/>
          <w:marBottom w:val="0"/>
          <w:divBdr>
            <w:top w:val="none" w:sz="0" w:space="0" w:color="auto"/>
            <w:left w:val="none" w:sz="0" w:space="0" w:color="auto"/>
            <w:bottom w:val="none" w:sz="0" w:space="0" w:color="auto"/>
            <w:right w:val="none" w:sz="0" w:space="0" w:color="auto"/>
          </w:divBdr>
        </w:div>
      </w:divsChild>
    </w:div>
    <w:div w:id="999624836">
      <w:bodyDiv w:val="1"/>
      <w:marLeft w:val="0"/>
      <w:marRight w:val="0"/>
      <w:marTop w:val="0"/>
      <w:marBottom w:val="0"/>
      <w:divBdr>
        <w:top w:val="none" w:sz="0" w:space="0" w:color="auto"/>
        <w:left w:val="none" w:sz="0" w:space="0" w:color="auto"/>
        <w:bottom w:val="none" w:sz="0" w:space="0" w:color="auto"/>
        <w:right w:val="none" w:sz="0" w:space="0" w:color="auto"/>
      </w:divBdr>
    </w:div>
    <w:div w:id="1230966546">
      <w:bodyDiv w:val="1"/>
      <w:marLeft w:val="0"/>
      <w:marRight w:val="0"/>
      <w:marTop w:val="0"/>
      <w:marBottom w:val="0"/>
      <w:divBdr>
        <w:top w:val="none" w:sz="0" w:space="0" w:color="auto"/>
        <w:left w:val="none" w:sz="0" w:space="0" w:color="auto"/>
        <w:bottom w:val="none" w:sz="0" w:space="0" w:color="auto"/>
        <w:right w:val="none" w:sz="0" w:space="0" w:color="auto"/>
      </w:divBdr>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
    <w:div w:id="1485660845">
      <w:bodyDiv w:val="1"/>
      <w:marLeft w:val="0"/>
      <w:marRight w:val="0"/>
      <w:marTop w:val="0"/>
      <w:marBottom w:val="0"/>
      <w:divBdr>
        <w:top w:val="none" w:sz="0" w:space="0" w:color="auto"/>
        <w:left w:val="none" w:sz="0" w:space="0" w:color="auto"/>
        <w:bottom w:val="none" w:sz="0" w:space="0" w:color="auto"/>
        <w:right w:val="none" w:sz="0" w:space="0" w:color="auto"/>
      </w:divBdr>
      <w:divsChild>
        <w:div w:id="36316843">
          <w:marLeft w:val="0"/>
          <w:marRight w:val="0"/>
          <w:marTop w:val="0"/>
          <w:marBottom w:val="0"/>
          <w:divBdr>
            <w:top w:val="none" w:sz="0" w:space="0" w:color="auto"/>
            <w:left w:val="none" w:sz="0" w:space="0" w:color="auto"/>
            <w:bottom w:val="none" w:sz="0" w:space="0" w:color="auto"/>
            <w:right w:val="none" w:sz="0" w:space="0" w:color="auto"/>
          </w:divBdr>
        </w:div>
        <w:div w:id="47653678">
          <w:marLeft w:val="0"/>
          <w:marRight w:val="0"/>
          <w:marTop w:val="0"/>
          <w:marBottom w:val="0"/>
          <w:divBdr>
            <w:top w:val="none" w:sz="0" w:space="0" w:color="auto"/>
            <w:left w:val="none" w:sz="0" w:space="0" w:color="auto"/>
            <w:bottom w:val="none" w:sz="0" w:space="0" w:color="auto"/>
            <w:right w:val="none" w:sz="0" w:space="0" w:color="auto"/>
          </w:divBdr>
        </w:div>
        <w:div w:id="58597955">
          <w:marLeft w:val="0"/>
          <w:marRight w:val="0"/>
          <w:marTop w:val="0"/>
          <w:marBottom w:val="0"/>
          <w:divBdr>
            <w:top w:val="none" w:sz="0" w:space="0" w:color="auto"/>
            <w:left w:val="none" w:sz="0" w:space="0" w:color="auto"/>
            <w:bottom w:val="none" w:sz="0" w:space="0" w:color="auto"/>
            <w:right w:val="none" w:sz="0" w:space="0" w:color="auto"/>
          </w:divBdr>
        </w:div>
        <w:div w:id="64762505">
          <w:marLeft w:val="0"/>
          <w:marRight w:val="0"/>
          <w:marTop w:val="0"/>
          <w:marBottom w:val="0"/>
          <w:divBdr>
            <w:top w:val="none" w:sz="0" w:space="0" w:color="auto"/>
            <w:left w:val="none" w:sz="0" w:space="0" w:color="auto"/>
            <w:bottom w:val="none" w:sz="0" w:space="0" w:color="auto"/>
            <w:right w:val="none" w:sz="0" w:space="0" w:color="auto"/>
          </w:divBdr>
        </w:div>
        <w:div w:id="66148680">
          <w:marLeft w:val="0"/>
          <w:marRight w:val="0"/>
          <w:marTop w:val="0"/>
          <w:marBottom w:val="0"/>
          <w:divBdr>
            <w:top w:val="none" w:sz="0" w:space="0" w:color="auto"/>
            <w:left w:val="none" w:sz="0" w:space="0" w:color="auto"/>
            <w:bottom w:val="none" w:sz="0" w:space="0" w:color="auto"/>
            <w:right w:val="none" w:sz="0" w:space="0" w:color="auto"/>
          </w:divBdr>
        </w:div>
        <w:div w:id="99953531">
          <w:marLeft w:val="0"/>
          <w:marRight w:val="0"/>
          <w:marTop w:val="0"/>
          <w:marBottom w:val="0"/>
          <w:divBdr>
            <w:top w:val="none" w:sz="0" w:space="0" w:color="auto"/>
            <w:left w:val="none" w:sz="0" w:space="0" w:color="auto"/>
            <w:bottom w:val="none" w:sz="0" w:space="0" w:color="auto"/>
            <w:right w:val="none" w:sz="0" w:space="0" w:color="auto"/>
          </w:divBdr>
        </w:div>
        <w:div w:id="137694582">
          <w:marLeft w:val="0"/>
          <w:marRight w:val="0"/>
          <w:marTop w:val="0"/>
          <w:marBottom w:val="0"/>
          <w:divBdr>
            <w:top w:val="none" w:sz="0" w:space="0" w:color="auto"/>
            <w:left w:val="none" w:sz="0" w:space="0" w:color="auto"/>
            <w:bottom w:val="none" w:sz="0" w:space="0" w:color="auto"/>
            <w:right w:val="none" w:sz="0" w:space="0" w:color="auto"/>
          </w:divBdr>
        </w:div>
        <w:div w:id="174544074">
          <w:marLeft w:val="0"/>
          <w:marRight w:val="0"/>
          <w:marTop w:val="0"/>
          <w:marBottom w:val="0"/>
          <w:divBdr>
            <w:top w:val="none" w:sz="0" w:space="0" w:color="auto"/>
            <w:left w:val="none" w:sz="0" w:space="0" w:color="auto"/>
            <w:bottom w:val="none" w:sz="0" w:space="0" w:color="auto"/>
            <w:right w:val="none" w:sz="0" w:space="0" w:color="auto"/>
          </w:divBdr>
        </w:div>
        <w:div w:id="189341835">
          <w:marLeft w:val="0"/>
          <w:marRight w:val="0"/>
          <w:marTop w:val="0"/>
          <w:marBottom w:val="0"/>
          <w:divBdr>
            <w:top w:val="none" w:sz="0" w:space="0" w:color="auto"/>
            <w:left w:val="none" w:sz="0" w:space="0" w:color="auto"/>
            <w:bottom w:val="none" w:sz="0" w:space="0" w:color="auto"/>
            <w:right w:val="none" w:sz="0" w:space="0" w:color="auto"/>
          </w:divBdr>
        </w:div>
        <w:div w:id="189531007">
          <w:marLeft w:val="0"/>
          <w:marRight w:val="0"/>
          <w:marTop w:val="0"/>
          <w:marBottom w:val="0"/>
          <w:divBdr>
            <w:top w:val="none" w:sz="0" w:space="0" w:color="auto"/>
            <w:left w:val="none" w:sz="0" w:space="0" w:color="auto"/>
            <w:bottom w:val="none" w:sz="0" w:space="0" w:color="auto"/>
            <w:right w:val="none" w:sz="0" w:space="0" w:color="auto"/>
          </w:divBdr>
        </w:div>
        <w:div w:id="202137932">
          <w:marLeft w:val="0"/>
          <w:marRight w:val="0"/>
          <w:marTop w:val="0"/>
          <w:marBottom w:val="0"/>
          <w:divBdr>
            <w:top w:val="none" w:sz="0" w:space="0" w:color="auto"/>
            <w:left w:val="none" w:sz="0" w:space="0" w:color="auto"/>
            <w:bottom w:val="none" w:sz="0" w:space="0" w:color="auto"/>
            <w:right w:val="none" w:sz="0" w:space="0" w:color="auto"/>
          </w:divBdr>
        </w:div>
        <w:div w:id="220678628">
          <w:marLeft w:val="0"/>
          <w:marRight w:val="0"/>
          <w:marTop w:val="0"/>
          <w:marBottom w:val="0"/>
          <w:divBdr>
            <w:top w:val="none" w:sz="0" w:space="0" w:color="auto"/>
            <w:left w:val="none" w:sz="0" w:space="0" w:color="auto"/>
            <w:bottom w:val="none" w:sz="0" w:space="0" w:color="auto"/>
            <w:right w:val="none" w:sz="0" w:space="0" w:color="auto"/>
          </w:divBdr>
        </w:div>
        <w:div w:id="377896774">
          <w:marLeft w:val="0"/>
          <w:marRight w:val="0"/>
          <w:marTop w:val="0"/>
          <w:marBottom w:val="0"/>
          <w:divBdr>
            <w:top w:val="none" w:sz="0" w:space="0" w:color="auto"/>
            <w:left w:val="none" w:sz="0" w:space="0" w:color="auto"/>
            <w:bottom w:val="none" w:sz="0" w:space="0" w:color="auto"/>
            <w:right w:val="none" w:sz="0" w:space="0" w:color="auto"/>
          </w:divBdr>
        </w:div>
        <w:div w:id="421873824">
          <w:marLeft w:val="0"/>
          <w:marRight w:val="0"/>
          <w:marTop w:val="0"/>
          <w:marBottom w:val="0"/>
          <w:divBdr>
            <w:top w:val="none" w:sz="0" w:space="0" w:color="auto"/>
            <w:left w:val="none" w:sz="0" w:space="0" w:color="auto"/>
            <w:bottom w:val="none" w:sz="0" w:space="0" w:color="auto"/>
            <w:right w:val="none" w:sz="0" w:space="0" w:color="auto"/>
          </w:divBdr>
        </w:div>
        <w:div w:id="436829009">
          <w:marLeft w:val="0"/>
          <w:marRight w:val="0"/>
          <w:marTop w:val="0"/>
          <w:marBottom w:val="0"/>
          <w:divBdr>
            <w:top w:val="none" w:sz="0" w:space="0" w:color="auto"/>
            <w:left w:val="none" w:sz="0" w:space="0" w:color="auto"/>
            <w:bottom w:val="none" w:sz="0" w:space="0" w:color="auto"/>
            <w:right w:val="none" w:sz="0" w:space="0" w:color="auto"/>
          </w:divBdr>
        </w:div>
        <w:div w:id="548224966">
          <w:marLeft w:val="0"/>
          <w:marRight w:val="0"/>
          <w:marTop w:val="0"/>
          <w:marBottom w:val="0"/>
          <w:divBdr>
            <w:top w:val="none" w:sz="0" w:space="0" w:color="auto"/>
            <w:left w:val="none" w:sz="0" w:space="0" w:color="auto"/>
            <w:bottom w:val="none" w:sz="0" w:space="0" w:color="auto"/>
            <w:right w:val="none" w:sz="0" w:space="0" w:color="auto"/>
          </w:divBdr>
        </w:div>
        <w:div w:id="555317115">
          <w:marLeft w:val="0"/>
          <w:marRight w:val="0"/>
          <w:marTop w:val="0"/>
          <w:marBottom w:val="0"/>
          <w:divBdr>
            <w:top w:val="none" w:sz="0" w:space="0" w:color="auto"/>
            <w:left w:val="none" w:sz="0" w:space="0" w:color="auto"/>
            <w:bottom w:val="none" w:sz="0" w:space="0" w:color="auto"/>
            <w:right w:val="none" w:sz="0" w:space="0" w:color="auto"/>
          </w:divBdr>
        </w:div>
        <w:div w:id="577250742">
          <w:marLeft w:val="0"/>
          <w:marRight w:val="0"/>
          <w:marTop w:val="0"/>
          <w:marBottom w:val="0"/>
          <w:divBdr>
            <w:top w:val="none" w:sz="0" w:space="0" w:color="auto"/>
            <w:left w:val="none" w:sz="0" w:space="0" w:color="auto"/>
            <w:bottom w:val="none" w:sz="0" w:space="0" w:color="auto"/>
            <w:right w:val="none" w:sz="0" w:space="0" w:color="auto"/>
          </w:divBdr>
        </w:div>
        <w:div w:id="597174545">
          <w:marLeft w:val="0"/>
          <w:marRight w:val="0"/>
          <w:marTop w:val="0"/>
          <w:marBottom w:val="0"/>
          <w:divBdr>
            <w:top w:val="none" w:sz="0" w:space="0" w:color="auto"/>
            <w:left w:val="none" w:sz="0" w:space="0" w:color="auto"/>
            <w:bottom w:val="none" w:sz="0" w:space="0" w:color="auto"/>
            <w:right w:val="none" w:sz="0" w:space="0" w:color="auto"/>
          </w:divBdr>
        </w:div>
        <w:div w:id="687296588">
          <w:marLeft w:val="0"/>
          <w:marRight w:val="0"/>
          <w:marTop w:val="0"/>
          <w:marBottom w:val="0"/>
          <w:divBdr>
            <w:top w:val="none" w:sz="0" w:space="0" w:color="auto"/>
            <w:left w:val="none" w:sz="0" w:space="0" w:color="auto"/>
            <w:bottom w:val="none" w:sz="0" w:space="0" w:color="auto"/>
            <w:right w:val="none" w:sz="0" w:space="0" w:color="auto"/>
          </w:divBdr>
        </w:div>
        <w:div w:id="783693413">
          <w:marLeft w:val="0"/>
          <w:marRight w:val="0"/>
          <w:marTop w:val="0"/>
          <w:marBottom w:val="0"/>
          <w:divBdr>
            <w:top w:val="none" w:sz="0" w:space="0" w:color="auto"/>
            <w:left w:val="none" w:sz="0" w:space="0" w:color="auto"/>
            <w:bottom w:val="none" w:sz="0" w:space="0" w:color="auto"/>
            <w:right w:val="none" w:sz="0" w:space="0" w:color="auto"/>
          </w:divBdr>
        </w:div>
        <w:div w:id="847450743">
          <w:marLeft w:val="0"/>
          <w:marRight w:val="0"/>
          <w:marTop w:val="0"/>
          <w:marBottom w:val="0"/>
          <w:divBdr>
            <w:top w:val="none" w:sz="0" w:space="0" w:color="auto"/>
            <w:left w:val="none" w:sz="0" w:space="0" w:color="auto"/>
            <w:bottom w:val="none" w:sz="0" w:space="0" w:color="auto"/>
            <w:right w:val="none" w:sz="0" w:space="0" w:color="auto"/>
          </w:divBdr>
        </w:div>
        <w:div w:id="889923563">
          <w:marLeft w:val="0"/>
          <w:marRight w:val="0"/>
          <w:marTop w:val="0"/>
          <w:marBottom w:val="0"/>
          <w:divBdr>
            <w:top w:val="none" w:sz="0" w:space="0" w:color="auto"/>
            <w:left w:val="none" w:sz="0" w:space="0" w:color="auto"/>
            <w:bottom w:val="none" w:sz="0" w:space="0" w:color="auto"/>
            <w:right w:val="none" w:sz="0" w:space="0" w:color="auto"/>
          </w:divBdr>
        </w:div>
        <w:div w:id="943731574">
          <w:marLeft w:val="0"/>
          <w:marRight w:val="0"/>
          <w:marTop w:val="0"/>
          <w:marBottom w:val="0"/>
          <w:divBdr>
            <w:top w:val="none" w:sz="0" w:space="0" w:color="auto"/>
            <w:left w:val="none" w:sz="0" w:space="0" w:color="auto"/>
            <w:bottom w:val="none" w:sz="0" w:space="0" w:color="auto"/>
            <w:right w:val="none" w:sz="0" w:space="0" w:color="auto"/>
          </w:divBdr>
        </w:div>
        <w:div w:id="962734882">
          <w:marLeft w:val="0"/>
          <w:marRight w:val="0"/>
          <w:marTop w:val="0"/>
          <w:marBottom w:val="0"/>
          <w:divBdr>
            <w:top w:val="none" w:sz="0" w:space="0" w:color="auto"/>
            <w:left w:val="none" w:sz="0" w:space="0" w:color="auto"/>
            <w:bottom w:val="none" w:sz="0" w:space="0" w:color="auto"/>
            <w:right w:val="none" w:sz="0" w:space="0" w:color="auto"/>
          </w:divBdr>
        </w:div>
        <w:div w:id="964234270">
          <w:marLeft w:val="0"/>
          <w:marRight w:val="0"/>
          <w:marTop w:val="0"/>
          <w:marBottom w:val="0"/>
          <w:divBdr>
            <w:top w:val="none" w:sz="0" w:space="0" w:color="auto"/>
            <w:left w:val="none" w:sz="0" w:space="0" w:color="auto"/>
            <w:bottom w:val="none" w:sz="0" w:space="0" w:color="auto"/>
            <w:right w:val="none" w:sz="0" w:space="0" w:color="auto"/>
          </w:divBdr>
        </w:div>
        <w:div w:id="972100840">
          <w:marLeft w:val="0"/>
          <w:marRight w:val="0"/>
          <w:marTop w:val="0"/>
          <w:marBottom w:val="0"/>
          <w:divBdr>
            <w:top w:val="none" w:sz="0" w:space="0" w:color="auto"/>
            <w:left w:val="none" w:sz="0" w:space="0" w:color="auto"/>
            <w:bottom w:val="none" w:sz="0" w:space="0" w:color="auto"/>
            <w:right w:val="none" w:sz="0" w:space="0" w:color="auto"/>
          </w:divBdr>
        </w:div>
        <w:div w:id="1026564879">
          <w:marLeft w:val="0"/>
          <w:marRight w:val="0"/>
          <w:marTop w:val="0"/>
          <w:marBottom w:val="0"/>
          <w:divBdr>
            <w:top w:val="none" w:sz="0" w:space="0" w:color="auto"/>
            <w:left w:val="none" w:sz="0" w:space="0" w:color="auto"/>
            <w:bottom w:val="none" w:sz="0" w:space="0" w:color="auto"/>
            <w:right w:val="none" w:sz="0" w:space="0" w:color="auto"/>
          </w:divBdr>
        </w:div>
        <w:div w:id="1087002186">
          <w:marLeft w:val="0"/>
          <w:marRight w:val="0"/>
          <w:marTop w:val="0"/>
          <w:marBottom w:val="0"/>
          <w:divBdr>
            <w:top w:val="none" w:sz="0" w:space="0" w:color="auto"/>
            <w:left w:val="none" w:sz="0" w:space="0" w:color="auto"/>
            <w:bottom w:val="none" w:sz="0" w:space="0" w:color="auto"/>
            <w:right w:val="none" w:sz="0" w:space="0" w:color="auto"/>
          </w:divBdr>
        </w:div>
        <w:div w:id="1095903882">
          <w:marLeft w:val="0"/>
          <w:marRight w:val="0"/>
          <w:marTop w:val="0"/>
          <w:marBottom w:val="0"/>
          <w:divBdr>
            <w:top w:val="none" w:sz="0" w:space="0" w:color="auto"/>
            <w:left w:val="none" w:sz="0" w:space="0" w:color="auto"/>
            <w:bottom w:val="none" w:sz="0" w:space="0" w:color="auto"/>
            <w:right w:val="none" w:sz="0" w:space="0" w:color="auto"/>
          </w:divBdr>
        </w:div>
        <w:div w:id="1103305618">
          <w:marLeft w:val="0"/>
          <w:marRight w:val="0"/>
          <w:marTop w:val="0"/>
          <w:marBottom w:val="0"/>
          <w:divBdr>
            <w:top w:val="none" w:sz="0" w:space="0" w:color="auto"/>
            <w:left w:val="none" w:sz="0" w:space="0" w:color="auto"/>
            <w:bottom w:val="none" w:sz="0" w:space="0" w:color="auto"/>
            <w:right w:val="none" w:sz="0" w:space="0" w:color="auto"/>
          </w:divBdr>
        </w:div>
        <w:div w:id="1173840667">
          <w:marLeft w:val="0"/>
          <w:marRight w:val="0"/>
          <w:marTop w:val="0"/>
          <w:marBottom w:val="0"/>
          <w:divBdr>
            <w:top w:val="none" w:sz="0" w:space="0" w:color="auto"/>
            <w:left w:val="none" w:sz="0" w:space="0" w:color="auto"/>
            <w:bottom w:val="none" w:sz="0" w:space="0" w:color="auto"/>
            <w:right w:val="none" w:sz="0" w:space="0" w:color="auto"/>
          </w:divBdr>
        </w:div>
        <w:div w:id="1258639806">
          <w:marLeft w:val="0"/>
          <w:marRight w:val="0"/>
          <w:marTop w:val="0"/>
          <w:marBottom w:val="0"/>
          <w:divBdr>
            <w:top w:val="none" w:sz="0" w:space="0" w:color="auto"/>
            <w:left w:val="none" w:sz="0" w:space="0" w:color="auto"/>
            <w:bottom w:val="none" w:sz="0" w:space="0" w:color="auto"/>
            <w:right w:val="none" w:sz="0" w:space="0" w:color="auto"/>
          </w:divBdr>
        </w:div>
        <w:div w:id="1361006222">
          <w:marLeft w:val="0"/>
          <w:marRight w:val="0"/>
          <w:marTop w:val="0"/>
          <w:marBottom w:val="0"/>
          <w:divBdr>
            <w:top w:val="none" w:sz="0" w:space="0" w:color="auto"/>
            <w:left w:val="none" w:sz="0" w:space="0" w:color="auto"/>
            <w:bottom w:val="none" w:sz="0" w:space="0" w:color="auto"/>
            <w:right w:val="none" w:sz="0" w:space="0" w:color="auto"/>
          </w:divBdr>
        </w:div>
        <w:div w:id="1397239914">
          <w:marLeft w:val="0"/>
          <w:marRight w:val="0"/>
          <w:marTop w:val="0"/>
          <w:marBottom w:val="0"/>
          <w:divBdr>
            <w:top w:val="none" w:sz="0" w:space="0" w:color="auto"/>
            <w:left w:val="none" w:sz="0" w:space="0" w:color="auto"/>
            <w:bottom w:val="none" w:sz="0" w:space="0" w:color="auto"/>
            <w:right w:val="none" w:sz="0" w:space="0" w:color="auto"/>
          </w:divBdr>
        </w:div>
        <w:div w:id="1443037345">
          <w:marLeft w:val="0"/>
          <w:marRight w:val="0"/>
          <w:marTop w:val="0"/>
          <w:marBottom w:val="0"/>
          <w:divBdr>
            <w:top w:val="none" w:sz="0" w:space="0" w:color="auto"/>
            <w:left w:val="none" w:sz="0" w:space="0" w:color="auto"/>
            <w:bottom w:val="none" w:sz="0" w:space="0" w:color="auto"/>
            <w:right w:val="none" w:sz="0" w:space="0" w:color="auto"/>
          </w:divBdr>
        </w:div>
        <w:div w:id="1541669121">
          <w:marLeft w:val="0"/>
          <w:marRight w:val="0"/>
          <w:marTop w:val="0"/>
          <w:marBottom w:val="0"/>
          <w:divBdr>
            <w:top w:val="none" w:sz="0" w:space="0" w:color="auto"/>
            <w:left w:val="none" w:sz="0" w:space="0" w:color="auto"/>
            <w:bottom w:val="none" w:sz="0" w:space="0" w:color="auto"/>
            <w:right w:val="none" w:sz="0" w:space="0" w:color="auto"/>
          </w:divBdr>
        </w:div>
        <w:div w:id="1558975217">
          <w:marLeft w:val="0"/>
          <w:marRight w:val="0"/>
          <w:marTop w:val="0"/>
          <w:marBottom w:val="0"/>
          <w:divBdr>
            <w:top w:val="none" w:sz="0" w:space="0" w:color="auto"/>
            <w:left w:val="none" w:sz="0" w:space="0" w:color="auto"/>
            <w:bottom w:val="none" w:sz="0" w:space="0" w:color="auto"/>
            <w:right w:val="none" w:sz="0" w:space="0" w:color="auto"/>
          </w:divBdr>
        </w:div>
        <w:div w:id="1601060938">
          <w:marLeft w:val="0"/>
          <w:marRight w:val="0"/>
          <w:marTop w:val="0"/>
          <w:marBottom w:val="0"/>
          <w:divBdr>
            <w:top w:val="none" w:sz="0" w:space="0" w:color="auto"/>
            <w:left w:val="none" w:sz="0" w:space="0" w:color="auto"/>
            <w:bottom w:val="none" w:sz="0" w:space="0" w:color="auto"/>
            <w:right w:val="none" w:sz="0" w:space="0" w:color="auto"/>
          </w:divBdr>
        </w:div>
        <w:div w:id="1627271979">
          <w:marLeft w:val="0"/>
          <w:marRight w:val="0"/>
          <w:marTop w:val="0"/>
          <w:marBottom w:val="0"/>
          <w:divBdr>
            <w:top w:val="none" w:sz="0" w:space="0" w:color="auto"/>
            <w:left w:val="none" w:sz="0" w:space="0" w:color="auto"/>
            <w:bottom w:val="none" w:sz="0" w:space="0" w:color="auto"/>
            <w:right w:val="none" w:sz="0" w:space="0" w:color="auto"/>
          </w:divBdr>
        </w:div>
        <w:div w:id="1638342621">
          <w:marLeft w:val="0"/>
          <w:marRight w:val="0"/>
          <w:marTop w:val="0"/>
          <w:marBottom w:val="0"/>
          <w:divBdr>
            <w:top w:val="none" w:sz="0" w:space="0" w:color="auto"/>
            <w:left w:val="none" w:sz="0" w:space="0" w:color="auto"/>
            <w:bottom w:val="none" w:sz="0" w:space="0" w:color="auto"/>
            <w:right w:val="none" w:sz="0" w:space="0" w:color="auto"/>
          </w:divBdr>
        </w:div>
        <w:div w:id="1665433093">
          <w:marLeft w:val="0"/>
          <w:marRight w:val="0"/>
          <w:marTop w:val="0"/>
          <w:marBottom w:val="0"/>
          <w:divBdr>
            <w:top w:val="none" w:sz="0" w:space="0" w:color="auto"/>
            <w:left w:val="none" w:sz="0" w:space="0" w:color="auto"/>
            <w:bottom w:val="none" w:sz="0" w:space="0" w:color="auto"/>
            <w:right w:val="none" w:sz="0" w:space="0" w:color="auto"/>
          </w:divBdr>
        </w:div>
        <w:div w:id="1733190890">
          <w:marLeft w:val="0"/>
          <w:marRight w:val="0"/>
          <w:marTop w:val="0"/>
          <w:marBottom w:val="0"/>
          <w:divBdr>
            <w:top w:val="none" w:sz="0" w:space="0" w:color="auto"/>
            <w:left w:val="none" w:sz="0" w:space="0" w:color="auto"/>
            <w:bottom w:val="none" w:sz="0" w:space="0" w:color="auto"/>
            <w:right w:val="none" w:sz="0" w:space="0" w:color="auto"/>
          </w:divBdr>
        </w:div>
        <w:div w:id="1751728480">
          <w:marLeft w:val="0"/>
          <w:marRight w:val="0"/>
          <w:marTop w:val="0"/>
          <w:marBottom w:val="0"/>
          <w:divBdr>
            <w:top w:val="none" w:sz="0" w:space="0" w:color="auto"/>
            <w:left w:val="none" w:sz="0" w:space="0" w:color="auto"/>
            <w:bottom w:val="none" w:sz="0" w:space="0" w:color="auto"/>
            <w:right w:val="none" w:sz="0" w:space="0" w:color="auto"/>
          </w:divBdr>
        </w:div>
        <w:div w:id="1851411741">
          <w:marLeft w:val="0"/>
          <w:marRight w:val="0"/>
          <w:marTop w:val="0"/>
          <w:marBottom w:val="0"/>
          <w:divBdr>
            <w:top w:val="none" w:sz="0" w:space="0" w:color="auto"/>
            <w:left w:val="none" w:sz="0" w:space="0" w:color="auto"/>
            <w:bottom w:val="none" w:sz="0" w:space="0" w:color="auto"/>
            <w:right w:val="none" w:sz="0" w:space="0" w:color="auto"/>
          </w:divBdr>
        </w:div>
        <w:div w:id="1859535909">
          <w:marLeft w:val="0"/>
          <w:marRight w:val="0"/>
          <w:marTop w:val="0"/>
          <w:marBottom w:val="0"/>
          <w:divBdr>
            <w:top w:val="none" w:sz="0" w:space="0" w:color="auto"/>
            <w:left w:val="none" w:sz="0" w:space="0" w:color="auto"/>
            <w:bottom w:val="none" w:sz="0" w:space="0" w:color="auto"/>
            <w:right w:val="none" w:sz="0" w:space="0" w:color="auto"/>
          </w:divBdr>
        </w:div>
        <w:div w:id="1883513344">
          <w:marLeft w:val="0"/>
          <w:marRight w:val="0"/>
          <w:marTop w:val="0"/>
          <w:marBottom w:val="0"/>
          <w:divBdr>
            <w:top w:val="none" w:sz="0" w:space="0" w:color="auto"/>
            <w:left w:val="none" w:sz="0" w:space="0" w:color="auto"/>
            <w:bottom w:val="none" w:sz="0" w:space="0" w:color="auto"/>
            <w:right w:val="none" w:sz="0" w:space="0" w:color="auto"/>
          </w:divBdr>
        </w:div>
        <w:div w:id="1890191663">
          <w:marLeft w:val="0"/>
          <w:marRight w:val="0"/>
          <w:marTop w:val="0"/>
          <w:marBottom w:val="0"/>
          <w:divBdr>
            <w:top w:val="none" w:sz="0" w:space="0" w:color="auto"/>
            <w:left w:val="none" w:sz="0" w:space="0" w:color="auto"/>
            <w:bottom w:val="none" w:sz="0" w:space="0" w:color="auto"/>
            <w:right w:val="none" w:sz="0" w:space="0" w:color="auto"/>
          </w:divBdr>
        </w:div>
        <w:div w:id="1931886114">
          <w:marLeft w:val="0"/>
          <w:marRight w:val="0"/>
          <w:marTop w:val="0"/>
          <w:marBottom w:val="0"/>
          <w:divBdr>
            <w:top w:val="none" w:sz="0" w:space="0" w:color="auto"/>
            <w:left w:val="none" w:sz="0" w:space="0" w:color="auto"/>
            <w:bottom w:val="none" w:sz="0" w:space="0" w:color="auto"/>
            <w:right w:val="none" w:sz="0" w:space="0" w:color="auto"/>
          </w:divBdr>
        </w:div>
        <w:div w:id="1995180274">
          <w:marLeft w:val="0"/>
          <w:marRight w:val="0"/>
          <w:marTop w:val="0"/>
          <w:marBottom w:val="0"/>
          <w:divBdr>
            <w:top w:val="none" w:sz="0" w:space="0" w:color="auto"/>
            <w:left w:val="none" w:sz="0" w:space="0" w:color="auto"/>
            <w:bottom w:val="none" w:sz="0" w:space="0" w:color="auto"/>
            <w:right w:val="none" w:sz="0" w:space="0" w:color="auto"/>
          </w:divBdr>
        </w:div>
        <w:div w:id="2023387829">
          <w:marLeft w:val="0"/>
          <w:marRight w:val="0"/>
          <w:marTop w:val="0"/>
          <w:marBottom w:val="0"/>
          <w:divBdr>
            <w:top w:val="none" w:sz="0" w:space="0" w:color="auto"/>
            <w:left w:val="none" w:sz="0" w:space="0" w:color="auto"/>
            <w:bottom w:val="none" w:sz="0" w:space="0" w:color="auto"/>
            <w:right w:val="none" w:sz="0" w:space="0" w:color="auto"/>
          </w:divBdr>
        </w:div>
        <w:div w:id="2038004871">
          <w:marLeft w:val="0"/>
          <w:marRight w:val="0"/>
          <w:marTop w:val="0"/>
          <w:marBottom w:val="0"/>
          <w:divBdr>
            <w:top w:val="none" w:sz="0" w:space="0" w:color="auto"/>
            <w:left w:val="none" w:sz="0" w:space="0" w:color="auto"/>
            <w:bottom w:val="none" w:sz="0" w:space="0" w:color="auto"/>
            <w:right w:val="none" w:sz="0" w:space="0" w:color="auto"/>
          </w:divBdr>
        </w:div>
        <w:div w:id="2038387191">
          <w:marLeft w:val="0"/>
          <w:marRight w:val="0"/>
          <w:marTop w:val="0"/>
          <w:marBottom w:val="0"/>
          <w:divBdr>
            <w:top w:val="none" w:sz="0" w:space="0" w:color="auto"/>
            <w:left w:val="none" w:sz="0" w:space="0" w:color="auto"/>
            <w:bottom w:val="none" w:sz="0" w:space="0" w:color="auto"/>
            <w:right w:val="none" w:sz="0" w:space="0" w:color="auto"/>
          </w:divBdr>
        </w:div>
        <w:div w:id="2056856764">
          <w:marLeft w:val="0"/>
          <w:marRight w:val="0"/>
          <w:marTop w:val="0"/>
          <w:marBottom w:val="0"/>
          <w:divBdr>
            <w:top w:val="none" w:sz="0" w:space="0" w:color="auto"/>
            <w:left w:val="none" w:sz="0" w:space="0" w:color="auto"/>
            <w:bottom w:val="none" w:sz="0" w:space="0" w:color="auto"/>
            <w:right w:val="none" w:sz="0" w:space="0" w:color="auto"/>
          </w:divBdr>
        </w:div>
        <w:div w:id="2089884654">
          <w:marLeft w:val="0"/>
          <w:marRight w:val="0"/>
          <w:marTop w:val="0"/>
          <w:marBottom w:val="0"/>
          <w:divBdr>
            <w:top w:val="none" w:sz="0" w:space="0" w:color="auto"/>
            <w:left w:val="none" w:sz="0" w:space="0" w:color="auto"/>
            <w:bottom w:val="none" w:sz="0" w:space="0" w:color="auto"/>
            <w:right w:val="none" w:sz="0" w:space="0" w:color="auto"/>
          </w:divBdr>
        </w:div>
        <w:div w:id="2133984298">
          <w:marLeft w:val="0"/>
          <w:marRight w:val="0"/>
          <w:marTop w:val="0"/>
          <w:marBottom w:val="0"/>
          <w:divBdr>
            <w:top w:val="none" w:sz="0" w:space="0" w:color="auto"/>
            <w:left w:val="none" w:sz="0" w:space="0" w:color="auto"/>
            <w:bottom w:val="none" w:sz="0" w:space="0" w:color="auto"/>
            <w:right w:val="none" w:sz="0" w:space="0" w:color="auto"/>
          </w:divBdr>
        </w:div>
      </w:divsChild>
    </w:div>
    <w:div w:id="1759324069">
      <w:bodyDiv w:val="1"/>
      <w:marLeft w:val="0"/>
      <w:marRight w:val="0"/>
      <w:marTop w:val="0"/>
      <w:marBottom w:val="0"/>
      <w:divBdr>
        <w:top w:val="none" w:sz="0" w:space="0" w:color="auto"/>
        <w:left w:val="none" w:sz="0" w:space="0" w:color="auto"/>
        <w:bottom w:val="none" w:sz="0" w:space="0" w:color="auto"/>
        <w:right w:val="none" w:sz="0" w:space="0" w:color="auto"/>
      </w:divBdr>
    </w:div>
    <w:div w:id="2054377277">
      <w:bodyDiv w:val="1"/>
      <w:marLeft w:val="0"/>
      <w:marRight w:val="0"/>
      <w:marTop w:val="0"/>
      <w:marBottom w:val="0"/>
      <w:divBdr>
        <w:top w:val="none" w:sz="0" w:space="0" w:color="auto"/>
        <w:left w:val="none" w:sz="0" w:space="0" w:color="auto"/>
        <w:bottom w:val="none" w:sz="0" w:space="0" w:color="auto"/>
        <w:right w:val="none" w:sz="0" w:space="0" w:color="auto"/>
      </w:divBdr>
      <w:divsChild>
        <w:div w:id="21441296">
          <w:marLeft w:val="0"/>
          <w:marRight w:val="0"/>
          <w:marTop w:val="0"/>
          <w:marBottom w:val="0"/>
          <w:divBdr>
            <w:top w:val="none" w:sz="0" w:space="0" w:color="auto"/>
            <w:left w:val="none" w:sz="0" w:space="0" w:color="auto"/>
            <w:bottom w:val="none" w:sz="0" w:space="0" w:color="auto"/>
            <w:right w:val="none" w:sz="0" w:space="0" w:color="auto"/>
          </w:divBdr>
        </w:div>
        <w:div w:id="201480726">
          <w:marLeft w:val="0"/>
          <w:marRight w:val="0"/>
          <w:marTop w:val="0"/>
          <w:marBottom w:val="0"/>
          <w:divBdr>
            <w:top w:val="none" w:sz="0" w:space="0" w:color="auto"/>
            <w:left w:val="none" w:sz="0" w:space="0" w:color="auto"/>
            <w:bottom w:val="none" w:sz="0" w:space="0" w:color="auto"/>
            <w:right w:val="none" w:sz="0" w:space="0" w:color="auto"/>
          </w:divBdr>
        </w:div>
        <w:div w:id="323826965">
          <w:marLeft w:val="0"/>
          <w:marRight w:val="0"/>
          <w:marTop w:val="0"/>
          <w:marBottom w:val="0"/>
          <w:divBdr>
            <w:top w:val="none" w:sz="0" w:space="0" w:color="auto"/>
            <w:left w:val="none" w:sz="0" w:space="0" w:color="auto"/>
            <w:bottom w:val="none" w:sz="0" w:space="0" w:color="auto"/>
            <w:right w:val="none" w:sz="0" w:space="0" w:color="auto"/>
          </w:divBdr>
        </w:div>
        <w:div w:id="324280372">
          <w:marLeft w:val="0"/>
          <w:marRight w:val="0"/>
          <w:marTop w:val="0"/>
          <w:marBottom w:val="0"/>
          <w:divBdr>
            <w:top w:val="none" w:sz="0" w:space="0" w:color="auto"/>
            <w:left w:val="none" w:sz="0" w:space="0" w:color="auto"/>
            <w:bottom w:val="none" w:sz="0" w:space="0" w:color="auto"/>
            <w:right w:val="none" w:sz="0" w:space="0" w:color="auto"/>
          </w:divBdr>
        </w:div>
        <w:div w:id="468985404">
          <w:marLeft w:val="0"/>
          <w:marRight w:val="0"/>
          <w:marTop w:val="0"/>
          <w:marBottom w:val="0"/>
          <w:divBdr>
            <w:top w:val="none" w:sz="0" w:space="0" w:color="auto"/>
            <w:left w:val="none" w:sz="0" w:space="0" w:color="auto"/>
            <w:bottom w:val="none" w:sz="0" w:space="0" w:color="auto"/>
            <w:right w:val="none" w:sz="0" w:space="0" w:color="auto"/>
          </w:divBdr>
        </w:div>
        <w:div w:id="1251307860">
          <w:marLeft w:val="0"/>
          <w:marRight w:val="0"/>
          <w:marTop w:val="0"/>
          <w:marBottom w:val="0"/>
          <w:divBdr>
            <w:top w:val="none" w:sz="0" w:space="0" w:color="auto"/>
            <w:left w:val="none" w:sz="0" w:space="0" w:color="auto"/>
            <w:bottom w:val="none" w:sz="0" w:space="0" w:color="auto"/>
            <w:right w:val="none" w:sz="0" w:space="0" w:color="auto"/>
          </w:divBdr>
        </w:div>
        <w:div w:id="1417289329">
          <w:marLeft w:val="0"/>
          <w:marRight w:val="0"/>
          <w:marTop w:val="0"/>
          <w:marBottom w:val="0"/>
          <w:divBdr>
            <w:top w:val="none" w:sz="0" w:space="0" w:color="auto"/>
            <w:left w:val="none" w:sz="0" w:space="0" w:color="auto"/>
            <w:bottom w:val="none" w:sz="0" w:space="0" w:color="auto"/>
            <w:right w:val="none" w:sz="0" w:space="0" w:color="auto"/>
          </w:divBdr>
        </w:div>
        <w:div w:id="1496219009">
          <w:marLeft w:val="0"/>
          <w:marRight w:val="0"/>
          <w:marTop w:val="0"/>
          <w:marBottom w:val="0"/>
          <w:divBdr>
            <w:top w:val="none" w:sz="0" w:space="0" w:color="auto"/>
            <w:left w:val="none" w:sz="0" w:space="0" w:color="auto"/>
            <w:bottom w:val="none" w:sz="0" w:space="0" w:color="auto"/>
            <w:right w:val="none" w:sz="0" w:space="0" w:color="auto"/>
          </w:divBdr>
        </w:div>
        <w:div w:id="1520856265">
          <w:marLeft w:val="0"/>
          <w:marRight w:val="0"/>
          <w:marTop w:val="0"/>
          <w:marBottom w:val="0"/>
          <w:divBdr>
            <w:top w:val="none" w:sz="0" w:space="0" w:color="auto"/>
            <w:left w:val="none" w:sz="0" w:space="0" w:color="auto"/>
            <w:bottom w:val="none" w:sz="0" w:space="0" w:color="auto"/>
            <w:right w:val="none" w:sz="0" w:space="0" w:color="auto"/>
          </w:divBdr>
        </w:div>
        <w:div w:id="1709143269">
          <w:marLeft w:val="0"/>
          <w:marRight w:val="0"/>
          <w:marTop w:val="0"/>
          <w:marBottom w:val="0"/>
          <w:divBdr>
            <w:top w:val="none" w:sz="0" w:space="0" w:color="auto"/>
            <w:left w:val="none" w:sz="0" w:space="0" w:color="auto"/>
            <w:bottom w:val="none" w:sz="0" w:space="0" w:color="auto"/>
            <w:right w:val="none" w:sz="0" w:space="0" w:color="auto"/>
          </w:divBdr>
        </w:div>
      </w:divsChild>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reengrowthknowledge.org/sites/default/files/Interagency%20Statement%20On%20Sustainable%20Infrastructure_UN%20Environ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F330-6F69-437A-B054-977B7454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26153</CharactersWithSpaces>
  <SharedDoc>false</SharedDoc>
  <HLinks>
    <vt:vector size="12" baseType="variant">
      <vt:variant>
        <vt:i4>3211366</vt:i4>
      </vt:variant>
      <vt:variant>
        <vt:i4>0</vt:i4>
      </vt:variant>
      <vt:variant>
        <vt:i4>0</vt:i4>
      </vt:variant>
      <vt:variant>
        <vt:i4>5</vt:i4>
      </vt:variant>
      <vt:variant>
        <vt:lpwstr>https://www.unece.org/rfsd.html</vt:lpwstr>
      </vt:variant>
      <vt:variant>
        <vt:lpwstr/>
      </vt:variant>
      <vt:variant>
        <vt:i4>2424913</vt:i4>
      </vt:variant>
      <vt:variant>
        <vt:i4>0</vt:i4>
      </vt:variant>
      <vt:variant>
        <vt:i4>0</vt:i4>
      </vt:variant>
      <vt:variant>
        <vt:i4>5</vt:i4>
      </vt:variant>
      <vt:variant>
        <vt:lpwstr>https://www.greengrowthknowledge.org/sites/default/files/Interagency Statement On Sustainable Infrastructure_UN Environment.pdf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2</cp:revision>
  <cp:lastPrinted>2020-01-22T10:22:00Z</cp:lastPrinted>
  <dcterms:created xsi:type="dcterms:W3CDTF">2020-04-24T08:26:00Z</dcterms:created>
  <dcterms:modified xsi:type="dcterms:W3CDTF">2020-04-24T08:26:00Z</dcterms:modified>
</cp:coreProperties>
</file>