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1D4B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832F60" w14:textId="77777777" w:rsidR="002D5AAC" w:rsidRDefault="002D5AAC" w:rsidP="003064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BD37D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12FA68" w14:textId="77777777" w:rsidR="002D5AAC" w:rsidRDefault="0030649D" w:rsidP="0030649D">
            <w:pPr>
              <w:jc w:val="right"/>
            </w:pPr>
            <w:r w:rsidRPr="0030649D">
              <w:rPr>
                <w:sz w:val="40"/>
              </w:rPr>
              <w:t>ECE</w:t>
            </w:r>
            <w:r>
              <w:t>/MP.EIA/WG.2/2020/3</w:t>
            </w:r>
          </w:p>
        </w:tc>
      </w:tr>
      <w:tr w:rsidR="002D5AAC" w:rsidRPr="00240DEB" w14:paraId="682337A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E3D17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ED1511" wp14:editId="774E09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E8A57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20A637" w14:textId="77777777" w:rsidR="002D5AAC" w:rsidRDefault="0030649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95599C" w14:textId="77777777" w:rsidR="0030649D" w:rsidRDefault="0030649D" w:rsidP="003064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March 2020</w:t>
            </w:r>
          </w:p>
          <w:p w14:paraId="419B700B" w14:textId="77777777" w:rsidR="0030649D" w:rsidRDefault="0030649D" w:rsidP="003064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261C95" w14:textId="77777777" w:rsidR="0030649D" w:rsidRPr="008D53B6" w:rsidRDefault="0030649D" w:rsidP="003064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A1ACC00" w14:textId="77777777" w:rsidR="0030649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10EDAC" w14:textId="77777777" w:rsidR="002E3B11" w:rsidRPr="00664230" w:rsidRDefault="002E3B11" w:rsidP="00664230">
      <w:pPr>
        <w:spacing w:before="120"/>
        <w:rPr>
          <w:sz w:val="28"/>
          <w:szCs w:val="28"/>
        </w:rPr>
      </w:pPr>
      <w:r w:rsidRPr="00664230">
        <w:rPr>
          <w:sz w:val="28"/>
          <w:szCs w:val="28"/>
        </w:rPr>
        <w:t xml:space="preserve">Совещание Сторон Конвенции об оценке </w:t>
      </w:r>
      <w:r w:rsidR="00664230">
        <w:rPr>
          <w:sz w:val="28"/>
          <w:szCs w:val="28"/>
        </w:rPr>
        <w:br/>
      </w:r>
      <w:r w:rsidRPr="00664230">
        <w:rPr>
          <w:sz w:val="28"/>
          <w:szCs w:val="28"/>
        </w:rPr>
        <w:t xml:space="preserve">воздействия на окружающую среду </w:t>
      </w:r>
      <w:r w:rsidR="00664230">
        <w:rPr>
          <w:sz w:val="28"/>
          <w:szCs w:val="28"/>
        </w:rPr>
        <w:br/>
      </w:r>
      <w:r w:rsidRPr="00664230">
        <w:rPr>
          <w:sz w:val="28"/>
          <w:szCs w:val="28"/>
        </w:rPr>
        <w:t>в трансграничном контексте</w:t>
      </w:r>
    </w:p>
    <w:p w14:paraId="617AB8DF" w14:textId="77777777" w:rsidR="002E3B11" w:rsidRPr="00664230" w:rsidRDefault="002E3B11" w:rsidP="00664230">
      <w:pPr>
        <w:spacing w:before="120"/>
        <w:rPr>
          <w:sz w:val="28"/>
          <w:szCs w:val="28"/>
        </w:rPr>
      </w:pPr>
      <w:r w:rsidRPr="00664230">
        <w:rPr>
          <w:sz w:val="28"/>
          <w:szCs w:val="28"/>
        </w:rPr>
        <w:t xml:space="preserve">Совещание Сторон Конвенции об оценке </w:t>
      </w:r>
      <w:r w:rsidR="00664230">
        <w:rPr>
          <w:sz w:val="28"/>
          <w:szCs w:val="28"/>
        </w:rPr>
        <w:br/>
      </w:r>
      <w:r w:rsidRPr="00664230">
        <w:rPr>
          <w:sz w:val="28"/>
          <w:szCs w:val="28"/>
        </w:rPr>
        <w:t xml:space="preserve">воздействия на окружающую среду </w:t>
      </w:r>
      <w:r w:rsidR="00664230">
        <w:rPr>
          <w:sz w:val="28"/>
          <w:szCs w:val="28"/>
        </w:rPr>
        <w:br/>
      </w:r>
      <w:r w:rsidRPr="00664230">
        <w:rPr>
          <w:sz w:val="28"/>
          <w:szCs w:val="28"/>
        </w:rPr>
        <w:t xml:space="preserve">в трансграничном контексте, действующее </w:t>
      </w:r>
      <w:r w:rsidR="00664230">
        <w:rPr>
          <w:sz w:val="28"/>
          <w:szCs w:val="28"/>
        </w:rPr>
        <w:br/>
      </w:r>
      <w:r w:rsidRPr="00664230">
        <w:rPr>
          <w:sz w:val="28"/>
          <w:szCs w:val="28"/>
        </w:rPr>
        <w:t xml:space="preserve">в качестве совещания Сторон Протокола </w:t>
      </w:r>
      <w:r w:rsidR="00664230">
        <w:rPr>
          <w:sz w:val="28"/>
          <w:szCs w:val="28"/>
        </w:rPr>
        <w:br/>
      </w:r>
      <w:r w:rsidRPr="00664230">
        <w:rPr>
          <w:sz w:val="28"/>
          <w:szCs w:val="28"/>
        </w:rPr>
        <w:t>по стратегической экологической оценке</w:t>
      </w:r>
    </w:p>
    <w:p w14:paraId="3C13379A" w14:textId="77777777" w:rsidR="002E3B11" w:rsidRPr="00664230" w:rsidRDefault="002E3B11" w:rsidP="00664230">
      <w:pPr>
        <w:spacing w:before="120"/>
        <w:rPr>
          <w:b/>
          <w:sz w:val="24"/>
          <w:szCs w:val="24"/>
        </w:rPr>
      </w:pPr>
      <w:r w:rsidRPr="00664230">
        <w:rPr>
          <w:b/>
          <w:sz w:val="24"/>
          <w:szCs w:val="24"/>
        </w:rPr>
        <w:t xml:space="preserve">Рабочая группа по оценке воздействия </w:t>
      </w:r>
      <w:r w:rsidR="00664230">
        <w:rPr>
          <w:b/>
          <w:sz w:val="24"/>
          <w:szCs w:val="24"/>
        </w:rPr>
        <w:br/>
      </w:r>
      <w:r w:rsidRPr="00664230">
        <w:rPr>
          <w:b/>
          <w:sz w:val="24"/>
          <w:szCs w:val="24"/>
        </w:rPr>
        <w:t xml:space="preserve">на окружающую среду и стратегической </w:t>
      </w:r>
      <w:r w:rsidR="00664230">
        <w:rPr>
          <w:b/>
          <w:sz w:val="24"/>
          <w:szCs w:val="24"/>
        </w:rPr>
        <w:br/>
      </w:r>
      <w:r w:rsidRPr="00664230">
        <w:rPr>
          <w:b/>
          <w:sz w:val="24"/>
          <w:szCs w:val="24"/>
        </w:rPr>
        <w:t>экологической оценке</w:t>
      </w:r>
    </w:p>
    <w:p w14:paraId="4848DAB3" w14:textId="77777777" w:rsidR="002E3B11" w:rsidRPr="00664230" w:rsidRDefault="002E3B11" w:rsidP="00664230">
      <w:pPr>
        <w:spacing w:before="120"/>
        <w:rPr>
          <w:b/>
        </w:rPr>
      </w:pPr>
      <w:r w:rsidRPr="00664230">
        <w:rPr>
          <w:b/>
        </w:rPr>
        <w:t>Девятое совещание</w:t>
      </w:r>
    </w:p>
    <w:p w14:paraId="2DFAD102" w14:textId="77777777" w:rsidR="002E3B11" w:rsidRPr="00664230" w:rsidRDefault="002E3B11" w:rsidP="00664230">
      <w:r w:rsidRPr="00664230">
        <w:t>Женева, 9−11 июня 2020 года</w:t>
      </w:r>
    </w:p>
    <w:p w14:paraId="0A30F440" w14:textId="77777777" w:rsidR="002E3B11" w:rsidRPr="00664230" w:rsidRDefault="002E3B11" w:rsidP="00664230">
      <w:r w:rsidRPr="00664230">
        <w:t xml:space="preserve">Пункты 3, 4 с) и 6 с) предварительной повестки дня </w:t>
      </w:r>
    </w:p>
    <w:p w14:paraId="1316E969" w14:textId="77777777" w:rsidR="002E3B11" w:rsidRPr="00664230" w:rsidRDefault="002E3B11" w:rsidP="00664230">
      <w:r w:rsidRPr="00664230">
        <w:rPr>
          <w:b/>
        </w:rPr>
        <w:t>Механизмы финансирования,</w:t>
      </w:r>
      <w:r w:rsidR="00664230">
        <w:rPr>
          <w:b/>
        </w:rPr>
        <w:br/>
      </w:r>
      <w:r w:rsidRPr="00664230">
        <w:rPr>
          <w:b/>
        </w:rPr>
        <w:t xml:space="preserve">Подготовка к следующим сессиям Совещаний Сторон: </w:t>
      </w:r>
      <w:r w:rsidR="00AE2D27">
        <w:rPr>
          <w:b/>
        </w:rPr>
        <w:br/>
      </w:r>
      <w:r w:rsidRPr="00664230">
        <w:rPr>
          <w:b/>
        </w:rPr>
        <w:t>проект плана работы на 2021</w:t>
      </w:r>
      <w:r w:rsidR="00664230">
        <w:rPr>
          <w:b/>
        </w:rPr>
        <w:t>–</w:t>
      </w:r>
      <w:r w:rsidRPr="00664230">
        <w:rPr>
          <w:b/>
        </w:rPr>
        <w:t xml:space="preserve">2023 годы, </w:t>
      </w:r>
      <w:r w:rsidR="00664230">
        <w:rPr>
          <w:b/>
        </w:rPr>
        <w:br/>
      </w:r>
      <w:r w:rsidRPr="00664230">
        <w:rPr>
          <w:b/>
        </w:rPr>
        <w:t xml:space="preserve">Соблюдение и осуществление: </w:t>
      </w:r>
      <w:r w:rsidR="00664230">
        <w:rPr>
          <w:b/>
        </w:rPr>
        <w:br/>
      </w:r>
      <w:r w:rsidRPr="00664230">
        <w:rPr>
          <w:b/>
        </w:rPr>
        <w:t xml:space="preserve">проект долгосрочной стратегии и плана действий </w:t>
      </w:r>
      <w:r w:rsidR="00664230">
        <w:rPr>
          <w:b/>
        </w:rPr>
        <w:br/>
      </w:r>
      <w:r w:rsidRPr="00664230">
        <w:rPr>
          <w:b/>
        </w:rPr>
        <w:t>по осуществлению Конвенции и Протокола</w:t>
      </w:r>
    </w:p>
    <w:p w14:paraId="7105106C" w14:textId="77777777" w:rsidR="002E3B11" w:rsidRPr="002E3B11" w:rsidRDefault="002E3B11" w:rsidP="00664230">
      <w:pPr>
        <w:pStyle w:val="HChG"/>
      </w:pPr>
      <w:r w:rsidRPr="002E3B11">
        <w:tab/>
      </w:r>
      <w:r w:rsidRPr="002E3B11">
        <w:tab/>
        <w:t xml:space="preserve">Проекты совместных решений Совещаний Сторон Конвенции и Протокола </w:t>
      </w:r>
    </w:p>
    <w:p w14:paraId="6A53F0AC" w14:textId="77777777" w:rsidR="002E3B11" w:rsidRDefault="002E3B11" w:rsidP="00664230">
      <w:pPr>
        <w:pStyle w:val="H1G"/>
      </w:pPr>
      <w:r w:rsidRPr="002E3B11">
        <w:tab/>
      </w:r>
      <w:r w:rsidRPr="002E3B11">
        <w:tab/>
        <w:t>Предложения Президиума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64230" w:rsidRPr="00664230" w14:paraId="3DC40F18" w14:textId="77777777" w:rsidTr="00664230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3144F6FD" w14:textId="77777777" w:rsidR="00664230" w:rsidRPr="00664230" w:rsidRDefault="00664230" w:rsidP="00CB5FD4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64230">
              <w:rPr>
                <w:rFonts w:cs="Times New Roman"/>
              </w:rPr>
              <w:tab/>
            </w:r>
            <w:r w:rsidRPr="0066423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64230" w:rsidRPr="00664230" w14:paraId="4D80CDD9" w14:textId="77777777" w:rsidTr="00664230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2583D4A0" w14:textId="77777777" w:rsidR="00664230" w:rsidRPr="00664230" w:rsidRDefault="00664230" w:rsidP="00CB5FD4">
            <w:pPr>
              <w:pStyle w:val="SingleTxtG"/>
            </w:pPr>
            <w:r>
              <w:tab/>
            </w:r>
            <w:r>
              <w:tab/>
            </w:r>
            <w:r w:rsidRPr="00664230">
              <w:t xml:space="preserve">В соответствии с мандатом, предоставленным Рабочей группе по оценке воздействия на окружающую среду и стратегической экологической оценке Совещанием Сторон Конвенции об оценке воздействия на окружающую среду в трансграничном контексте и Совещанием Сторон Конвенции об оценке воздействия на окружающую среду в трансграничном контексте, действующем в качестве совещания Сторон Протокола по стратегической экологической оценке, Рабочей группе поручено готовить для этих руководящих органов рекомендации в отношении </w:t>
            </w:r>
            <w:r w:rsidRPr="00664230">
              <w:lastRenderedPageBreak/>
              <w:t>дальнейшей работы по осуществлению Конвенции и Протокола (ECE/MP.EIA/SEA/2, решение I/5–V/5, пункт 4 постановляющей части).</w:t>
            </w:r>
          </w:p>
        </w:tc>
      </w:tr>
      <w:tr w:rsidR="00664230" w:rsidRPr="00664230" w14:paraId="1C96A192" w14:textId="77777777" w:rsidTr="00664230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6165E1DC" w14:textId="77777777" w:rsidR="00664230" w:rsidRPr="00664230" w:rsidRDefault="00664230" w:rsidP="00CB5FD4">
            <w:pPr>
              <w:pStyle w:val="SingleTxtG"/>
            </w:pPr>
            <w:r w:rsidRPr="00664230">
              <w:lastRenderedPageBreak/>
              <w:tab/>
            </w:r>
            <w:r>
              <w:tab/>
            </w:r>
            <w:r w:rsidRPr="00664230">
              <w:t>В соответствии с вышеупомянутым мандатом в настоящем документе приводится ряд проектов текстов для рассмотрения Рабочей группой: проект решения о механизмах финансирования на 2021–2023 годы (VIII/1–IV/1); проект решения об утверждении плана работы (VIII/2–IV/2); и проект решения о долгосрочной стратегии и плане действий по осуществлению Конвенции и Протокола (VIII/3</w:t>
            </w:r>
            <w:r w:rsidR="003C058B">
              <w:t>–</w:t>
            </w:r>
            <w:r w:rsidRPr="00664230">
              <w:t>IV/3).</w:t>
            </w:r>
          </w:p>
        </w:tc>
      </w:tr>
      <w:tr w:rsidR="00664230" w:rsidRPr="00664230" w14:paraId="60F76D89" w14:textId="77777777" w:rsidTr="00664230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59C1200D" w14:textId="77777777" w:rsidR="00664230" w:rsidRPr="00664230" w:rsidRDefault="00664230" w:rsidP="00CB5FD4">
            <w:pPr>
              <w:pStyle w:val="SingleTxtG"/>
            </w:pPr>
            <w:r w:rsidRPr="002E3B11">
              <w:tab/>
            </w:r>
            <w:r>
              <w:tab/>
            </w:r>
            <w:r w:rsidRPr="002E3B11">
              <w:t xml:space="preserve">Содержащиеся в настоящем документе проекты решений были подготовлены совместным Президиумом руководящих органов этих двух договоров при поддержке секретариата в соответствии с просьбой, высказанной Рабочей группой на ее восьмом совещании (Женева, 26–28 ноября 2019 года). Первые два проекта решений были существенно пересмотрены Президиумом с учетом замечаний Рабочей группы по неофициальным проектам этих документов. Третье решение, содержащееся в настоящем документе, представляет собой новое предложение. </w:t>
            </w:r>
          </w:p>
        </w:tc>
      </w:tr>
      <w:tr w:rsidR="00664230" w:rsidRPr="00664230" w14:paraId="0C427A85" w14:textId="77777777" w:rsidTr="00664230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0F32004E" w14:textId="77777777" w:rsidR="00664230" w:rsidRPr="00664230" w:rsidRDefault="00186DC8" w:rsidP="00CB5FD4">
            <w:pPr>
              <w:pStyle w:val="SingleTxtG"/>
            </w:pPr>
            <w:r>
              <w:tab/>
            </w:r>
            <w:r w:rsidR="00664230" w:rsidRPr="002E3B11">
              <w:tab/>
              <w:t>В проекте решения VIII/1</w:t>
            </w:r>
            <w:r>
              <w:t>–</w:t>
            </w:r>
            <w:r w:rsidR="00664230" w:rsidRPr="002E3B11">
              <w:t xml:space="preserve">IV/1 основное внимание уделяется разработке механизмов финансирования для обеспечения достаточного, предсказуемого и справедливого распределения средств. В приложении к этому проекту решения в качестве возможной основы для определения объема взносов Сторон приводится скорректированная шкала взносов Организации Объединенных Наций. </w:t>
            </w:r>
          </w:p>
        </w:tc>
      </w:tr>
      <w:tr w:rsidR="00664230" w:rsidRPr="00664230" w14:paraId="072CD010" w14:textId="77777777" w:rsidTr="00664230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6D62ED0C" w14:textId="77777777" w:rsidR="00664230" w:rsidRPr="002E3B11" w:rsidRDefault="00664230" w:rsidP="00CB5FD4">
            <w:pPr>
              <w:pStyle w:val="SingleTxtG"/>
            </w:pPr>
            <w:r w:rsidRPr="002E3B11">
              <w:tab/>
            </w:r>
            <w:r w:rsidRPr="002E3B11">
              <w:tab/>
              <w:t>В отличие от предыдущего, в предлагаемом новом проекте плана работы на 2021</w:t>
            </w:r>
            <w:r w:rsidR="00186DC8">
              <w:t>–</w:t>
            </w:r>
            <w:r w:rsidRPr="002E3B11">
              <w:t>2023 годы, содержащемся в приложении I к проекту решения VIII/2</w:t>
            </w:r>
            <w:r w:rsidR="00186DC8">
              <w:t>–</w:t>
            </w:r>
            <w:r w:rsidRPr="002E3B11">
              <w:t>IV/2, указаны все задачи секретариата и предоставляемые им услуги, как это предусмотрено в обоих договорах и правилах процедуры для их Совещаний Сторон и необходимо для функционирования этих договоров. При необходимости это также поможет Рабочей группе определить, какие услуги и виды деятельности секретариата могут быть сокращены в случае отсутствия достаточного финансирования в следующий период (ECE/MP.EIA/WG.2/2019/2, пункт 9). Кроме того, в ответ на просьбу Рабочей группы и в целях оказания ей помощи в обеспечении того, чтобы план работы был подкреплен соответствующими ресурсами, потребности в ресурсах для осуществления плана работы приведены в таблицах 1 и 2 приложения II к проекту решения VIII/2</w:t>
            </w:r>
            <w:r w:rsidR="00186DC8">
              <w:t>–</w:t>
            </w:r>
            <w:r w:rsidRPr="002E3B11">
              <w:t>IV/2. В</w:t>
            </w:r>
            <w:r w:rsidR="00FB06AB">
              <w:t> </w:t>
            </w:r>
            <w:r w:rsidRPr="002E3B11">
              <w:t xml:space="preserve">квадратных скобках указаны те виды деятельности по плану работы, для которых еще не определены финансовые ресурсы или ресурсы в натуральной форме </w:t>
            </w:r>
            <w:r w:rsidR="00FB06AB">
              <w:br/>
            </w:r>
            <w:r w:rsidRPr="002E3B11">
              <w:t>(т.</w:t>
            </w:r>
            <w:r w:rsidR="00FB06AB">
              <w:t> </w:t>
            </w:r>
            <w:r w:rsidRPr="002E3B11">
              <w:t>е. большинство видов деятельности). В таблице 3 приложения II к проекту решения</w:t>
            </w:r>
            <w:r w:rsidR="00FB06AB">
              <w:t> </w:t>
            </w:r>
            <w:r w:rsidRPr="002E3B11">
              <w:t>VIII/2</w:t>
            </w:r>
            <w:r w:rsidR="003C058B" w:rsidRPr="003C058B">
              <w:t>–</w:t>
            </w:r>
            <w:r w:rsidRPr="002E3B11">
              <w:t xml:space="preserve">IV/2 представлен обзор ресурсов, имеющихся в распоряжении программы Европейского союза за окружающую </w:t>
            </w:r>
            <w:r w:rsidRPr="001E15DA">
              <w:t>среду (</w:t>
            </w:r>
            <w:r w:rsidR="00FB06AB" w:rsidRPr="001E15DA">
              <w:t>«</w:t>
            </w:r>
            <w:r w:rsidR="001E15DA" w:rsidRPr="001E15DA">
              <w:t>EU4Environment</w:t>
            </w:r>
            <w:r w:rsidR="00FB06AB" w:rsidRPr="001E15DA">
              <w:t>»</w:t>
            </w:r>
            <w:r w:rsidRPr="001E15DA">
              <w:t>)</w:t>
            </w:r>
            <w:r w:rsidRPr="002E3B11">
              <w:t xml:space="preserve"> на 2021 и 2022 годы. Наконец, в приложении III к проекту решения VIII/2</w:t>
            </w:r>
            <w:r w:rsidR="00186DC8">
              <w:t>–</w:t>
            </w:r>
            <w:r w:rsidRPr="002E3B11">
              <w:t>IV/2 перечислены виды деятельности на период 2021</w:t>
            </w:r>
            <w:r w:rsidR="00186DC8">
              <w:t>–</w:t>
            </w:r>
            <w:r w:rsidRPr="002E3B11">
              <w:t>2023 годов, запрошенные Сторонами, но требующие как дополнительных финансовых, так и кадровых ресурсов секретариата.</w:t>
            </w:r>
            <w:r w:rsidR="00FB06AB">
              <w:t xml:space="preserve"> </w:t>
            </w:r>
          </w:p>
        </w:tc>
      </w:tr>
      <w:tr w:rsidR="00664230" w:rsidRPr="00664230" w14:paraId="130F6452" w14:textId="77777777" w:rsidTr="00664230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5D369C19" w14:textId="77777777" w:rsidR="00664230" w:rsidRPr="002E3B11" w:rsidRDefault="00664230" w:rsidP="00CB5FD4">
            <w:pPr>
              <w:pStyle w:val="SingleTxtG"/>
            </w:pPr>
            <w:r>
              <w:tab/>
            </w:r>
            <w:r>
              <w:tab/>
            </w:r>
            <w:r w:rsidRPr="002E3B11">
              <w:t xml:space="preserve">Как ожидается, Рабочая группа рассмотрит и согласует тексты проектов решений, которые будут препровождены для рассмотрения руководящими органами Конвенции и Протокола на их следующих совместных сессиях (Вильнюс, </w:t>
            </w:r>
            <w:r w:rsidR="00FB06AB">
              <w:br/>
            </w:r>
            <w:r w:rsidRPr="002E3B11">
              <w:t>8–11 декабря 2020 года).</w:t>
            </w:r>
          </w:p>
        </w:tc>
      </w:tr>
      <w:tr w:rsidR="00664230" w:rsidRPr="00664230" w14:paraId="1807365C" w14:textId="77777777" w:rsidTr="00664230">
        <w:trPr>
          <w:jc w:val="center"/>
        </w:trPr>
        <w:tc>
          <w:tcPr>
            <w:tcW w:w="9629" w:type="dxa"/>
            <w:tcBorders>
              <w:top w:val="nil"/>
            </w:tcBorders>
          </w:tcPr>
          <w:p w14:paraId="50884D38" w14:textId="77777777" w:rsidR="00664230" w:rsidRPr="00664230" w:rsidRDefault="00664230" w:rsidP="00CB5FD4">
            <w:pPr>
              <w:rPr>
                <w:rFonts w:cs="Times New Roman"/>
              </w:rPr>
            </w:pPr>
          </w:p>
        </w:tc>
      </w:tr>
    </w:tbl>
    <w:p w14:paraId="67BD392B" w14:textId="77777777" w:rsidR="00664230" w:rsidRPr="00664230" w:rsidRDefault="00664230" w:rsidP="00664230">
      <w:pPr>
        <w:rPr>
          <w:lang w:eastAsia="ru-RU"/>
        </w:rPr>
      </w:pPr>
    </w:p>
    <w:p w14:paraId="614706FA" w14:textId="77777777" w:rsidR="002E3B11" w:rsidRPr="002E3B11" w:rsidRDefault="002E3B11" w:rsidP="002E3B11">
      <w:pPr>
        <w:pStyle w:val="SingleTxtG"/>
      </w:pPr>
      <w:r w:rsidRPr="002E3B11">
        <w:br w:type="page"/>
      </w:r>
    </w:p>
    <w:p w14:paraId="7CE39549" w14:textId="77777777" w:rsidR="00BC086D" w:rsidRDefault="00BC086D" w:rsidP="00CB5FD4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41E30403" w14:textId="77777777" w:rsidR="00BC086D" w:rsidRDefault="00BC086D" w:rsidP="00CB5FD4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3D1DAF8C" w14:textId="77777777" w:rsidR="00BC086D" w:rsidRDefault="00BC086D" w:rsidP="00BC086D">
      <w:pPr>
        <w:tabs>
          <w:tab w:val="left" w:pos="567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2E3B11">
        <w:rPr>
          <w:i/>
          <w:iCs/>
        </w:rPr>
        <w:t>Проекты</w:t>
      </w:r>
      <w:r>
        <w:rPr>
          <w:i/>
          <w:iCs/>
        </w:rPr>
        <w:t xml:space="preserve"> </w:t>
      </w:r>
      <w:r w:rsidRPr="002E3B11">
        <w:rPr>
          <w:i/>
          <w:iCs/>
        </w:rPr>
        <w:t>решения</w:t>
      </w:r>
    </w:p>
    <w:p w14:paraId="36E45A23" w14:textId="3A3EAA84" w:rsidR="00BC086D" w:rsidRDefault="00BC086D" w:rsidP="00BC086D">
      <w:pPr>
        <w:tabs>
          <w:tab w:val="left" w:pos="567"/>
          <w:tab w:val="right" w:pos="850"/>
          <w:tab w:val="left" w:pos="1134"/>
          <w:tab w:val="left" w:pos="1843"/>
          <w:tab w:val="left" w:leader="dot" w:pos="8787"/>
          <w:tab w:val="right" w:pos="9638"/>
        </w:tabs>
        <w:spacing w:after="120"/>
      </w:pPr>
      <w:r>
        <w:rPr>
          <w:i/>
          <w:iCs/>
        </w:rPr>
        <w:tab/>
      </w:r>
      <w:r>
        <w:rPr>
          <w:i/>
          <w:iCs/>
        </w:rPr>
        <w:tab/>
      </w:r>
      <w:r w:rsidRPr="002E3B11">
        <w:t>VIII/1–IV/1</w:t>
      </w:r>
      <w:r>
        <w:tab/>
      </w:r>
      <w:r w:rsidRPr="002E3B11">
        <w:t>Механизмы финансирования на 2021</w:t>
      </w:r>
      <w:r w:rsidR="00A7732C" w:rsidRPr="00DA41E5">
        <w:t>–</w:t>
      </w:r>
      <w:r w:rsidRPr="002E3B11">
        <w:t>2023 годы</w:t>
      </w:r>
      <w:r>
        <w:tab/>
      </w:r>
      <w:r>
        <w:tab/>
      </w:r>
      <w:r w:rsidR="006B57F1">
        <w:t>4</w:t>
      </w:r>
    </w:p>
    <w:p w14:paraId="7162C71B" w14:textId="40CD9EB5" w:rsidR="00BC086D" w:rsidRDefault="00BC086D" w:rsidP="00BC086D">
      <w:pPr>
        <w:tabs>
          <w:tab w:val="left" w:pos="567"/>
          <w:tab w:val="right" w:pos="850"/>
          <w:tab w:val="left" w:pos="1134"/>
          <w:tab w:val="left" w:pos="1843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>
        <w:tab/>
      </w:r>
      <w:r w:rsidRPr="002E3B11">
        <w:t xml:space="preserve">Приложение: Ориентировочные годовые минимальные взносы </w:t>
      </w:r>
      <w:r>
        <w:br/>
      </w:r>
      <w:r>
        <w:tab/>
      </w:r>
      <w:r>
        <w:tab/>
      </w:r>
      <w:r>
        <w:tab/>
      </w:r>
      <w:r>
        <w:tab/>
      </w:r>
      <w:r w:rsidRPr="002E3B11">
        <w:t>на период 2021</w:t>
      </w:r>
      <w:r>
        <w:t>–</w:t>
      </w:r>
      <w:r w:rsidRPr="002E3B11">
        <w:t>2023 годов</w:t>
      </w:r>
      <w:r>
        <w:tab/>
      </w:r>
      <w:r>
        <w:tab/>
      </w:r>
      <w:r w:rsidR="006B57F1">
        <w:t>8</w:t>
      </w:r>
    </w:p>
    <w:p w14:paraId="757D4134" w14:textId="77777777" w:rsidR="00BC086D" w:rsidRPr="00BC086D" w:rsidRDefault="00BC086D" w:rsidP="00BC086D">
      <w:pPr>
        <w:tabs>
          <w:tab w:val="left" w:pos="567"/>
          <w:tab w:val="right" w:pos="850"/>
          <w:tab w:val="left" w:pos="1134"/>
          <w:tab w:val="left" w:pos="1843"/>
          <w:tab w:val="left" w:leader="dot" w:pos="8787"/>
          <w:tab w:val="right" w:pos="9638"/>
        </w:tabs>
        <w:spacing w:after="120"/>
      </w:pPr>
      <w:r w:rsidRPr="00BC086D">
        <w:tab/>
        <w:t>VIII/2–IV/2</w:t>
      </w:r>
      <w:r w:rsidRPr="00BC086D">
        <w:tab/>
        <w:t>Утверждение плана работы</w:t>
      </w:r>
      <w:r w:rsidRPr="00BC086D">
        <w:tab/>
      </w:r>
      <w:r w:rsidRPr="00BC086D">
        <w:tab/>
        <w:t>10</w:t>
      </w:r>
    </w:p>
    <w:p w14:paraId="613B6565" w14:textId="77777777" w:rsidR="00BC086D" w:rsidRPr="00BC086D" w:rsidRDefault="00BC086D" w:rsidP="00BC086D">
      <w:pPr>
        <w:tabs>
          <w:tab w:val="left" w:pos="567"/>
          <w:tab w:val="right" w:pos="850"/>
          <w:tab w:val="left" w:pos="1134"/>
          <w:tab w:val="left" w:pos="1843"/>
          <w:tab w:val="left" w:leader="dot" w:pos="8787"/>
          <w:tab w:val="right" w:pos="9638"/>
        </w:tabs>
        <w:spacing w:after="120"/>
      </w:pPr>
      <w:r w:rsidRPr="00BC086D">
        <w:tab/>
      </w:r>
      <w:r w:rsidRPr="00BC086D">
        <w:tab/>
      </w:r>
      <w:r w:rsidRPr="00BC086D">
        <w:tab/>
      </w:r>
      <w:r w:rsidRPr="00BC086D">
        <w:tab/>
        <w:t>Приложение I: Проект плана работы на 2021</w:t>
      </w:r>
      <w:r>
        <w:t>–</w:t>
      </w:r>
      <w:r w:rsidRPr="00BC086D">
        <w:t>2023 годы</w:t>
      </w:r>
      <w:r w:rsidRPr="00BC086D">
        <w:tab/>
      </w:r>
      <w:r w:rsidRPr="00BC086D">
        <w:tab/>
        <w:t>13</w:t>
      </w:r>
    </w:p>
    <w:p w14:paraId="3EADB71F" w14:textId="76FE5B23" w:rsidR="00BC086D" w:rsidRPr="00BC086D" w:rsidRDefault="00BC086D" w:rsidP="00BC086D">
      <w:pPr>
        <w:tabs>
          <w:tab w:val="left" w:pos="567"/>
          <w:tab w:val="right" w:pos="850"/>
          <w:tab w:val="left" w:pos="1134"/>
          <w:tab w:val="left" w:pos="1843"/>
          <w:tab w:val="left" w:leader="dot" w:pos="8787"/>
          <w:tab w:val="right" w:pos="9638"/>
        </w:tabs>
        <w:spacing w:after="120"/>
      </w:pPr>
      <w:r w:rsidRPr="00BC086D">
        <w:tab/>
      </w:r>
      <w:r w:rsidRPr="00BC086D">
        <w:tab/>
      </w:r>
      <w:r w:rsidRPr="00BC086D">
        <w:tab/>
      </w:r>
      <w:r w:rsidRPr="00BC086D">
        <w:tab/>
        <w:t xml:space="preserve">Приложение II: Потребности в ресурсах для осуществления плана работы </w:t>
      </w:r>
      <w:r>
        <w:br/>
      </w:r>
      <w:r>
        <w:tab/>
      </w:r>
      <w:r>
        <w:tab/>
      </w:r>
      <w:r>
        <w:tab/>
      </w:r>
      <w:r>
        <w:tab/>
      </w:r>
      <w:r w:rsidRPr="00BC086D">
        <w:t>на 2021</w:t>
      </w:r>
      <w:r>
        <w:t>–</w:t>
      </w:r>
      <w:r w:rsidRPr="00BC086D">
        <w:t>2023 годы</w:t>
      </w:r>
      <w:r w:rsidRPr="00BC086D">
        <w:tab/>
      </w:r>
      <w:r w:rsidRPr="00BC086D">
        <w:tab/>
        <w:t>2</w:t>
      </w:r>
      <w:r w:rsidR="006B57F1">
        <w:t>5</w:t>
      </w:r>
    </w:p>
    <w:p w14:paraId="2956FB87" w14:textId="432533E4" w:rsidR="00BC086D" w:rsidRPr="00BC086D" w:rsidRDefault="00BC086D" w:rsidP="00BC086D">
      <w:pPr>
        <w:tabs>
          <w:tab w:val="left" w:pos="567"/>
          <w:tab w:val="right" w:pos="850"/>
          <w:tab w:val="left" w:pos="1134"/>
          <w:tab w:val="left" w:pos="1843"/>
          <w:tab w:val="left" w:leader="dot" w:pos="8787"/>
          <w:tab w:val="right" w:pos="9638"/>
        </w:tabs>
        <w:spacing w:after="120"/>
      </w:pPr>
      <w:r w:rsidRPr="00BC086D">
        <w:tab/>
      </w:r>
      <w:r w:rsidRPr="00BC086D">
        <w:tab/>
      </w:r>
      <w:r w:rsidRPr="00BC086D">
        <w:tab/>
      </w:r>
      <w:r w:rsidRPr="00BC086D">
        <w:tab/>
        <w:t xml:space="preserve">Приложение III: Виды деятельности, требующие дополнительных ресурсов, </w:t>
      </w:r>
      <w:r>
        <w:br/>
      </w:r>
      <w:r>
        <w:tab/>
      </w:r>
      <w:r>
        <w:tab/>
      </w:r>
      <w:r>
        <w:tab/>
      </w:r>
      <w:r>
        <w:tab/>
      </w:r>
      <w:r w:rsidRPr="00BC086D">
        <w:t xml:space="preserve">включая кадровое обеспечение секретариата, для осуществления </w:t>
      </w:r>
      <w:r>
        <w:br/>
      </w:r>
      <w:r>
        <w:tab/>
      </w:r>
      <w:r>
        <w:tab/>
      </w:r>
      <w:r>
        <w:tab/>
      </w:r>
      <w:r>
        <w:tab/>
      </w:r>
      <w:r w:rsidRPr="00BC086D">
        <w:t>в период 2021</w:t>
      </w:r>
      <w:r>
        <w:t>–</w:t>
      </w:r>
      <w:r w:rsidRPr="00BC086D">
        <w:t>2023 годов</w:t>
      </w:r>
      <w:r w:rsidRPr="00BC086D">
        <w:tab/>
      </w:r>
      <w:r w:rsidRPr="00BC086D">
        <w:tab/>
        <w:t>2</w:t>
      </w:r>
      <w:r w:rsidR="006B57F1">
        <w:t>9</w:t>
      </w:r>
    </w:p>
    <w:p w14:paraId="08FC26AA" w14:textId="33B73963" w:rsidR="002E3B11" w:rsidRPr="002E3B11" w:rsidRDefault="00BC086D" w:rsidP="00BC086D">
      <w:pPr>
        <w:tabs>
          <w:tab w:val="left" w:pos="567"/>
          <w:tab w:val="right" w:pos="850"/>
          <w:tab w:val="left" w:pos="1134"/>
          <w:tab w:val="left" w:pos="1843"/>
          <w:tab w:val="left" w:leader="dot" w:pos="8787"/>
          <w:tab w:val="right" w:pos="9638"/>
        </w:tabs>
        <w:spacing w:after="120"/>
      </w:pPr>
      <w:r w:rsidRPr="00BC086D">
        <w:tab/>
        <w:t>VIII/3–IV/3</w:t>
      </w:r>
      <w:r w:rsidRPr="00BC086D">
        <w:tab/>
        <w:t xml:space="preserve">Долгосрочная стратегия и план действий по осуществлению Конвенции </w:t>
      </w:r>
      <w:r>
        <w:br/>
      </w:r>
      <w:r>
        <w:tab/>
      </w:r>
      <w:r>
        <w:tab/>
      </w:r>
      <w:r>
        <w:tab/>
      </w:r>
      <w:r>
        <w:tab/>
      </w:r>
      <w:r w:rsidRPr="00BC086D">
        <w:t>и Протокола</w:t>
      </w:r>
      <w:r w:rsidRPr="00BC086D">
        <w:tab/>
      </w:r>
      <w:r w:rsidRPr="00BC086D">
        <w:tab/>
      </w:r>
      <w:r w:rsidR="006B57F1">
        <w:t>32</w:t>
      </w:r>
    </w:p>
    <w:p w14:paraId="4C63F936" w14:textId="77777777" w:rsidR="002E3B11" w:rsidRPr="002E3B11" w:rsidRDefault="002E3B11" w:rsidP="002E3B11">
      <w:pPr>
        <w:pStyle w:val="SingleTxtG"/>
      </w:pPr>
      <w:r w:rsidRPr="002E3B11">
        <w:br w:type="page"/>
      </w:r>
    </w:p>
    <w:p w14:paraId="325C61F6" w14:textId="77777777" w:rsidR="002E3B11" w:rsidRPr="002E3B11" w:rsidRDefault="002E3B11" w:rsidP="00FB06AB">
      <w:pPr>
        <w:pStyle w:val="HChG"/>
      </w:pPr>
      <w:r w:rsidRPr="002E3B11">
        <w:lastRenderedPageBreak/>
        <w:tab/>
      </w:r>
      <w:r w:rsidRPr="002E3B11">
        <w:tab/>
        <w:t>Решение VIII/1–IV/1</w:t>
      </w:r>
    </w:p>
    <w:p w14:paraId="1D26EFF0" w14:textId="77777777" w:rsidR="002E3B11" w:rsidRPr="002E3B11" w:rsidRDefault="00FB06AB" w:rsidP="00FB06AB">
      <w:pPr>
        <w:pStyle w:val="H1G"/>
      </w:pPr>
      <w:r>
        <w:tab/>
      </w:r>
      <w:r>
        <w:tab/>
      </w:r>
      <w:r w:rsidR="002E3B11" w:rsidRPr="002E3B11">
        <w:tab/>
        <w:t>Механизмы финансирования на 2021</w:t>
      </w:r>
      <w:r>
        <w:t>–</w:t>
      </w:r>
      <w:r w:rsidR="002E3B11" w:rsidRPr="002E3B11">
        <w:t>2023 годы</w:t>
      </w:r>
    </w:p>
    <w:p w14:paraId="79CF8E4B" w14:textId="77777777" w:rsidR="002E3B11" w:rsidRPr="002E3B11" w:rsidRDefault="002E3B11" w:rsidP="002E3B11">
      <w:pPr>
        <w:pStyle w:val="SingleTxtG"/>
        <w:rPr>
          <w:i/>
          <w:iCs/>
        </w:rPr>
      </w:pPr>
      <w:r w:rsidRPr="002E3B11">
        <w:tab/>
      </w:r>
      <w:r w:rsidRPr="002E3B11">
        <w:tab/>
      </w:r>
      <w:r w:rsidRPr="002E3B11"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</w:p>
    <w:p w14:paraId="2A92D7B9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>ссылаясь</w:t>
      </w:r>
      <w:r w:rsidRPr="002E3B11">
        <w:t xml:space="preserve"> на решение VII/4–III/4 о бюджете, механизмах финансирования и финансовой помощи на период 2017</w:t>
      </w:r>
      <w:r w:rsidR="00DA41E5" w:rsidRPr="00DA41E5">
        <w:t>–</w:t>
      </w:r>
      <w:r w:rsidRPr="002E3B11">
        <w:t xml:space="preserve">2020 годов, </w:t>
      </w:r>
    </w:p>
    <w:p w14:paraId="5E6A8D13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ссылаясь также </w:t>
      </w:r>
      <w:r w:rsidRPr="002E3B11">
        <w:t>на финансовую стратегию, принятую в решении VI/4</w:t>
      </w:r>
      <w:r w:rsidR="00186DC8">
        <w:t>–</w:t>
      </w:r>
      <w:r w:rsidRPr="002E3B11">
        <w:t>II/4 (приложение II), и выражая при этом сожаление по поводу ее ограниченной применимости для совершенствования механизмов финансирования Конвенции и Протокола к ней и обеспечения предсказуемости и справедливого распределения взносов,</w:t>
      </w:r>
      <w:r w:rsidR="00BC086D">
        <w:t xml:space="preserve"> </w:t>
      </w:r>
    </w:p>
    <w:p w14:paraId="38B30CEF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признавая </w:t>
      </w:r>
      <w:r w:rsidRPr="002E3B11">
        <w:t>желание Сторон обеспечить высокую степень транспарентности и подотчетности в отношении положения дел с финансированием деятельности в соответствии с Конвенцией и Протоколом и изменений в нем,</w:t>
      </w:r>
    </w:p>
    <w:p w14:paraId="48041067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приветствуя </w:t>
      </w:r>
      <w:r w:rsidRPr="002E3B11">
        <w:t>годовые финансовые отчеты, подготовленные секретариатом в течение межсессионного периода 2017</w:t>
      </w:r>
      <w:r w:rsidR="00186DC8">
        <w:t>–</w:t>
      </w:r>
      <w:r w:rsidRPr="002E3B11">
        <w:t xml:space="preserve">2020 годов, </w:t>
      </w:r>
    </w:p>
    <w:p w14:paraId="5EF6289E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с признательностью отмечая </w:t>
      </w:r>
      <w:r w:rsidRPr="002E3B11">
        <w:t>взносы, внесенные в этот период как наличными, так и в натуральной форме,</w:t>
      </w:r>
      <w:r w:rsidR="00BC086D">
        <w:t xml:space="preserve"> </w:t>
      </w:r>
      <w:bookmarkStart w:id="1" w:name="_Hlk32402231"/>
      <w:bookmarkEnd w:id="1"/>
    </w:p>
    <w:p w14:paraId="24811023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>выражая вместе с тем сожаление</w:t>
      </w:r>
      <w:r w:rsidRPr="002E3B11">
        <w:t xml:space="preserve"> в связи с недостаточностью и непредсказуемостью взносов, усугубившимися в результате не обеспеченного финансированием продления этого периода на шесть месяцев, </w:t>
      </w:r>
    </w:p>
    <w:p w14:paraId="0654E749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сожалея также </w:t>
      </w:r>
      <w:r w:rsidRPr="002E3B11">
        <w:t xml:space="preserve">о по-прежнему неравномерном распределении финансового бремени, при котором бóльшую часть финансирования предоставляют лишь несколько Сторон, в то время как некоторые Стороны вообще не вносят никаких взносов, </w:t>
      </w:r>
    </w:p>
    <w:p w14:paraId="02398376" w14:textId="77777777" w:rsidR="002E3B11" w:rsidRPr="002E3B11" w:rsidRDefault="002E3B11" w:rsidP="002E3B11">
      <w:pPr>
        <w:pStyle w:val="SingleTxtG"/>
      </w:pPr>
      <w:bookmarkStart w:id="2" w:name="_Hlk32417526"/>
      <w:r w:rsidRPr="002E3B11">
        <w:tab/>
      </w:r>
      <w:r w:rsidRPr="002E3B11">
        <w:tab/>
      </w:r>
      <w:r w:rsidRPr="002E3B11">
        <w:rPr>
          <w:i/>
          <w:iCs/>
        </w:rPr>
        <w:t xml:space="preserve">подтверждая </w:t>
      </w:r>
      <w:r w:rsidRPr="002E3B11">
        <w:t xml:space="preserve">необходимость предоставления всеми Сторонами стабильного и достаточного финансирования и людских ресурсов для осуществления плана работы по Конвенции и Протоколу к ней в следующий межсессионный период </w:t>
      </w:r>
      <w:r w:rsidR="00FB06AB">
        <w:br/>
      </w:r>
      <w:r w:rsidRPr="002E3B11">
        <w:t>(2021</w:t>
      </w:r>
      <w:r w:rsidR="00FB06AB">
        <w:t>–</w:t>
      </w:r>
      <w:r w:rsidRPr="002E3B11">
        <w:t>2023 годы), принятого в решении VIII/2</w:t>
      </w:r>
      <w:r w:rsidR="00186DC8">
        <w:t>–</w:t>
      </w:r>
      <w:r w:rsidRPr="002E3B11">
        <w:t xml:space="preserve">IV/2, </w:t>
      </w:r>
    </w:p>
    <w:p w14:paraId="7374F239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подтверждая также </w:t>
      </w:r>
      <w:r w:rsidRPr="002E3B11">
        <w:t xml:space="preserve">обязанность каждой Стороны при справедливом распределении расходов по плану работы вносить вклад, как минимум, на уровне не ниже ее экономических возможностей, </w:t>
      </w:r>
      <w:bookmarkEnd w:id="2"/>
    </w:p>
    <w:p w14:paraId="687D62ED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сознавая </w:t>
      </w:r>
      <w:r w:rsidRPr="002E3B11">
        <w:t>важность широкого участия Сторон в деятельности в рамках Конвенции и Протокола в целях повышения ее эффективности,</w:t>
      </w:r>
    </w:p>
    <w:p w14:paraId="2D49165C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сознавая также </w:t>
      </w:r>
      <w:r w:rsidRPr="002E3B11">
        <w:t>необходимость оказания содействия участию некоторых стран с переходной экономикой, которые в противном случае не смогут принимать участия, в совещаниях и других видах деятельности в рамках Конвенции и Протокола,</w:t>
      </w:r>
    </w:p>
    <w:p w14:paraId="67EB8F5A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ссылаясь </w:t>
      </w:r>
      <w:r w:rsidRPr="002E3B11">
        <w:t xml:space="preserve">на пункт 3 статьи 23 Протокола, который позволяет государствам </w:t>
      </w:r>
      <w:r w:rsidR="00FB06AB">
        <w:t>–</w:t>
      </w:r>
      <w:r w:rsidRPr="002E3B11">
        <w:t xml:space="preserve"> членам Организации Объединенных Наций, не являющимся членами Европейской экономической комиссии Организации Объединенных Наций (ЕЭК), присоединиться к Протоколу, а также на пункт 3 статьи 17 Конвенции, который в ближайшем будущем также позволит присоединиться к Конвенции государствам, не являющимся членами</w:t>
      </w:r>
      <w:r w:rsidR="002E4C5B">
        <w:t> </w:t>
      </w:r>
      <w:r w:rsidRPr="002E3B11">
        <w:t>ЕЭК,</w:t>
      </w:r>
    </w:p>
    <w:p w14:paraId="52E757EB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1.</w:t>
      </w:r>
      <w:r w:rsidR="002E3B11" w:rsidRPr="002E3B11">
        <w:tab/>
      </w:r>
      <w:r w:rsidR="002E3B11" w:rsidRPr="002E3B11">
        <w:rPr>
          <w:i/>
          <w:iCs/>
        </w:rPr>
        <w:t>устанавливают</w:t>
      </w:r>
      <w:r w:rsidR="002E3B11" w:rsidRPr="002E3B11">
        <w:t xml:space="preserve"> схему финансирования утвержденных планов работы, в соответствии с которой все Стороны обязаны способствовать справедливому распределению расходов, не покрываемых из регулярного бюджета Организации Объединенных Наций;</w:t>
      </w:r>
      <w:r w:rsidR="00BC086D">
        <w:t xml:space="preserve"> </w:t>
      </w:r>
    </w:p>
    <w:p w14:paraId="1024C59D" w14:textId="77777777" w:rsidR="002E3B11" w:rsidRPr="002E3B11" w:rsidRDefault="00FB06AB" w:rsidP="002E3B11">
      <w:pPr>
        <w:pStyle w:val="SingleTxtG"/>
      </w:pPr>
      <w:r>
        <w:lastRenderedPageBreak/>
        <w:tab/>
      </w:r>
      <w:r>
        <w:tab/>
      </w:r>
      <w:r w:rsidR="002E3B11" w:rsidRPr="002E3B11">
        <w:t>2.</w:t>
      </w:r>
      <w:r w:rsidR="002E3B11" w:rsidRPr="002E3B11">
        <w:tab/>
      </w:r>
      <w:r w:rsidR="002E3B11" w:rsidRPr="002E3B11">
        <w:rPr>
          <w:i/>
        </w:rPr>
        <w:t>принимают решение</w:t>
      </w:r>
      <w:r w:rsidR="002E3B11" w:rsidRPr="002E3B11">
        <w:t>, что схема финансирования должна основываться на следующих принципах:</w:t>
      </w:r>
    </w:p>
    <w:p w14:paraId="6DBDD972" w14:textId="77777777" w:rsidR="002E3B11" w:rsidRPr="002E3B11" w:rsidRDefault="00FB06AB" w:rsidP="002E3B11">
      <w:pPr>
        <w:pStyle w:val="SingleTxtG"/>
      </w:pPr>
      <w:r>
        <w:tab/>
      </w:r>
      <w:r w:rsidR="002E3B11" w:rsidRPr="002E3B11">
        <w:tab/>
        <w:t>a)</w:t>
      </w:r>
      <w:r w:rsidR="002E3B11" w:rsidRPr="002E3B11">
        <w:tab/>
        <w:t xml:space="preserve">каждая Сторона вносит годовые или многолетние взносы для финансирования осуществления планов работы; </w:t>
      </w:r>
    </w:p>
    <w:p w14:paraId="274BDA35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  <w:t>b)</w:t>
      </w:r>
      <w:r w:rsidRPr="002E3B11">
        <w:tab/>
        <w:t>для обеспечения справедливого распределения финансового бремени между Сторонами каждое государство, являющееся Стороной, вносит минимальный взнос в размере, рассчитанном на основе скорректированной шкалы взносов Организации Объединенных Наций</w:t>
      </w:r>
      <w:r w:rsidRPr="00BC086D">
        <w:rPr>
          <w:rStyle w:val="FootnoteReference"/>
        </w:rPr>
        <w:footnoteReference w:id="1"/>
      </w:r>
      <w:r w:rsidRPr="002E3B11">
        <w:t xml:space="preserve">, с целью содействия удовлетворению согласованных потребностей в ресурсах для осуществления плана работы; [Этот метод не распространяется на взносы Европейского союза]; </w:t>
      </w:r>
    </w:p>
    <w:p w14:paraId="23FEFD65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c)</w:t>
      </w:r>
      <w:r w:rsidR="002E3B11" w:rsidRPr="002E3B11">
        <w:tab/>
        <w:t>Стороны сообщают о своих планируемых годовых или многолетних финансовых взносах и взносах в натуральной форме заблаговременно до принятия Совещаниями Сторон плана работы и бюджета для обеспечения того, чтобы планы работы соответствовали объему финансирования, и достижения большей определенности в управлении финансированием и проектами;</w:t>
      </w:r>
    </w:p>
    <w:p w14:paraId="084BD2E1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d)</w:t>
      </w:r>
      <w:r w:rsidR="002E3B11" w:rsidRPr="002E3B11">
        <w:tab/>
        <w:t>регулярные годовые или многолетние взносы вносятся наличными и предпочтительно не резервируются для того или иного вида деятельности, а</w:t>
      </w:r>
      <w:r w:rsidR="000A3E5F">
        <w:rPr>
          <w:lang w:val="en-US"/>
        </w:rPr>
        <w:t> </w:t>
      </w:r>
      <w:r w:rsidR="002E3B11" w:rsidRPr="002E3B11">
        <w:t xml:space="preserve">направляются на осуществление плана работы в целом, с тем чтобы не ограничивать их выделение покрытием приоритетных расходов, в то время как дополнительные взносы могут вноситься наличными или в натуральной форме и могут быть зарезервированы для конкретного вида деятельности; </w:t>
      </w:r>
    </w:p>
    <w:p w14:paraId="5FE5A447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e)</w:t>
      </w:r>
      <w:r w:rsidR="002E3B11" w:rsidRPr="002E3B11">
        <w:tab/>
        <w:t xml:space="preserve">взносы наличными вносятся через целевой фонд ЕЭК для Конвенции и Протокола к ней в соответствии с требованиями об уплате, выдаваемыми секретариатом; </w:t>
      </w:r>
    </w:p>
    <w:p w14:paraId="07DC2DE2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f)</w:t>
      </w:r>
      <w:r w:rsidR="002E3B11" w:rsidRPr="002E3B11">
        <w:tab/>
        <w:t>с учетом административных операционных издержек, связанных с каждым платежом, размер единого взноса не должен быть менее 500 долл. США;</w:t>
      </w:r>
      <w:r w:rsidR="00BC086D">
        <w:t xml:space="preserve"> </w:t>
      </w:r>
    </w:p>
    <w:p w14:paraId="24D8F4C5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g)</w:t>
      </w:r>
      <w:r w:rsidR="002E3B11" w:rsidRPr="002E3B11">
        <w:tab/>
        <w:t>по мере возможности взносы за конкретный календарный год вносятся до 1 октября предыдущего года или, если это не представляется возможным, в течение первых шести месяцев календарного года, с тем чтобы обеспечить в приоритетном порядке продление контрактов сотрудников секретариата, финансируемых за счет внебюджетных средств, в целях бесперебойного функционирования секретариата и своевременного и эффективного осуществления плана работы;</w:t>
      </w:r>
    </w:p>
    <w:p w14:paraId="3232EFDA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3.</w:t>
      </w:r>
      <w:r w:rsidR="002E3B11" w:rsidRPr="002E3B11">
        <w:tab/>
      </w:r>
      <w:r w:rsidR="002E3B11" w:rsidRPr="002E3B11">
        <w:rPr>
          <w:i/>
          <w:iCs/>
        </w:rPr>
        <w:t>просят</w:t>
      </w:r>
      <w:r w:rsidR="002E3B11" w:rsidRPr="002E3B11">
        <w:t xml:space="preserve"> каждую Сторону вносить годовые или многолетние взносы для финансирования осуществления плана работы в соответствии со схемой, упомянутой в пункте 2 выше;</w:t>
      </w:r>
    </w:p>
    <w:p w14:paraId="67284034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4.</w:t>
      </w:r>
      <w:r w:rsidR="002E3B11" w:rsidRPr="002E3B11">
        <w:tab/>
      </w:r>
      <w:r w:rsidR="002E3B11" w:rsidRPr="002E3B11">
        <w:rPr>
          <w:i/>
          <w:iCs/>
        </w:rPr>
        <w:t>призывают</w:t>
      </w:r>
      <w:r w:rsidR="002E3B11" w:rsidRPr="002E3B11">
        <w:t xml:space="preserve"> Стороны использовать различные финансовые источники в рамках национальных бюджетов для своих финансовых взносов</w:t>
      </w:r>
      <w:r w:rsidR="002E3B11" w:rsidRPr="00BC086D">
        <w:rPr>
          <w:rStyle w:val="FootnoteReference"/>
        </w:rPr>
        <w:footnoteReference w:id="2"/>
      </w:r>
      <w:r w:rsidR="002E3B11" w:rsidRPr="002E3B11">
        <w:t xml:space="preserve">; </w:t>
      </w:r>
    </w:p>
    <w:p w14:paraId="0E340C12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5.</w:t>
      </w:r>
      <w:r w:rsidR="002E3B11" w:rsidRPr="002E3B11">
        <w:tab/>
      </w:r>
      <w:r w:rsidR="002E3B11" w:rsidRPr="002E3B11">
        <w:rPr>
          <w:i/>
          <w:iCs/>
        </w:rPr>
        <w:t>предлагают</w:t>
      </w:r>
      <w:r w:rsidR="002E3B11" w:rsidRPr="002E3B11">
        <w:t xml:space="preserve"> сигнатариям, другим заинтересованным государствам, организациям и международным финансовым учреждениям также вносить финансовые взносы или взносы в натуральной форме;</w:t>
      </w:r>
    </w:p>
    <w:p w14:paraId="7DBFC7B5" w14:textId="77777777" w:rsidR="002E3B11" w:rsidRPr="002E3B11" w:rsidRDefault="00FB06AB" w:rsidP="002E3B11">
      <w:pPr>
        <w:pStyle w:val="SingleTxtG"/>
      </w:pPr>
      <w:r>
        <w:lastRenderedPageBreak/>
        <w:tab/>
      </w:r>
      <w:r>
        <w:tab/>
      </w:r>
      <w:r w:rsidR="002E3B11" w:rsidRPr="002E3B11">
        <w:t>6.</w:t>
      </w:r>
      <w:r w:rsidR="002E3B11" w:rsidRPr="002E3B11">
        <w:tab/>
      </w:r>
      <w:r w:rsidR="002E3B11" w:rsidRPr="002E3B11">
        <w:rPr>
          <w:i/>
          <w:iCs/>
        </w:rPr>
        <w:t xml:space="preserve">постановляют </w:t>
      </w:r>
      <w:r w:rsidR="002E3B11" w:rsidRPr="002E3B11">
        <w:t>прекратить использование системы долевых взносов, принятую в соответствии с решением III/10 Совещания Сторон Конвенции (где одна доля равняется 1 000 долл. США), и вместо этого более четко указать потребности в ресурсах и взносы стран в долларовом выражении;</w:t>
      </w:r>
    </w:p>
    <w:p w14:paraId="415D5B4C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7.</w:t>
      </w:r>
      <w:r w:rsidR="002E3B11" w:rsidRPr="002E3B11">
        <w:tab/>
      </w:r>
      <w:r w:rsidR="002E3B11" w:rsidRPr="002E3B11">
        <w:rPr>
          <w:i/>
          <w:iCs/>
        </w:rPr>
        <w:t>утверждают</w:t>
      </w:r>
      <w:r w:rsidR="002E3B11" w:rsidRPr="002E3B11">
        <w:t xml:space="preserve"> подготовленный секретариатом доклад о бюджете и механизмах финансирования в период 2017</w:t>
      </w:r>
      <w:r w:rsidR="000A3E5F" w:rsidRPr="000A3E5F">
        <w:t>–</w:t>
      </w:r>
      <w:r w:rsidR="002E3B11" w:rsidRPr="002E3B11">
        <w:t>2020 годов, который содержится в документе ECE/MP.EIA/2020/[</w:t>
      </w:r>
      <w:r w:rsidR="001872DB">
        <w:t>.</w:t>
      </w:r>
      <w:r w:rsidR="002E3B11" w:rsidRPr="002E3B11">
        <w:t>.]–ECE/MP.EIA/SEA/2020/[</w:t>
      </w:r>
      <w:r w:rsidR="000A3E5F" w:rsidRPr="000A3E5F">
        <w:t>..</w:t>
      </w:r>
      <w:r w:rsidR="002E3B11" w:rsidRPr="002E3B11">
        <w:t>];</w:t>
      </w:r>
    </w:p>
    <w:p w14:paraId="358445DB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8.</w:t>
      </w:r>
      <w:r w:rsidR="002E3B11" w:rsidRPr="002E3B11">
        <w:tab/>
      </w:r>
      <w:r w:rsidR="002E3B11" w:rsidRPr="002E3B11">
        <w:rPr>
          <w:i/>
          <w:iCs/>
        </w:rPr>
        <w:t>постановляют</w:t>
      </w:r>
      <w:r w:rsidR="002E3B11" w:rsidRPr="002E3B11">
        <w:t>, что предусмотренные планом работы на 2021–2023 годы виды деятельности и соответствующие сметные потребности в ресурсах, изложенные соответственно в приложениях I и II к решению VIII/2</w:t>
      </w:r>
      <w:r w:rsidR="000A3E5F" w:rsidRPr="000A3E5F">
        <w:t>–</w:t>
      </w:r>
      <w:r w:rsidR="002E3B11" w:rsidRPr="002E3B11">
        <w:t>IV/2 и не покрываемые из регулярного бюджета Организации Объединенных Наций, следует покрывать за счет взносов Сторон в целевой фонд на общую сумму [...] долл. США;</w:t>
      </w:r>
    </w:p>
    <w:p w14:paraId="2E78B4D5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9.</w:t>
      </w:r>
      <w:r w:rsidR="002E3B11" w:rsidRPr="002E3B11">
        <w:tab/>
      </w:r>
      <w:r w:rsidR="002E3B11" w:rsidRPr="002E3B11">
        <w:rPr>
          <w:i/>
          <w:iCs/>
        </w:rPr>
        <w:t xml:space="preserve">подчеркивают </w:t>
      </w:r>
      <w:r w:rsidR="002E3B11" w:rsidRPr="002E3B11">
        <w:t>необходимость надлежащего и стабильного кадрового укомплектования секретариата для планирования и осуществления деятельности с уделением первоочередного внимания финансированию достаточного числа внебюджетных до</w:t>
      </w:r>
      <w:r w:rsidR="002E4C5B">
        <w:t>л</w:t>
      </w:r>
      <w:r w:rsidR="002E3B11" w:rsidRPr="002E3B11">
        <w:t>жностей сотрудников секретариата</w:t>
      </w:r>
      <w:r w:rsidR="002E4C5B">
        <w:t xml:space="preserve"> </w:t>
      </w:r>
      <w:r w:rsidR="002E3B11" w:rsidRPr="002E3B11">
        <w:t>для</w:t>
      </w:r>
      <w:r w:rsidR="00186DC8">
        <w:t xml:space="preserve"> </w:t>
      </w:r>
      <w:r w:rsidR="002E3B11" w:rsidRPr="002E3B11">
        <w:t>оказания поддержки Комитету в осуществлении Конвенции и Протокола;</w:t>
      </w:r>
    </w:p>
    <w:p w14:paraId="67BE13C9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10.</w:t>
      </w:r>
      <w:r w:rsidR="002E3B11" w:rsidRPr="002E3B11">
        <w:tab/>
      </w:r>
      <w:r w:rsidR="002E3B11" w:rsidRPr="002E3B11">
        <w:rPr>
          <w:i/>
        </w:rPr>
        <w:t>постановляют</w:t>
      </w:r>
      <w:r w:rsidR="002E3B11" w:rsidRPr="002E3B11">
        <w:t xml:space="preserve">, что в соответствии с финансовыми правилами Организации Объединенных Наций секретариату в первоочередном порядке следует выделять требуемую сумму взносов в целевой фонд до 1 октября каждого года для обеспечения продления контрактов сотрудников секретариата, финансируемых из внебюджетных средств; </w:t>
      </w:r>
      <w:bookmarkStart w:id="3" w:name="_Hlk32424366"/>
    </w:p>
    <w:p w14:paraId="020A0002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11.</w:t>
      </w:r>
      <w:r w:rsidR="002E3B11" w:rsidRPr="002E3B11">
        <w:tab/>
      </w:r>
      <w:r w:rsidR="002E3B11" w:rsidRPr="002E3B11">
        <w:rPr>
          <w:i/>
          <w:iCs/>
        </w:rPr>
        <w:t>просят</w:t>
      </w:r>
      <w:r w:rsidR="002E3B11" w:rsidRPr="002E3B11">
        <w:t xml:space="preserve"> секретариат своевременно направлять Сторонам в начале каждого года напоминания о невыполненных обязательствах по взносам и возможной задолженности;</w:t>
      </w:r>
    </w:p>
    <w:bookmarkEnd w:id="3"/>
    <w:p w14:paraId="54AEF51D" w14:textId="76FB22FC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12.</w:t>
      </w:r>
      <w:r w:rsidR="002E3B11" w:rsidRPr="002E3B11">
        <w:tab/>
      </w:r>
      <w:r w:rsidR="002E3B11" w:rsidRPr="002E3B11">
        <w:rPr>
          <w:i/>
          <w:iCs/>
        </w:rPr>
        <w:t>прос</w:t>
      </w:r>
      <w:r w:rsidR="00240DEB">
        <w:rPr>
          <w:i/>
          <w:iCs/>
        </w:rPr>
        <w:t>я</w:t>
      </w:r>
      <w:r w:rsidR="002E3B11" w:rsidRPr="002E3B11">
        <w:rPr>
          <w:i/>
          <w:iCs/>
        </w:rPr>
        <w:t xml:space="preserve">т также </w:t>
      </w:r>
      <w:r w:rsidR="002E3B11" w:rsidRPr="002E3B11">
        <w:t>секретариат в соответствии с финансовыми правилами Организации Объединенных Наций:</w:t>
      </w:r>
    </w:p>
    <w:p w14:paraId="56FE2FB4" w14:textId="77777777" w:rsidR="002E3B11" w:rsidRPr="002E3B11" w:rsidRDefault="00FB06AB" w:rsidP="002E3B11">
      <w:pPr>
        <w:pStyle w:val="SingleTxtG"/>
      </w:pPr>
      <w:r>
        <w:tab/>
      </w:r>
      <w:r w:rsidR="002E3B11" w:rsidRPr="002E3B11">
        <w:tab/>
        <w:t>a)</w:t>
      </w:r>
      <w:r w:rsidR="002E3B11" w:rsidRPr="002E3B11">
        <w:tab/>
        <w:t>отслеживать использование средств и продолжать готовить и представлять Президиуму ежегодные финансовые отчеты и далее просит Президиум рассматривать эти отчеты и давать согласие на их публикацию;</w:t>
      </w:r>
    </w:p>
    <w:p w14:paraId="7078F8E2" w14:textId="77777777" w:rsidR="002E3B11" w:rsidRPr="002E3B11" w:rsidRDefault="00FB06AB" w:rsidP="002E3B11">
      <w:pPr>
        <w:pStyle w:val="SingleTxtG"/>
      </w:pPr>
      <w:r>
        <w:tab/>
      </w:r>
      <w:r w:rsidR="002E3B11" w:rsidRPr="002E3B11">
        <w:tab/>
        <w:t>b)</w:t>
      </w:r>
      <w:r w:rsidR="002E3B11" w:rsidRPr="002E3B11">
        <w:tab/>
        <w:t>включать в доклады информацию об имеющихся ресурсах (в том числе о взносах в натуральной форме) и указывать любые задолженности по выплате регулярных взносов Сторон в межсессионный период;</w:t>
      </w:r>
    </w:p>
    <w:p w14:paraId="6BF0F6E7" w14:textId="77777777" w:rsidR="002E3B11" w:rsidRPr="002E3B11" w:rsidRDefault="002E3B11" w:rsidP="002E3B11">
      <w:pPr>
        <w:pStyle w:val="SingleTxtG"/>
      </w:pPr>
      <w:r w:rsidRPr="002E3B11">
        <w:tab/>
      </w:r>
      <w:r w:rsidR="00FB06AB">
        <w:tab/>
      </w:r>
      <w:r w:rsidRPr="002E3B11">
        <w:t>c)</w:t>
      </w:r>
      <w:r w:rsidRPr="002E3B11">
        <w:tab/>
        <w:t>подготовить доклад к следующим сессиям Совещаний Сторон на основе информации, содержащейся в годовых отчетах, и четко указать существенные изменения, произошедшие в этот период, с тем чтобы Стороны могли наилучшим образом удовлетворить будущие потребности в ресурсах в рамках Конвенции и Протокола к ней;</w:t>
      </w:r>
    </w:p>
    <w:p w14:paraId="163CDF0D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13.</w:t>
      </w:r>
      <w:r w:rsidR="002E3B11" w:rsidRPr="002E3B11">
        <w:tab/>
      </w:r>
      <w:r w:rsidR="002E3B11" w:rsidRPr="002E3B11">
        <w:rPr>
          <w:i/>
          <w:iCs/>
        </w:rPr>
        <w:t>далее просят</w:t>
      </w:r>
      <w:r w:rsidR="002E3B11" w:rsidRPr="002E3B11">
        <w:t xml:space="preserve"> Рабочую группу по оценке воздействия на окружающую среду и стратегической экологической оценке рассмотреть в контексте этих годовых отчетов вопрос о том, будут ли необходимы изменения в содержании или временных рамках плана работы, если объем взносов не будет соответствовать уровню необходимого финансирования;</w:t>
      </w:r>
      <w:r w:rsidR="00BC086D">
        <w:t xml:space="preserve"> </w:t>
      </w:r>
    </w:p>
    <w:p w14:paraId="3845B530" w14:textId="2092F48C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14.</w:t>
      </w:r>
      <w:r w:rsidR="002E3B11" w:rsidRPr="002E3B11">
        <w:tab/>
        <w:t>[</w:t>
      </w:r>
      <w:r w:rsidR="002E3B11" w:rsidRPr="002E3B11">
        <w:rPr>
          <w:i/>
          <w:iCs/>
        </w:rPr>
        <w:t>постановляют</w:t>
      </w:r>
      <w:r w:rsidR="002E3B11" w:rsidRPr="002E3B11">
        <w:t>, что Исполнительный секретарь ЕЭК уполномочен после консультаций с Президиумом и в случае необходимости производить корректировки бюджетных ассигнований в максимальном размере [10][5]% до начала следующих сессий Совещаний Сторон, и незамедлительно информировать Стороны о таких корректировках;] или [</w:t>
      </w:r>
      <w:r w:rsidR="002E3B11" w:rsidRPr="002E3B11">
        <w:rPr>
          <w:i/>
          <w:iCs/>
        </w:rPr>
        <w:t>постановляют</w:t>
      </w:r>
      <w:r w:rsidR="002E3B11" w:rsidRPr="002E3B11">
        <w:t>, что Исполнительный секретарь ЕЭК уполномочен после консультаций с Президиумом и в случае необходимости производить перераспределение ассигнований между основными статьями бюджета в максимальном размере 10% от основной бюджетной статьи, из которой будет производиться такое перераспределение, до начала следующих сессий Совещаний Сторон, и оперативно информировать Стороны о таких корректировках];</w:t>
      </w:r>
    </w:p>
    <w:p w14:paraId="6544C681" w14:textId="77777777" w:rsidR="002E3B11" w:rsidRPr="002E3B11" w:rsidRDefault="00FB06AB" w:rsidP="002E3B11">
      <w:pPr>
        <w:pStyle w:val="SingleTxtG"/>
      </w:pPr>
      <w:r>
        <w:lastRenderedPageBreak/>
        <w:tab/>
      </w:r>
      <w:r>
        <w:tab/>
      </w:r>
      <w:r w:rsidR="002E3B11" w:rsidRPr="002E3B11">
        <w:t>15.</w:t>
      </w:r>
      <w:r w:rsidR="002E3B11" w:rsidRPr="002E3B11">
        <w:tab/>
      </w:r>
      <w:r w:rsidR="002E3B11" w:rsidRPr="002E3B11">
        <w:rPr>
          <w:i/>
          <w:iCs/>
        </w:rPr>
        <w:t xml:space="preserve">просят </w:t>
      </w:r>
      <w:r w:rsidR="002E3B11" w:rsidRPr="002E3B11">
        <w:t>Секретаря ЕЭК выделить больший объем ресурсов для поддержки работы в рамках Конвенции и Протокола с учетом сбалансированного использования ресурсов регулярного бюджета в различных подпрограммах;</w:t>
      </w:r>
    </w:p>
    <w:p w14:paraId="1A803B6D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16.</w:t>
      </w:r>
      <w:r w:rsidR="002E3B11" w:rsidRPr="002E3B11">
        <w:tab/>
      </w:r>
      <w:r w:rsidR="002E3B11" w:rsidRPr="002E3B11">
        <w:rPr>
          <w:i/>
          <w:iCs/>
        </w:rPr>
        <w:t>постановляют</w:t>
      </w:r>
      <w:r w:rsidR="002E3B11" w:rsidRPr="002E3B11">
        <w:t>, что Рабочая группа по оценке воздействия на окружающую среду и стратегической экологической оценке подготовит дополнительный проект решения по вопросу о механизмах финансирования для утверждения Совещаниями Сторон Конвенции и Протокола на их девятой и пятой сессиях соответственно на основе накопленного в промежуточный период опыта работы по использованию механизмов финансирования, принятых на нынешней совместной сессии;</w:t>
      </w:r>
    </w:p>
    <w:p w14:paraId="4474820A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17.</w:t>
      </w:r>
      <w:r w:rsidR="002E3B11" w:rsidRPr="002E3B11">
        <w:tab/>
      </w:r>
      <w:r w:rsidR="002E3B11" w:rsidRPr="002E3B11">
        <w:rPr>
          <w:i/>
          <w:iCs/>
        </w:rPr>
        <w:t>призывают</w:t>
      </w:r>
      <w:r w:rsidR="002E3B11" w:rsidRPr="002E3B11">
        <w:t xml:space="preserve"> страны с переходной экономикой по мере возможности финансировать свое участие в деятельности в рамках Конвенции и Протокола к ней в целях обеспечения эффективного использования имеющихся ограниченных средств;</w:t>
      </w:r>
    </w:p>
    <w:p w14:paraId="44AD9160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18.</w:t>
      </w:r>
      <w:r w:rsidR="002E3B11" w:rsidRPr="002E3B11">
        <w:tab/>
      </w:r>
      <w:r w:rsidR="002E3B11" w:rsidRPr="002E3B11">
        <w:rPr>
          <w:i/>
          <w:iCs/>
        </w:rPr>
        <w:t xml:space="preserve">настоятельно призывают </w:t>
      </w:r>
      <w:r w:rsidR="002E3B11" w:rsidRPr="002E3B11">
        <w:t>Стороны и рекомендуют субъектам, не являющимся Сторонами, а также соответствующим международным организациям предоставлять финансовые ресурсы, с тем чтобы дать странам с переходной экономикой и неправительственным организациям возможность участвовать в совещаниях, проводимых в рамках Конвенции и Протокола к ней;</w:t>
      </w:r>
    </w:p>
    <w:p w14:paraId="51AEDE40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19.</w:t>
      </w:r>
      <w:r w:rsidR="002E3B11" w:rsidRPr="002E3B11">
        <w:tab/>
      </w:r>
      <w:r w:rsidR="002E3B11" w:rsidRPr="002E3B11">
        <w:rPr>
          <w:i/>
          <w:iCs/>
        </w:rPr>
        <w:t xml:space="preserve">рекомендуют </w:t>
      </w:r>
      <w:r w:rsidR="002E3B11" w:rsidRPr="002E3B11">
        <w:t>применять при осуществлении деятельности в рамках Конвенции и</w:t>
      </w:r>
      <w:r w:rsidR="00BC086D">
        <w:t xml:space="preserve"> </w:t>
      </w:r>
      <w:r w:rsidR="002E3B11" w:rsidRPr="002E3B11">
        <w:t>Протокола к ней установленные и периодически обновляемые Комитетом по</w:t>
      </w:r>
      <w:r w:rsidR="00BC086D">
        <w:t xml:space="preserve"> </w:t>
      </w:r>
      <w:r w:rsidR="002E3B11" w:rsidRPr="002E3B11">
        <w:t>экологической политике руководящие критерии оказания финансовой помощи</w:t>
      </w:r>
      <w:r w:rsidR="00BC086D">
        <w:t xml:space="preserve"> </w:t>
      </w:r>
      <w:r w:rsidR="002E3B11" w:rsidRPr="002E3B11">
        <w:t>для поддержки участия экспертов и представителей стран с переходной экономикой в совещаниях и рабочих совещаниях, организуемых в рамках Конвенции</w:t>
      </w:r>
      <w:r w:rsidR="00BC086D">
        <w:t xml:space="preserve"> </w:t>
      </w:r>
      <w:r w:rsidR="002E3B11" w:rsidRPr="002E3B11">
        <w:t>и Протокола к ней, а также в других соответствующих мероприятиях с учетом</w:t>
      </w:r>
      <w:r w:rsidR="00BC086D">
        <w:t xml:space="preserve"> </w:t>
      </w:r>
      <w:r w:rsidR="002E3B11" w:rsidRPr="002E3B11">
        <w:t>наличия средств для этой цели;</w:t>
      </w:r>
    </w:p>
    <w:p w14:paraId="3C9116F1" w14:textId="77777777" w:rsidR="002E3B11" w:rsidRPr="002E3B11" w:rsidRDefault="00FB06AB" w:rsidP="002E3B11">
      <w:pPr>
        <w:pStyle w:val="SingleTxtG"/>
      </w:pPr>
      <w:r>
        <w:tab/>
      </w:r>
      <w:r>
        <w:tab/>
      </w:r>
      <w:r w:rsidR="002E3B11" w:rsidRPr="002E3B11">
        <w:t>20.</w:t>
      </w:r>
      <w:r w:rsidR="002E3B11" w:rsidRPr="002E3B11">
        <w:tab/>
      </w:r>
      <w:r w:rsidR="002E3B11" w:rsidRPr="002E3B11">
        <w:rPr>
          <w:i/>
          <w:iCs/>
        </w:rPr>
        <w:t>постановляют</w:t>
      </w:r>
      <w:r w:rsidR="002E3B11" w:rsidRPr="002E3B11">
        <w:t>, что, в зависимости от наличия средств на эти цели, финансовая поддержка будет предоставляться для участия в официальных совещаниях представителей неправительственных организаций и развивающихся и наименее развитых стран, находящихся за пределами региона ЕЭК, в соответствии с согласованным бюджетом и критериями, которые будут установлены Президиумом;</w:t>
      </w:r>
      <w:r w:rsidR="00BC086D">
        <w:t xml:space="preserve"> </w:t>
      </w:r>
      <w:r w:rsidR="002E3B11" w:rsidRPr="002E3B11">
        <w:t xml:space="preserve">[а в случае стран, не являющихся членами ЕЭК, при условии рассмотрения каждого конкретного случая Президиумом]; </w:t>
      </w:r>
    </w:p>
    <w:p w14:paraId="2529DF4A" w14:textId="77777777" w:rsidR="002E3B11" w:rsidRDefault="00FB06AB" w:rsidP="002E3B11">
      <w:pPr>
        <w:pStyle w:val="SingleTxtG"/>
      </w:pPr>
      <w:r>
        <w:tab/>
      </w:r>
      <w:r>
        <w:tab/>
      </w:r>
      <w:r w:rsidR="002E3B11" w:rsidRPr="002E3B11">
        <w:t>21.</w:t>
      </w:r>
      <w:r w:rsidR="002E3B11" w:rsidRPr="002E3B11">
        <w:tab/>
      </w:r>
      <w:r w:rsidR="002E3B11" w:rsidRPr="002E3B11">
        <w:rPr>
          <w:i/>
        </w:rPr>
        <w:t>принимают решение</w:t>
      </w:r>
      <w:r w:rsidR="002E3B11" w:rsidRPr="002E3B11">
        <w:t xml:space="preserve"> провести обзор функционирования финансовой схемы на девятой и четвертой сессиях Совещаний Сторон Конвенции и Протокола соответственно.</w:t>
      </w:r>
    </w:p>
    <w:p w14:paraId="5267D526" w14:textId="77777777" w:rsidR="00FB06AB" w:rsidRDefault="00FB06AB" w:rsidP="002E3B11">
      <w:pPr>
        <w:pStyle w:val="SingleTxtG"/>
        <w:rPr>
          <w:b/>
          <w:bCs/>
        </w:rPr>
      </w:pPr>
      <w:r>
        <w:rPr>
          <w:b/>
          <w:bCs/>
        </w:rPr>
        <w:br w:type="page"/>
      </w:r>
    </w:p>
    <w:p w14:paraId="746906A4" w14:textId="77777777" w:rsidR="002E3B11" w:rsidRPr="007A106F" w:rsidRDefault="00BC086D" w:rsidP="002E4C5B">
      <w:pPr>
        <w:pStyle w:val="HChG"/>
      </w:pPr>
      <w:r>
        <w:lastRenderedPageBreak/>
        <w:t>При</w:t>
      </w:r>
      <w:r w:rsidR="002E3B11" w:rsidRPr="002E3B11">
        <w:t>ложение</w:t>
      </w:r>
    </w:p>
    <w:p w14:paraId="7C30BABC" w14:textId="77777777" w:rsidR="002E3B11" w:rsidRPr="002E3B11" w:rsidRDefault="002E4C5B" w:rsidP="002E4C5B">
      <w:pPr>
        <w:pStyle w:val="HChG"/>
      </w:pPr>
      <w:bookmarkStart w:id="4" w:name="_Hlk34053149"/>
      <w:bookmarkStart w:id="5" w:name="_Hlk36049406"/>
      <w:r>
        <w:tab/>
      </w:r>
      <w:r w:rsidR="002E3B11" w:rsidRPr="002E3B11">
        <w:tab/>
        <w:t>Ориентировочные годовые минимальные взносы на</w:t>
      </w:r>
      <w:r>
        <w:t> </w:t>
      </w:r>
      <w:r w:rsidR="002E3B11" w:rsidRPr="002E3B11">
        <w:t>период 2021</w:t>
      </w:r>
      <w:r w:rsidR="000748F4">
        <w:t>–</w:t>
      </w:r>
      <w:r w:rsidR="002E3B11" w:rsidRPr="002E3B11">
        <w:t>2023 годов</w:t>
      </w:r>
      <w:bookmarkEnd w:id="4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060"/>
        <w:gridCol w:w="2006"/>
        <w:gridCol w:w="2260"/>
      </w:tblGrid>
      <w:tr w:rsidR="00CB20FE" w:rsidRPr="000748F4" w14:paraId="05653B6C" w14:textId="77777777" w:rsidTr="000748F4">
        <w:trPr>
          <w:tblHeader/>
        </w:trPr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78B38F" w14:textId="77777777" w:rsidR="00CB20FE" w:rsidRPr="000748F4" w:rsidRDefault="00CB20FE" w:rsidP="00EB319D">
            <w:pPr>
              <w:spacing w:before="80" w:after="80" w:line="200" w:lineRule="exact"/>
              <w:ind w:left="11" w:right="11"/>
              <w:rPr>
                <w:rFonts w:cs="Times New Roman"/>
                <w:bCs/>
                <w:i/>
                <w:sz w:val="16"/>
                <w:lang w:val="en-GB"/>
              </w:rPr>
            </w:pPr>
            <w:bookmarkStart w:id="6" w:name="_Hlk36117898"/>
            <w:r w:rsidRPr="000748F4">
              <w:rPr>
                <w:rFonts w:cs="Times New Roman"/>
                <w:i/>
                <w:sz w:val="16"/>
              </w:rPr>
              <w:t>Колонка А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8D5921" w14:textId="77777777" w:rsidR="00CB20FE" w:rsidRPr="000748F4" w:rsidRDefault="00CB20FE" w:rsidP="00EB319D">
            <w:pPr>
              <w:spacing w:before="80" w:after="80" w:line="200" w:lineRule="exact"/>
              <w:ind w:left="11" w:right="11"/>
              <w:jc w:val="right"/>
              <w:rPr>
                <w:rFonts w:cs="Times New Roman"/>
                <w:bCs/>
                <w:i/>
                <w:sz w:val="16"/>
                <w:lang w:val="en-GB"/>
              </w:rPr>
            </w:pPr>
            <w:r w:rsidRPr="000748F4">
              <w:rPr>
                <w:rFonts w:cs="Times New Roman"/>
                <w:i/>
                <w:sz w:val="16"/>
              </w:rPr>
              <w:t>Колонка B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A11B49" w14:textId="77777777" w:rsidR="00CB20FE" w:rsidRPr="000748F4" w:rsidRDefault="00CB20FE" w:rsidP="00EB319D">
            <w:pPr>
              <w:spacing w:before="80" w:after="80" w:line="200" w:lineRule="exact"/>
              <w:ind w:left="11" w:right="11"/>
              <w:jc w:val="right"/>
              <w:rPr>
                <w:rFonts w:cs="Times New Roman"/>
                <w:bCs/>
                <w:i/>
                <w:sz w:val="16"/>
                <w:lang w:val="en-GB"/>
              </w:rPr>
            </w:pPr>
            <w:r w:rsidRPr="000748F4">
              <w:rPr>
                <w:rFonts w:cs="Times New Roman"/>
                <w:i/>
                <w:sz w:val="16"/>
              </w:rPr>
              <w:t>Колонка С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A08043" w14:textId="77777777" w:rsidR="00CB20FE" w:rsidRPr="000748F4" w:rsidRDefault="00CB20FE" w:rsidP="00EB319D">
            <w:pPr>
              <w:spacing w:before="80" w:after="80" w:line="200" w:lineRule="exact"/>
              <w:ind w:left="11" w:right="11"/>
              <w:jc w:val="right"/>
              <w:rPr>
                <w:rFonts w:cs="Times New Roman"/>
                <w:bCs/>
                <w:i/>
                <w:sz w:val="16"/>
                <w:lang w:val="en-GB"/>
              </w:rPr>
            </w:pPr>
            <w:r w:rsidRPr="000748F4">
              <w:rPr>
                <w:rFonts w:cs="Times New Roman"/>
                <w:i/>
                <w:sz w:val="16"/>
              </w:rPr>
              <w:t>Колонка D</w:t>
            </w:r>
          </w:p>
        </w:tc>
      </w:tr>
      <w:tr w:rsidR="00CB20FE" w:rsidRPr="000748F4" w14:paraId="16B3BF30" w14:textId="77777777" w:rsidTr="000748F4">
        <w:trPr>
          <w:tblHeader/>
        </w:trPr>
        <w:tc>
          <w:tcPr>
            <w:tcW w:w="13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7A550BD" w14:textId="77777777" w:rsidR="00CB20FE" w:rsidRPr="000748F4" w:rsidRDefault="00CB20FE" w:rsidP="00EB319D">
            <w:pPr>
              <w:spacing w:before="80" w:after="80" w:line="200" w:lineRule="exact"/>
              <w:ind w:left="11" w:right="11"/>
              <w:rPr>
                <w:rFonts w:cs="Times New Roman"/>
                <w:bCs/>
                <w:i/>
                <w:sz w:val="16"/>
                <w:lang w:val="en-GB"/>
              </w:rPr>
            </w:pPr>
            <w:r w:rsidRPr="000748F4">
              <w:rPr>
                <w:rFonts w:cs="Times New Roman"/>
                <w:i/>
                <w:sz w:val="16"/>
              </w:rPr>
              <w:t xml:space="preserve">Страны </w:t>
            </w:r>
            <w:r>
              <w:rPr>
                <w:rFonts w:cs="Times New Roman"/>
                <w:i/>
                <w:sz w:val="16"/>
              </w:rPr>
              <w:br/>
            </w:r>
            <w:r w:rsidRPr="000748F4">
              <w:rPr>
                <w:rFonts w:cs="Times New Roman"/>
                <w:i/>
                <w:sz w:val="16"/>
              </w:rPr>
              <w:t>(Стороны и</w:t>
            </w:r>
            <w:r>
              <w:rPr>
                <w:rFonts w:cs="Times New Roman"/>
                <w:i/>
                <w:sz w:val="16"/>
                <w:lang w:val="en-US"/>
              </w:rPr>
              <w:t xml:space="preserve"> </w:t>
            </w:r>
            <w:r w:rsidRPr="000748F4">
              <w:rPr>
                <w:rFonts w:cs="Times New Roman"/>
                <w:i/>
                <w:sz w:val="16"/>
              </w:rPr>
              <w:t>сигнатарии)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C1731F8" w14:textId="77777777" w:rsidR="00CB20FE" w:rsidRPr="000748F4" w:rsidRDefault="00CB20FE" w:rsidP="00EB319D">
            <w:pPr>
              <w:spacing w:before="80" w:after="80" w:line="200" w:lineRule="exact"/>
              <w:ind w:left="11" w:right="11"/>
              <w:jc w:val="right"/>
              <w:rPr>
                <w:rFonts w:cs="Times New Roman"/>
                <w:bCs/>
                <w:i/>
                <w:sz w:val="16"/>
              </w:rPr>
            </w:pPr>
            <w:r w:rsidRPr="000748F4">
              <w:rPr>
                <w:rFonts w:cs="Times New Roman"/>
                <w:i/>
                <w:sz w:val="16"/>
              </w:rPr>
              <w:t xml:space="preserve">Шкала взносов Организации Объединенных Наций (в </w:t>
            </w:r>
            <w:r>
              <w:rPr>
                <w:rFonts w:cs="Times New Roman"/>
                <w:i/>
                <w:sz w:val="16"/>
              </w:rPr>
              <w:t>%</w:t>
            </w:r>
            <w:r w:rsidRPr="000748F4">
              <w:rPr>
                <w:rFonts w:cs="Times New Roman"/>
                <w:i/>
                <w:sz w:val="16"/>
              </w:rPr>
              <w:t>)</w:t>
            </w:r>
            <w:r w:rsidRPr="000748F4">
              <w:rPr>
                <w:rFonts w:cs="Times New Roman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0E4C05A" w14:textId="6FA51D2A" w:rsidR="00CB20FE" w:rsidRPr="000748F4" w:rsidRDefault="00CB20FE" w:rsidP="00EB319D">
            <w:pPr>
              <w:spacing w:before="80" w:after="80" w:line="200" w:lineRule="exact"/>
              <w:ind w:left="11" w:right="11"/>
              <w:jc w:val="right"/>
              <w:rPr>
                <w:rFonts w:cs="Times New Roman"/>
                <w:bCs/>
                <w:i/>
                <w:sz w:val="16"/>
              </w:rPr>
            </w:pPr>
            <w:r w:rsidRPr="000748F4">
              <w:rPr>
                <w:rFonts w:cs="Times New Roman"/>
                <w:i/>
                <w:sz w:val="16"/>
              </w:rPr>
              <w:t xml:space="preserve">Скорректированная </w:t>
            </w:r>
            <w:r w:rsidR="00314926">
              <w:rPr>
                <w:rFonts w:cs="Times New Roman"/>
                <w:i/>
                <w:sz w:val="16"/>
              </w:rPr>
              <w:br/>
            </w:r>
            <w:r w:rsidRPr="000748F4">
              <w:rPr>
                <w:rFonts w:cs="Times New Roman"/>
                <w:i/>
                <w:sz w:val="16"/>
              </w:rPr>
              <w:t>шкала взносов</w:t>
            </w:r>
            <w:r w:rsidR="00314926">
              <w:rPr>
                <w:rFonts w:cs="Times New Roman"/>
                <w:i/>
                <w:sz w:val="16"/>
              </w:rPr>
              <w:br/>
            </w:r>
            <w:r w:rsidRPr="000748F4">
              <w:rPr>
                <w:rFonts w:cs="Times New Roman"/>
                <w:i/>
                <w:sz w:val="16"/>
              </w:rPr>
              <w:t xml:space="preserve">Организации </w:t>
            </w:r>
            <w:r w:rsidR="00141DE9">
              <w:rPr>
                <w:rFonts w:cs="Times New Roman"/>
                <w:i/>
                <w:sz w:val="16"/>
              </w:rPr>
              <w:br/>
            </w:r>
            <w:r w:rsidRPr="000748F4">
              <w:rPr>
                <w:rFonts w:cs="Times New Roman"/>
                <w:i/>
                <w:sz w:val="16"/>
              </w:rPr>
              <w:t xml:space="preserve">Объединенных </w:t>
            </w:r>
            <w:r w:rsidR="00EF049B">
              <w:rPr>
                <w:rFonts w:cs="Times New Roman"/>
                <w:i/>
                <w:sz w:val="16"/>
              </w:rPr>
              <w:br/>
            </w:r>
            <w:r w:rsidRPr="000748F4">
              <w:rPr>
                <w:rFonts w:cs="Times New Roman"/>
                <w:i/>
                <w:sz w:val="16"/>
              </w:rPr>
              <w:t xml:space="preserve">Наций (в </w:t>
            </w:r>
            <w:r>
              <w:rPr>
                <w:rFonts w:cs="Times New Roman"/>
                <w:i/>
                <w:sz w:val="16"/>
              </w:rPr>
              <w:t>%</w:t>
            </w:r>
            <w:r w:rsidRPr="000748F4">
              <w:rPr>
                <w:rFonts w:cs="Times New Roman"/>
                <w:i/>
                <w:sz w:val="16"/>
              </w:rPr>
              <w:t>)</w:t>
            </w:r>
            <w:r w:rsidRPr="000748F4">
              <w:rPr>
                <w:rFonts w:cs="Times New Roman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2B43721" w14:textId="77777777" w:rsidR="00CB20FE" w:rsidRPr="000748F4" w:rsidRDefault="00CB20FE" w:rsidP="00EB319D">
            <w:pPr>
              <w:spacing w:before="80" w:after="80" w:line="200" w:lineRule="exact"/>
              <w:ind w:left="11" w:right="11"/>
              <w:jc w:val="right"/>
              <w:rPr>
                <w:rFonts w:cs="Times New Roman"/>
                <w:bCs/>
                <w:i/>
                <w:sz w:val="16"/>
              </w:rPr>
            </w:pPr>
            <w:r w:rsidRPr="000748F4">
              <w:rPr>
                <w:rFonts w:cs="Times New Roman"/>
                <w:i/>
                <w:sz w:val="16"/>
              </w:rPr>
              <w:t xml:space="preserve">Взнос на один год </w:t>
            </w:r>
            <w:r>
              <w:rPr>
                <w:rFonts w:cs="Times New Roman"/>
                <w:i/>
                <w:sz w:val="16"/>
              </w:rPr>
              <w:br/>
            </w:r>
            <w:r w:rsidRPr="000748F4">
              <w:rPr>
                <w:rFonts w:cs="Times New Roman"/>
                <w:i/>
                <w:sz w:val="16"/>
              </w:rPr>
              <w:t xml:space="preserve">(в долл. США) на основе скорректированной шкалы </w:t>
            </w:r>
            <w:r>
              <w:rPr>
                <w:rFonts w:cs="Times New Roman"/>
                <w:i/>
                <w:sz w:val="16"/>
              </w:rPr>
              <w:br/>
            </w:r>
            <w:r w:rsidRPr="000748F4">
              <w:rPr>
                <w:rFonts w:cs="Times New Roman"/>
                <w:i/>
                <w:sz w:val="16"/>
              </w:rPr>
              <w:t xml:space="preserve">и потребностей в ресурсах </w:t>
            </w:r>
            <w:r>
              <w:rPr>
                <w:rFonts w:cs="Times New Roman"/>
                <w:i/>
                <w:sz w:val="16"/>
              </w:rPr>
              <w:br/>
            </w:r>
            <w:r w:rsidRPr="000748F4">
              <w:rPr>
                <w:rFonts w:cs="Times New Roman"/>
                <w:i/>
                <w:sz w:val="16"/>
              </w:rPr>
              <w:t>для осуществления плана работы на 2021</w:t>
            </w:r>
            <w:r>
              <w:rPr>
                <w:rFonts w:cs="Times New Roman"/>
                <w:i/>
                <w:sz w:val="16"/>
              </w:rPr>
              <w:t>–</w:t>
            </w:r>
            <w:r w:rsidRPr="000748F4">
              <w:rPr>
                <w:rFonts w:cs="Times New Roman"/>
                <w:i/>
                <w:sz w:val="16"/>
              </w:rPr>
              <w:t>2023 годы (VIII/2</w:t>
            </w:r>
            <w:r w:rsidR="00314926" w:rsidRPr="00314926">
              <w:rPr>
                <w:rFonts w:cs="Times New Roman"/>
                <w:i/>
                <w:sz w:val="16"/>
              </w:rPr>
              <w:t>–</w:t>
            </w:r>
            <w:r w:rsidRPr="000748F4">
              <w:rPr>
                <w:rFonts w:cs="Times New Roman"/>
                <w:i/>
                <w:sz w:val="16"/>
              </w:rPr>
              <w:t xml:space="preserve">III/2) (небольшие суммы увеличены до 500 долл. США) </w:t>
            </w:r>
          </w:p>
        </w:tc>
      </w:tr>
      <w:tr w:rsidR="00CB20FE" w:rsidRPr="000748F4" w14:paraId="072DCE8F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08BA51E2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Австрия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EE3FC7A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0,677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3B59C90F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2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017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E831E4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50F0CC36" w14:textId="77777777" w:rsidTr="000748F4">
        <w:tc>
          <w:tcPr>
            <w:tcW w:w="1387" w:type="pct"/>
            <w:shd w:val="clear" w:color="auto" w:fill="auto"/>
            <w:noWrap/>
          </w:tcPr>
          <w:p w14:paraId="0359F721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Азербайджан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2D6A62CA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0,049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655CA2E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0,146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DE1F7EB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24F4AB00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40D7054A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Албания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13F2C14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0,008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62ED68A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0,024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8D4C0C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7B4E4EFB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5950D98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Армения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DB597D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0,007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0A8EC26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0,021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1C41B0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03009F04" w14:textId="77777777" w:rsidTr="000748F4">
        <w:tc>
          <w:tcPr>
            <w:tcW w:w="1387" w:type="pct"/>
            <w:shd w:val="clear" w:color="auto" w:fill="auto"/>
            <w:noWrap/>
          </w:tcPr>
          <w:p w14:paraId="0638F92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Беларусь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52BB44AE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0,049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7546962F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0,146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FFC742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62E4B3F6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49E0FB5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 xml:space="preserve">Бельгия 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571672B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0,821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133B1BD1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2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447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DA6CBC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6F288E6E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7AD8CB51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Болгария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9FCD24B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0,046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231C686E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0,137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3DF0DFE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54481940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01ED04E8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Босния и Герцеговина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7CE1DDF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0,012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000D5AF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0,036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B66DD6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5408DB5C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6CFD7E2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Венгрия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53DD3FB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0,206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69E2F78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0,614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33E9C8E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76073567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72D4483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Германия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54E3401E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6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09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2D1FAC8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18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148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332A3A31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59545B9C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0D9894D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Греция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3192256A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0,366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4EB2274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1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091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399AB7B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7816A5EF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144B45EB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Дания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6C5FE7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0,554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14C020FB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1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651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9BDF96D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0DCA4B3B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17E8ABC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Ирландия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54129EC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0,371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6961F59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1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106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E17454B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0F3FCC7F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24B4C90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Испания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469042DE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2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146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27622321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6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395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AEA72B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476064FB" w14:textId="77777777" w:rsidTr="000748F4">
        <w:tc>
          <w:tcPr>
            <w:tcW w:w="1387" w:type="pct"/>
            <w:shd w:val="clear" w:color="auto" w:fill="auto"/>
            <w:noWrap/>
          </w:tcPr>
          <w:p w14:paraId="1D94DAE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Италия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729EEE0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3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307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561DF35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9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855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60CE2AA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132BB969" w14:textId="77777777" w:rsidTr="000748F4">
        <w:tc>
          <w:tcPr>
            <w:tcW w:w="1387" w:type="pct"/>
            <w:shd w:val="clear" w:color="auto" w:fill="auto"/>
            <w:noWrap/>
          </w:tcPr>
          <w:p w14:paraId="580EC720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Казахстан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49F9FD9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0,178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1681E04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0,530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0F85982D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00FF7DE3" w14:textId="77777777" w:rsidTr="000748F4">
        <w:tc>
          <w:tcPr>
            <w:tcW w:w="1387" w:type="pct"/>
            <w:shd w:val="clear" w:color="auto" w:fill="auto"/>
            <w:noWrap/>
          </w:tcPr>
          <w:p w14:paraId="0F74BA6D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Канада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0C20B3CE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2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734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5D9E8EE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8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147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6DCD5B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17D4D5EE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648D2DFA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Кипр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1729B8B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0,036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36A05B8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0,107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0E477CD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1677B62F" w14:textId="77777777" w:rsidTr="000748F4">
        <w:tc>
          <w:tcPr>
            <w:tcW w:w="1387" w:type="pct"/>
            <w:shd w:val="clear" w:color="auto" w:fill="auto"/>
            <w:noWrap/>
          </w:tcPr>
          <w:p w14:paraId="5B1FD8D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Кыргызстан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6FCF621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0,002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01F3C57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0,006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FEBDC8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49F74A29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0994E7CB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Латвия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308D0B7F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0,047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2DFEDC2F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0,140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551B0C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0A5A8CD7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2EE4E382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Литва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1DF8B930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0,071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69E51A6F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0,212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53416C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39283E10" w14:textId="77777777" w:rsidTr="000748F4">
        <w:tc>
          <w:tcPr>
            <w:tcW w:w="1387" w:type="pct"/>
            <w:shd w:val="clear" w:color="auto" w:fill="auto"/>
            <w:noWrap/>
          </w:tcPr>
          <w:p w14:paraId="4ED9BE9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Лихтенштейн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1271805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0,009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27549EF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0,027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463F12D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24B53EC0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57E1C93F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Люксембург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BF2632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0,067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6CD1E2BF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0,200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AF49998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485A560A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5835201E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Мальта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91E0CF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0,017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60E4596A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0,051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334710C0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027308B5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4CA391A1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Нидерланды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3A1698B8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1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356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0FED8C6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4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041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730492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1B5AD21D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1221A95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Норвегия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3069970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0,754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5DD3585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2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247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0FF0939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34234241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063B563D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Польша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D682260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0,802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0EFB89E8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2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390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2E6324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3F1D9890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47B19280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Португалия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24E1F02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0,35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0A082F6D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1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043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71015B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538B3ADC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6D72928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Республика Молдова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5F6BD9B9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0,003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478C6D2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0,009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143DD3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755E1066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1F5DF1B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Румыния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720E297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0,198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245947A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0,590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01E4C3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50E6F3AC" w14:textId="77777777" w:rsidTr="000748F4">
        <w:tc>
          <w:tcPr>
            <w:tcW w:w="1387" w:type="pct"/>
            <w:shd w:val="clear" w:color="auto" w:fill="auto"/>
            <w:noWrap/>
          </w:tcPr>
          <w:p w14:paraId="34A80B0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Северная Македония</w:t>
            </w: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2DBBA34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0,007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12746458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0,021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163A2D42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67C2FD5F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471EFE40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Сербия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B0CC541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0,028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03F8069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0,083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D21764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0819F9AF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3E7F0A3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Словакия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AB7BE9E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0,153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661876AF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0,456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38DF5C2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6F9B448E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678C58C2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Словения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E35EE6F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0,076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4608D7A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0,226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C4574B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6552827A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32A1DEA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lastRenderedPageBreak/>
              <w:t xml:space="preserve">Соединенное Королевство 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6E7188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4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567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6AA438BF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13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610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3921EB7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6BA04CF8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29646B2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Украина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0C6F48B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0,057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2444E83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0,170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028CB8F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1A2C33FE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7FB5A840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Финляндия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77048E3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0,421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04D0D4A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1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255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5A7A200B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0C7EE3F5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2CD363A0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Франция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44A1CE7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4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427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0E7B515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13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192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2BEBB4A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7B3F6C26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7AFBEDB1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Хорватия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DDA8847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0,077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33AAD1B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0,229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3B3BABED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1F20F48F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4B24F1D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Черногория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5E2DF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0,004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2F15BE9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0,012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703E3FC2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4F91437E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4E52C7D2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Чехия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58C8B421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0,311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26B344F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0,927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6694538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5FAA021C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12D723ED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Швейцария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289E4D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1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151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5F1C9FE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3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430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682E9F81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2704254F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181FDBBE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Швеция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193DCD43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0,906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72F83085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2</w:t>
            </w:r>
            <w:r>
              <w:rPr>
                <w:rFonts w:cs="Times New Roman"/>
                <w:sz w:val="18"/>
              </w:rPr>
              <w:t>,</w:t>
            </w:r>
            <w:r w:rsidRPr="000748F4">
              <w:rPr>
                <w:rFonts w:cs="Times New Roman"/>
                <w:sz w:val="18"/>
              </w:rPr>
              <w:t>700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366A4C76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325EF3D3" w14:textId="77777777" w:rsidTr="000748F4">
        <w:tc>
          <w:tcPr>
            <w:tcW w:w="1387" w:type="pct"/>
            <w:shd w:val="clear" w:color="auto" w:fill="auto"/>
            <w:noWrap/>
            <w:hideMark/>
          </w:tcPr>
          <w:p w14:paraId="65180464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Эстония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56D4F1C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0,039</w:t>
            </w:r>
          </w:p>
        </w:tc>
        <w:tc>
          <w:tcPr>
            <w:tcW w:w="1361" w:type="pct"/>
            <w:shd w:val="clear" w:color="auto" w:fill="auto"/>
            <w:noWrap/>
            <w:vAlign w:val="bottom"/>
          </w:tcPr>
          <w:p w14:paraId="2D80DCC2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0,116</w:t>
            </w:r>
          </w:p>
        </w:tc>
        <w:tc>
          <w:tcPr>
            <w:tcW w:w="1533" w:type="pct"/>
            <w:shd w:val="clear" w:color="auto" w:fill="auto"/>
            <w:vAlign w:val="bottom"/>
          </w:tcPr>
          <w:p w14:paraId="43A1D46B" w14:textId="77777777" w:rsidR="00CB20FE" w:rsidRPr="000748F4" w:rsidRDefault="00CB20FE" w:rsidP="00EB319D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3440F020" w14:textId="77777777" w:rsidTr="00CB20FE"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FBCAF27" w14:textId="77777777" w:rsidR="00CB20FE" w:rsidRPr="000748F4" w:rsidRDefault="00CB20FE" w:rsidP="00CB20FE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>Европейский союз</w:t>
            </w:r>
            <w:r w:rsidRPr="000748F4">
              <w:rPr>
                <w:rFonts w:cs="Times New Roman"/>
                <w:i/>
                <w:sz w:val="18"/>
                <w:vertAlign w:val="superscript"/>
              </w:rPr>
              <w:t>c,</w:t>
            </w:r>
            <w:r>
              <w:rPr>
                <w:rFonts w:cs="Times New Roman"/>
                <w:i/>
                <w:sz w:val="18"/>
                <w:vertAlign w:val="superscript"/>
              </w:rPr>
              <w:t xml:space="preserve"> </w:t>
            </w:r>
            <w:r w:rsidRPr="000748F4">
              <w:rPr>
                <w:rFonts w:cs="Times New Roman"/>
                <w:i/>
                <w:sz w:val="18"/>
                <w:vertAlign w:val="superscript"/>
              </w:rPr>
              <w:t>d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9872A4" w14:textId="77777777" w:rsidR="00CB20FE" w:rsidRPr="000748F4" w:rsidRDefault="00CB20FE" w:rsidP="00CB20F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–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72C0A3" w14:textId="77777777" w:rsidR="00CB20FE" w:rsidRPr="000748F4" w:rsidRDefault="00CB20FE" w:rsidP="00CB20F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–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51CDC" w14:textId="77777777" w:rsidR="00CB20FE" w:rsidRPr="000748F4" w:rsidRDefault="00CB20FE" w:rsidP="00CB20F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CB20FE" w:rsidRPr="000748F4" w14:paraId="7CB8858E" w14:textId="77777777" w:rsidTr="00CB20FE">
        <w:tc>
          <w:tcPr>
            <w:tcW w:w="13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3A48CB0D" w14:textId="77777777" w:rsidR="00CB20FE" w:rsidRPr="000748F4" w:rsidRDefault="00CB20FE" w:rsidP="00CB20FE">
            <w:pPr>
              <w:tabs>
                <w:tab w:val="left" w:pos="29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 w:rsidRPr="000748F4">
              <w:rPr>
                <w:rFonts w:cs="Times New Roman"/>
                <w:sz w:val="18"/>
              </w:rPr>
              <w:tab/>
            </w:r>
            <w:r w:rsidRPr="000748F4">
              <w:rPr>
                <w:rFonts w:cs="Times New Roman"/>
                <w:b/>
                <w:bCs/>
                <w:sz w:val="18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5A279E2" w14:textId="77777777" w:rsidR="00CB20FE" w:rsidRPr="00314926" w:rsidRDefault="00CB20FE" w:rsidP="00CB20F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314926">
              <w:rPr>
                <w:rFonts w:cs="Times New Roman"/>
                <w:b/>
                <w:sz w:val="18"/>
              </w:rPr>
              <w:t>33,557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52A8382" w14:textId="77777777" w:rsidR="00CB20FE" w:rsidRPr="00314926" w:rsidRDefault="00CB20FE" w:rsidP="00CB20F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314926">
              <w:rPr>
                <w:rFonts w:cs="Times New Roman"/>
                <w:b/>
                <w:sz w:val="18"/>
              </w:rPr>
              <w:t>100,0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03D2BE" w14:textId="77777777" w:rsidR="00CB20FE" w:rsidRPr="000748F4" w:rsidRDefault="00CB20FE" w:rsidP="00CB20F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</w:tr>
    </w:tbl>
    <w:bookmarkEnd w:id="5"/>
    <w:bookmarkEnd w:id="6"/>
    <w:p w14:paraId="4DE8A42D" w14:textId="77777777" w:rsidR="002E3B11" w:rsidRPr="000748F4" w:rsidRDefault="000748F4" w:rsidP="000748F4">
      <w:pPr>
        <w:pStyle w:val="SingleTxtG"/>
        <w:tabs>
          <w:tab w:val="left" w:pos="1276"/>
        </w:tabs>
        <w:spacing w:before="120" w:after="0" w:line="220" w:lineRule="exact"/>
        <w:jc w:val="left"/>
        <w:rPr>
          <w:sz w:val="18"/>
          <w:szCs w:val="18"/>
        </w:rPr>
      </w:pPr>
      <w:r w:rsidRPr="000748F4">
        <w:rPr>
          <w:i/>
          <w:sz w:val="18"/>
          <w:szCs w:val="18"/>
          <w:vertAlign w:val="superscript"/>
        </w:rPr>
        <w:tab/>
      </w:r>
      <w:r w:rsidR="002E3B11" w:rsidRPr="000748F4">
        <w:rPr>
          <w:i/>
          <w:sz w:val="18"/>
          <w:szCs w:val="18"/>
          <w:vertAlign w:val="superscript"/>
        </w:rPr>
        <w:t>a</w:t>
      </w:r>
      <w:r w:rsidRPr="000748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E3B11" w:rsidRPr="000748F4">
        <w:rPr>
          <w:sz w:val="18"/>
          <w:szCs w:val="18"/>
        </w:rPr>
        <w:t>Цифры в колонке B основаны на шкале взносов, содержащейся в резолюции 73/271 Генеральной Ассамблеи, принятой 22 декабря 2018 года, с тем чтобы отразить экономические возможности стран в период 2019</w:t>
      </w:r>
      <w:r>
        <w:rPr>
          <w:sz w:val="18"/>
          <w:szCs w:val="18"/>
        </w:rPr>
        <w:t>–</w:t>
      </w:r>
      <w:r w:rsidR="002E3B11" w:rsidRPr="000748F4">
        <w:rPr>
          <w:sz w:val="18"/>
          <w:szCs w:val="18"/>
        </w:rPr>
        <w:t xml:space="preserve">2021 годов и определить размер взносов государств </w:t>
      </w:r>
      <w:r>
        <w:rPr>
          <w:sz w:val="18"/>
          <w:szCs w:val="18"/>
        </w:rPr>
        <w:t>–</w:t>
      </w:r>
      <w:r w:rsidR="002E3B11" w:rsidRPr="000748F4">
        <w:rPr>
          <w:sz w:val="18"/>
          <w:szCs w:val="18"/>
        </w:rPr>
        <w:t xml:space="preserve"> членов Организации Объединенных Наций в ее регулярный бюджет. </w:t>
      </w:r>
      <w:bookmarkStart w:id="7" w:name="_Hlk35965039"/>
      <w:bookmarkEnd w:id="7"/>
    </w:p>
    <w:p w14:paraId="70EF3B78" w14:textId="77777777" w:rsidR="002E3B11" w:rsidRPr="000748F4" w:rsidRDefault="000748F4" w:rsidP="000748F4">
      <w:pPr>
        <w:pStyle w:val="SingleTxtG"/>
        <w:tabs>
          <w:tab w:val="left" w:pos="1276"/>
        </w:tabs>
        <w:spacing w:after="0" w:line="220" w:lineRule="exact"/>
        <w:jc w:val="left"/>
        <w:rPr>
          <w:sz w:val="18"/>
          <w:szCs w:val="18"/>
        </w:rPr>
      </w:pPr>
      <w:r w:rsidRPr="000748F4">
        <w:rPr>
          <w:i/>
          <w:sz w:val="18"/>
          <w:szCs w:val="18"/>
          <w:vertAlign w:val="superscript"/>
        </w:rPr>
        <w:tab/>
      </w:r>
      <w:r w:rsidR="002E3B11" w:rsidRPr="000748F4">
        <w:rPr>
          <w:i/>
          <w:sz w:val="18"/>
          <w:szCs w:val="18"/>
          <w:vertAlign w:val="superscript"/>
        </w:rPr>
        <w:t>b</w:t>
      </w:r>
      <w:r w:rsidRPr="000748F4">
        <w:rPr>
          <w:sz w:val="18"/>
          <w:szCs w:val="18"/>
        </w:rPr>
        <w:t xml:space="preserve"> </w:t>
      </w:r>
      <w:r w:rsidR="002E3B11" w:rsidRPr="000748F4">
        <w:rPr>
          <w:sz w:val="18"/>
          <w:szCs w:val="18"/>
        </w:rPr>
        <w:t xml:space="preserve"> Доли в процентах, указанные в шкале взносов Организации Объединенных Наций, были скорректированы в соответствии с числом Сторон Конвенции (с использованием множительного коэффициента 2,98, с тем чтобы в общей сложности получилось 100%).</w:t>
      </w:r>
    </w:p>
    <w:p w14:paraId="24C964BB" w14:textId="77777777" w:rsidR="002E3B11" w:rsidRPr="000748F4" w:rsidRDefault="000748F4" w:rsidP="000748F4">
      <w:pPr>
        <w:pStyle w:val="SingleTxtG"/>
        <w:tabs>
          <w:tab w:val="left" w:pos="1276"/>
        </w:tabs>
        <w:spacing w:after="0" w:line="220" w:lineRule="exact"/>
        <w:jc w:val="left"/>
        <w:rPr>
          <w:sz w:val="18"/>
          <w:szCs w:val="18"/>
        </w:rPr>
      </w:pPr>
      <w:r w:rsidRPr="000748F4">
        <w:rPr>
          <w:i/>
          <w:sz w:val="18"/>
          <w:szCs w:val="18"/>
          <w:vertAlign w:val="superscript"/>
        </w:rPr>
        <w:tab/>
      </w:r>
      <w:r w:rsidR="002E3B11" w:rsidRPr="000748F4">
        <w:rPr>
          <w:i/>
          <w:sz w:val="18"/>
          <w:szCs w:val="18"/>
          <w:vertAlign w:val="superscript"/>
        </w:rPr>
        <w:t>с</w:t>
      </w:r>
      <w:r w:rsidR="002E3B11" w:rsidRPr="000748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E3B11" w:rsidRPr="000748F4">
        <w:rPr>
          <w:sz w:val="18"/>
          <w:szCs w:val="18"/>
        </w:rPr>
        <w:t>С учетом сноски d ниже, касающейся взноса Европейского союза, показатели, указанные в колонке D, будут рассчитываться путем умножения процентной величины в колонке C на ежегодные сметные потребности для осуществления плана работы на 2021</w:t>
      </w:r>
      <w:r>
        <w:rPr>
          <w:sz w:val="18"/>
          <w:szCs w:val="18"/>
        </w:rPr>
        <w:t>–</w:t>
      </w:r>
      <w:r w:rsidR="002E3B11" w:rsidRPr="000748F4">
        <w:rPr>
          <w:sz w:val="18"/>
          <w:szCs w:val="18"/>
        </w:rPr>
        <w:t>2023 годы, которые будут рекомендованы Президиумом. Фактические суммы взносов будут рассчитаны в надлежащее время при условии рассмотрения и утверждения проектов решений по программе работы и бюджету на 2021</w:t>
      </w:r>
      <w:r>
        <w:rPr>
          <w:sz w:val="18"/>
          <w:szCs w:val="18"/>
        </w:rPr>
        <w:t>–</w:t>
      </w:r>
      <w:r w:rsidR="002E3B11" w:rsidRPr="000748F4">
        <w:rPr>
          <w:sz w:val="18"/>
          <w:szCs w:val="18"/>
        </w:rPr>
        <w:t>2023 годы и будут скорректированы на основе обновленной шкалы взносов Организации Объединенных Наций, которая будет принята Генеральной Ассамблеей на период 2022</w:t>
      </w:r>
      <w:r>
        <w:rPr>
          <w:sz w:val="18"/>
          <w:szCs w:val="18"/>
        </w:rPr>
        <w:t>–</w:t>
      </w:r>
      <w:r w:rsidR="002E3B11" w:rsidRPr="000748F4">
        <w:rPr>
          <w:sz w:val="18"/>
          <w:szCs w:val="18"/>
        </w:rPr>
        <w:t xml:space="preserve">2024 годов. </w:t>
      </w:r>
    </w:p>
    <w:p w14:paraId="5D2A1068" w14:textId="77777777" w:rsidR="00BC086D" w:rsidRDefault="000748F4" w:rsidP="000748F4">
      <w:pPr>
        <w:pStyle w:val="SingleTxtG"/>
        <w:tabs>
          <w:tab w:val="left" w:pos="1276"/>
        </w:tabs>
        <w:spacing w:line="220" w:lineRule="exact"/>
        <w:jc w:val="left"/>
      </w:pPr>
      <w:r>
        <w:rPr>
          <w:sz w:val="18"/>
          <w:szCs w:val="18"/>
          <w:vertAlign w:val="superscript"/>
        </w:rPr>
        <w:tab/>
      </w:r>
      <w:r w:rsidR="002E3B11" w:rsidRPr="000748F4">
        <w:rPr>
          <w:i/>
          <w:sz w:val="18"/>
          <w:szCs w:val="18"/>
          <w:vertAlign w:val="superscript"/>
        </w:rPr>
        <w:t>d</w:t>
      </w:r>
      <w:r w:rsidR="002E3B11" w:rsidRPr="000748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E3B11" w:rsidRPr="000748F4">
        <w:rPr>
          <w:sz w:val="18"/>
          <w:szCs w:val="18"/>
        </w:rPr>
        <w:t>Процентная доля Европейского союза не указана, поскольку он не включен в шкалу взносов Организации Объединенных Наций.</w:t>
      </w:r>
      <w:r w:rsidR="00186DC8">
        <w:rPr>
          <w:sz w:val="18"/>
          <w:szCs w:val="18"/>
        </w:rPr>
        <w:t xml:space="preserve"> </w:t>
      </w:r>
      <w:r w:rsidR="002E3B11" w:rsidRPr="000748F4">
        <w:rPr>
          <w:sz w:val="18"/>
          <w:szCs w:val="18"/>
        </w:rPr>
        <w:t>Соответственно, рассчитать размеры его взноса на той же основе, что и взносы других Сторон и сигнатариев, невозможно.</w:t>
      </w:r>
      <w:r w:rsidR="00BC086D" w:rsidRPr="000748F4">
        <w:rPr>
          <w:sz w:val="18"/>
          <w:szCs w:val="18"/>
        </w:rPr>
        <w:t xml:space="preserve"> </w:t>
      </w:r>
      <w:r w:rsidR="002E3B11" w:rsidRPr="000748F4">
        <w:rPr>
          <w:sz w:val="18"/>
          <w:szCs w:val="18"/>
        </w:rPr>
        <w:t xml:space="preserve">В период </w:t>
      </w:r>
      <w:r>
        <w:rPr>
          <w:sz w:val="18"/>
          <w:szCs w:val="18"/>
        </w:rPr>
        <w:br/>
      </w:r>
      <w:r w:rsidR="002E3B11" w:rsidRPr="000748F4">
        <w:rPr>
          <w:sz w:val="18"/>
          <w:szCs w:val="18"/>
        </w:rPr>
        <w:t>2017</w:t>
      </w:r>
      <w:r>
        <w:rPr>
          <w:sz w:val="18"/>
          <w:szCs w:val="18"/>
        </w:rPr>
        <w:t>–</w:t>
      </w:r>
      <w:r w:rsidR="002E3B11" w:rsidRPr="000748F4">
        <w:rPr>
          <w:sz w:val="18"/>
          <w:szCs w:val="18"/>
        </w:rPr>
        <w:t>2020 годов Европейский союз ежегодно вносил 50 000 евро, что соответствует приблизительно 60 000 долл. США в год или 180 000 долл. США (в зависимости от колебаний обменного курса) на трехлетний период и составляет почти 13% от общего бюджета.</w:t>
      </w:r>
    </w:p>
    <w:p w14:paraId="31C441A5" w14:textId="77777777" w:rsidR="00CB5FD4" w:rsidRDefault="002E3B11" w:rsidP="002E3B11">
      <w:pPr>
        <w:pStyle w:val="SingleTxtG"/>
        <w:rPr>
          <w:b/>
        </w:rPr>
      </w:pPr>
      <w:r w:rsidRPr="002E3B11">
        <w:rPr>
          <w:b/>
        </w:rPr>
        <w:tab/>
      </w:r>
      <w:r w:rsidR="00CB5FD4">
        <w:rPr>
          <w:b/>
        </w:rPr>
        <w:br w:type="page"/>
      </w:r>
    </w:p>
    <w:p w14:paraId="511724F1" w14:textId="77777777" w:rsidR="002E3B11" w:rsidRPr="002E3B11" w:rsidRDefault="002E3B11" w:rsidP="00CB5FD4">
      <w:pPr>
        <w:pStyle w:val="HChG"/>
      </w:pPr>
      <w:r w:rsidRPr="002E3B11">
        <w:lastRenderedPageBreak/>
        <w:tab/>
      </w:r>
      <w:r w:rsidR="00CB5FD4">
        <w:tab/>
      </w:r>
      <w:r w:rsidR="00CB5FD4">
        <w:tab/>
      </w:r>
      <w:r w:rsidRPr="002E3B11">
        <w:t>Решение VIII/2–IV/2</w:t>
      </w:r>
      <w:bookmarkStart w:id="8" w:name="_Hlk34060233"/>
      <w:bookmarkEnd w:id="8"/>
    </w:p>
    <w:p w14:paraId="7FF10EC2" w14:textId="77777777" w:rsidR="002E3B11" w:rsidRPr="002E3B11" w:rsidRDefault="00CB5FD4" w:rsidP="00CB5FD4">
      <w:pPr>
        <w:pStyle w:val="H1G"/>
      </w:pPr>
      <w:r>
        <w:tab/>
      </w:r>
      <w:r>
        <w:tab/>
      </w:r>
      <w:r w:rsidR="002E3B11" w:rsidRPr="002E3B11">
        <w:tab/>
        <w:t>Утверждение плана работы</w:t>
      </w:r>
    </w:p>
    <w:p w14:paraId="5DD0272E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  <w:bookmarkStart w:id="9" w:name="_Hlk32416128"/>
    </w:p>
    <w:bookmarkEnd w:id="9"/>
    <w:p w14:paraId="157BEF8C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ссылаясь </w:t>
      </w:r>
      <w:r w:rsidRPr="002E3B11">
        <w:t>на пункт 2</w:t>
      </w:r>
      <w:r w:rsidR="007D7E77">
        <w:rPr>
          <w:lang w:val="en-US"/>
        </w:rPr>
        <w:t> </w:t>
      </w:r>
      <w:r w:rsidRPr="002E3B11">
        <w:t>f) статьи 11 Конвенции об оценке экологического воздействия в трансграничном контексте, в котором указывается, что Совещание Сторон рассматривает и принимает любые дополнительные меры, которые могут потребоваться для достижения целей Конвенции,</w:t>
      </w:r>
    </w:p>
    <w:p w14:paraId="4EA18D8C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ссылаясь также </w:t>
      </w:r>
      <w:r w:rsidRPr="002E3B11">
        <w:t>на пункт 4</w:t>
      </w:r>
      <w:r w:rsidR="007D7E77">
        <w:rPr>
          <w:lang w:val="en-US"/>
        </w:rPr>
        <w:t> </w:t>
      </w:r>
      <w:r w:rsidRPr="002E3B11">
        <w:t>f) статьи 14 Протокола по стратегической экологической оценке, в котором указывается, что Совещание Сторон Протокола рассматривает и принимает любые дополнительные меры, включая меры, подлежащие совместному осуществлению по Протоколу и Конвенции, которые могут потребоваться для достижения целей Протокола,</w:t>
      </w:r>
    </w:p>
    <w:p w14:paraId="26C01CD6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>признавая</w:t>
      </w:r>
      <w:r w:rsidRPr="002E3B11">
        <w:t xml:space="preserve"> крайнюю необходимость полноценного выполнения Сторонами Конвенции и Протокола своих правовых обязательств, возникающих в связи с этими договорами,</w:t>
      </w:r>
    </w:p>
    <w:p w14:paraId="331F0394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>признавая также</w:t>
      </w:r>
      <w:r w:rsidRPr="002E3B11">
        <w:t>, что Сторонам Конвенции и Протокола следует принимать меры по обеспечению максимальной эффективности применения ими соответственно Конвенции и Протокола с целью достижения наилучших практических результатов,</w:t>
      </w:r>
    </w:p>
    <w:p w14:paraId="47D90355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>признавая</w:t>
      </w:r>
      <w:r w:rsidRPr="002E3B11">
        <w:t>, что Конвенция и, в частности, Протокол к ней создают основу для интеграции экологических, в том числе медико-санитарных, проблем в деятельность по поощрению развития и секторальные планы и программы, а также в случае необходимости в политику и законодательство и что, соответственно, их эффективное применение содействует оказанию странам поддержки в достижении Целей в области устойчивого развития, изложенных в Повестке дня в области устойчивого развития на период до 2030 года,</w:t>
      </w:r>
    </w:p>
    <w:p w14:paraId="6B61A10D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>с удовлетворением отмечая</w:t>
      </w:r>
      <w:r w:rsidRPr="002E3B11">
        <w:t xml:space="preserve"> ценную работу, проделанную в соответствии с планом работы, принятым на седьмой сессии Совещания Сторон Конвенции и третьей сессии Совещания Сторон Протокола (решение VII/3</w:t>
      </w:r>
      <w:r w:rsidR="001872DB">
        <w:t>–</w:t>
      </w:r>
      <w:r w:rsidRPr="002E3B11">
        <w:t>III/3), несмотря на нехватку людских и финансовых ресурсов и обусловленные этим серьезные проблемы для беспрепятственного осуществления Конвенции и функционирования секретариата, которые еще более усугубляются в результате не обеспеченного финансированием продления межсессионного периода 2017</w:t>
      </w:r>
      <w:r w:rsidR="001872DB">
        <w:t>–</w:t>
      </w:r>
      <w:r w:rsidRPr="002E3B11">
        <w:t>2020 годов и необходимостью организации дополнительных промежуточных сессий Совещаний Сторон (Женева, 5</w:t>
      </w:r>
      <w:r w:rsidR="001872DB">
        <w:t>–</w:t>
      </w:r>
      <w:r w:rsidRPr="002E3B11">
        <w:t>7 февраля 2019 года),</w:t>
      </w:r>
    </w:p>
    <w:p w14:paraId="1B6C7360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>приветствуя</w:t>
      </w:r>
      <w:r w:rsidRPr="00821AA1">
        <w:rPr>
          <w:iCs/>
        </w:rPr>
        <w:t>,</w:t>
      </w:r>
      <w:r w:rsidRPr="002E3B11">
        <w:rPr>
          <w:i/>
          <w:iCs/>
        </w:rPr>
        <w:t xml:space="preserve"> </w:t>
      </w:r>
      <w:r w:rsidRPr="002E3B11">
        <w:t>в частности, выполнение следующих видов деятельности:</w:t>
      </w:r>
    </w:p>
    <w:p w14:paraId="2A92E2E6" w14:textId="77777777" w:rsidR="002E3B11" w:rsidRPr="00821AA1" w:rsidRDefault="00282E73" w:rsidP="002E3B11">
      <w:pPr>
        <w:pStyle w:val="SingleTxtG"/>
      </w:pPr>
      <w:r>
        <w:tab/>
      </w:r>
      <w:r>
        <w:tab/>
      </w:r>
      <w:r w:rsidR="002E3B11" w:rsidRPr="002E3B11">
        <w:t>a)</w:t>
      </w:r>
      <w:r w:rsidR="002E3B11" w:rsidRPr="002E3B11">
        <w:tab/>
        <w:t>техническую помощь, предоставленную секретариатом, и шаги, предпринятые Сторонами и такими странами, не являющимися Сторонами, как Азербайджан, Беларусь, Казахстан, Республика Молдова, Таджикистан и Узбекистан, по приведению своего законодательства об оценке воздействия на окружающую среду в соответствие с Конвенцией и Протоколом</w:t>
      </w:r>
      <w:r w:rsidR="00821AA1">
        <w:t>;</w:t>
      </w:r>
    </w:p>
    <w:p w14:paraId="60174DCC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b)</w:t>
      </w:r>
      <w:r w:rsidR="002E3B11" w:rsidRPr="002E3B11">
        <w:tab/>
        <w:t>рабочие совещания по субрегиональному сотрудничеству и/или укреплению потенциала в поддержку осуществления Протокола и/или Конвенции, которые были проведены/организованы Хорватией [Данией], [Грузией], Германией, Кыргызстаном, Республикой Молдова, Украиной и Узбекистаном при содействии секретариата</w:t>
      </w:r>
      <w:bookmarkStart w:id="10" w:name="_Hlk31727028"/>
      <w:bookmarkEnd w:id="10"/>
      <w:r w:rsidR="00821AA1">
        <w:t>;</w:t>
      </w:r>
    </w:p>
    <w:p w14:paraId="79106672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c)</w:t>
      </w:r>
      <w:r w:rsidR="002E3B11" w:rsidRPr="002E3B11">
        <w:tab/>
        <w:t>экспериментальное осуществление Протокола Беларусью и Казахстаном;</w:t>
      </w:r>
    </w:p>
    <w:p w14:paraId="05370D5E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d)</w:t>
      </w:r>
      <w:r w:rsidR="002E3B11" w:rsidRPr="002E3B11">
        <w:tab/>
        <w:t>семинар[ы] по обмену информацией о надлежащей практике, которые были организованы секретариатом в сотрудничестве с Всемирной организацией здравоохранения (ВОЗ) и Европейским инвестиционным банком; и [...]</w:t>
      </w:r>
      <w:r w:rsidR="00821AA1">
        <w:t>;</w:t>
      </w:r>
    </w:p>
    <w:p w14:paraId="2C087CA2" w14:textId="77777777" w:rsidR="002E3B11" w:rsidRPr="002E3B11" w:rsidRDefault="00282E73" w:rsidP="002E3B11">
      <w:pPr>
        <w:pStyle w:val="SingleTxtG"/>
      </w:pPr>
      <w:r>
        <w:lastRenderedPageBreak/>
        <w:tab/>
      </w:r>
      <w:r>
        <w:tab/>
      </w:r>
      <w:r w:rsidR="002E3B11" w:rsidRPr="002E3B11">
        <w:t>e)</w:t>
      </w:r>
      <w:r w:rsidR="002E3B11" w:rsidRPr="002E3B11">
        <w:tab/>
        <w:t>подготовку руководящих материалов и рекомендаций для более эффективного осуществления Конвенции и Протокола, прежде всего в отношении:</w:t>
      </w:r>
    </w:p>
    <w:p w14:paraId="5CA21024" w14:textId="77777777" w:rsidR="002E3B11" w:rsidRPr="002E3B11" w:rsidRDefault="00282E73" w:rsidP="00282E73">
      <w:pPr>
        <w:pStyle w:val="SingleTxtG"/>
        <w:ind w:left="1701"/>
      </w:pPr>
      <w:r>
        <w:tab/>
      </w:r>
      <w:r w:rsidR="002E3B11" w:rsidRPr="002E3B11">
        <w:t>i)</w:t>
      </w:r>
      <w:r w:rsidR="002E3B11" w:rsidRPr="002E3B11">
        <w:tab/>
        <w:t>руководства по применимости Конвенции к продлению срока службы атомных электростанций, подготовленного Специальной рабочей группой в составе 29 Сторон под сопредседательством Германии и Соединенного Королевства Великобритании и Северной Ирландии</w:t>
      </w:r>
      <w:r w:rsidR="001872DB">
        <w:t>;</w:t>
      </w:r>
    </w:p>
    <w:p w14:paraId="5052253F" w14:textId="77777777" w:rsidR="002E3B11" w:rsidRPr="002E3B11" w:rsidRDefault="00282E73" w:rsidP="00282E73">
      <w:pPr>
        <w:pStyle w:val="SingleTxtG"/>
        <w:ind w:left="1701"/>
      </w:pPr>
      <w:r>
        <w:tab/>
      </w:r>
      <w:r w:rsidR="002E3B11" w:rsidRPr="002E3B11">
        <w:t>ii)</w:t>
      </w:r>
      <w:r w:rsidR="002E3B11" w:rsidRPr="002E3B11">
        <w:tab/>
        <w:t>оценки аспектов здоровья в стратегической экологической оценке, разработанной при поддержке консультантов, финансируемых Европейским инвестиционным банком, в консультации с целевой группой, состоящей из представителей Австрии, Ирландии, Словении, Финляндии и ВОЗ</w:t>
      </w:r>
      <w:r w:rsidR="001872DB">
        <w:t>;</w:t>
      </w:r>
      <w:r w:rsidR="002E3B11" w:rsidRPr="002E3B11">
        <w:t xml:space="preserve"> </w:t>
      </w:r>
    </w:p>
    <w:p w14:paraId="7A6BB880" w14:textId="3FB0D58D" w:rsidR="002E3B11" w:rsidRPr="00240DEB" w:rsidRDefault="00282E73" w:rsidP="00282E73">
      <w:pPr>
        <w:pStyle w:val="SingleTxtG"/>
        <w:ind w:left="1701"/>
      </w:pPr>
      <w:r>
        <w:tab/>
      </w:r>
      <w:r w:rsidR="002E3B11" w:rsidRPr="002E3B11">
        <w:t>iii)</w:t>
      </w:r>
      <w:r w:rsidR="002E3B11" w:rsidRPr="002E3B11">
        <w:tab/>
        <w:t>оценки воздействия на окружающую среду в трансграничном контексте для стран Центральной Азии, разработанной при поддержке консультантов и финансировании со стороны Швейцарии</w:t>
      </w:r>
      <w:r w:rsidR="00240DEB" w:rsidRPr="00240DEB">
        <w:t>;</w:t>
      </w:r>
    </w:p>
    <w:p w14:paraId="119205CE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f)</w:t>
      </w:r>
      <w:r w:rsidR="002E3B11" w:rsidRPr="002E3B11">
        <w:tab/>
        <w:t xml:space="preserve">подготовки секретариатом информационных брошюр </w:t>
      </w:r>
      <w:r w:rsidR="00FB06AB">
        <w:t>«</w:t>
      </w:r>
      <w:r w:rsidR="002E3B11" w:rsidRPr="002E3B11">
        <w:t>FasTips</w:t>
      </w:r>
      <w:r w:rsidR="00FB06AB">
        <w:t>»</w:t>
      </w:r>
      <w:r w:rsidR="002E3B11" w:rsidRPr="002E3B11">
        <w:t xml:space="preserve"> по Конвенции и Протоколу, опубликованных Международной ассоциацией по оценке воздействия, </w:t>
      </w:r>
    </w:p>
    <w:p w14:paraId="29F57AB1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>с удовлетворением отмечая</w:t>
      </w:r>
      <w:r w:rsidRPr="002E3B11">
        <w:t xml:space="preserve">, что виды деятельности, предусмотренные в плане работы, принятом Совещаниями Сторон Конвенции и Протокола на их седьмой и третьей сессиях соответственно, за исключением видов деятельности, которые были отменены ведущими странами/странами-бенефициарами/организациями, были завершены примерно на [...]% и, кроме того, были дополнены промежуточными сессиями Совещаний Сторон, </w:t>
      </w:r>
    </w:p>
    <w:p w14:paraId="49709D62" w14:textId="77777777" w:rsidR="002E3B11" w:rsidRPr="002E3B11" w:rsidRDefault="00282E73" w:rsidP="002E3B1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="002E3B11" w:rsidRPr="002E3B11">
        <w:rPr>
          <w:i/>
          <w:iCs/>
        </w:rPr>
        <w:t>с удовлетворением отмечая также</w:t>
      </w:r>
      <w:r w:rsidR="002E3B11" w:rsidRPr="002E3B11">
        <w:t xml:space="preserve">, что секретариат выделил дополнительные ресурсы и завершил осуществление [Х кол-ва] видов деятельности, включенных в лист ожидания Совещаниями Сторон, и [Х кол-ва] дополнительных видов деятельности, </w:t>
      </w:r>
    </w:p>
    <w:p w14:paraId="0052A494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[</w:t>
      </w:r>
      <w:r w:rsidR="002E3B11" w:rsidRPr="002E3B11">
        <w:rPr>
          <w:i/>
          <w:iCs/>
        </w:rPr>
        <w:t>с удовлетворением отмечая далее</w:t>
      </w:r>
      <w:r w:rsidR="002E3B11" w:rsidRPr="002E3B11">
        <w:t>, что выполнение всех оставшихся видов деятельности, предусмотренных планом работы, продолжается или планируется и, как ожидается, будет завершено в течение следующего межсессионного периода],</w:t>
      </w:r>
    </w:p>
    <w:p w14:paraId="7D806B6C" w14:textId="77777777" w:rsidR="002E3B11" w:rsidRPr="002E3B11" w:rsidRDefault="00282E73" w:rsidP="002E3B1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="002E3B11" w:rsidRPr="002E3B11">
        <w:rPr>
          <w:i/>
          <w:iCs/>
        </w:rPr>
        <w:t xml:space="preserve">желая </w:t>
      </w:r>
      <w:r w:rsidR="002E3B11" w:rsidRPr="002E3B11">
        <w:t xml:space="preserve">разработать план работы, направленный на практическое осуществление стратегических целей и приоритетных задач, изложенных в долгосрочной стратегии и плане действий, принятых в соответствии с решением VIII/3–IV/3 (ECE/MP.EIA/2020/3–ECE/MP.EIA/SEA/2020/3, готовится к публикации), а именно на полное и эффективное осуществление Конвенции и Протокола; повышение результативности путем решения новых национальных, региональных и глобальных проблем; и более широкое применение Конвенции и Протокола в регионе ЕЭК и за его пределами, </w:t>
      </w:r>
    </w:p>
    <w:p w14:paraId="42A60E23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</w:r>
      <w:r w:rsidRPr="002E3B11">
        <w:rPr>
          <w:i/>
          <w:iCs/>
        </w:rPr>
        <w:t xml:space="preserve">желая также </w:t>
      </w:r>
      <w:r w:rsidRPr="002E3B11">
        <w:t>разработать реалистичный и выполнимый план работы, обеспечив заблаговременное финансирование сметных потребностей в ресурсах для осуществления деятельности, предусмотренной планом работы,</w:t>
      </w:r>
    </w:p>
    <w:p w14:paraId="77793F56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1.</w:t>
      </w:r>
      <w:r w:rsidR="002E3B11" w:rsidRPr="002E3B11">
        <w:tab/>
      </w:r>
      <w:r w:rsidR="002E3B11" w:rsidRPr="002E3B11">
        <w:rPr>
          <w:i/>
          <w:iCs/>
        </w:rPr>
        <w:t>утверждают</w:t>
      </w:r>
      <w:r w:rsidR="002E3B11" w:rsidRPr="002E3B11">
        <w:t xml:space="preserve"> план работы на период 2021</w:t>
      </w:r>
      <w:r w:rsidR="001872DB">
        <w:t>–</w:t>
      </w:r>
      <w:r w:rsidR="002E3B11" w:rsidRPr="002E3B11">
        <w:t>2023 годов и сметные потребности в ресурсах для его осуществления, изложенные соответственно в приложениях I и II к настоящему решению;</w:t>
      </w:r>
    </w:p>
    <w:p w14:paraId="017FB24B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2.</w:t>
      </w:r>
      <w:r w:rsidR="002E3B11" w:rsidRPr="002E3B11">
        <w:tab/>
        <w:t>[</w:t>
      </w:r>
      <w:r w:rsidR="002E3B11" w:rsidRPr="002E3B11">
        <w:rPr>
          <w:i/>
          <w:iCs/>
        </w:rPr>
        <w:t>также утверждают</w:t>
      </w:r>
      <w:r w:rsidR="002E3B11" w:rsidRPr="002E3B11">
        <w:t>][</w:t>
      </w:r>
      <w:r w:rsidR="002E3B11" w:rsidRPr="002E3B11">
        <w:rPr>
          <w:i/>
          <w:iCs/>
        </w:rPr>
        <w:t>принимают к сведению</w:t>
      </w:r>
      <w:r w:rsidR="002E3B11" w:rsidRPr="002E3B11">
        <w:t>] изложенный в приложении III к настоящему решению перечень видов деятельности, осуществление которых отложено до получения необходимых финансовых и людских ресурсов, и предлагают Сторонам Конвенции и Протокола, а также другим заинтересованным субъектам активно изыскивать возможности для обеспечения их финансирования и осуществления;</w:t>
      </w:r>
    </w:p>
    <w:p w14:paraId="1AE79807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3.</w:t>
      </w:r>
      <w:r w:rsidR="002E3B11" w:rsidRPr="002E3B11">
        <w:tab/>
      </w:r>
      <w:r w:rsidR="002E3B11" w:rsidRPr="002E3B11">
        <w:rPr>
          <w:i/>
        </w:rPr>
        <w:t>принимают решение</w:t>
      </w:r>
      <w:r w:rsidR="002E3B11" w:rsidRPr="002E3B11">
        <w:t>, что все Стороны должны предоставлять финансирование на покрытие сметных потребностей в ресурсах для осуществления плана работы в соответствии с решением VIII/1</w:t>
      </w:r>
      <w:r w:rsidR="001872DB">
        <w:t>–</w:t>
      </w:r>
      <w:r w:rsidR="002E3B11" w:rsidRPr="002E3B11">
        <w:t>IV/1 о механизмах финансирования на 2021</w:t>
      </w:r>
      <w:r w:rsidR="001872DB">
        <w:t>–</w:t>
      </w:r>
      <w:r w:rsidR="002E3B11" w:rsidRPr="002E3B11">
        <w:t>2023 годы;</w:t>
      </w:r>
    </w:p>
    <w:p w14:paraId="41C00189" w14:textId="77777777" w:rsidR="002E3B11" w:rsidRPr="002E3B11" w:rsidRDefault="00282E73" w:rsidP="002E3B11">
      <w:pPr>
        <w:pStyle w:val="SingleTxtG"/>
      </w:pPr>
      <w:r>
        <w:lastRenderedPageBreak/>
        <w:tab/>
      </w:r>
      <w:r>
        <w:tab/>
      </w:r>
      <w:r w:rsidR="002E3B11" w:rsidRPr="002E3B11">
        <w:t>4.</w:t>
      </w:r>
      <w:r w:rsidR="002E3B11" w:rsidRPr="002E3B11">
        <w:tab/>
      </w:r>
      <w:r w:rsidR="002E3B11" w:rsidRPr="002E3B11">
        <w:rPr>
          <w:i/>
          <w:iCs/>
        </w:rPr>
        <w:t>предлагают</w:t>
      </w:r>
      <w:r w:rsidR="002E3B11" w:rsidRPr="002E3B11">
        <w:t xml:space="preserve"> Сторонам повысить уровень устойчивой доступности</w:t>
      </w:r>
      <w:r w:rsidR="00BC086D">
        <w:t xml:space="preserve"> </w:t>
      </w:r>
      <w:r w:rsidR="002E3B11" w:rsidRPr="002E3B11">
        <w:t>финансирования для предусмотренных планом работы видов деятельности и функционирования секретариата, включая виды деятельности, включенные в лист ожидания (приложение III к настоящему решению), с тем чтобы избежать возможных критических ситуаций, влияющих на функционирование договоров и их секретариата, и предлагают также заинтересованным Сторонам, организациям и другим заинтересованным субъектам поддержать мобилизацию средств и ресурсов для этой деятельности;</w:t>
      </w:r>
    </w:p>
    <w:p w14:paraId="7E07C490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5.</w:t>
      </w:r>
      <w:r w:rsidR="002E3B11" w:rsidRPr="002E3B11">
        <w:tab/>
      </w:r>
      <w:r w:rsidR="002E3B11" w:rsidRPr="002E3B11">
        <w:rPr>
          <w:i/>
          <w:iCs/>
        </w:rPr>
        <w:t xml:space="preserve">призывают </w:t>
      </w:r>
      <w:r w:rsidR="002E3B11" w:rsidRPr="002E3B11">
        <w:t>Стороны, а также предлагают государствам, не являющимся Сторонами, организовывать и проводить семинары, рабочие совещания и встречи и активно участвовать в их работе с целью содействия осуществлению и соблюдению Конвенции и Протокола;</w:t>
      </w:r>
    </w:p>
    <w:p w14:paraId="0B0CBE1A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6.</w:t>
      </w:r>
      <w:r w:rsidR="002E3B11" w:rsidRPr="002E3B11">
        <w:tab/>
      </w:r>
      <w:r w:rsidR="002E3B11" w:rsidRPr="002E3B11">
        <w:rPr>
          <w:i/>
          <w:iCs/>
        </w:rPr>
        <w:t xml:space="preserve">предлагают </w:t>
      </w:r>
      <w:r w:rsidR="002E3B11" w:rsidRPr="002E3B11">
        <w:t>соответствующим органам или учреждениям, будь то национальным или международным, правительственным или неправительственным, а</w:t>
      </w:r>
      <w:r w:rsidR="00200125">
        <w:rPr>
          <w:lang w:val="en-US"/>
        </w:rPr>
        <w:t> </w:t>
      </w:r>
      <w:r w:rsidR="002E3B11" w:rsidRPr="002E3B11">
        <w:t>также, возможно, исследователям и консультантам по согласованным видам деятельности активно участвовать в предусмотренных планом работы мероприятиях в соответствующих случаях;</w:t>
      </w:r>
    </w:p>
    <w:p w14:paraId="02E5B39B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7.</w:t>
      </w:r>
      <w:r w:rsidR="002E3B11" w:rsidRPr="002E3B11">
        <w:tab/>
      </w:r>
      <w:r w:rsidR="002E3B11" w:rsidRPr="002E3B11">
        <w:rPr>
          <w:i/>
          <w:iCs/>
        </w:rPr>
        <w:t xml:space="preserve">предлагают </w:t>
      </w:r>
      <w:r w:rsidR="002E3B11" w:rsidRPr="002E3B11">
        <w:t>Исполнительному секретарю Европейской экономической комиссии (ЕЭК) продолжать предоставлять поддержку работе в рамках Конвенции и Протокола путем содействия осуществлению мероприятий, предусмотренных планом работы, подготовки официальной документации для них, а также публикации результатов этих мероприятий на трех официальных языках ЕЭК в соответствующих случаях. Публикации, предполагающие глобальный информационный охват, должны обрабатываться и переводиться конференционными службами Организации Объединенных Наций и распространяться на шести официальных языках Организации Объединенных Наций;</w:t>
      </w:r>
    </w:p>
    <w:p w14:paraId="4127F1B6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8.</w:t>
      </w:r>
      <w:r w:rsidR="002E3B11" w:rsidRPr="002E3B11">
        <w:tab/>
      </w:r>
      <w:r w:rsidR="002E3B11" w:rsidRPr="002E3B11">
        <w:rPr>
          <w:i/>
          <w:iCs/>
        </w:rPr>
        <w:t>постановляют</w:t>
      </w:r>
      <w:r w:rsidR="002E3B11" w:rsidRPr="002E3B11">
        <w:t>, что в межсессионный период до следующих сессий Совещаний Сторон Конвенции и Протокола (предварительно намеченных на конец 2023 года) Рабочая группа по оценке воздействия на окружающую среду и стратегической экологической оценке проведет три совещания (предварительно в 2021, 2022 и 2023 годах) и что Комитет по осуществлению проведет в общей</w:t>
      </w:r>
      <w:r w:rsidR="00BC086D">
        <w:t xml:space="preserve"> </w:t>
      </w:r>
      <w:r w:rsidR="002E3B11" w:rsidRPr="002E3B11">
        <w:t>сложности девять сессий, т.</w:t>
      </w:r>
      <w:r w:rsidR="00416EEE">
        <w:rPr>
          <w:lang w:val="en-US"/>
        </w:rPr>
        <w:t> </w:t>
      </w:r>
      <w:r w:rsidR="002E3B11" w:rsidRPr="002E3B11">
        <w:t xml:space="preserve">е. по три сессии в год – весной, осенью и зимой; </w:t>
      </w:r>
    </w:p>
    <w:p w14:paraId="3470B9FF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9.</w:t>
      </w:r>
      <w:r w:rsidR="002E3B11" w:rsidRPr="002E3B11">
        <w:tab/>
      </w:r>
      <w:r w:rsidR="002E3B11" w:rsidRPr="002E3B11">
        <w:rPr>
          <w:i/>
          <w:iCs/>
        </w:rPr>
        <w:t xml:space="preserve">просят </w:t>
      </w:r>
      <w:r w:rsidR="002E3B11" w:rsidRPr="002E3B11">
        <w:t>секретариат подготовить предварительные повестки дня и другую официальную документацию для совещаний, упомянутых в пункте 7 выше, а</w:t>
      </w:r>
      <w:r w:rsidR="00416EEE">
        <w:rPr>
          <w:lang w:val="en-US"/>
        </w:rPr>
        <w:t> </w:t>
      </w:r>
      <w:r w:rsidR="002E3B11" w:rsidRPr="002E3B11">
        <w:t>также доклады об их работе и издать эти документы на трех официальных языках</w:t>
      </w:r>
      <w:r w:rsidR="00416EEE">
        <w:rPr>
          <w:lang w:val="en-US"/>
        </w:rPr>
        <w:t> </w:t>
      </w:r>
      <w:r w:rsidR="002E3B11" w:rsidRPr="002E3B11">
        <w:t xml:space="preserve">ЕЭК; </w:t>
      </w:r>
    </w:p>
    <w:p w14:paraId="639C452D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10.</w:t>
      </w:r>
      <w:r w:rsidR="002E3B11" w:rsidRPr="002E3B11">
        <w:tab/>
      </w:r>
      <w:r w:rsidR="002E3B11" w:rsidRPr="002E3B11">
        <w:rPr>
          <w:i/>
          <w:iCs/>
        </w:rPr>
        <w:t>просят также</w:t>
      </w:r>
      <w:r w:rsidR="002E3B11" w:rsidRPr="002E3B11">
        <w:t xml:space="preserve"> секретариат сначала представлять соответствующую документацию Президиуму в неофициальном порядке для предварительного утверждения, предусматривающего созыв трех (или более, если этого позволяют финансовые возможности) совещаний Президиума и представление докладов о них, в межсессионный период; </w:t>
      </w:r>
    </w:p>
    <w:p w14:paraId="7D16AB82" w14:textId="77777777" w:rsidR="00BC086D" w:rsidRDefault="00282E73" w:rsidP="002E3B11">
      <w:pPr>
        <w:pStyle w:val="SingleTxtG"/>
      </w:pPr>
      <w:r>
        <w:tab/>
      </w:r>
      <w:r>
        <w:tab/>
      </w:r>
      <w:r w:rsidR="002E3B11" w:rsidRPr="002E3B11">
        <w:t>11.</w:t>
      </w:r>
      <w:r w:rsidR="002E3B11" w:rsidRPr="002E3B11">
        <w:tab/>
      </w:r>
      <w:r w:rsidR="002E3B11" w:rsidRPr="002E3B11">
        <w:rPr>
          <w:i/>
          <w:iCs/>
        </w:rPr>
        <w:t>постановляют</w:t>
      </w:r>
      <w:r w:rsidR="002E3B11" w:rsidRPr="002E3B11">
        <w:t>, что, как правило, в соответствии с правилами процедуры Конвенции и Протокола к ней сессии Совещаний Сторон проводятся в Женеве, если только Стороны не принимают иного решения на основе предложения договаривающейся Стороны о проведении сессий у нее в стране.</w:t>
      </w:r>
    </w:p>
    <w:p w14:paraId="69BE8419" w14:textId="77777777" w:rsidR="00282E73" w:rsidRDefault="00282E73" w:rsidP="002E3B11">
      <w:pPr>
        <w:pStyle w:val="SingleTxtG"/>
        <w:rPr>
          <w:b/>
          <w:bCs/>
        </w:rPr>
      </w:pPr>
      <w:r>
        <w:rPr>
          <w:b/>
          <w:bCs/>
        </w:rPr>
        <w:br w:type="page"/>
      </w:r>
    </w:p>
    <w:p w14:paraId="4CDEA63F" w14:textId="77777777" w:rsidR="002E3B11" w:rsidRPr="002E3B11" w:rsidRDefault="002E3B11" w:rsidP="00282E73">
      <w:pPr>
        <w:pStyle w:val="HChG"/>
      </w:pPr>
      <w:r w:rsidRPr="002E3B11">
        <w:lastRenderedPageBreak/>
        <w:t xml:space="preserve">Приложение I </w:t>
      </w:r>
    </w:p>
    <w:p w14:paraId="149C9FB2" w14:textId="77777777" w:rsidR="002E3B11" w:rsidRPr="002E3B11" w:rsidRDefault="002E3B11" w:rsidP="00282E73">
      <w:pPr>
        <w:pStyle w:val="HChG"/>
      </w:pPr>
      <w:r w:rsidRPr="002E3B11">
        <w:tab/>
      </w:r>
      <w:r w:rsidRPr="002E3B11">
        <w:tab/>
        <w:t>Проект плана работы на 2021</w:t>
      </w:r>
      <w:r w:rsidR="00282E73">
        <w:t>–</w:t>
      </w:r>
      <w:r w:rsidRPr="002E3B11">
        <w:t xml:space="preserve">2023 годы </w:t>
      </w:r>
    </w:p>
    <w:p w14:paraId="57A73D37" w14:textId="77777777" w:rsidR="002E3B11" w:rsidRPr="002E3B11" w:rsidRDefault="002E3B11" w:rsidP="00282E73">
      <w:pPr>
        <w:pStyle w:val="HChG"/>
      </w:pPr>
      <w:bookmarkStart w:id="11" w:name="_Hlk9264045"/>
      <w:r w:rsidRPr="002E3B11">
        <w:tab/>
        <w:t>I.</w:t>
      </w:r>
      <w:r w:rsidRPr="002E3B11">
        <w:tab/>
        <w:t>Управление, координация и информационное освещение деятельности в межсессионный период</w:t>
      </w:r>
    </w:p>
    <w:p w14:paraId="45E440BF" w14:textId="77777777" w:rsidR="002E3B11" w:rsidRPr="002E3B11" w:rsidRDefault="00282E73" w:rsidP="002E3B11">
      <w:pPr>
        <w:pStyle w:val="SingleTxtG"/>
      </w:pPr>
      <w:r>
        <w:tab/>
      </w:r>
      <w:r w:rsidR="002E3B11" w:rsidRPr="002E3B11">
        <w:tab/>
        <w:t>Эта область работы направлена на обеспечение функционирования Конвенции и Протокола, а также на координацию и информационное освещение деятельности в рамках этих договоров по следующим направлениям:</w:t>
      </w:r>
    </w:p>
    <w:p w14:paraId="6094AA17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  <w:t>a)</w:t>
      </w:r>
      <w:r w:rsidRPr="002E3B11">
        <w:tab/>
        <w:t xml:space="preserve">организация совещаний; </w:t>
      </w:r>
    </w:p>
    <w:p w14:paraId="424E11DE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  <w:t>b)</w:t>
      </w:r>
      <w:r w:rsidRPr="002E3B11">
        <w:tab/>
        <w:t>коммуникация, информационное освещение, координация;</w:t>
      </w:r>
    </w:p>
    <w:p w14:paraId="48103F80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tab/>
        <w:t>c)</w:t>
      </w:r>
      <w:r w:rsidRPr="002E3B11">
        <w:tab/>
        <w:t>общее управление программами.</w:t>
      </w:r>
    </w:p>
    <w:p w14:paraId="3260E0C6" w14:textId="77777777" w:rsidR="002E3B11" w:rsidRPr="002E3B11" w:rsidRDefault="002E3B11" w:rsidP="00282E73">
      <w:pPr>
        <w:pStyle w:val="H1G"/>
      </w:pPr>
      <w:r w:rsidRPr="002E3B11">
        <w:tab/>
        <w:t>A.</w:t>
      </w:r>
      <w:r w:rsidRPr="002E3B11">
        <w:tab/>
        <w:t>Организация совещаний</w:t>
      </w:r>
    </w:p>
    <w:p w14:paraId="499BEC83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 xml:space="preserve">Директивными органами Конвенции и Протокола к ней являются Совещания Сторон. Подготовка и проведение их сессий в межсессионный период (предварительно запланированных на декабрь 2023 года) являются ключевыми функциями секретариата, как это предусмотрено в статье 13 Конвенции и статье 17 Протокола. Секретариат отвечает также за организацию совещаний Президиума и Рабочей группы по оценке воздействия на окружающую среду и стратегической экологической оценке, которые помогают Совещаниям Сторон в рассмотрении хода осуществления Конвенции и Протокола, а также за управление их совместным планом работы и бюджетом, вынося рекомендации в отношении дальнейшей работы, необходимой для обеспечения эффективного осуществления договоров. Планируется провести в общей сложности шесть совещаний, причем совещания обоих вспомогательных органов первоначально запланированы на 2021, 2022 и 2023 годы. </w:t>
      </w:r>
    </w:p>
    <w:p w14:paraId="7DCD3C98" w14:textId="77777777" w:rsidR="002E3B11" w:rsidRPr="002E3B11" w:rsidRDefault="00282E73" w:rsidP="002E3B11">
      <w:pPr>
        <w:pStyle w:val="SingleTxtG"/>
      </w:pPr>
      <w:r>
        <w:tab/>
      </w:r>
      <w:r>
        <w:tab/>
      </w:r>
      <w:r w:rsidR="002E3B11" w:rsidRPr="002E3B11">
        <w:t>Участие в совещаниях договорных органов будет способствовать обмену знаниями и укреплению потенциала для осуществления договоров, а также позволит участникам создавать сети и изучать возможности для активизации их осуществления. Покрытие путевых расходов участников из стран, имеющих право на финансовую поддержку, позволяет им принимать полноценное и эффективное участие в совещаниях и способствует инклюзивности и представительности процесса принятия решений, повышению легитимности принимаемых решений и укреплению приверженности осуществлению принятых решений.</w:t>
      </w:r>
    </w:p>
    <w:p w14:paraId="459A9FB6" w14:textId="77777777" w:rsidR="002E3B11" w:rsidRPr="00BC086D" w:rsidRDefault="002E3B11" w:rsidP="002E3B11">
      <w:pPr>
        <w:pStyle w:val="SingleTxtG"/>
        <w:rPr>
          <w:i/>
        </w:rPr>
      </w:pPr>
      <w:bookmarkStart w:id="12" w:name="_Hlk31980276"/>
      <w:r w:rsidRPr="002E3B11">
        <w:rPr>
          <w:i/>
        </w:rPr>
        <w:tab/>
        <w:t>Д</w:t>
      </w:r>
      <w:r w:rsidRPr="002E3B11">
        <w:rPr>
          <w:i/>
          <w:iCs/>
        </w:rPr>
        <w:t>еятельность:</w:t>
      </w:r>
    </w:p>
    <w:bookmarkEnd w:id="12"/>
    <w:p w14:paraId="57EDD2C5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8B650D">
        <w:t>a)</w:t>
      </w:r>
      <w:r w:rsidR="00BC086D" w:rsidRPr="008B650D">
        <w:tab/>
      </w:r>
      <w:r w:rsidR="002E3B11" w:rsidRPr="008B650D">
        <w:t>подготовка, редактирование, перевод и публикация на веб-сайте повесток дня и официальных документов совещаний, а также подготовка и публикация неофициальных документов совещаний;</w:t>
      </w:r>
    </w:p>
    <w:p w14:paraId="59BBBE9C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8B650D">
        <w:t>b)</w:t>
      </w:r>
      <w:r w:rsidR="00BC086D" w:rsidRPr="008B650D">
        <w:tab/>
      </w:r>
      <w:r w:rsidR="002E3B11" w:rsidRPr="008B650D">
        <w:t xml:space="preserve">отправка приглашений и информации; </w:t>
      </w:r>
    </w:p>
    <w:p w14:paraId="128C47DB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8B650D">
        <w:t>c)</w:t>
      </w:r>
      <w:r w:rsidR="00BC086D" w:rsidRPr="008B650D">
        <w:tab/>
      </w:r>
      <w:r w:rsidR="002E3B11" w:rsidRPr="008B650D">
        <w:t>организация/поддержка организации одновременных/параллельных мероприятий по мере необходимости;</w:t>
      </w:r>
    </w:p>
    <w:p w14:paraId="2AAD6697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8B650D">
        <w:t>d)</w:t>
      </w:r>
      <w:r w:rsidR="00BC086D" w:rsidRPr="008B650D">
        <w:tab/>
      </w:r>
      <w:r w:rsidR="002E3B11" w:rsidRPr="008B650D">
        <w:t>регистрация участников и организация поездок для участников, получающих финансирование, а также, в случае необходимости, содействие в получении виз;</w:t>
      </w:r>
    </w:p>
    <w:p w14:paraId="59457403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8B650D">
        <w:t>e)</w:t>
      </w:r>
      <w:r w:rsidR="00BC086D" w:rsidRPr="008B650D">
        <w:tab/>
      </w:r>
      <w:r w:rsidR="002E3B11" w:rsidRPr="008B650D">
        <w:t>оказание поддержки должностным лицам совещаний, в том числе путем подготовки подробных информационных записок;</w:t>
      </w:r>
    </w:p>
    <w:p w14:paraId="58808A07" w14:textId="77777777" w:rsidR="002E3B11" w:rsidRPr="002E3B11" w:rsidRDefault="008B650D" w:rsidP="008B650D">
      <w:pPr>
        <w:pStyle w:val="SingleTxtG"/>
      </w:pPr>
      <w:r>
        <w:tab/>
      </w:r>
      <w:r>
        <w:tab/>
      </w:r>
      <w:r w:rsidR="00BC086D" w:rsidRPr="008B650D">
        <w:t>f)</w:t>
      </w:r>
      <w:r w:rsidR="00BC086D" w:rsidRPr="008B650D">
        <w:tab/>
      </w:r>
      <w:r w:rsidR="002E3B11" w:rsidRPr="008B650D">
        <w:t>материально-техническая подготовка совещаний (в соответствии с местом их проведения и правилами</w:t>
      </w:r>
      <w:r w:rsidR="002E3B11" w:rsidRPr="002E3B11">
        <w:t xml:space="preserve"> безопасности Организации Объединенных Наций);</w:t>
      </w:r>
    </w:p>
    <w:p w14:paraId="563C20CF" w14:textId="77777777" w:rsidR="002E3B11" w:rsidRPr="002E3B11" w:rsidRDefault="001872DB" w:rsidP="001872DB">
      <w:pPr>
        <w:pStyle w:val="SingleTxtG"/>
      </w:pPr>
      <w:r>
        <w:lastRenderedPageBreak/>
        <w:tab/>
      </w:r>
      <w:r w:rsidR="008B650D">
        <w:tab/>
      </w:r>
      <w:r w:rsidR="00BC086D" w:rsidRPr="002E3B11">
        <w:t>g)</w:t>
      </w:r>
      <w:r w:rsidR="00BC086D" w:rsidRPr="002E3B11">
        <w:tab/>
      </w:r>
      <w:r w:rsidR="002E3B11" w:rsidRPr="002E3B11">
        <w:t xml:space="preserve">сбор и регистрация информации о проверке полномочий в соответствующих случаях; </w:t>
      </w:r>
    </w:p>
    <w:p w14:paraId="5BC37F1D" w14:textId="77777777" w:rsidR="002E3B11" w:rsidRPr="00BC086D" w:rsidRDefault="008B650D" w:rsidP="008B650D">
      <w:pPr>
        <w:pStyle w:val="SingleTxtG"/>
      </w:pPr>
      <w:r>
        <w:tab/>
      </w:r>
      <w:r>
        <w:tab/>
      </w:r>
      <w:r w:rsidR="00BC086D" w:rsidRPr="008B650D">
        <w:t>h</w:t>
      </w:r>
      <w:r w:rsidR="00BC086D" w:rsidRPr="00BC086D">
        <w:t>)</w:t>
      </w:r>
      <w:r w:rsidR="00BC086D" w:rsidRPr="00BC086D">
        <w:tab/>
      </w:r>
      <w:r w:rsidR="002E3B11" w:rsidRPr="002E3B11">
        <w:t>конференционное обслуживание совещаний;</w:t>
      </w:r>
    </w:p>
    <w:p w14:paraId="75F0542C" w14:textId="77777777" w:rsidR="002E3B11" w:rsidRPr="002E3B11" w:rsidRDefault="008B650D" w:rsidP="008B650D">
      <w:pPr>
        <w:pStyle w:val="SingleTxtG"/>
      </w:pPr>
      <w:r>
        <w:tab/>
      </w:r>
      <w:r>
        <w:tab/>
      </w:r>
      <w:r w:rsidR="00BC086D" w:rsidRPr="002E3B11">
        <w:t>i)</w:t>
      </w:r>
      <w:r w:rsidR="00BC086D" w:rsidRPr="002E3B11">
        <w:tab/>
      </w:r>
      <w:r w:rsidR="002E3B11" w:rsidRPr="002E3B11">
        <w:t>обеспечение устного перевода на совещаниях на тр</w:t>
      </w:r>
      <w:r w:rsidR="00416EEE">
        <w:t>ех</w:t>
      </w:r>
      <w:r w:rsidR="002E3B11" w:rsidRPr="002E3B11">
        <w:t xml:space="preserve"> языка</w:t>
      </w:r>
      <w:r w:rsidR="00416EEE">
        <w:t>х</w:t>
      </w:r>
      <w:r w:rsidR="002E3B11" w:rsidRPr="002E3B11">
        <w:t xml:space="preserve"> ЕЭК;</w:t>
      </w:r>
    </w:p>
    <w:p w14:paraId="1FDA179E" w14:textId="77777777" w:rsidR="002E3B11" w:rsidRPr="002E3B11" w:rsidRDefault="008B650D" w:rsidP="008B650D">
      <w:pPr>
        <w:pStyle w:val="SingleTxtG"/>
      </w:pPr>
      <w:r>
        <w:tab/>
      </w:r>
      <w:r>
        <w:tab/>
      </w:r>
      <w:r w:rsidR="00BC086D" w:rsidRPr="002E3B11">
        <w:t>j)</w:t>
      </w:r>
      <w:r w:rsidR="00BC086D" w:rsidRPr="002E3B11">
        <w:tab/>
      </w:r>
      <w:r w:rsidR="002E3B11" w:rsidRPr="002E3B11">
        <w:t>подготовка, редактирование, перевод и публикация докладов о работе совещаний;</w:t>
      </w:r>
    </w:p>
    <w:p w14:paraId="0CC8D727" w14:textId="77777777" w:rsidR="002E3B11" w:rsidRPr="002E3B11" w:rsidRDefault="008B650D" w:rsidP="008B650D">
      <w:pPr>
        <w:pStyle w:val="SingleTxtG"/>
      </w:pPr>
      <w:r>
        <w:tab/>
      </w:r>
      <w:r>
        <w:tab/>
      </w:r>
      <w:r w:rsidR="00BC086D" w:rsidRPr="002E3B11">
        <w:t>k)</w:t>
      </w:r>
      <w:r w:rsidR="00BC086D" w:rsidRPr="002E3B11">
        <w:tab/>
      </w:r>
      <w:r w:rsidR="002E3B11" w:rsidRPr="002E3B11">
        <w:t>подготовка пресс-релизов/материалов для СМИ по мере необходимости;</w:t>
      </w:r>
    </w:p>
    <w:p w14:paraId="0FF2A2FA" w14:textId="77777777" w:rsidR="002E3B11" w:rsidRPr="002E3B11" w:rsidRDefault="008B650D" w:rsidP="008B650D">
      <w:pPr>
        <w:pStyle w:val="SingleTxtG"/>
      </w:pPr>
      <w:r>
        <w:tab/>
      </w:r>
      <w:r>
        <w:tab/>
      </w:r>
      <w:r w:rsidR="00BC086D" w:rsidRPr="002E3B11">
        <w:t>l)</w:t>
      </w:r>
      <w:r w:rsidR="00BC086D" w:rsidRPr="002E3B11">
        <w:tab/>
      </w:r>
      <w:r w:rsidR="002E3B11" w:rsidRPr="002E3B11">
        <w:t>осуществление последующих мер в связи с принятыми решениями.</w:t>
      </w:r>
      <w:bookmarkStart w:id="13" w:name="_Hlk31980543"/>
      <w:bookmarkStart w:id="14" w:name="_Hlk31979642"/>
      <w:bookmarkStart w:id="15" w:name="_Hlk31984396"/>
    </w:p>
    <w:p w14:paraId="6A62FFF3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секретариат, при необходимости</w:t>
      </w:r>
      <w:r w:rsidR="001872DB">
        <w:t>,</w:t>
      </w:r>
      <w:r w:rsidR="002E3B11" w:rsidRPr="002E3B11">
        <w:t xml:space="preserve"> в консультации с Президиумом. Если совещание организуется Стороной, то за его организацию (и</w:t>
      </w:r>
      <w:r w:rsidR="00416EEE">
        <w:t> </w:t>
      </w:r>
      <w:r w:rsidR="002E3B11" w:rsidRPr="002E3B11">
        <w:t xml:space="preserve">соответствующие расходы) отвечает принимающая страна в соответствии с подробным соглашением, которое заключается между ней и секретариатом. </w:t>
      </w:r>
      <w:bookmarkEnd w:id="13"/>
      <w:bookmarkEnd w:id="14"/>
    </w:p>
    <w:p w14:paraId="7301F0C8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>: сотрудники категории специалистов и вспомогательный персонал секретариата. Покрытие путевых расходов имеющих на это право участников и экспертов (докладчиков).</w:t>
      </w:r>
      <w:bookmarkEnd w:id="15"/>
    </w:p>
    <w:p w14:paraId="2C7F0AE4" w14:textId="77777777" w:rsidR="002E3B11" w:rsidRPr="002E3B11" w:rsidRDefault="002E3B11" w:rsidP="008B650D">
      <w:pPr>
        <w:pStyle w:val="H1G"/>
      </w:pPr>
      <w:r w:rsidRPr="002E3B11">
        <w:tab/>
        <w:t>B.</w:t>
      </w:r>
      <w:r w:rsidRPr="002E3B11">
        <w:tab/>
        <w:t>Коммуникация, информационное освещение, координация</w:t>
      </w:r>
      <w:bookmarkStart w:id="16" w:name="_Hlk36021677"/>
      <w:bookmarkEnd w:id="16"/>
    </w:p>
    <w:p w14:paraId="20D18567" w14:textId="77777777" w:rsidR="002E3B11" w:rsidRPr="002E3B11" w:rsidRDefault="002E3B11" w:rsidP="002E3B11">
      <w:pPr>
        <w:pStyle w:val="SingleTxtG"/>
        <w:rPr>
          <w:i/>
        </w:rPr>
      </w:pPr>
      <w:r w:rsidRPr="002E3B11">
        <w:rPr>
          <w:i/>
        </w:rPr>
        <w:tab/>
        <w:t>Д</w:t>
      </w:r>
      <w:r w:rsidRPr="002E3B11">
        <w:rPr>
          <w:i/>
          <w:iCs/>
        </w:rPr>
        <w:t>еятельность:</w:t>
      </w:r>
    </w:p>
    <w:p w14:paraId="20F77937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 xml:space="preserve">Ключевые функции секретариата включают общие задачи по коммуникации и координации в рамках Конвенции и Протокола к ней, а также по информационному освещению договоров и деятельности в их рамках и по обеспечению доступа к этой информации. В этой связи секретариат: </w:t>
      </w:r>
    </w:p>
    <w:p w14:paraId="50F200AE" w14:textId="77777777" w:rsidR="002E3B11" w:rsidRPr="002E3B11" w:rsidRDefault="008B650D" w:rsidP="008B650D">
      <w:pPr>
        <w:pStyle w:val="SingleTxtG"/>
      </w:pPr>
      <w:r>
        <w:tab/>
      </w:r>
      <w:r>
        <w:tab/>
      </w:r>
      <w:r w:rsidR="00BC086D" w:rsidRPr="002E3B11">
        <w:t>a)</w:t>
      </w:r>
      <w:r w:rsidR="00BC086D" w:rsidRPr="002E3B11">
        <w:tab/>
      </w:r>
      <w:r w:rsidR="002E3B11" w:rsidRPr="002E3B11">
        <w:t xml:space="preserve">поддерживает связь с координаторами, заинтересованными субъектами и соответствующими организациями-партнерами в рамках Организации Объединенных Наций и за ее пределами, отвечая на любые запросы и принимая меры для повышения осведомленности о договорах и сопутствующей деятельности; </w:t>
      </w:r>
    </w:p>
    <w:p w14:paraId="6F10FAE9" w14:textId="77777777" w:rsidR="002E3B11" w:rsidRPr="002E3B11" w:rsidRDefault="008B650D" w:rsidP="008B650D">
      <w:pPr>
        <w:pStyle w:val="SingleTxtG"/>
      </w:pPr>
      <w:r>
        <w:tab/>
      </w:r>
      <w:r>
        <w:tab/>
      </w:r>
      <w:r w:rsidR="00BC086D" w:rsidRPr="002E3B11">
        <w:t>b)</w:t>
      </w:r>
      <w:r w:rsidR="00BC086D" w:rsidRPr="002E3B11">
        <w:tab/>
      </w:r>
      <w:r w:rsidR="002E3B11" w:rsidRPr="002E3B11">
        <w:t xml:space="preserve">координирует осуществление деятельности, предусмотренной планом работы, включая сотрудничество с другими секретариатами и подпрограммами многосторонних природоохранных соглашений ЕЭК, а также, в зависимости от имеющихся ресурсов, с другими органами Организации Объединенных Наций и международными организациями; </w:t>
      </w:r>
    </w:p>
    <w:p w14:paraId="7976A577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2E3B11">
        <w:t>c)</w:t>
      </w:r>
      <w:r w:rsidR="00BC086D" w:rsidRPr="002E3B11">
        <w:tab/>
      </w:r>
      <w:r w:rsidR="002E3B11" w:rsidRPr="008B650D">
        <w:t xml:space="preserve">представляет в случае необходимости Конвенцию и Протокол на соответствующих совещаниях и мероприятиях в целях поощрения и/или координации деятельности, включая, например, вклад в проведение мероприятия по устойчивой инфраструктуре в рамках девятой Конференции министров </w:t>
      </w:r>
      <w:r w:rsidR="00FB06AB" w:rsidRPr="008B650D">
        <w:t>«</w:t>
      </w:r>
      <w:r w:rsidR="002E3B11" w:rsidRPr="008B650D">
        <w:t>Окружающая среда для Европы</w:t>
      </w:r>
      <w:r w:rsidR="00FB06AB" w:rsidRPr="008B650D">
        <w:t>»</w:t>
      </w:r>
      <w:r w:rsidR="002E3B11" w:rsidRPr="008B650D">
        <w:t xml:space="preserve"> (Никосия, 3</w:t>
      </w:r>
      <w:r w:rsidR="001872DB">
        <w:t>–</w:t>
      </w:r>
      <w:r w:rsidR="002E3B11" w:rsidRPr="008B650D">
        <w:t>5 ноября 2021 года);</w:t>
      </w:r>
      <w:r w:rsidR="00BC086D" w:rsidRPr="008B650D">
        <w:t xml:space="preserve"> </w:t>
      </w:r>
    </w:p>
    <w:p w14:paraId="57B6CAED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8B650D">
        <w:t>d)</w:t>
      </w:r>
      <w:r w:rsidR="00BC086D" w:rsidRPr="008B650D">
        <w:tab/>
      </w:r>
      <w:r w:rsidR="002E3B11" w:rsidRPr="008B650D">
        <w:t>обеспечивает информационное освещение и беспрепятственный доступ к актуальной информации и документам на веб-сайте, посвященном договорам, включая онлайновые базы данных координаторов по административным вопросам и контактных пунктов для уведомления в соответствии с Конвенцией и Протоколом, а</w:t>
      </w:r>
      <w:r w:rsidR="00B36E56">
        <w:t> </w:t>
      </w:r>
      <w:r w:rsidR="002E3B11" w:rsidRPr="008B650D">
        <w:t xml:space="preserve">также онлайновые календари совещаний; </w:t>
      </w:r>
    </w:p>
    <w:p w14:paraId="1A93DA50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8B650D">
        <w:t>e)</w:t>
      </w:r>
      <w:r w:rsidR="00BC086D" w:rsidRPr="008B650D">
        <w:tab/>
      </w:r>
      <w:r w:rsidR="002E3B11" w:rsidRPr="008B650D">
        <w:t xml:space="preserve">занимается корреспонденцией и организацией брифингов для старшего руководства ЕЭК при подготовке к двусторонним и многосторонним совещаниям высокого уровня в регионе ЕЭК и за его пределами; </w:t>
      </w:r>
    </w:p>
    <w:p w14:paraId="352AFE56" w14:textId="77777777" w:rsidR="002E3B11" w:rsidRPr="002E3B11" w:rsidRDefault="008B650D" w:rsidP="008B650D">
      <w:pPr>
        <w:pStyle w:val="SingleTxtG"/>
      </w:pPr>
      <w:r>
        <w:tab/>
      </w:r>
      <w:r>
        <w:tab/>
      </w:r>
      <w:r w:rsidR="00BC086D" w:rsidRPr="008B650D">
        <w:t>f)</w:t>
      </w:r>
      <w:r w:rsidR="00BC086D" w:rsidRPr="008B650D">
        <w:tab/>
      </w:r>
      <w:r w:rsidR="002E3B11" w:rsidRPr="008B650D">
        <w:t>в случае необходимости занимается подготовкой пресс-релизов и других пропагандистских материалов</w:t>
      </w:r>
      <w:r w:rsidR="002E3B11" w:rsidRPr="002E3B11">
        <w:t>.</w:t>
      </w:r>
    </w:p>
    <w:p w14:paraId="4D6C09D3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секретариат, при необходимости</w:t>
      </w:r>
      <w:r w:rsidR="001872DB">
        <w:t xml:space="preserve">, </w:t>
      </w:r>
      <w:r w:rsidR="002E3B11" w:rsidRPr="002E3B11">
        <w:t>в консультации с договорными органами. Стороны информируют секретариат о любых изменениях, касающихся их координаторов/контактных пунктов.</w:t>
      </w:r>
    </w:p>
    <w:p w14:paraId="44C1C2A9" w14:textId="77777777" w:rsidR="002E3B11" w:rsidRPr="002E3B11" w:rsidRDefault="008B650D" w:rsidP="002E3B11">
      <w:pPr>
        <w:pStyle w:val="SingleTxtG"/>
      </w:pPr>
      <w:r>
        <w:rPr>
          <w:i/>
          <w:iCs/>
        </w:rPr>
        <w:lastRenderedPageBreak/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>: сотрудники категории специалистов и вспомогательный персонал секретариата; средства на оплату путевых расходов сотрудников</w:t>
      </w:r>
      <w:r w:rsidR="00BC086D">
        <w:t xml:space="preserve"> </w:t>
      </w:r>
      <w:r w:rsidR="002E3B11" w:rsidRPr="002E3B11">
        <w:t>секретариата для участия в совещаниях, связанных с осуществлением плана работы, и, в случае необходимости, в совещаниях соответствующих внешних органов; и средства на подготовку рекламных материалов в случае необходимости.</w:t>
      </w:r>
    </w:p>
    <w:p w14:paraId="5855B385" w14:textId="77777777" w:rsidR="002E3B11" w:rsidRPr="002E3B11" w:rsidRDefault="002E3B11" w:rsidP="008B650D">
      <w:pPr>
        <w:pStyle w:val="H1G"/>
      </w:pPr>
      <w:r w:rsidRPr="002E3B11">
        <w:tab/>
        <w:t>C.</w:t>
      </w:r>
      <w:r w:rsidRPr="002E3B11">
        <w:tab/>
        <w:t>Общее управление программами</w:t>
      </w:r>
      <w:bookmarkStart w:id="17" w:name="_Hlk36021714"/>
      <w:bookmarkEnd w:id="17"/>
    </w:p>
    <w:p w14:paraId="6AD4E542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В рамках своих ключевых функций секретариат обеспечивает выполнение финансовых, кадровых и других общих задач, связанных с планированием программ и управлением, принятие административных мер и представляет отчетности, необходимой для функционирования договоров и их секретариата.</w:t>
      </w:r>
    </w:p>
    <w:p w14:paraId="046BFD0E" w14:textId="77777777" w:rsidR="002E3B11" w:rsidRPr="00BC086D" w:rsidRDefault="002E3B11" w:rsidP="002E3B11">
      <w:pPr>
        <w:pStyle w:val="SingleTxtG"/>
        <w:rPr>
          <w:i/>
        </w:rPr>
      </w:pPr>
      <w:r w:rsidRPr="002E3B11">
        <w:rPr>
          <w:i/>
        </w:rPr>
        <w:tab/>
      </w:r>
      <w:r w:rsidRPr="002E3B11">
        <w:rPr>
          <w:i/>
          <w:iCs/>
        </w:rPr>
        <w:t>Деятельность:</w:t>
      </w:r>
    </w:p>
    <w:p w14:paraId="3DD7C11A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2E3B11">
        <w:t>a)</w:t>
      </w:r>
      <w:r w:rsidR="00BC086D" w:rsidRPr="002E3B11">
        <w:tab/>
      </w:r>
      <w:r w:rsidR="002E3B11" w:rsidRPr="008B650D">
        <w:t>подготовка платежных требований в отношении взносов доноров в целевой фонд;</w:t>
      </w:r>
    </w:p>
    <w:p w14:paraId="1917D312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8B650D">
        <w:t>b)</w:t>
      </w:r>
      <w:r w:rsidR="00BC086D" w:rsidRPr="008B650D">
        <w:tab/>
      </w:r>
      <w:r w:rsidR="002E3B11" w:rsidRPr="008B650D">
        <w:t xml:space="preserve">подготовка и представление на утверждение Президиума ежегодных финансовых отчетов до их опубликования на веб-сайте; </w:t>
      </w:r>
    </w:p>
    <w:p w14:paraId="42091E19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8B650D">
        <w:t>c)</w:t>
      </w:r>
      <w:r w:rsidR="00BC086D" w:rsidRPr="008B650D">
        <w:tab/>
      </w:r>
      <w:r w:rsidR="002E3B11" w:rsidRPr="008B650D">
        <w:t>подготовка, по запросу и в порядке исключения, отдельных финансовых отчетов для индивидуальных доноров;</w:t>
      </w:r>
    </w:p>
    <w:p w14:paraId="72D486A3" w14:textId="77777777" w:rsidR="002E3B11" w:rsidRPr="008B650D" w:rsidRDefault="008B650D" w:rsidP="008B650D">
      <w:pPr>
        <w:pStyle w:val="SingleTxtG"/>
      </w:pPr>
      <w:bookmarkStart w:id="18" w:name="_Hlk36044123"/>
      <w:r>
        <w:tab/>
      </w:r>
      <w:r>
        <w:tab/>
      </w:r>
      <w:r w:rsidR="00BC086D" w:rsidRPr="008B650D">
        <w:t>d)</w:t>
      </w:r>
      <w:r w:rsidR="00BC086D" w:rsidRPr="008B650D">
        <w:tab/>
      </w:r>
      <w:r w:rsidR="002E3B11" w:rsidRPr="008B650D">
        <w:t xml:space="preserve">подготовка годовых и более долгосрочных смет расходов и бюджетных прогнозов в отношении совещаний, документов и публикаций для обработки администрацией Организации Объединенных Наций и соответствующими службами; </w:t>
      </w:r>
    </w:p>
    <w:bookmarkEnd w:id="18"/>
    <w:p w14:paraId="5E3E0816" w14:textId="77777777" w:rsidR="002E3B11" w:rsidRPr="008B650D" w:rsidRDefault="008B650D" w:rsidP="008B650D">
      <w:pPr>
        <w:pStyle w:val="SingleTxtG"/>
      </w:pPr>
      <w:r>
        <w:tab/>
      </w:r>
      <w:r>
        <w:tab/>
      </w:r>
      <w:r w:rsidR="00BC086D" w:rsidRPr="008B650D">
        <w:t>e)</w:t>
      </w:r>
      <w:r w:rsidR="00BC086D" w:rsidRPr="008B650D">
        <w:tab/>
      </w:r>
      <w:r w:rsidR="002E3B11" w:rsidRPr="008B650D">
        <w:t>подготовка докладов по основным и административным вопросам;</w:t>
      </w:r>
    </w:p>
    <w:p w14:paraId="0CC90AFD" w14:textId="77777777" w:rsidR="002E3B11" w:rsidRPr="002E3B11" w:rsidRDefault="008B650D" w:rsidP="008B650D">
      <w:pPr>
        <w:pStyle w:val="SingleTxtG"/>
      </w:pPr>
      <w:r>
        <w:tab/>
      </w:r>
      <w:r>
        <w:tab/>
      </w:r>
      <w:r w:rsidR="00BC086D" w:rsidRPr="008B650D">
        <w:t>f)</w:t>
      </w:r>
      <w:r w:rsidR="00BC086D" w:rsidRPr="008B650D">
        <w:tab/>
      </w:r>
      <w:r w:rsidR="002E3B11" w:rsidRPr="008B650D">
        <w:t>прием на работу</w:t>
      </w:r>
      <w:r w:rsidR="002E3B11" w:rsidRPr="002E3B11">
        <w:t>/наем персонала секретариата и консультантов.</w:t>
      </w:r>
    </w:p>
    <w:p w14:paraId="17B73AF8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секретариат.</w:t>
      </w:r>
    </w:p>
    <w:p w14:paraId="6B5DF244" w14:textId="77777777" w:rsidR="002E3B11" w:rsidRPr="002E3B11" w:rsidRDefault="002E3B11" w:rsidP="002E3B11">
      <w:pPr>
        <w:pStyle w:val="SingleTxtG"/>
      </w:pPr>
      <w:r w:rsidRPr="002E3B11">
        <w:tab/>
      </w:r>
      <w:r w:rsidRPr="002E3B11">
        <w:rPr>
          <w:i/>
          <w:iCs/>
        </w:rPr>
        <w:t>Потребности в ресурсах</w:t>
      </w:r>
      <w:r w:rsidRPr="002E3B11">
        <w:t>: сотрудники категории специалистов и вспомогательный персонал секретариата.</w:t>
      </w:r>
    </w:p>
    <w:p w14:paraId="0E24010F" w14:textId="77777777" w:rsidR="002E3B11" w:rsidRPr="002E3B11" w:rsidRDefault="002E3B11" w:rsidP="008B650D">
      <w:pPr>
        <w:pStyle w:val="HChG"/>
      </w:pPr>
      <w:r w:rsidRPr="002E3B11">
        <w:tab/>
        <w:t>II.</w:t>
      </w:r>
      <w:r w:rsidRPr="002E3B11">
        <w:tab/>
        <w:t>Соблюдение и осуществление Конвенции и Протокола</w:t>
      </w:r>
    </w:p>
    <w:p w14:paraId="164954B9" w14:textId="77777777" w:rsidR="002E3B11" w:rsidRPr="002E3B11" w:rsidRDefault="008B650D" w:rsidP="002E3B11">
      <w:pPr>
        <w:pStyle w:val="SingleTxtG"/>
      </w:pPr>
      <w:bookmarkStart w:id="19" w:name="_Hlk22918633"/>
      <w:r>
        <w:tab/>
      </w:r>
      <w:r>
        <w:tab/>
      </w:r>
      <w:r w:rsidR="002E3B11" w:rsidRPr="002E3B11">
        <w:t xml:space="preserve">Эта область работы направлена на содействие полному и эффективному осуществлению и соблюдению Конвенции и Протокола по следующим направлениям деятельности: </w:t>
      </w:r>
      <w:bookmarkStart w:id="20" w:name="_Hlk36021583"/>
      <w:bookmarkStart w:id="21" w:name="_Hlk36024451"/>
      <w:bookmarkEnd w:id="20"/>
      <w:bookmarkEnd w:id="21"/>
    </w:p>
    <w:p w14:paraId="1644007F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a)</w:t>
      </w:r>
      <w:r w:rsidR="002E3B11" w:rsidRPr="002E3B11">
        <w:tab/>
        <w:t xml:space="preserve">обзор соблюдения; </w:t>
      </w:r>
      <w:bookmarkStart w:id="22" w:name="_Hlk31733221"/>
      <w:bookmarkEnd w:id="22"/>
    </w:p>
    <w:p w14:paraId="49D3BFF5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b)</w:t>
      </w:r>
      <w:r w:rsidR="002E3B11" w:rsidRPr="002E3B11">
        <w:tab/>
        <w:t xml:space="preserve">представление отчетности и обзор осуществления; </w:t>
      </w:r>
    </w:p>
    <w:p w14:paraId="5B780034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c)</w:t>
      </w:r>
      <w:r w:rsidR="002E3B11" w:rsidRPr="002E3B11">
        <w:tab/>
        <w:t xml:space="preserve">предоставление правовой помощи по приведению законодательства Сторон в соответствие с Конвенцией и Протоколом; </w:t>
      </w:r>
      <w:bookmarkStart w:id="23" w:name="_Hlk36023108"/>
    </w:p>
    <w:bookmarkEnd w:id="23"/>
    <w:p w14:paraId="25ACC1CE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d)</w:t>
      </w:r>
      <w:r w:rsidR="002E3B11" w:rsidRPr="002E3B11">
        <w:tab/>
        <w:t xml:space="preserve">разработка руководства по осуществлению договоров. </w:t>
      </w:r>
      <w:bookmarkStart w:id="24" w:name="_Hlk31904098"/>
      <w:bookmarkEnd w:id="24"/>
    </w:p>
    <w:bookmarkEnd w:id="11"/>
    <w:bookmarkEnd w:id="19"/>
    <w:p w14:paraId="6F93B96D" w14:textId="77777777" w:rsidR="002E3B11" w:rsidRPr="002E3B11" w:rsidRDefault="002E3B11" w:rsidP="008B650D">
      <w:pPr>
        <w:pStyle w:val="H1G"/>
      </w:pPr>
      <w:r w:rsidRPr="002E3B11">
        <w:tab/>
      </w:r>
      <w:r w:rsidRPr="006D034F">
        <w:rPr>
          <w:b w:val="0"/>
          <w:sz w:val="20"/>
        </w:rPr>
        <w:t>[</w:t>
      </w:r>
      <w:r w:rsidRPr="002E3B11">
        <w:t>A.</w:t>
      </w:r>
      <w:r w:rsidRPr="002E3B11">
        <w:tab/>
        <w:t xml:space="preserve">Обзор соблюдения </w:t>
      </w:r>
    </w:p>
    <w:p w14:paraId="113D7047" w14:textId="77777777" w:rsidR="002E3B11" w:rsidRPr="002E3B11" w:rsidRDefault="008B650D" w:rsidP="002E3B11">
      <w:pPr>
        <w:pStyle w:val="SingleTxtG"/>
      </w:pPr>
      <w:bookmarkStart w:id="25" w:name="_Hlk31986613"/>
      <w:bookmarkStart w:id="26" w:name="_Hlk31975671"/>
      <w:bookmarkStart w:id="27" w:name="_Hlk31885742"/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Комитет по осуществлению при поддержке секретариата.</w:t>
      </w:r>
      <w:bookmarkEnd w:id="25"/>
      <w:bookmarkEnd w:id="26"/>
    </w:p>
    <w:p w14:paraId="7D0919FF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Метод работы</w:t>
      </w:r>
      <w:r w:rsidR="002E3B11" w:rsidRPr="002E3B11">
        <w:t xml:space="preserve">: Комитет проведет три ежегодных (всего девять) совещания в </w:t>
      </w:r>
      <w:r w:rsidR="00B36E56">
        <w:br/>
      </w:r>
      <w:r w:rsidR="002E3B11" w:rsidRPr="002E3B11">
        <w:t>2021</w:t>
      </w:r>
      <w:r w:rsidR="001872DB">
        <w:t>–</w:t>
      </w:r>
      <w:r w:rsidR="002E3B11" w:rsidRPr="002E3B11">
        <w:t xml:space="preserve">2023 годах, а в межсессионный период в случае необходимости будет работать по электронной почте и проводить виртуальные (например, через </w:t>
      </w:r>
      <w:r w:rsidR="00FB06AB">
        <w:t>«</w:t>
      </w:r>
      <w:r w:rsidR="002E3B11" w:rsidRPr="002E3B11">
        <w:t>Webex</w:t>
      </w:r>
      <w:r w:rsidR="00FB06AB">
        <w:t>»</w:t>
      </w:r>
      <w:r w:rsidR="002E3B11" w:rsidRPr="002E3B11">
        <w:t xml:space="preserve">) совещания или аудио-/видеоконференции. </w:t>
      </w:r>
    </w:p>
    <w:p w14:paraId="61375368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 xml:space="preserve">В рамках своих ключевых функций секретариат: организовывает совещания и обеспечивает их обслуживание; готовит, редактирует и переводит официальные повестки дня и доклады о работе совещаний; предоставляет поддержку кураторам и </w:t>
      </w:r>
      <w:r w:rsidR="002E3B11" w:rsidRPr="002E3B11">
        <w:lastRenderedPageBreak/>
        <w:t xml:space="preserve">сотрудникам в подготовке совещаний и последующей деятельности по их итогам; предоставляет членам Комитета неофициальные рабочие документы; ведет официальный веб-сайт; и оказывает помощь Председателю в распространении информации о проведенных Комитетом обсуждениях. </w:t>
      </w:r>
    </w:p>
    <w:p w14:paraId="22879BB8" w14:textId="77777777" w:rsidR="002E3B11" w:rsidRPr="002E3B11" w:rsidRDefault="008B650D" w:rsidP="002E3B11">
      <w:pPr>
        <w:pStyle w:val="SingleTxtG"/>
      </w:pPr>
      <w:bookmarkStart w:id="28" w:name="_Hlk31976317"/>
      <w:bookmarkStart w:id="29" w:name="_Hlk31966194"/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>: кадровое обеспечение секретариата, включая сотрудника категории специалистов для выполнения функций секретаря Комитета по осуществлению и вспомогательный персонал; покрытие путевых расходов имеющих на это право членов Комитета для участия в совещаниях.</w:t>
      </w:r>
      <w:bookmarkEnd w:id="27"/>
      <w:bookmarkEnd w:id="28"/>
      <w:bookmarkEnd w:id="29"/>
    </w:p>
    <w:p w14:paraId="476D9AA4" w14:textId="77777777" w:rsidR="002E3B11" w:rsidRPr="002E3B11" w:rsidRDefault="002E3B11" w:rsidP="008B650D">
      <w:pPr>
        <w:pStyle w:val="H23G"/>
      </w:pPr>
      <w:r w:rsidRPr="002E3B11">
        <w:tab/>
        <w:t>1.</w:t>
      </w:r>
      <w:r w:rsidRPr="002E3B11">
        <w:tab/>
        <w:t xml:space="preserve">Рассмотрение вопросов соблюдения </w:t>
      </w:r>
    </w:p>
    <w:p w14:paraId="52D25347" w14:textId="77777777" w:rsidR="002E3B11" w:rsidRPr="002E3B11" w:rsidRDefault="008B650D" w:rsidP="002E3B11">
      <w:pPr>
        <w:pStyle w:val="SingleTxtG"/>
      </w:pPr>
      <w:bookmarkStart w:id="30" w:name="_Hlk9242057"/>
      <w:r>
        <w:tab/>
      </w:r>
      <w:r>
        <w:tab/>
      </w:r>
      <w:r w:rsidR="002E3B11" w:rsidRPr="002E3B11">
        <w:t xml:space="preserve">Комитет по осуществлению рассматривает представленные материалы по вопросам соблюдения, инициативы Комитета, информацию из других источников и любые общие и конкретные вопросы соблюдения, возникающие в связи с обзорами осуществления. </w:t>
      </w:r>
    </w:p>
    <w:p w14:paraId="69D1B27E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 xml:space="preserve">В случае необходимости Комитет представит проекты решений с выводами и рекомендациями в отношении соблюдения Сторонами Конвенции и Протокола своих обязательств по ним Совещаниям Сторон Конвенции и Протокола на их девятой и пятой сессиях соответственно. </w:t>
      </w:r>
      <w:bookmarkEnd w:id="30"/>
    </w:p>
    <w:p w14:paraId="2CB9749A" w14:textId="77777777" w:rsidR="002E3B11" w:rsidRPr="008B650D" w:rsidRDefault="002E3B11" w:rsidP="008B650D">
      <w:pPr>
        <w:pStyle w:val="H23G"/>
      </w:pPr>
      <w:r w:rsidRPr="008B650D">
        <w:tab/>
        <w:t>2.</w:t>
      </w:r>
      <w:r w:rsidRPr="008B650D">
        <w:tab/>
        <w:t>Рассмотрение итогов шестого обзора осуществления Конвенции и третьего обзора осуществления Протокола</w:t>
      </w:r>
    </w:p>
    <w:p w14:paraId="61BAEFD7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Комитет рассмотрит итоги шестого и третьего обзоров осуществления Конвенции и Протокола соответственно при поддержке секретариата к концу 2021</w:t>
      </w:r>
      <w:r>
        <w:t> </w:t>
      </w:r>
      <w:r w:rsidR="002E3B11" w:rsidRPr="002E3B11">
        <w:t>года для выявления возможных общих и конкретных вопросов соблюдения в период 2021</w:t>
      </w:r>
      <w:r>
        <w:t>–</w:t>
      </w:r>
      <w:r w:rsidR="002E3B11" w:rsidRPr="002E3B11">
        <w:t>2023 годов.</w:t>
      </w:r>
    </w:p>
    <w:p w14:paraId="5B8FF846" w14:textId="77777777" w:rsidR="002E3B11" w:rsidRPr="002E3B11" w:rsidRDefault="002E3B11" w:rsidP="008B650D">
      <w:pPr>
        <w:pStyle w:val="H23G"/>
      </w:pPr>
      <w:r w:rsidRPr="002E3B11">
        <w:tab/>
        <w:t>3.</w:t>
      </w:r>
      <w:r w:rsidRPr="002E3B11">
        <w:tab/>
        <w:t>Обзор и пересмотр структуры, функций и рабочих правил Комитета в случае необходимости</w:t>
      </w:r>
    </w:p>
    <w:p w14:paraId="3D348838" w14:textId="77777777" w:rsidR="002E3B11" w:rsidRPr="002E3B11" w:rsidRDefault="008B650D" w:rsidP="002E3B11">
      <w:pPr>
        <w:pStyle w:val="SingleTxtG"/>
      </w:pPr>
      <w:bookmarkStart w:id="31" w:name="_Hlk9245724"/>
      <w:r>
        <w:tab/>
      </w:r>
      <w:r>
        <w:tab/>
      </w:r>
      <w:r w:rsidR="002E3B11" w:rsidRPr="002E3B11">
        <w:t xml:space="preserve">Комитет рассмотрит правила, регулирующие его методы работы, в свете своего опыта и в случае необходимости представит предложения о возможных поправках Совещаниям Сторон Конвенции и Протокола к ней на их следующих сессиях. </w:t>
      </w:r>
    </w:p>
    <w:p w14:paraId="235AB0AD" w14:textId="77777777" w:rsidR="002E3B11" w:rsidRPr="002E3B11" w:rsidRDefault="002E3B11" w:rsidP="008B650D">
      <w:pPr>
        <w:pStyle w:val="H23G"/>
      </w:pPr>
      <w:r w:rsidRPr="002E3B11">
        <w:tab/>
        <w:t>4.</w:t>
      </w:r>
      <w:r w:rsidRPr="002E3B11">
        <w:tab/>
        <w:t xml:space="preserve">Доклад о деятельности Комитета </w:t>
      </w:r>
    </w:p>
    <w:p w14:paraId="693898A3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Комитет представит доклад о своей деятельности следующим сессиям Совещаний Сторон, которые предварительно назначены на 2023 год, в виде официального документа. В промежуточный период Комитет будет регулярно представлять обновленную информацию о своей работе Президиуму и Рабочей группе.</w:t>
      </w:r>
    </w:p>
    <w:p w14:paraId="3B44A378" w14:textId="77777777" w:rsidR="002E3B11" w:rsidRPr="002E3B11" w:rsidRDefault="002E3B11" w:rsidP="008B650D">
      <w:pPr>
        <w:pStyle w:val="H23G"/>
      </w:pPr>
      <w:bookmarkStart w:id="32" w:name="_Hlk9248839"/>
      <w:bookmarkEnd w:id="31"/>
      <w:r w:rsidRPr="002E3B11">
        <w:tab/>
        <w:t>5.</w:t>
      </w:r>
      <w:r w:rsidRPr="002E3B11">
        <w:tab/>
        <w:t>Сбор выводов и мнений Комитета в отношении Конвенции и Протокола</w:t>
      </w:r>
    </w:p>
    <w:p w14:paraId="53400EE8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Секретариат отвечает за сбор новых выводов и мнений Комитета и их размещение в режиме онлайн в качестве неофициальных публикаций на ежегодной основе.</w:t>
      </w:r>
    </w:p>
    <w:p w14:paraId="5B88ABBA" w14:textId="77777777" w:rsidR="002E3B11" w:rsidRPr="002E3B11" w:rsidRDefault="002E3B11" w:rsidP="008B650D">
      <w:pPr>
        <w:pStyle w:val="H23G"/>
      </w:pPr>
      <w:r w:rsidRPr="002E3B11">
        <w:tab/>
        <w:t>6.</w:t>
      </w:r>
      <w:r w:rsidRPr="002E3B11">
        <w:tab/>
        <w:t>Изучение возможностей взаимодействия с другими соответствующими форумами</w:t>
      </w:r>
    </w:p>
    <w:p w14:paraId="2530E96C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Комитет изучит возможности для взаимодействия с другими соответствующими форумами по вопросам соблюдения, в том числе путем участия в неофициальных совещаниях председателей органов по осуществлению в рамках других многосторонних договоров ЕЭК.</w:t>
      </w:r>
    </w:p>
    <w:p w14:paraId="60778875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 xml:space="preserve">Дополнительные потребности в ресурсах: </w:t>
      </w:r>
      <w:r w:rsidR="002E3B11" w:rsidRPr="002E3B11">
        <w:t>покрытие путевых расходов Председателя в случае необходимости].</w:t>
      </w:r>
    </w:p>
    <w:p w14:paraId="64BAE17E" w14:textId="77777777" w:rsidR="002E3B11" w:rsidRPr="002E3B11" w:rsidRDefault="002E3B11" w:rsidP="008B650D">
      <w:pPr>
        <w:pStyle w:val="H1G"/>
      </w:pPr>
      <w:r w:rsidRPr="002E3B11">
        <w:lastRenderedPageBreak/>
        <w:tab/>
      </w:r>
      <w:r w:rsidRPr="006D034F">
        <w:rPr>
          <w:b w:val="0"/>
          <w:sz w:val="20"/>
        </w:rPr>
        <w:t>[</w:t>
      </w:r>
      <w:r w:rsidRPr="002E3B11">
        <w:t>B.</w:t>
      </w:r>
      <w:r w:rsidRPr="002E3B11">
        <w:tab/>
        <w:t>Представление отчетности и обзор осуществления</w:t>
      </w:r>
    </w:p>
    <w:p w14:paraId="70699BAD" w14:textId="77777777" w:rsidR="002E3B11" w:rsidRPr="002E3B11" w:rsidRDefault="008B650D" w:rsidP="002E3B11">
      <w:pPr>
        <w:pStyle w:val="SingleTxtG"/>
      </w:pPr>
      <w:bookmarkStart w:id="33" w:name="_Hlk31892693"/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Стороны, Комитет по осуществлению и секретариат.</w:t>
      </w:r>
    </w:p>
    <w:bookmarkEnd w:id="32"/>
    <w:bookmarkEnd w:id="33"/>
    <w:p w14:paraId="1E86342F" w14:textId="77777777" w:rsidR="002E3B11" w:rsidRPr="002E3B11" w:rsidRDefault="002E3B11" w:rsidP="008B650D">
      <w:pPr>
        <w:pStyle w:val="H23G"/>
      </w:pPr>
      <w:r w:rsidRPr="002E3B11">
        <w:tab/>
        <w:t>1.</w:t>
      </w:r>
      <w:r w:rsidRPr="002E3B11">
        <w:tab/>
        <w:t>Обновление вопросников для подготовки докладов об осуществлении Конвенции и Протокола в 2019</w:t>
      </w:r>
      <w:r w:rsidR="008B650D">
        <w:t>–</w:t>
      </w:r>
      <w:r w:rsidRPr="002E3B11">
        <w:t>2021 годах</w:t>
      </w:r>
    </w:p>
    <w:p w14:paraId="1D8CBE20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Цель</w:t>
      </w:r>
      <w:r w:rsidR="002E3B11" w:rsidRPr="002E3B11">
        <w:t xml:space="preserve">: повышение качества информации, получаемой из вопросников для подготовки докладов об осуществлении Конвенции и Протокола Сторонами, в отношении достигнутого прогресса и сохраняющихся проблем. Содействие повышению информативности обзоров осуществления для Комитета по осуществлению в том, что касается потенциального несоблюдения, и их превращение в инструменты для сбора и распространения информации о надлежащей практике. </w:t>
      </w:r>
    </w:p>
    <w:p w14:paraId="3B669D4E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 xml:space="preserve">: Комитет по осуществлению: обновит опросники в первой половине 2021 года с учетом замечаний Сторон и секретариата; представит проекты на утверждение Рабочей группе по оценке воздействия на окружающую среду и стратегической экологической оценке на ее совещании в 2021 году; и доработает их на основе замечаний Рабочей группы перед распространением. </w:t>
      </w:r>
    </w:p>
    <w:p w14:paraId="6AAD7E58" w14:textId="77777777" w:rsidR="002E3B11" w:rsidRPr="002E3B11" w:rsidRDefault="002E3B11" w:rsidP="008B650D">
      <w:pPr>
        <w:pStyle w:val="H23G"/>
      </w:pPr>
      <w:r w:rsidRPr="002E3B11">
        <w:tab/>
        <w:t>2.</w:t>
      </w:r>
      <w:r w:rsidRPr="002E3B11">
        <w:tab/>
        <w:t>Распространение вопросников для подготовки докладов об осуществлении Конвенции и Протокола в 2019−2021 годах</w:t>
      </w:r>
    </w:p>
    <w:p w14:paraId="1CD4DAF9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Секретариат распространит вопросники среди Сторон к концу декабря 2021</w:t>
      </w:r>
      <w:r w:rsidR="001872DB">
        <w:t> </w:t>
      </w:r>
      <w:r w:rsidR="002E3B11" w:rsidRPr="002E3B11">
        <w:t>года для получения ответов к концу апреля 2022 года.</w:t>
      </w:r>
    </w:p>
    <w:p w14:paraId="2CE1569A" w14:textId="77777777" w:rsidR="002E3B11" w:rsidRPr="002E3B11" w:rsidRDefault="002E3B11" w:rsidP="008B650D">
      <w:pPr>
        <w:pStyle w:val="H23G"/>
      </w:pPr>
      <w:r w:rsidRPr="002E3B11">
        <w:tab/>
        <w:t>3.</w:t>
      </w:r>
      <w:r w:rsidRPr="002E3B11">
        <w:tab/>
        <w:t>Подготовка проекта обзоров осуществления Конвенции и Протокола</w:t>
      </w:r>
    </w:p>
    <w:p w14:paraId="5BC42B1C" w14:textId="77777777" w:rsidR="002E3B11" w:rsidRPr="002E3B11" w:rsidRDefault="008B650D" w:rsidP="002E3B11">
      <w:pPr>
        <w:pStyle w:val="SingleTxtG"/>
      </w:pPr>
      <w:bookmarkStart w:id="34" w:name="_Hlk9254866"/>
      <w:r>
        <w:tab/>
      </w:r>
      <w:r>
        <w:tab/>
      </w:r>
      <w:r w:rsidR="002E3B11" w:rsidRPr="002E3B11">
        <w:t>Секретариат при поддержке консультантов подготовит проекты обзоров, обобщающие итоги осуществления Сторонами Конвенции и Протокола, для представления Комитету по осуществлению и Рабочей группе в 2022 году и Совещаниям Сторон на их следующих сессиях в 2023 году. После утверждения обзоров секретариат опубликует их в электронном виде на английском, русском и французском языках.</w:t>
      </w:r>
      <w:bookmarkStart w:id="35" w:name="_Hlk34063511"/>
      <w:bookmarkEnd w:id="34"/>
    </w:p>
    <w:bookmarkEnd w:id="35"/>
    <w:p w14:paraId="0FB6B0DC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>: 25 000 долл. США на услуги консультантов и перевод национальных докладов].</w:t>
      </w:r>
      <w:bookmarkStart w:id="36" w:name="_Hlk23263461"/>
      <w:bookmarkEnd w:id="36"/>
    </w:p>
    <w:p w14:paraId="6EAB99AC" w14:textId="77777777" w:rsidR="002E3B11" w:rsidRPr="002E3B11" w:rsidRDefault="002E3B11" w:rsidP="008B650D">
      <w:pPr>
        <w:pStyle w:val="H1G"/>
      </w:pPr>
      <w:bookmarkStart w:id="37" w:name="_Hlk32240404"/>
      <w:r w:rsidRPr="002E3B11">
        <w:tab/>
        <w:t>C.</w:t>
      </w:r>
      <w:r w:rsidRPr="002E3B11">
        <w:tab/>
        <w:t>Предоставление правовой помощи по приведению законодательства Сторон в соответствие с Конвенцией и</w:t>
      </w:r>
      <w:r w:rsidR="008B650D">
        <w:t> </w:t>
      </w:r>
      <w:r w:rsidRPr="002E3B11">
        <w:t>Протоколом</w:t>
      </w:r>
    </w:p>
    <w:p w14:paraId="48334CB3" w14:textId="77777777" w:rsidR="002E3B11" w:rsidRPr="002E3B11" w:rsidRDefault="008B650D" w:rsidP="002E3B11">
      <w:pPr>
        <w:pStyle w:val="SingleTxtG"/>
      </w:pPr>
      <w:bookmarkStart w:id="38" w:name="_Hlk31906570"/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секретариат при поддержке консультантов предоставит правовую помощь странам-бенефициарам по их просьбе и/или в соответствии с рекомендациями Комитета по осуществлению и в сотрудничестве с этими странами, а также в случае необходимости в консультации с Комитетом по осуществлению, Президиумом и/или Рабочей группой. Соответствующие виды деятельности будут осуществляться в пределах имеющегося финансирования.</w:t>
      </w:r>
      <w:bookmarkEnd w:id="38"/>
    </w:p>
    <w:p w14:paraId="73125A8C" w14:textId="77777777" w:rsidR="002E3B11" w:rsidRPr="002E3B11" w:rsidRDefault="002E3B11" w:rsidP="008B650D">
      <w:pPr>
        <w:pStyle w:val="H23G"/>
      </w:pPr>
      <w:r w:rsidRPr="002E3B11">
        <w:tab/>
        <w:t>1.</w:t>
      </w:r>
      <w:r w:rsidRPr="002E3B11">
        <w:tab/>
        <w:t>Помощь в разработке законодательных актов</w:t>
      </w:r>
    </w:p>
    <w:p w14:paraId="22289FCD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 xml:space="preserve">Предоставление помощи в разработке подзаконных актов для осуществления Протокола и внесении изменений в первичное законодательство и подзаконные акты для осуществления Конвенции и Протокола. </w:t>
      </w:r>
    </w:p>
    <w:p w14:paraId="0B874787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Запланирована на 2021 и 2022 годы в отношении следующих стран:</w:t>
      </w:r>
    </w:p>
    <w:p w14:paraId="5FCFC787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a)</w:t>
      </w:r>
      <w:r w:rsidR="002E3B11" w:rsidRPr="002E3B11">
        <w:tab/>
        <w:t>Беларуси (внесение поправок в первичное законодательство и подзаконные акты);</w:t>
      </w:r>
      <w:bookmarkStart w:id="39" w:name="_Hlk9273096"/>
      <w:bookmarkStart w:id="40" w:name="_Hlk21509821"/>
    </w:p>
    <w:p w14:paraId="41267CCE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b)</w:t>
      </w:r>
      <w:r w:rsidR="002E3B11" w:rsidRPr="002E3B11">
        <w:tab/>
        <w:t>Республик</w:t>
      </w:r>
      <w:r w:rsidR="006D034F">
        <w:t>е</w:t>
      </w:r>
      <w:r w:rsidR="002E3B11" w:rsidRPr="002E3B11">
        <w:t xml:space="preserve"> Молдова (разработка подзаконных актов).</w:t>
      </w:r>
    </w:p>
    <w:p w14:paraId="7C8EC0DA" w14:textId="77777777" w:rsidR="002E3B11" w:rsidRPr="002E3B11" w:rsidRDefault="008B650D" w:rsidP="002E3B11">
      <w:pPr>
        <w:pStyle w:val="SingleTxtG"/>
      </w:pPr>
      <w:bookmarkStart w:id="41" w:name="_Hlk31903569"/>
      <w:r>
        <w:rPr>
          <w:i/>
          <w:iCs/>
        </w:rPr>
        <w:lastRenderedPageBreak/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финансирование из средств программы </w:t>
      </w:r>
      <w:r w:rsidR="00FB06AB" w:rsidRPr="001E15DA">
        <w:t>«</w:t>
      </w:r>
      <w:r w:rsidR="002E3B11" w:rsidRPr="001E15DA">
        <w:t>EU4Environment</w:t>
      </w:r>
      <w:r w:rsidR="00FB06AB" w:rsidRPr="001E15DA">
        <w:t>»</w:t>
      </w:r>
      <w:r w:rsidR="002E3B11" w:rsidRPr="002E3B11">
        <w:t xml:space="preserve"> для покрытия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</w:t>
      </w:r>
    </w:p>
    <w:bookmarkEnd w:id="39"/>
    <w:bookmarkEnd w:id="40"/>
    <w:bookmarkEnd w:id="41"/>
    <w:p w14:paraId="0B89591E" w14:textId="77777777" w:rsidR="002E3B11" w:rsidRPr="002E3B11" w:rsidRDefault="002E3B11" w:rsidP="008B650D">
      <w:pPr>
        <w:pStyle w:val="H23G"/>
      </w:pPr>
      <w:r w:rsidRPr="002E3B11">
        <w:tab/>
        <w:t>2.</w:t>
      </w:r>
      <w:r w:rsidRPr="002E3B11">
        <w:tab/>
        <w:t>Проведение мероприятий по повышению уровня информированности для</w:t>
      </w:r>
      <w:r w:rsidR="008B650D">
        <w:t> </w:t>
      </w:r>
      <w:r w:rsidRPr="002E3B11">
        <w:t>содействия принятию законодательства</w:t>
      </w:r>
    </w:p>
    <w:p w14:paraId="2F2C995C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Организация мероприятия</w:t>
      </w:r>
      <w:r w:rsidR="002E3B11" w:rsidRPr="002E3B11">
        <w:rPr>
          <w:bCs/>
        </w:rPr>
        <w:t xml:space="preserve"> по повышению уровня информированности </w:t>
      </w:r>
      <w:r w:rsidR="002E3B11" w:rsidRPr="002E3B11">
        <w:t>для парламентариев и/или директивных органов в поддержку принятия поправок к первичному законодательству и подзаконным актам для осуществления Конвенции и Протокола.</w:t>
      </w:r>
    </w:p>
    <w:p w14:paraId="5D042082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Проведение мероприятия в Беларуси запланировано на 2021 и/или 2022 год(ы) (требует подтверждения).</w:t>
      </w:r>
    </w:p>
    <w:p w14:paraId="025FFD03" w14:textId="77777777" w:rsidR="002E3B11" w:rsidRPr="002E3B11" w:rsidRDefault="008B650D" w:rsidP="002E3B11">
      <w:pPr>
        <w:pStyle w:val="SingleTxtG"/>
      </w:pPr>
      <w:bookmarkStart w:id="42" w:name="_Hlk31990199"/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финансирование из средств программы </w:t>
      </w:r>
      <w:r w:rsidR="00FB06AB">
        <w:t>«</w:t>
      </w:r>
      <w:r w:rsidR="002E3B11" w:rsidRPr="002E3B11">
        <w:t>EU4Environment</w:t>
      </w:r>
      <w:r w:rsidR="00FB06AB">
        <w:t>»</w:t>
      </w:r>
      <w:r w:rsidR="002E3B11" w:rsidRPr="002E3B11">
        <w:t xml:space="preserve"> для покрытия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</w:t>
      </w:r>
    </w:p>
    <w:bookmarkEnd w:id="37"/>
    <w:bookmarkEnd w:id="42"/>
    <w:p w14:paraId="377A1124" w14:textId="77777777" w:rsidR="002E3B11" w:rsidRPr="002E3B11" w:rsidRDefault="002E3B11" w:rsidP="008B650D">
      <w:pPr>
        <w:pStyle w:val="H1G"/>
      </w:pPr>
      <w:r w:rsidRPr="002E3B11">
        <w:tab/>
      </w:r>
      <w:r w:rsidRPr="006D034F">
        <w:rPr>
          <w:b w:val="0"/>
          <w:sz w:val="20"/>
        </w:rPr>
        <w:t>[</w:t>
      </w:r>
      <w:r w:rsidRPr="002E3B11">
        <w:t>D.</w:t>
      </w:r>
      <w:r w:rsidRPr="002E3B11">
        <w:tab/>
        <w:t>Разработка руководства по осуществлению договоров</w:t>
      </w:r>
    </w:p>
    <w:p w14:paraId="60F05CA2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орган(ы):</w:t>
      </w:r>
      <w:r w:rsidR="002E3B11" w:rsidRPr="002E3B11">
        <w:t xml:space="preserve"> секретариат, возможно совместно с ведущими странами/организациями, выступающими в роли добровольцев, при поддержке консультантов, в консультации с Президиумом и Рабочей группой и, в случае необходимости, при поддержке специальной редакционной группы/целевой группы и в координации с соответствующими договорами/организациями. Возможно проведение обследования с участием Сторон (и заинтересованных субъектов). После утверждения и по мере возможности секретариат опубликует руководство на английском, русском и французском языках.</w:t>
      </w:r>
    </w:p>
    <w:p w14:paraId="001E996F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>: ресурсы секретариата и финансирование консультантов в размере примерно 10</w:t>
      </w:r>
      <w:r>
        <w:t> </w:t>
      </w:r>
      <w:r w:rsidR="002E3B11" w:rsidRPr="002E3B11">
        <w:t>000</w:t>
      </w:r>
      <w:r>
        <w:t>–</w:t>
      </w:r>
      <w:r w:rsidR="002E3B11" w:rsidRPr="002E3B11">
        <w:t>15 000 долл. США на каждый документ для обновления и 15</w:t>
      </w:r>
      <w:r>
        <w:t> </w:t>
      </w:r>
      <w:r w:rsidR="002E3B11" w:rsidRPr="002E3B11">
        <w:t>000</w:t>
      </w:r>
      <w:r>
        <w:t>–</w:t>
      </w:r>
      <w:r w:rsidR="002E3B11" w:rsidRPr="002E3B11">
        <w:t>25 000 долл. США на каждый документ для разработки нового руководства.</w:t>
      </w:r>
    </w:p>
    <w:p w14:paraId="30F0DDFD" w14:textId="77777777" w:rsidR="002E3B11" w:rsidRPr="002E3B11" w:rsidRDefault="002E3B11" w:rsidP="008B650D">
      <w:pPr>
        <w:pStyle w:val="H23G"/>
      </w:pPr>
      <w:r w:rsidRPr="002E3B11">
        <w:tab/>
        <w:t>1.</w:t>
      </w:r>
      <w:r w:rsidRPr="002E3B11">
        <w:tab/>
        <w:t xml:space="preserve">Обновление имеющихся руководящих документов </w:t>
      </w:r>
    </w:p>
    <w:p w14:paraId="23810243" w14:textId="77777777" w:rsidR="002E3B11" w:rsidRPr="002E3B11" w:rsidRDefault="006D034F" w:rsidP="002E3B11">
      <w:pPr>
        <w:pStyle w:val="SingleTxtG"/>
      </w:pPr>
      <w:r>
        <w:tab/>
      </w:r>
      <w:r>
        <w:tab/>
      </w:r>
      <w:r w:rsidR="002E3B11" w:rsidRPr="002E3B11">
        <w:t>Обновление соответствующих частей ранее подготовленных руководящих документов по применению Конвенции и/или Протокола, в том числе:</w:t>
      </w:r>
    </w:p>
    <w:p w14:paraId="274093EA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a)</w:t>
      </w:r>
      <w:r w:rsidR="002E3B11" w:rsidRPr="002E3B11">
        <w:tab/>
        <w:t xml:space="preserve">публикации </w:t>
      </w:r>
      <w:r w:rsidR="00FB06AB">
        <w:t>«</w:t>
      </w:r>
      <w:r w:rsidR="002E3B11" w:rsidRPr="002E3B11">
        <w:t>Руководство по участию общественности в оценке воздействия на окружающую среду в трансграничном контексте</w:t>
      </w:r>
      <w:r w:rsidR="00FB06AB">
        <w:t>»</w:t>
      </w:r>
      <w:r w:rsidR="002E3B11" w:rsidRPr="00BC086D">
        <w:rPr>
          <w:rStyle w:val="FootnoteReference"/>
        </w:rPr>
        <w:footnoteReference w:id="3"/>
      </w:r>
      <w:r w:rsidR="002E3B11" w:rsidRPr="002E3B11">
        <w:t xml:space="preserve"> в сотрудничестве с Конвенцией ЕЭК о доступе к информации, участии общественности в процессе принятия решений и доступе к правосудию по вопросам, касающимся окружающей среды;</w:t>
      </w:r>
    </w:p>
    <w:p w14:paraId="73774E19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[b)…].</w:t>
      </w:r>
    </w:p>
    <w:p w14:paraId="42FC09F8" w14:textId="77777777" w:rsidR="002E3B11" w:rsidRPr="002E3B11" w:rsidRDefault="002E3B11" w:rsidP="008B650D">
      <w:pPr>
        <w:pStyle w:val="H23G"/>
      </w:pPr>
      <w:r w:rsidRPr="002E3B11">
        <w:tab/>
        <w:t>2.</w:t>
      </w:r>
      <w:r w:rsidRPr="002E3B11">
        <w:tab/>
        <w:t xml:space="preserve">Разработка руководящих указаний </w:t>
      </w:r>
    </w:p>
    <w:p w14:paraId="5A1756B8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Разработка руководящих указаний по одной [или нескольким] из следующих тем:</w:t>
      </w:r>
    </w:p>
    <w:p w14:paraId="4C66B2B3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a)</w:t>
      </w:r>
      <w:r w:rsidR="002E3B11" w:rsidRPr="002E3B11">
        <w:tab/>
        <w:t>трансграничные консультации [в соответствии с Протоколом];</w:t>
      </w:r>
    </w:p>
    <w:p w14:paraId="1AE25F69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b)</w:t>
      </w:r>
      <w:r w:rsidR="002E3B11" w:rsidRPr="002E3B11">
        <w:tab/>
        <w:t>глобальное применение договоров;</w:t>
      </w:r>
    </w:p>
    <w:p w14:paraId="79730593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c)</w:t>
      </w:r>
      <w:r w:rsidR="002E3B11" w:rsidRPr="002E3B11">
        <w:tab/>
        <w:t>практическое достижение Целей в области устойчивого развития;</w:t>
      </w:r>
    </w:p>
    <w:p w14:paraId="4CA9CEB7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d)</w:t>
      </w:r>
      <w:r w:rsidR="002E3B11" w:rsidRPr="002E3B11">
        <w:tab/>
        <w:t xml:space="preserve">использование научных данных и инструментов, имеющихся в рамках Конвенции ЕЭК о трансграничном загрязнении воздуха на большие расстояния, для </w:t>
      </w:r>
      <w:r w:rsidR="002E3B11" w:rsidRPr="002E3B11">
        <w:lastRenderedPageBreak/>
        <w:t>определения вероятности и значимости трансграничного экологического воздействия выбросов от сжигания угля и деятельности, связанной с добычей бурого угля. (В</w:t>
      </w:r>
      <w:r w:rsidR="001872DB">
        <w:t> </w:t>
      </w:r>
      <w:r w:rsidR="002E3B11" w:rsidRPr="002E3B11">
        <w:t>качестве последующей меры в связи с параллельным мероприятием, состоявшимся 6 февраля 2019 года в ходе промежуточных сессий Совещаний Сторон. Руководящие указания будут подготовлены при поддержке консультантов и совместной специальной рабочей группы Сторон Конвенции совместно с Целевой группой по разработке моделей для комплексной оценки в рамках Конвенции о трансграничном загрязнении воздуха на большие расстояния. Расходы на проведение совещаний покрываются в виде взносов в натуральной форме)].</w:t>
      </w:r>
    </w:p>
    <w:p w14:paraId="296C1521" w14:textId="77777777" w:rsidR="002E3B11" w:rsidRPr="002E3B11" w:rsidRDefault="002E3B11" w:rsidP="008B650D">
      <w:pPr>
        <w:pStyle w:val="HChG"/>
      </w:pPr>
      <w:bookmarkStart w:id="43" w:name="_Hlk9273754"/>
      <w:r w:rsidRPr="002E3B11">
        <w:tab/>
        <w:t>III.</w:t>
      </w:r>
      <w:r w:rsidRPr="002E3B11">
        <w:tab/>
        <w:t xml:space="preserve">Субрегиональное сотрудничество и наращивание потенциала </w:t>
      </w:r>
    </w:p>
    <w:bookmarkEnd w:id="43"/>
    <w:p w14:paraId="327353E1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Эта область работы преследует следующие цели в различных субрегионах ЕЭК:</w:t>
      </w:r>
      <w:r w:rsidR="00BC086D">
        <w:t xml:space="preserve"> </w:t>
      </w:r>
    </w:p>
    <w:p w14:paraId="0D659DC2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a)</w:t>
      </w:r>
      <w:r w:rsidR="002E3B11" w:rsidRPr="002E3B11">
        <w:tab/>
        <w:t xml:space="preserve">содействие общему пониманию и более эффективному осуществлению Конвенции и Протокола к ней в субрегионах ЕЭК; </w:t>
      </w:r>
    </w:p>
    <w:p w14:paraId="0E61C5BD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b)</w:t>
      </w:r>
      <w:r w:rsidR="002E3B11" w:rsidRPr="002E3B11">
        <w:tab/>
        <w:t xml:space="preserve">поощрение сотрудничества между Сторонами внутри субрегионов и между ними и укрепление контактов с государствами и субрегионами за пределами региона ЕЭК; </w:t>
      </w:r>
    </w:p>
    <w:p w14:paraId="57EBA838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c)</w:t>
      </w:r>
      <w:r w:rsidR="002E3B11" w:rsidRPr="002E3B11">
        <w:tab/>
        <w:t xml:space="preserve">повышение профессиональных навыков на всех уровнях государственного управления и осведомленности общественности, включая неправительственные организации (НПО), о стратегической экологической оценке, оценке воздействия на окружающую среду в трансграничном контексте и применении Конвенции и Протокола к ней; </w:t>
      </w:r>
    </w:p>
    <w:p w14:paraId="06A14DE7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d)</w:t>
      </w:r>
      <w:r w:rsidR="002E3B11" w:rsidRPr="002E3B11">
        <w:tab/>
        <w:t xml:space="preserve">внесение вклада в расширение сотрудничества и взаимодействия с соответствующими многосторонними природоохранными соглашениями, другими международными документами и организациями; </w:t>
      </w:r>
    </w:p>
    <w:p w14:paraId="75365D6C" w14:textId="77777777" w:rsidR="002E3B11" w:rsidRPr="002E3B11" w:rsidRDefault="008B650D" w:rsidP="002E3B11">
      <w:pPr>
        <w:pStyle w:val="SingleTxtG"/>
      </w:pPr>
      <w:r>
        <w:tab/>
      </w:r>
      <w:r>
        <w:tab/>
      </w:r>
      <w:r w:rsidR="002E3B11" w:rsidRPr="002E3B11">
        <w:t>e)</w:t>
      </w:r>
      <w:r w:rsidR="002E3B11" w:rsidRPr="002E3B11">
        <w:tab/>
        <w:t>содействие более широкому применению Конвенции и Протокола в регионе ЕЭК и за его пределами.</w:t>
      </w:r>
    </w:p>
    <w:p w14:paraId="41AAF584" w14:textId="77777777" w:rsidR="002E3B11" w:rsidRPr="002E3B11" w:rsidRDefault="002E3B11" w:rsidP="008B650D">
      <w:pPr>
        <w:pStyle w:val="H1G"/>
      </w:pPr>
      <w:r w:rsidRPr="002E3B11">
        <w:tab/>
      </w:r>
      <w:r w:rsidRPr="006D034F">
        <w:rPr>
          <w:b w:val="0"/>
          <w:sz w:val="20"/>
        </w:rPr>
        <w:t>[</w:t>
      </w:r>
      <w:r w:rsidRPr="002E3B11">
        <w:t>A.</w:t>
      </w:r>
      <w:r w:rsidRPr="002E3B11">
        <w:tab/>
        <w:t>Субрегион Балтийского моря</w:t>
      </w:r>
    </w:p>
    <w:p w14:paraId="56999767" w14:textId="77777777" w:rsidR="002E3B11" w:rsidRPr="002E3B11" w:rsidRDefault="008B650D" w:rsidP="002E3B11">
      <w:pPr>
        <w:pStyle w:val="SingleTxtG"/>
      </w:pPr>
      <w:bookmarkStart w:id="44" w:name="_Hlk9274129"/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 xml:space="preserve">: организация до трех субрегиональных семинаров по сотрудничеству в рамках Конвенции и Протокола по темам, представляющим интерес для того или иного субрегиона, которые соответствующие ведущие страны должны определить до начала совещания в консультации с другими странами, а также подготовка доклада об итогах, который секретариат разместит на веб-сайте. </w:t>
      </w:r>
      <w:bookmarkEnd w:id="44"/>
    </w:p>
    <w:p w14:paraId="5D522B13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</w:t>
      </w:r>
      <w:r>
        <w:t xml:space="preserve"> </w:t>
      </w:r>
      <w:r w:rsidR="002E3B11" w:rsidRPr="002E3B11">
        <w:t>ведущие страны Балтийского моря, в случае необходимости при поддержке секретариата.</w:t>
      </w:r>
    </w:p>
    <w:p w14:paraId="344B5DE1" w14:textId="77777777" w:rsidR="002E3B11" w:rsidRPr="002E3B11" w:rsidRDefault="008B650D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взносы в натуральной форме, которые будут подтверждены соответствующими странами. В случае участия секретариата потребуется покрытие соответствующих путевых расходов]. </w:t>
      </w:r>
    </w:p>
    <w:p w14:paraId="4A5D62BF" w14:textId="77777777" w:rsidR="002E3B11" w:rsidRPr="002E3B11" w:rsidRDefault="002E3B11" w:rsidP="00E53753">
      <w:pPr>
        <w:pStyle w:val="H1G"/>
      </w:pPr>
      <w:bookmarkStart w:id="45" w:name="_Hlk32240477"/>
      <w:r w:rsidRPr="002E3B11">
        <w:tab/>
        <w:t>B.</w:t>
      </w:r>
      <w:r w:rsidRPr="002E3B11">
        <w:tab/>
        <w:t xml:space="preserve">Восточная Европа и Кавказ </w:t>
      </w:r>
    </w:p>
    <w:p w14:paraId="7BA20356" w14:textId="77777777" w:rsidR="002E3B11" w:rsidRPr="002E3B11" w:rsidRDefault="00E53753" w:rsidP="002E3B11">
      <w:pPr>
        <w:pStyle w:val="SingleTxtG"/>
      </w:pPr>
      <w:r>
        <w:tab/>
      </w:r>
      <w:r>
        <w:tab/>
      </w:r>
      <w:r w:rsidR="002E3B11" w:rsidRPr="002E3B11">
        <w:t xml:space="preserve">Секретариат организует субрегиональное мероприятие (учебное рабочее совещание или ознакомительную поездку) для Армении, Азербайджана, Беларуси, Грузии, Республики Молдова и Украины с целью содействия обмену информацией и опытом между странами. </w:t>
      </w:r>
    </w:p>
    <w:p w14:paraId="1167052A" w14:textId="77777777" w:rsidR="002E3B11" w:rsidRPr="002E3B11" w:rsidRDefault="00E53753" w:rsidP="002E3B11">
      <w:pPr>
        <w:pStyle w:val="SingleTxtG"/>
      </w:pPr>
      <w:r>
        <w:tab/>
      </w:r>
      <w:r>
        <w:tab/>
      </w:r>
      <w:r w:rsidR="002E3B11" w:rsidRPr="002E3B11">
        <w:t>Мероприятие предварительно запланировано на первую половину 2022 года.</w:t>
      </w:r>
    </w:p>
    <w:p w14:paraId="383DC6BE" w14:textId="77777777" w:rsidR="002E3B11" w:rsidRPr="002E3B11" w:rsidRDefault="00E53753" w:rsidP="002E3B11">
      <w:pPr>
        <w:pStyle w:val="SingleTxtG"/>
      </w:pPr>
      <w:r>
        <w:rPr>
          <w:i/>
          <w:iCs/>
        </w:rPr>
        <w:lastRenderedPageBreak/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финансирование из средств программы </w:t>
      </w:r>
      <w:r w:rsidR="00FB06AB">
        <w:t>«</w:t>
      </w:r>
      <w:r w:rsidR="002E3B11" w:rsidRPr="002E3B11">
        <w:t>EU4Environment</w:t>
      </w:r>
      <w:r w:rsidR="00FB06AB">
        <w:t>»</w:t>
      </w:r>
      <w:r w:rsidR="002E3B11" w:rsidRPr="002E3B11">
        <w:t xml:space="preserve">. Участие в мероприятии могут принять другие страны, расположенные в регионе ЕЭК и за его пределами, если будет обеспечено дополнительное финансирование. </w:t>
      </w:r>
    </w:p>
    <w:bookmarkEnd w:id="45"/>
    <w:p w14:paraId="34FE407D" w14:textId="77777777" w:rsidR="002E3B11" w:rsidRPr="002E3B11" w:rsidRDefault="002E3B11" w:rsidP="00E53753">
      <w:pPr>
        <w:pStyle w:val="HChG"/>
      </w:pPr>
      <w:r w:rsidRPr="002E3B11">
        <w:tab/>
      </w:r>
      <w:r w:rsidRPr="00AE61C3">
        <w:rPr>
          <w:b w:val="0"/>
          <w:sz w:val="20"/>
        </w:rPr>
        <w:t>[</w:t>
      </w:r>
      <w:r w:rsidRPr="002E3B11">
        <w:t>IV.</w:t>
      </w:r>
      <w:r w:rsidRPr="002E3B11">
        <w:tab/>
      </w:r>
      <w:r w:rsidRPr="002E3B11">
        <w:tab/>
        <w:t>Обмен информацией о надлежащей практике</w:t>
      </w:r>
    </w:p>
    <w:p w14:paraId="18FCD09B" w14:textId="77777777" w:rsidR="002E3B11" w:rsidRPr="002E3B11" w:rsidRDefault="00E53753" w:rsidP="002E3B11">
      <w:pPr>
        <w:pStyle w:val="SingleTxtG"/>
        <w:rPr>
          <w:bCs/>
        </w:rPr>
      </w:pPr>
      <w:r>
        <w:tab/>
      </w:r>
      <w:r>
        <w:tab/>
      </w:r>
      <w:r w:rsidR="002E3B11" w:rsidRPr="002E3B11">
        <w:t>Цель этой области работы заключается в обмене знаниями и опытом в отношении законодательства и практики по осуществлению Конвенции и Протокола, что позволит усовершенствовать национальное законодательство и повысить эффективность осуществления договоров. Она также направлена на повышение осведомленности об этих двух договорах и их преимуществах. Работа ведется по следующим направлениям:</w:t>
      </w:r>
    </w:p>
    <w:p w14:paraId="35DB91F1" w14:textId="77777777" w:rsidR="002E3B11" w:rsidRPr="002E3B11" w:rsidRDefault="00E53753" w:rsidP="002E3B11">
      <w:pPr>
        <w:pStyle w:val="SingleTxtG"/>
        <w:rPr>
          <w:bCs/>
        </w:rPr>
      </w:pPr>
      <w:r>
        <w:tab/>
      </w:r>
      <w:r w:rsidR="002E3B11" w:rsidRPr="002E3B11">
        <w:tab/>
        <w:t>a)</w:t>
      </w:r>
      <w:r w:rsidR="002E3B11" w:rsidRPr="002E3B11">
        <w:tab/>
        <w:t>тематические рабочие совещания и семинары;</w:t>
      </w:r>
    </w:p>
    <w:p w14:paraId="437A96E7" w14:textId="77777777" w:rsidR="002E3B11" w:rsidRPr="002E3B11" w:rsidRDefault="00E53753" w:rsidP="002E3B11">
      <w:pPr>
        <w:pStyle w:val="SingleTxtG"/>
      </w:pPr>
      <w:r>
        <w:tab/>
      </w:r>
      <w:r w:rsidR="002E3B11" w:rsidRPr="002E3B11">
        <w:tab/>
        <w:t>b)</w:t>
      </w:r>
      <w:r w:rsidR="002E3B11" w:rsidRPr="002E3B11">
        <w:tab/>
        <w:t>подготовка информационных бюллетеней;</w:t>
      </w:r>
    </w:p>
    <w:p w14:paraId="50FBF947" w14:textId="77777777" w:rsidR="002E3B11" w:rsidRPr="002E3B11" w:rsidRDefault="00E53753" w:rsidP="002E3B11">
      <w:pPr>
        <w:pStyle w:val="SingleTxtG"/>
      </w:pPr>
      <w:r>
        <w:tab/>
      </w:r>
      <w:r w:rsidR="002E3B11" w:rsidRPr="002E3B11">
        <w:tab/>
        <w:t>c)</w:t>
      </w:r>
      <w:r w:rsidR="002E3B11" w:rsidRPr="002E3B11">
        <w:tab/>
        <w:t>онлайновая база данных о надлежащей практике Сторон или сбор и компиляция информации о надлежащей практике;</w:t>
      </w:r>
    </w:p>
    <w:p w14:paraId="6D96FF11" w14:textId="77777777" w:rsidR="002E3B11" w:rsidRPr="002E3B11" w:rsidRDefault="00E53753" w:rsidP="002E3B11">
      <w:pPr>
        <w:pStyle w:val="SingleTxtG"/>
        <w:rPr>
          <w:bCs/>
        </w:rPr>
      </w:pPr>
      <w:r>
        <w:tab/>
      </w:r>
      <w:r w:rsidR="002E3B11" w:rsidRPr="002E3B11">
        <w:tab/>
        <w:t>d)</w:t>
      </w:r>
      <w:r w:rsidR="002E3B11" w:rsidRPr="002E3B11">
        <w:tab/>
        <w:t>рекомендации в отношении надлежащей практики.</w:t>
      </w:r>
    </w:p>
    <w:p w14:paraId="54C42D0E" w14:textId="77777777" w:rsidR="002E3B11" w:rsidRPr="00BC086D" w:rsidRDefault="00E53753" w:rsidP="001872DB">
      <w:pPr>
        <w:pStyle w:val="H1G"/>
        <w:spacing w:before="240"/>
      </w:pPr>
      <w:bookmarkStart w:id="46" w:name="_Hlk36024545"/>
      <w:r w:rsidRPr="007A106F">
        <w:tab/>
      </w:r>
      <w:r w:rsidR="00BC086D" w:rsidRPr="002E3B11">
        <w:rPr>
          <w:lang w:val="en-GB"/>
        </w:rPr>
        <w:t>A</w:t>
      </w:r>
      <w:r w:rsidR="00BC086D" w:rsidRPr="00BC086D">
        <w:t>.</w:t>
      </w:r>
      <w:r w:rsidR="00BC086D" w:rsidRPr="00BC086D">
        <w:tab/>
      </w:r>
      <w:r w:rsidR="002E3B11" w:rsidRPr="002E3B11">
        <w:t xml:space="preserve">Тематические рабочие совещания и семинары </w:t>
      </w:r>
    </w:p>
    <w:bookmarkEnd w:id="46"/>
    <w:p w14:paraId="050151EC" w14:textId="77777777" w:rsidR="002E3B11" w:rsidRPr="002E3B11" w:rsidRDefault="00E53753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>: организация рабочих совещаний и семинаров на полдня или на один день в рамках совещаний Рабочей группы в 2021</w:t>
      </w:r>
      <w:r w:rsidR="001872DB">
        <w:t>–</w:t>
      </w:r>
      <w:r w:rsidR="002E3B11" w:rsidRPr="002E3B11">
        <w:t>2023 годах и/или сессий совещаний Сторон в 2023 году по следующим конкретным темам/вопросам:</w:t>
      </w:r>
      <w:r w:rsidR="00BC086D">
        <w:t xml:space="preserve"> </w:t>
      </w:r>
    </w:p>
    <w:p w14:paraId="1EB08A6D" w14:textId="5C63A8DE" w:rsidR="002E3B11" w:rsidRPr="002E3B11" w:rsidRDefault="002E3B11" w:rsidP="002E3B11">
      <w:pPr>
        <w:pStyle w:val="SingleTxtG"/>
      </w:pPr>
      <w:bookmarkStart w:id="47" w:name="_Hlk32335122"/>
      <w:r w:rsidRPr="002E3B11">
        <w:tab/>
      </w:r>
      <w:r w:rsidR="00E53753">
        <w:tab/>
      </w:r>
      <w:r w:rsidRPr="002E3B11">
        <w:t>a)</w:t>
      </w:r>
      <w:r w:rsidRPr="002E3B11">
        <w:tab/>
      </w:r>
      <w:r w:rsidR="00FB06AB">
        <w:t>«</w:t>
      </w:r>
      <w:r w:rsidR="00440305" w:rsidRPr="002E3B11">
        <w:t>У</w:t>
      </w:r>
      <w:r w:rsidRPr="002E3B11">
        <w:t>мные и устойчивые города</w:t>
      </w:r>
      <w:r w:rsidR="00FB06AB">
        <w:t>»</w:t>
      </w:r>
      <w:r w:rsidRPr="002E3B11">
        <w:t>;</w:t>
      </w:r>
    </w:p>
    <w:p w14:paraId="75BB3A35" w14:textId="77777777" w:rsidR="002E3B11" w:rsidRPr="002E3B11" w:rsidRDefault="00E53753" w:rsidP="002E3B11">
      <w:pPr>
        <w:pStyle w:val="SingleTxtG"/>
      </w:pPr>
      <w:r>
        <w:tab/>
      </w:r>
      <w:r w:rsidR="002E3B11" w:rsidRPr="002E3B11">
        <w:tab/>
        <w:t>b)</w:t>
      </w:r>
      <w:r w:rsidR="002E3B11" w:rsidRPr="002E3B11">
        <w:tab/>
        <w:t xml:space="preserve">циклическая экономика; </w:t>
      </w:r>
    </w:p>
    <w:p w14:paraId="2AB4EF74" w14:textId="77777777" w:rsidR="002E3B11" w:rsidRPr="002E3B11" w:rsidRDefault="00E53753" w:rsidP="002E3B11">
      <w:pPr>
        <w:pStyle w:val="SingleTxtG"/>
      </w:pPr>
      <w:r>
        <w:tab/>
      </w:r>
      <w:r>
        <w:tab/>
      </w:r>
      <w:r w:rsidR="002E3B11" w:rsidRPr="002E3B11">
        <w:t>c)</w:t>
      </w:r>
      <w:r w:rsidR="002E3B11" w:rsidRPr="002E3B11">
        <w:tab/>
        <w:t xml:space="preserve">экологизация инициативы </w:t>
      </w:r>
      <w:r w:rsidR="00FB06AB">
        <w:t>«</w:t>
      </w:r>
      <w:r w:rsidR="002E3B11" w:rsidRPr="002E3B11">
        <w:t>Один пояс, один путь</w:t>
      </w:r>
      <w:r w:rsidR="00FB06AB">
        <w:t>»</w:t>
      </w:r>
      <w:r w:rsidR="002E3B11" w:rsidRPr="002E3B11">
        <w:t xml:space="preserve">; </w:t>
      </w:r>
    </w:p>
    <w:p w14:paraId="7A52F3B4" w14:textId="77777777" w:rsidR="002E3B11" w:rsidRPr="002E3B11" w:rsidRDefault="00E53753" w:rsidP="002E3B11">
      <w:pPr>
        <w:pStyle w:val="SingleTxtG"/>
      </w:pPr>
      <w:r>
        <w:tab/>
      </w:r>
      <w:r>
        <w:tab/>
      </w:r>
      <w:r w:rsidR="002E3B11" w:rsidRPr="002E3B11">
        <w:t>d)</w:t>
      </w:r>
      <w:r w:rsidR="002E3B11" w:rsidRPr="002E3B11">
        <w:tab/>
        <w:t xml:space="preserve">биоразнообразие; </w:t>
      </w:r>
    </w:p>
    <w:p w14:paraId="5B5C33EE" w14:textId="77777777" w:rsidR="002E3B11" w:rsidRPr="002E3B11" w:rsidRDefault="00E53753" w:rsidP="002E3B11">
      <w:pPr>
        <w:pStyle w:val="SingleTxtG"/>
      </w:pPr>
      <w:r>
        <w:tab/>
      </w:r>
      <w:r>
        <w:tab/>
      </w:r>
      <w:r w:rsidR="002E3B11" w:rsidRPr="002E3B11">
        <w:t>e)</w:t>
      </w:r>
      <w:r w:rsidR="002E3B11" w:rsidRPr="002E3B11">
        <w:tab/>
        <w:t xml:space="preserve">энергетический переход; </w:t>
      </w:r>
    </w:p>
    <w:bookmarkEnd w:id="47"/>
    <w:p w14:paraId="7B410EE5" w14:textId="77777777" w:rsidR="002E3B11" w:rsidRPr="00240DEB" w:rsidRDefault="00E53753" w:rsidP="002E3B11">
      <w:pPr>
        <w:pStyle w:val="SingleTxtG"/>
      </w:pPr>
      <w:r>
        <w:tab/>
      </w:r>
      <w:r>
        <w:tab/>
      </w:r>
      <w:r w:rsidR="002E3B11" w:rsidRPr="002E3B11">
        <w:t>[f)…]</w:t>
      </w:r>
      <w:r w:rsidR="00821AA1" w:rsidRPr="00240DEB">
        <w:t>.</w:t>
      </w:r>
    </w:p>
    <w:p w14:paraId="09E55471" w14:textId="77777777" w:rsidR="002E3B11" w:rsidRPr="002E3B11" w:rsidRDefault="00E53753" w:rsidP="002E3B11">
      <w:pPr>
        <w:pStyle w:val="SingleTxtG"/>
      </w:pPr>
      <w:r>
        <w:tab/>
      </w:r>
      <w:r>
        <w:tab/>
      </w:r>
      <w:r w:rsidR="002E3B11" w:rsidRPr="002E3B11">
        <w:t xml:space="preserve">Подготовка четкого и краткого документа, содержащего рекомендации по наиболее важным проблемам, выявленным в рамках рассматриваемой темы, и увязывающего эти темы с достижением Целей в области устойчивого развития. </w:t>
      </w:r>
    </w:p>
    <w:p w14:paraId="3DE5203C" w14:textId="77777777" w:rsidR="002E3B11" w:rsidRPr="002E3B11" w:rsidRDefault="00E53753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</w:t>
      </w:r>
      <w:r w:rsidR="00186DC8">
        <w:t xml:space="preserve"> </w:t>
      </w:r>
      <w:r w:rsidR="002E3B11" w:rsidRPr="002E3B11">
        <w:t>следующие страны-руководители или организации [...] при поддержке секретариата.</w:t>
      </w:r>
    </w:p>
    <w:p w14:paraId="1A126595" w14:textId="77777777" w:rsidR="002E3B11" w:rsidRPr="002E3B11" w:rsidRDefault="00E53753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>: расходы на докладчиков, предоставление и перевод соответствующих материалов будут, насколько это возможно, покрыты странами-руководителями в виде взносов в натуральной форме. Потребуются ресурсы секретариата и средства из целевого фонда для покрытия путевых расходов представителей стран, имеющих право на финансовую поддержку, и стран, не являющихся членами ЕЭК.</w:t>
      </w:r>
    </w:p>
    <w:p w14:paraId="4ECFB90E" w14:textId="77777777" w:rsidR="002E3B11" w:rsidRPr="002E3B11" w:rsidRDefault="002E3B11" w:rsidP="001872DB">
      <w:pPr>
        <w:pStyle w:val="H1G"/>
        <w:spacing w:before="240"/>
      </w:pPr>
      <w:r w:rsidRPr="002E3B11">
        <w:tab/>
        <w:t>B.</w:t>
      </w:r>
      <w:r w:rsidRPr="002E3B11">
        <w:tab/>
        <w:t xml:space="preserve">Информационные бюллетени </w:t>
      </w:r>
      <w:bookmarkStart w:id="48" w:name="_Hlk36024565"/>
      <w:bookmarkEnd w:id="48"/>
    </w:p>
    <w:p w14:paraId="11FB2335" w14:textId="77777777" w:rsidR="002E3B11" w:rsidRPr="002E3B11" w:rsidRDefault="00E53753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>: подготовка информационных бюллетеней по практическому применению Конвенции и Протокола для представления в ходе совещаний Рабочей группы и размещения на веб-сайте.</w:t>
      </w:r>
    </w:p>
    <w:p w14:paraId="6A8268EA" w14:textId="77777777" w:rsidR="002E3B11" w:rsidRPr="002E3B11" w:rsidRDefault="00E53753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все Стороны при поддержке секретариата [включая следующие Стороны, пожелавшие добровольно участвовать в этой деятельности</w:t>
      </w:r>
      <w:r>
        <w:t>.</w:t>
      </w:r>
      <w:r w:rsidR="002E3B11" w:rsidRPr="002E3B11">
        <w:t>..].</w:t>
      </w:r>
    </w:p>
    <w:p w14:paraId="27FFCFD9" w14:textId="77777777" w:rsidR="002E3B11" w:rsidRPr="002E3B11" w:rsidRDefault="00E53753" w:rsidP="002E3B11">
      <w:pPr>
        <w:pStyle w:val="SingleTxtG"/>
        <w:rPr>
          <w:b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взносы в натуральной форме. </w:t>
      </w:r>
    </w:p>
    <w:p w14:paraId="1BD56E75" w14:textId="77777777" w:rsidR="002E3B11" w:rsidRPr="002E3B11" w:rsidRDefault="002E3B11" w:rsidP="00E53753">
      <w:pPr>
        <w:pStyle w:val="H1G"/>
      </w:pPr>
      <w:r w:rsidRPr="002E3B11">
        <w:lastRenderedPageBreak/>
        <w:tab/>
        <w:t>C.</w:t>
      </w:r>
      <w:r w:rsidRPr="002E3B11">
        <w:tab/>
        <w:t>Онлайновая база данных о надлежащей практике Сторон или сбор и компиляция информации о надлежащей практике</w:t>
      </w:r>
      <w:bookmarkStart w:id="49" w:name="_Hlk36024591"/>
      <w:bookmarkEnd w:id="49"/>
    </w:p>
    <w:p w14:paraId="65FB41F0" w14:textId="77777777" w:rsidR="002E3B11" w:rsidRPr="002E3B11" w:rsidRDefault="00E53753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>: создание онлайновой базы данных на веб-сайте ЕЭК/компиляция информации о надлежащей практике Сторон. Предусматривает разработку структуры и типовой формы для представления Сторонами информации о надлежащей практике, а также направление запросов о получении этой информации, ее корректуру, редактирование и размещение на веб-сайте. В качестве альтернативы может быть осуществлен сбор информации о надлежащей практике и ее компиляция в неофициальной онлайновой публикации, которая будет регулярно обновляться.</w:t>
      </w:r>
    </w:p>
    <w:p w14:paraId="731D804E" w14:textId="334F5183" w:rsidR="002E3B11" w:rsidRPr="002E3B11" w:rsidRDefault="00E53753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</w:t>
      </w:r>
      <w:r w:rsidR="00EF049B" w:rsidRPr="002E3B11">
        <w:rPr>
          <w:i/>
          <w:iCs/>
        </w:rPr>
        <w:t xml:space="preserve">(ые) </w:t>
      </w:r>
      <w:r w:rsidR="002E3B11" w:rsidRPr="002E3B11">
        <w:rPr>
          <w:i/>
          <w:iCs/>
        </w:rPr>
        <w:t>орган</w:t>
      </w:r>
      <w:r w:rsidR="00EF049B" w:rsidRPr="002E3B11">
        <w:rPr>
          <w:i/>
          <w:iCs/>
        </w:rPr>
        <w:t>(ы)</w:t>
      </w:r>
      <w:r w:rsidR="002E3B11" w:rsidRPr="002E3B11">
        <w:t>: Стороны предоставляют информацию о надлежащей практике; секретариат при поддержке консультанта собирает, (анализирует и резюмирует), обо</w:t>
      </w:r>
      <w:r w:rsidR="00186DC8">
        <w:t>б</w:t>
      </w:r>
      <w:r w:rsidR="002E3B11" w:rsidRPr="002E3B11">
        <w:t>щает и размещает на веб-сайте информацию о надлежащей практике.</w:t>
      </w:r>
    </w:p>
    <w:p w14:paraId="4DD034A9" w14:textId="77777777" w:rsidR="002E3B11" w:rsidRPr="002E3B11" w:rsidRDefault="00E53753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>: ресурсы секретариата и финансирование услуг консультантов в размере 15</w:t>
      </w:r>
      <w:r>
        <w:t> </w:t>
      </w:r>
      <w:r w:rsidR="002E3B11" w:rsidRPr="002E3B11">
        <w:t>000</w:t>
      </w:r>
      <w:r>
        <w:t>–</w:t>
      </w:r>
      <w:r w:rsidR="002E3B11" w:rsidRPr="002E3B11">
        <w:t>25 000 долл. США].</w:t>
      </w:r>
      <w:bookmarkStart w:id="50" w:name="_Hlk23265100"/>
      <w:bookmarkStart w:id="51" w:name="_Hlk23264532"/>
      <w:bookmarkEnd w:id="50"/>
    </w:p>
    <w:bookmarkEnd w:id="51"/>
    <w:p w14:paraId="478108D7" w14:textId="77777777" w:rsidR="002E3B11" w:rsidRPr="002E3B11" w:rsidRDefault="002E3B11" w:rsidP="00E53753">
      <w:pPr>
        <w:pStyle w:val="H1G"/>
      </w:pPr>
      <w:r w:rsidRPr="002E3B11">
        <w:tab/>
      </w:r>
      <w:r w:rsidRPr="00A76267">
        <w:rPr>
          <w:b w:val="0"/>
          <w:sz w:val="20"/>
        </w:rPr>
        <w:t>[</w:t>
      </w:r>
      <w:r w:rsidRPr="002E3B11">
        <w:t>D.</w:t>
      </w:r>
      <w:r w:rsidRPr="002E3B11">
        <w:tab/>
        <w:t>Рекомендации в отношении надлежащей практики</w:t>
      </w:r>
      <w:bookmarkStart w:id="52" w:name="_Hlk36024610"/>
      <w:bookmarkEnd w:id="52"/>
    </w:p>
    <w:p w14:paraId="3C3D0AF4" w14:textId="77777777" w:rsidR="002E3B11" w:rsidRPr="002E3B11" w:rsidRDefault="00E53753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 xml:space="preserve">: разработка рекомендаций по надлежащей практике для принятия Совещанием (Совещаниями) Сторон (и для их последующей публикации секретариатом) </w:t>
      </w:r>
      <w:r w:rsidR="002E3B11" w:rsidRPr="00D377F3">
        <w:t>по [одной из] следующим</w:t>
      </w:r>
      <w:r w:rsidR="00BC086D" w:rsidRPr="00D377F3">
        <w:t xml:space="preserve"> </w:t>
      </w:r>
      <w:r w:rsidR="002E3B11" w:rsidRPr="00D377F3">
        <w:t>темам</w:t>
      </w:r>
      <w:r w:rsidR="002E3B11" w:rsidRPr="002E3B11">
        <w:t>:</w:t>
      </w:r>
    </w:p>
    <w:p w14:paraId="0CDA0D3B" w14:textId="77777777" w:rsidR="002E3B11" w:rsidRPr="002E3B11" w:rsidRDefault="00E53753" w:rsidP="002E3B11">
      <w:pPr>
        <w:pStyle w:val="SingleTxtG"/>
        <w:rPr>
          <w:bCs/>
        </w:rPr>
      </w:pPr>
      <w:r>
        <w:tab/>
      </w:r>
      <w:r>
        <w:tab/>
      </w:r>
      <w:r w:rsidR="002E3B11" w:rsidRPr="002E3B11">
        <w:t>a)</w:t>
      </w:r>
      <w:r w:rsidR="002E3B11" w:rsidRPr="002E3B11">
        <w:tab/>
        <w:t>рассмотрение альтернативных вариантов и обоснование выбора площадки, как это было предложено Беларусью;</w:t>
      </w:r>
    </w:p>
    <w:p w14:paraId="243A5B10" w14:textId="77777777" w:rsidR="002E3B11" w:rsidRPr="002E3B11" w:rsidRDefault="00E53753" w:rsidP="002E3B11">
      <w:pPr>
        <w:pStyle w:val="SingleTxtG"/>
        <w:rPr>
          <w:bCs/>
        </w:rPr>
      </w:pPr>
      <w:r>
        <w:tab/>
      </w:r>
      <w:r>
        <w:tab/>
      </w:r>
      <w:r w:rsidR="002E3B11" w:rsidRPr="002E3B11">
        <w:t>b)</w:t>
      </w:r>
      <w:r w:rsidR="002E3B11" w:rsidRPr="002E3B11">
        <w:tab/>
        <w:t>любая из тем пункта IV.A. выше (</w:t>
      </w:r>
      <w:r w:rsidR="00FB06AB">
        <w:t>«</w:t>
      </w:r>
      <w:r w:rsidR="002E3B11" w:rsidRPr="002E3B11">
        <w:t>Умные и устойчивые города</w:t>
      </w:r>
      <w:r w:rsidR="00FB06AB">
        <w:t>»</w:t>
      </w:r>
      <w:r w:rsidR="002E3B11" w:rsidRPr="002E3B11">
        <w:t xml:space="preserve">; циклическая экономика; экологизация инициативы </w:t>
      </w:r>
      <w:r w:rsidR="00FB06AB">
        <w:t>«</w:t>
      </w:r>
      <w:r w:rsidR="002E3B11" w:rsidRPr="002E3B11">
        <w:t>Один пояс, один путь</w:t>
      </w:r>
      <w:r w:rsidR="00FB06AB">
        <w:t>»</w:t>
      </w:r>
      <w:r w:rsidR="002E3B11" w:rsidRPr="002E3B11">
        <w:t>; биоразнообразие; энергетический переход).</w:t>
      </w:r>
    </w:p>
    <w:p w14:paraId="6DC44B5A" w14:textId="77777777" w:rsidR="002E3B11" w:rsidRPr="002E3B11" w:rsidRDefault="00E53753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разрабатываются внешним(и) консультантом(ами) при поддержке секретариата, возможно с проведением обследования для сбора информации о надлежащей практике и, в случае необходимости, при участии специальной целевой/рабочей группы для внесения вклада в работу.</w:t>
      </w:r>
    </w:p>
    <w:p w14:paraId="1E8BB408" w14:textId="77777777" w:rsidR="002E3B11" w:rsidRPr="002E3B11" w:rsidRDefault="00E53753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ресурсы секретариата и финансирование в размере </w:t>
      </w:r>
      <w:r w:rsidR="00A76267">
        <w:br/>
      </w:r>
      <w:r w:rsidR="002E3B11" w:rsidRPr="002E3B11">
        <w:t>15</w:t>
      </w:r>
      <w:r w:rsidR="00186DC8">
        <w:t> </w:t>
      </w:r>
      <w:r w:rsidR="002E3B11" w:rsidRPr="002E3B11">
        <w:t>000</w:t>
      </w:r>
      <w:r w:rsidR="00186DC8">
        <w:t>–</w:t>
      </w:r>
      <w:r w:rsidR="002E3B11" w:rsidRPr="002E3B11">
        <w:t>25 000 долл. США для оплаты услуг консультанта(ов), а также взносы в натуральной форме от Сторон.</w:t>
      </w:r>
    </w:p>
    <w:p w14:paraId="708665F4" w14:textId="77777777" w:rsidR="002E3B11" w:rsidRPr="002E3B11" w:rsidRDefault="002E3B11" w:rsidP="00E53753">
      <w:pPr>
        <w:pStyle w:val="SingleTxtG"/>
        <w:rPr>
          <w:i/>
          <w:iCs/>
        </w:rPr>
      </w:pPr>
      <w:r w:rsidRPr="002E3B11">
        <w:rPr>
          <w:b/>
        </w:rPr>
        <w:tab/>
      </w:r>
      <w:r w:rsidRPr="002E3B11">
        <w:rPr>
          <w:i/>
          <w:iCs/>
        </w:rPr>
        <w:t>Примечание секретариата</w:t>
      </w:r>
      <w:r w:rsidRPr="00A76267">
        <w:rPr>
          <w:i/>
        </w:rPr>
        <w:t xml:space="preserve">: пункты, касающиеся руководящего документа и рекомендаций в отношении надлежащей практики, также можно было бы объединить в один пункт, поскольку, по сути, оба они являются инструментами </w:t>
      </w:r>
      <w:r w:rsidR="00FB06AB" w:rsidRPr="00A76267">
        <w:rPr>
          <w:i/>
        </w:rPr>
        <w:t>«</w:t>
      </w:r>
      <w:r w:rsidRPr="00A76267">
        <w:rPr>
          <w:i/>
        </w:rPr>
        <w:t>мягкого права</w:t>
      </w:r>
      <w:r w:rsidR="00FB06AB" w:rsidRPr="00A76267">
        <w:rPr>
          <w:i/>
        </w:rPr>
        <w:t>»</w:t>
      </w:r>
      <w:r w:rsidRPr="00A76267">
        <w:rPr>
          <w:i/>
        </w:rPr>
        <w:t xml:space="preserve"> в рамках договоров, направленными на совершенствование применения договоров</w:t>
      </w:r>
      <w:r w:rsidRPr="002E3B11">
        <w:t>].</w:t>
      </w:r>
    </w:p>
    <w:p w14:paraId="6F0233AE" w14:textId="77777777" w:rsidR="002E3B11" w:rsidRPr="002E3B11" w:rsidRDefault="002E3B11" w:rsidP="00E53753">
      <w:pPr>
        <w:pStyle w:val="HChG"/>
      </w:pPr>
      <w:r w:rsidRPr="002E3B11">
        <w:tab/>
        <w:t>V.</w:t>
      </w:r>
      <w:r w:rsidRPr="002E3B11">
        <w:tab/>
        <w:t>Содействие практическому применению Протокола и/или Конвенции</w:t>
      </w:r>
      <w:bookmarkStart w:id="53" w:name="_Hlk34986355"/>
      <w:bookmarkEnd w:id="53"/>
    </w:p>
    <w:p w14:paraId="428585BC" w14:textId="77777777" w:rsidR="002E3B11" w:rsidRPr="002E3B11" w:rsidRDefault="00E53753" w:rsidP="002E3B11">
      <w:pPr>
        <w:pStyle w:val="SingleTxtG"/>
      </w:pPr>
      <w:r>
        <w:tab/>
      </w:r>
      <w:r>
        <w:tab/>
      </w:r>
      <w:r w:rsidR="002E3B11" w:rsidRPr="002E3B11">
        <w:t>Эта область работы направлена на содействие применению Протокола и Конвенции в полном соответствии с установленными требованиями, в том числе путем укрепления потенциала и повышения профессиональных навыков должностных лиц на всех соответствующих административных уровнях, а также повышения осведомленности общественности, включая НПО, о положениях договоров и их применении. Она также способствует более широкому применению Конвенции и Протокола за счет поощрения ратификации договоров государствами, не являющимися их участниками.</w:t>
      </w:r>
    </w:p>
    <w:p w14:paraId="176849F4" w14:textId="77777777" w:rsidR="002E3B11" w:rsidRPr="002E3B11" w:rsidRDefault="00E53753" w:rsidP="002E3B11">
      <w:pPr>
        <w:pStyle w:val="SingleTxtG"/>
      </w:pPr>
      <w:r>
        <w:tab/>
      </w:r>
      <w:r>
        <w:tab/>
      </w:r>
      <w:r w:rsidR="002E3B11" w:rsidRPr="002E3B11">
        <w:t xml:space="preserve">Работу планируется проводить по следующим направлениям: </w:t>
      </w:r>
    </w:p>
    <w:p w14:paraId="16E9C227" w14:textId="77777777" w:rsidR="002E3B11" w:rsidRPr="002E3B11" w:rsidRDefault="00E53753" w:rsidP="002E3B11">
      <w:pPr>
        <w:pStyle w:val="SingleTxtG"/>
      </w:pPr>
      <w:r>
        <w:tab/>
      </w:r>
      <w:r w:rsidR="002E3B11" w:rsidRPr="002E3B11">
        <w:tab/>
        <w:t>a)</w:t>
      </w:r>
      <w:r w:rsidR="002E3B11" w:rsidRPr="002E3B11">
        <w:tab/>
        <w:t xml:space="preserve">осуществление экспериментальных проектов; </w:t>
      </w:r>
    </w:p>
    <w:p w14:paraId="20CA019A" w14:textId="77777777" w:rsidR="002E3B11" w:rsidRPr="002E3B11" w:rsidRDefault="002E3B11" w:rsidP="002E3B11">
      <w:pPr>
        <w:pStyle w:val="SingleTxtG"/>
      </w:pPr>
      <w:r w:rsidRPr="002E3B11">
        <w:lastRenderedPageBreak/>
        <w:tab/>
      </w:r>
      <w:r w:rsidR="00E53753">
        <w:tab/>
      </w:r>
      <w:r w:rsidRPr="002E3B11">
        <w:t>b)</w:t>
      </w:r>
      <w:r w:rsidRPr="002E3B11">
        <w:tab/>
        <w:t xml:space="preserve">учебные рабочие совещания по вопросам применения договоров; </w:t>
      </w:r>
    </w:p>
    <w:p w14:paraId="00AC239A" w14:textId="77777777" w:rsidR="002E3B11" w:rsidRPr="002E3B11" w:rsidRDefault="00E53753" w:rsidP="002E3B11">
      <w:pPr>
        <w:pStyle w:val="SingleTxtG"/>
      </w:pPr>
      <w:r>
        <w:tab/>
      </w:r>
      <w:r w:rsidR="002E3B11" w:rsidRPr="002E3B11">
        <w:tab/>
        <w:t>c)</w:t>
      </w:r>
      <w:r w:rsidR="002E3B11" w:rsidRPr="002E3B11">
        <w:tab/>
        <w:t>мероприятия по повышению информированности;</w:t>
      </w:r>
      <w:bookmarkStart w:id="54" w:name="_Hlk36026335"/>
    </w:p>
    <w:bookmarkEnd w:id="54"/>
    <w:p w14:paraId="66DE7654" w14:textId="77777777" w:rsidR="002E3B11" w:rsidRPr="002E3B11" w:rsidRDefault="00E53753" w:rsidP="002E3B11">
      <w:pPr>
        <w:pStyle w:val="SingleTxtG"/>
      </w:pPr>
      <w:r>
        <w:tab/>
      </w:r>
      <w:r w:rsidR="002E3B11" w:rsidRPr="002E3B11">
        <w:tab/>
        <w:t>d)</w:t>
      </w:r>
      <w:r w:rsidR="002E3B11" w:rsidRPr="002E3B11">
        <w:tab/>
        <w:t>подготовка информационных материалов;</w:t>
      </w:r>
    </w:p>
    <w:p w14:paraId="7F6E54DF" w14:textId="77777777" w:rsidR="002E3B11" w:rsidRPr="002E3B11" w:rsidRDefault="00E53753" w:rsidP="002E3B11">
      <w:pPr>
        <w:pStyle w:val="SingleTxtG"/>
      </w:pPr>
      <w:r>
        <w:tab/>
      </w:r>
      <w:r w:rsidR="002E3B11" w:rsidRPr="002E3B11">
        <w:tab/>
        <w:t>e)</w:t>
      </w:r>
      <w:r w:rsidR="002E3B11" w:rsidRPr="002E3B11">
        <w:tab/>
        <w:t>разработка руководящих принципов по конкретным вопросам или секторам;</w:t>
      </w:r>
    </w:p>
    <w:p w14:paraId="46BAEAF1" w14:textId="77777777" w:rsidR="002E3B11" w:rsidRPr="002E3B11" w:rsidRDefault="00E53753" w:rsidP="002E3B11">
      <w:pPr>
        <w:pStyle w:val="SingleTxtG"/>
      </w:pPr>
      <w:r>
        <w:tab/>
      </w:r>
      <w:r w:rsidR="002E3B11" w:rsidRPr="002E3B11">
        <w:tab/>
        <w:t>f)</w:t>
      </w:r>
      <w:r w:rsidR="002E3B11" w:rsidRPr="002E3B11">
        <w:tab/>
        <w:t xml:space="preserve">создание типовой базы данных по стратегической экологической оценке; </w:t>
      </w:r>
    </w:p>
    <w:p w14:paraId="0BD40A2D" w14:textId="77777777" w:rsidR="002E3B11" w:rsidRPr="002E3B11" w:rsidRDefault="00E53753" w:rsidP="002E3B11">
      <w:pPr>
        <w:pStyle w:val="SingleTxtG"/>
      </w:pPr>
      <w:r>
        <w:tab/>
      </w:r>
      <w:r>
        <w:tab/>
      </w:r>
      <w:r w:rsidR="002E3B11" w:rsidRPr="002E3B11">
        <w:t>g)</w:t>
      </w:r>
      <w:r w:rsidR="002E3B11" w:rsidRPr="002E3B11">
        <w:tab/>
        <w:t>перевод видеофильма о применении Конвенции;</w:t>
      </w:r>
    </w:p>
    <w:p w14:paraId="60972608" w14:textId="77777777" w:rsidR="002E3B11" w:rsidRPr="002E3B11" w:rsidRDefault="00E53753" w:rsidP="002E3B11">
      <w:pPr>
        <w:pStyle w:val="SingleTxtG"/>
      </w:pPr>
      <w:r>
        <w:tab/>
      </w:r>
      <w:r w:rsidR="002E3B11" w:rsidRPr="002E3B11">
        <w:tab/>
        <w:t>h)</w:t>
      </w:r>
      <w:r w:rsidR="002E3B11" w:rsidRPr="002E3B11">
        <w:tab/>
        <w:t xml:space="preserve">подготовка </w:t>
      </w:r>
      <w:r w:rsidR="00FB06AB">
        <w:t>«</w:t>
      </w:r>
      <w:r w:rsidR="002E3B11" w:rsidRPr="002E3B11">
        <w:t>FasTips</w:t>
      </w:r>
      <w:r w:rsidR="00FB06AB">
        <w:t>»</w:t>
      </w:r>
      <w:r w:rsidR="002E3B11" w:rsidRPr="002E3B11">
        <w:t>.</w:t>
      </w:r>
    </w:p>
    <w:p w14:paraId="219AD7E6" w14:textId="77777777" w:rsidR="002E3B11" w:rsidRPr="002E3B11" w:rsidRDefault="00E53753" w:rsidP="00E53753">
      <w:pPr>
        <w:pStyle w:val="H1G"/>
      </w:pPr>
      <w:bookmarkStart w:id="55" w:name="_Hlk31990223"/>
      <w:r>
        <w:tab/>
      </w:r>
      <w:r w:rsidR="002E3B11" w:rsidRPr="002E3B11">
        <w:t>A.</w:t>
      </w:r>
      <w:r w:rsidR="002E3B11" w:rsidRPr="002E3B11">
        <w:tab/>
        <w:t xml:space="preserve">Осуществление экспериментальных проектов </w:t>
      </w:r>
      <w:bookmarkStart w:id="56" w:name="_Hlk36025098"/>
      <w:bookmarkEnd w:id="55"/>
      <w:bookmarkEnd w:id="56"/>
    </w:p>
    <w:p w14:paraId="4C5967F9" w14:textId="77777777" w:rsidR="002E3B11" w:rsidRPr="002E3B11" w:rsidRDefault="00E53753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>: экспериментальное включение стратегической экологической оценки (или оценки воздействия на окружающую среду в трансграничном контексте) в план или проект по выбору стран-бенефициаров, для</w:t>
      </w:r>
      <w:r w:rsidR="00BC086D">
        <w:t xml:space="preserve"> </w:t>
      </w:r>
      <w:r w:rsidR="002E3B11" w:rsidRPr="002E3B11">
        <w:t>практического обучения проведению процедуры стратегической экологической оценки (или оценки воздействия на окружающую среду в трансграничном контексте), включающего подготовку по решению аналитических и консультативных задач, в соответствии с Протоколом/(Конвенцией). Запланированные экспериментальные проекты по стратегической экологической оценке включают:</w:t>
      </w:r>
      <w:bookmarkStart w:id="57" w:name="_Hlk31990318"/>
      <w:bookmarkStart w:id="58" w:name="_Hlk31991362"/>
      <w:bookmarkEnd w:id="57"/>
      <w:bookmarkEnd w:id="58"/>
    </w:p>
    <w:p w14:paraId="1CF697FF" w14:textId="77777777" w:rsidR="002E3B11" w:rsidRPr="002E3B11" w:rsidRDefault="00E53753" w:rsidP="00CC3B8B">
      <w:pPr>
        <w:pStyle w:val="SingleTxtG"/>
        <w:ind w:left="1701"/>
      </w:pPr>
      <w:r>
        <w:tab/>
      </w:r>
      <w:r w:rsidR="002E3B11" w:rsidRPr="002E3B11">
        <w:t>i)</w:t>
      </w:r>
      <w:r w:rsidR="002E3B11" w:rsidRPr="002E3B11">
        <w:tab/>
        <w:t>экспериментальный проект в Армении (в 2021 году);</w:t>
      </w:r>
    </w:p>
    <w:p w14:paraId="3B31D1A0" w14:textId="77777777" w:rsidR="002E3B11" w:rsidRPr="002E3B11" w:rsidRDefault="00E53753" w:rsidP="00CC3B8B">
      <w:pPr>
        <w:pStyle w:val="SingleTxtG"/>
        <w:ind w:left="1701"/>
      </w:pPr>
      <w:r>
        <w:tab/>
      </w:r>
      <w:r w:rsidR="002E3B11" w:rsidRPr="002E3B11">
        <w:t>ii)</w:t>
      </w:r>
      <w:r w:rsidR="002E3B11" w:rsidRPr="002E3B11">
        <w:tab/>
        <w:t>экспериментальный проект в Азербайджане (в 2021 году);</w:t>
      </w:r>
    </w:p>
    <w:p w14:paraId="0143C59D" w14:textId="77777777" w:rsidR="002E3B11" w:rsidRPr="002E3B11" w:rsidRDefault="00E53753" w:rsidP="00CC3B8B">
      <w:pPr>
        <w:pStyle w:val="SingleTxtG"/>
        <w:ind w:left="1701"/>
      </w:pPr>
      <w:r>
        <w:tab/>
      </w:r>
      <w:r w:rsidR="002E3B11" w:rsidRPr="002E3B11">
        <w:t>iii)</w:t>
      </w:r>
      <w:r w:rsidR="002E3B11" w:rsidRPr="002E3B11">
        <w:tab/>
        <w:t>экспериментальный проект в Беларуси (в 2021</w:t>
      </w:r>
      <w:r>
        <w:t>–</w:t>
      </w:r>
      <w:r w:rsidR="002E3B11" w:rsidRPr="002E3B11">
        <w:t>2022 годах, требует подтверждения);</w:t>
      </w:r>
    </w:p>
    <w:p w14:paraId="2000CD63" w14:textId="77777777" w:rsidR="002E3B11" w:rsidRPr="002E3B11" w:rsidRDefault="00E53753" w:rsidP="00CC3B8B">
      <w:pPr>
        <w:pStyle w:val="SingleTxtG"/>
        <w:ind w:left="1701"/>
      </w:pPr>
      <w:r>
        <w:tab/>
      </w:r>
      <w:r w:rsidR="002E3B11" w:rsidRPr="002E3B11">
        <w:t>iv)</w:t>
      </w:r>
      <w:r w:rsidR="002E3B11" w:rsidRPr="002E3B11">
        <w:tab/>
        <w:t>экспериментальный проект в Грузии (в 2021 году);</w:t>
      </w:r>
    </w:p>
    <w:p w14:paraId="59D40F07" w14:textId="77777777" w:rsidR="002E3B11" w:rsidRPr="002E3B11" w:rsidRDefault="00E53753" w:rsidP="00CC3B8B">
      <w:pPr>
        <w:pStyle w:val="SingleTxtG"/>
        <w:ind w:left="1701"/>
      </w:pPr>
      <w:r>
        <w:tab/>
      </w:r>
      <w:r w:rsidR="002E3B11" w:rsidRPr="002E3B11">
        <w:t>v)</w:t>
      </w:r>
      <w:r w:rsidR="002E3B11" w:rsidRPr="002E3B11">
        <w:tab/>
        <w:t>экспериментальный проект в Республике Молдова (в 2021 году);</w:t>
      </w:r>
    </w:p>
    <w:p w14:paraId="37517080" w14:textId="77777777" w:rsidR="002E3B11" w:rsidRPr="002E3B11" w:rsidRDefault="00E53753" w:rsidP="00CC3B8B">
      <w:pPr>
        <w:pStyle w:val="SingleTxtG"/>
        <w:ind w:left="1701"/>
      </w:pPr>
      <w:r>
        <w:tab/>
      </w:r>
      <w:r w:rsidR="002E3B11" w:rsidRPr="002E3B11">
        <w:t>vi)</w:t>
      </w:r>
      <w:r w:rsidR="002E3B11" w:rsidRPr="002E3B11">
        <w:tab/>
        <w:t>экспериментальный проект на Украине (в 2021</w:t>
      </w:r>
      <w:r>
        <w:t>–</w:t>
      </w:r>
      <w:r w:rsidR="002E3B11" w:rsidRPr="002E3B11">
        <w:t>2022 годах, требует подтверждения).</w:t>
      </w:r>
    </w:p>
    <w:p w14:paraId="4A559E57" w14:textId="77777777" w:rsidR="002E3B11" w:rsidRPr="002E3B11" w:rsidRDefault="00E53753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осуществляется при содействии секретариата, при поддержке консультантов и при активном участии стран-бенефициаров и, в соответствующих случаях, организаций-партнеров. С делегациями Европейского союза, направляемыми в страны-бенефициары, и Европейской комиссией будут проведены консультации по вопросам отбора экспериментальных проектов.</w:t>
      </w:r>
    </w:p>
    <w:p w14:paraId="51A84027" w14:textId="77777777" w:rsidR="002E3B11" w:rsidRPr="002E3B11" w:rsidRDefault="002E3B11" w:rsidP="002E3B11">
      <w:pPr>
        <w:pStyle w:val="SingleTxtG"/>
      </w:pPr>
      <w:bookmarkStart w:id="59" w:name="_Hlk31990814"/>
      <w:r w:rsidRPr="002E3B11">
        <w:rPr>
          <w:i/>
          <w:iCs/>
        </w:rPr>
        <w:t>Потребности в ресурсах</w:t>
      </w:r>
      <w:r w:rsidRPr="002E3B11">
        <w:t xml:space="preserve">: финансирование из средств программы </w:t>
      </w:r>
      <w:r w:rsidR="00FB06AB">
        <w:t>«</w:t>
      </w:r>
      <w:r w:rsidRPr="002E3B11">
        <w:t>EU4Environment</w:t>
      </w:r>
      <w:r w:rsidR="00FB06AB">
        <w:t>»</w:t>
      </w:r>
      <w:r w:rsidRPr="002E3B11">
        <w:t xml:space="preserve">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</w:t>
      </w:r>
      <w:bookmarkEnd w:id="59"/>
    </w:p>
    <w:p w14:paraId="3EB1FC1F" w14:textId="77777777" w:rsidR="002E3B11" w:rsidRPr="002E3B11" w:rsidRDefault="002E3B11" w:rsidP="00E53753">
      <w:pPr>
        <w:pStyle w:val="H1G"/>
      </w:pPr>
      <w:r w:rsidRPr="002E3B11">
        <w:tab/>
        <w:t>B.</w:t>
      </w:r>
      <w:r w:rsidRPr="002E3B11">
        <w:tab/>
        <w:t xml:space="preserve">Учебные рабочие совещания по вопросам применения договоров </w:t>
      </w:r>
      <w:bookmarkStart w:id="60" w:name="_Hlk36025379"/>
      <w:bookmarkEnd w:id="60"/>
    </w:p>
    <w:p w14:paraId="4D2216F0" w14:textId="77777777" w:rsidR="002E3B11" w:rsidRPr="002E3B11" w:rsidRDefault="00E53753" w:rsidP="002E3B11">
      <w:pPr>
        <w:pStyle w:val="SingleTxtG"/>
        <w:rPr>
          <w:bCs/>
        </w:rPr>
      </w:pPr>
      <w:bookmarkStart w:id="61" w:name="_Hlk9278240"/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>: организация следующих учебных рабочих совещаний для создания потенциала в области практического применения Протокола:</w:t>
      </w:r>
    </w:p>
    <w:p w14:paraId="2FD6E1AF" w14:textId="77777777" w:rsidR="002E3B11" w:rsidRPr="002E3B11" w:rsidRDefault="00396B74" w:rsidP="00CC3B8B">
      <w:pPr>
        <w:pStyle w:val="SingleTxtG"/>
        <w:ind w:left="1701"/>
        <w:rPr>
          <w:bCs/>
        </w:rPr>
      </w:pPr>
      <w:r>
        <w:tab/>
      </w:r>
      <w:r w:rsidR="002E3B11" w:rsidRPr="002E3B11">
        <w:t>i)</w:t>
      </w:r>
      <w:r w:rsidR="002E3B11" w:rsidRPr="002E3B11">
        <w:tab/>
        <w:t>учебного рабочего совещания в Азербайджане (в 2021 или 2022 году);</w:t>
      </w:r>
    </w:p>
    <w:p w14:paraId="619CD103" w14:textId="77777777" w:rsidR="002E3B11" w:rsidRPr="002E3B11" w:rsidRDefault="00396B74" w:rsidP="00CC3B8B">
      <w:pPr>
        <w:pStyle w:val="SingleTxtG"/>
        <w:ind w:left="1701"/>
        <w:rPr>
          <w:bCs/>
        </w:rPr>
      </w:pPr>
      <w:r>
        <w:tab/>
      </w:r>
      <w:r w:rsidR="002E3B11" w:rsidRPr="002E3B11">
        <w:t>ii)</w:t>
      </w:r>
      <w:r w:rsidR="002E3B11" w:rsidRPr="002E3B11">
        <w:tab/>
        <w:t>учебного рабочего совещания на Украине (в 2021 или 2022 году, требует подтверждения).</w:t>
      </w:r>
    </w:p>
    <w:p w14:paraId="580B4325" w14:textId="77777777" w:rsidR="002E3B11" w:rsidRPr="002E3B11" w:rsidRDefault="00E53753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 xml:space="preserve">: секретариат при поддержке консультантов в сотрудничестве со странами-бенефициарами. </w:t>
      </w:r>
    </w:p>
    <w:p w14:paraId="431BC13A" w14:textId="77777777" w:rsidR="002E3B11" w:rsidRPr="002E3B11" w:rsidRDefault="00E53753" w:rsidP="002E3B11">
      <w:pPr>
        <w:pStyle w:val="SingleTxtG"/>
      </w:pPr>
      <w:bookmarkStart w:id="62" w:name="_Hlk31991282"/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финансирование из средств программы </w:t>
      </w:r>
      <w:r w:rsidR="00FB06AB">
        <w:t>«</w:t>
      </w:r>
      <w:r w:rsidR="002E3B11" w:rsidRPr="002E3B11">
        <w:t>EU4Environment</w:t>
      </w:r>
      <w:r w:rsidR="00FB06AB">
        <w:t>»</w:t>
      </w:r>
      <w:r w:rsidR="002E3B11" w:rsidRPr="002E3B11">
        <w:t xml:space="preserve"> для покрытия рабочего времени сотрудников секретариата категории специалистов и </w:t>
      </w:r>
      <w:r w:rsidR="002E3B11" w:rsidRPr="002E3B11">
        <w:lastRenderedPageBreak/>
        <w:t>административного персонала по проекту и осуществления запланированных видов деятельности.</w:t>
      </w:r>
      <w:bookmarkStart w:id="63" w:name="_Hlk9278215"/>
      <w:bookmarkEnd w:id="61"/>
      <w:bookmarkEnd w:id="62"/>
    </w:p>
    <w:bookmarkEnd w:id="63"/>
    <w:p w14:paraId="1AD09F4C" w14:textId="77777777" w:rsidR="002E3B11" w:rsidRPr="002E3B11" w:rsidRDefault="002E3B11" w:rsidP="00E53753">
      <w:pPr>
        <w:pStyle w:val="H1G"/>
      </w:pPr>
      <w:r w:rsidRPr="002E3B11">
        <w:tab/>
        <w:t>C.</w:t>
      </w:r>
      <w:r w:rsidRPr="002E3B11">
        <w:tab/>
        <w:t xml:space="preserve">Мероприятия по повышению информированности </w:t>
      </w:r>
      <w:bookmarkStart w:id="64" w:name="_Hlk32341991"/>
    </w:p>
    <w:p w14:paraId="507BD630" w14:textId="77777777" w:rsidR="002E3B11" w:rsidRPr="002E3B11" w:rsidRDefault="00E53753" w:rsidP="002E3B11">
      <w:pPr>
        <w:pStyle w:val="SingleTxtG"/>
        <w:rPr>
          <w:bCs/>
        </w:rPr>
      </w:pPr>
      <w:bookmarkStart w:id="65" w:name="_Hlk9278633"/>
      <w:bookmarkEnd w:id="64"/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>: организация следующих мероприятий с целью повышения осведомленности секторальных органов и других соответствующих субъектов о необходимости и выгодах эффективного осуществления законодательства в области стратегической экологической оценки (или оценки воздействия на окружающую среду в трансграничном контексте) в соответствии с Конвенцией и Протоколом:</w:t>
      </w:r>
    </w:p>
    <w:p w14:paraId="39D4D664" w14:textId="77777777" w:rsidR="002E3B11" w:rsidRPr="002E3B11" w:rsidRDefault="00396B74" w:rsidP="00CC3B8B">
      <w:pPr>
        <w:pStyle w:val="SingleTxtG"/>
        <w:ind w:left="1701"/>
        <w:rPr>
          <w:bCs/>
        </w:rPr>
      </w:pPr>
      <w:r>
        <w:tab/>
      </w:r>
      <w:r w:rsidR="002E3B11" w:rsidRPr="002E3B11">
        <w:t>i)</w:t>
      </w:r>
      <w:r w:rsidR="002E3B11" w:rsidRPr="002E3B11">
        <w:tab/>
        <w:t xml:space="preserve">мероприятия по повышению осведомленности в Азербайджане </w:t>
      </w:r>
      <w:r>
        <w:br/>
      </w:r>
      <w:r w:rsidR="002E3B11" w:rsidRPr="002E3B11">
        <w:t>(в 2021 или 2022 году);</w:t>
      </w:r>
    </w:p>
    <w:p w14:paraId="353183D5" w14:textId="77777777" w:rsidR="002E3B11" w:rsidRPr="002E3B11" w:rsidRDefault="00396B74" w:rsidP="00CC3B8B">
      <w:pPr>
        <w:pStyle w:val="SingleTxtG"/>
        <w:ind w:left="1701"/>
        <w:rPr>
          <w:bCs/>
        </w:rPr>
      </w:pPr>
      <w:r>
        <w:tab/>
      </w:r>
      <w:r w:rsidR="002E3B11" w:rsidRPr="002E3B11">
        <w:t>ii)</w:t>
      </w:r>
      <w:r w:rsidR="002E3B11" w:rsidRPr="002E3B11">
        <w:tab/>
        <w:t>мероприятия по повышению осведомленности в Беларуси (в 2021 или 2022 году);</w:t>
      </w:r>
    </w:p>
    <w:p w14:paraId="479B637C" w14:textId="77777777" w:rsidR="002E3B11" w:rsidRPr="002E3B11" w:rsidRDefault="00396B74" w:rsidP="00CC3B8B">
      <w:pPr>
        <w:pStyle w:val="SingleTxtG"/>
        <w:ind w:left="1701"/>
        <w:rPr>
          <w:bCs/>
        </w:rPr>
      </w:pPr>
      <w:r>
        <w:tab/>
      </w:r>
      <w:r w:rsidR="002E3B11" w:rsidRPr="002E3B11">
        <w:t>iii)</w:t>
      </w:r>
      <w:r w:rsidR="002E3B11" w:rsidRPr="002E3B11">
        <w:tab/>
        <w:t xml:space="preserve">мероприятия по повышению осведомленности в Республике Молдова </w:t>
      </w:r>
      <w:r>
        <w:br/>
      </w:r>
      <w:r w:rsidR="002E3B11" w:rsidRPr="002E3B11">
        <w:t>(в 2021 или 2022 году).</w:t>
      </w:r>
    </w:p>
    <w:p w14:paraId="2F447579" w14:textId="77777777" w:rsidR="002E3B11" w:rsidRPr="002E3B11" w:rsidRDefault="00396B74" w:rsidP="002E3B11">
      <w:pPr>
        <w:pStyle w:val="SingleTxtG"/>
        <w:rPr>
          <w:bCs/>
        </w:rPr>
      </w:pPr>
      <w:bookmarkStart w:id="66" w:name="_Hlk32160459"/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 xml:space="preserve">: деятельность координируется секретариатом при поддержке консультантов в сотрудничестве со странами-бенефициарами. </w:t>
      </w:r>
    </w:p>
    <w:p w14:paraId="705B6C3C" w14:textId="77777777" w:rsidR="002E3B11" w:rsidRPr="002E3B11" w:rsidRDefault="00396B74" w:rsidP="002E3B11">
      <w:pPr>
        <w:pStyle w:val="SingleTxtG"/>
      </w:pPr>
      <w:bookmarkStart w:id="67" w:name="_Hlk31991443"/>
      <w:bookmarkEnd w:id="66"/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финансирование из средств программы </w:t>
      </w:r>
      <w:r w:rsidR="00FB06AB">
        <w:t>«</w:t>
      </w:r>
      <w:r w:rsidR="002E3B11" w:rsidRPr="002E3B11">
        <w:t>EU4Environment</w:t>
      </w:r>
      <w:r w:rsidR="00FB06AB">
        <w:t>»</w:t>
      </w:r>
      <w:r w:rsidR="002E3B11" w:rsidRPr="002E3B11">
        <w:t xml:space="preserve">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</w:t>
      </w:r>
    </w:p>
    <w:p w14:paraId="7E542C5C" w14:textId="77777777" w:rsidR="002E3B11" w:rsidRPr="002E3B11" w:rsidRDefault="00396B74" w:rsidP="00396B74">
      <w:pPr>
        <w:pStyle w:val="H1G"/>
      </w:pPr>
      <w:bookmarkStart w:id="68" w:name="_Hlk31991478"/>
      <w:bookmarkEnd w:id="65"/>
      <w:bookmarkEnd w:id="67"/>
      <w:r>
        <w:tab/>
      </w:r>
      <w:r w:rsidR="002E3B11" w:rsidRPr="002E3B11">
        <w:t>D.</w:t>
      </w:r>
      <w:r w:rsidR="002E3B11" w:rsidRPr="002E3B11">
        <w:tab/>
        <w:t xml:space="preserve">Подготовка информационно-просветительских материалов </w:t>
      </w:r>
      <w:bookmarkStart w:id="69" w:name="_Hlk36026039"/>
      <w:bookmarkEnd w:id="69"/>
    </w:p>
    <w:p w14:paraId="7E36BB48" w14:textId="77777777" w:rsidR="002E3B11" w:rsidRPr="002E3B11" w:rsidRDefault="00396B74" w:rsidP="002E3B11">
      <w:pPr>
        <w:pStyle w:val="SingleTxtG"/>
        <w:rPr>
          <w:bCs/>
        </w:rPr>
      </w:pPr>
      <w:bookmarkStart w:id="70" w:name="_Hlk9278913"/>
      <w:bookmarkEnd w:id="68"/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 xml:space="preserve">: подготовка по просьбе стран-бенефициаров следующих </w:t>
      </w:r>
      <w:r w:rsidR="002E3B11" w:rsidRPr="002E3B11">
        <w:rPr>
          <w:bCs/>
        </w:rPr>
        <w:t xml:space="preserve">информационно-просветительских </w:t>
      </w:r>
      <w:r w:rsidR="002E3B11" w:rsidRPr="002E3B11">
        <w:t>материалов о стратегической экологической оценке (или оценке воздействия на окружающую среду в трансграничном контексте) (например, листовок, содержащих информацию о надлежащей практике, или брошюр о роли участия общественности):</w:t>
      </w:r>
    </w:p>
    <w:p w14:paraId="14BBAEB9" w14:textId="77777777" w:rsidR="002E3B11" w:rsidRPr="002E3B11" w:rsidRDefault="00396B74" w:rsidP="00CC3B8B">
      <w:pPr>
        <w:pStyle w:val="SingleTxtG"/>
        <w:ind w:left="1701"/>
        <w:rPr>
          <w:bCs/>
        </w:rPr>
      </w:pPr>
      <w:r>
        <w:tab/>
      </w:r>
      <w:r w:rsidR="002E3B11" w:rsidRPr="002E3B11">
        <w:t>i)</w:t>
      </w:r>
      <w:r w:rsidR="002E3B11" w:rsidRPr="002E3B11">
        <w:tab/>
      </w:r>
      <w:r w:rsidR="002E3B11" w:rsidRPr="002E3B11">
        <w:rPr>
          <w:bCs/>
        </w:rPr>
        <w:t xml:space="preserve">информационно-просветительских </w:t>
      </w:r>
      <w:r w:rsidR="002E3B11" w:rsidRPr="002E3B11">
        <w:t>материалов для Азербайджана (в</w:t>
      </w:r>
      <w:r>
        <w:t> </w:t>
      </w:r>
      <w:r w:rsidR="002E3B11" w:rsidRPr="002E3B11">
        <w:t>2021 или 2022 году);</w:t>
      </w:r>
    </w:p>
    <w:p w14:paraId="7F2AA288" w14:textId="77777777" w:rsidR="002E3B11" w:rsidRPr="002E3B11" w:rsidRDefault="00396B74" w:rsidP="00CC3B8B">
      <w:pPr>
        <w:pStyle w:val="SingleTxtG"/>
        <w:ind w:left="1701"/>
        <w:rPr>
          <w:bCs/>
        </w:rPr>
      </w:pPr>
      <w:r>
        <w:tab/>
      </w:r>
      <w:r w:rsidR="002E3B11" w:rsidRPr="002E3B11">
        <w:t>ii)</w:t>
      </w:r>
      <w:r w:rsidR="002E3B11" w:rsidRPr="002E3B11">
        <w:tab/>
        <w:t>информационно-просветительских</w:t>
      </w:r>
      <w:r w:rsidR="00BC086D">
        <w:t xml:space="preserve"> </w:t>
      </w:r>
      <w:r w:rsidR="002E3B11" w:rsidRPr="002E3B11">
        <w:t>материалов для Беларуси (в 2021 или 2022 году);</w:t>
      </w:r>
    </w:p>
    <w:p w14:paraId="21AA2582" w14:textId="77777777" w:rsidR="002E3B11" w:rsidRPr="002E3B11" w:rsidRDefault="00396B74" w:rsidP="00CC3B8B">
      <w:pPr>
        <w:pStyle w:val="SingleTxtG"/>
        <w:ind w:left="1701"/>
        <w:rPr>
          <w:bCs/>
        </w:rPr>
      </w:pPr>
      <w:r>
        <w:tab/>
      </w:r>
      <w:r w:rsidR="002E3B11" w:rsidRPr="002E3B11">
        <w:t>iii)</w:t>
      </w:r>
      <w:r w:rsidR="002E3B11" w:rsidRPr="002E3B11">
        <w:tab/>
        <w:t>информационно-просветительских</w:t>
      </w:r>
      <w:r w:rsidR="00BC086D">
        <w:t xml:space="preserve"> </w:t>
      </w:r>
      <w:r w:rsidR="002E3B11" w:rsidRPr="002E3B11">
        <w:t>материалов для Украины (в 2021 или 2022 году).</w:t>
      </w:r>
    </w:p>
    <w:p w14:paraId="176DA77F" w14:textId="77777777" w:rsidR="002E3B11" w:rsidRPr="002E3B11" w:rsidRDefault="00396B74" w:rsidP="002E3B11">
      <w:pPr>
        <w:pStyle w:val="SingleTxtG"/>
        <w:rPr>
          <w:bCs/>
        </w:rPr>
      </w:pPr>
      <w:bookmarkStart w:id="71" w:name="_Hlk32160486"/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 xml:space="preserve">: деятельность координируется секретариатом при поддержке консультантов в сотрудничестве со странами-бенефициарами. </w:t>
      </w:r>
      <w:bookmarkStart w:id="72" w:name="_Hlk31991742"/>
      <w:bookmarkEnd w:id="71"/>
    </w:p>
    <w:p w14:paraId="64BF809C" w14:textId="77777777" w:rsidR="002E3B11" w:rsidRPr="002E3B11" w:rsidRDefault="00396B74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финансирование из средств программы </w:t>
      </w:r>
      <w:r w:rsidR="00FB06AB">
        <w:t>«</w:t>
      </w:r>
      <w:r w:rsidR="002E3B11" w:rsidRPr="002E3B11">
        <w:t>EU4Environment</w:t>
      </w:r>
      <w:r w:rsidR="00FB06AB">
        <w:t>»</w:t>
      </w:r>
      <w:r w:rsidR="002E3B11" w:rsidRPr="002E3B11">
        <w:t xml:space="preserve">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</w:t>
      </w:r>
    </w:p>
    <w:bookmarkEnd w:id="70"/>
    <w:bookmarkEnd w:id="72"/>
    <w:p w14:paraId="21B5D9D5" w14:textId="77777777" w:rsidR="002E3B11" w:rsidRPr="002E3B11" w:rsidRDefault="002E3B11" w:rsidP="00396B74">
      <w:pPr>
        <w:pStyle w:val="H1G"/>
      </w:pPr>
      <w:r w:rsidRPr="002E3B11">
        <w:tab/>
        <w:t>E.</w:t>
      </w:r>
      <w:r w:rsidRPr="002E3B11">
        <w:tab/>
        <w:t>Разработка руководящих принципов по конкретным вопросам или</w:t>
      </w:r>
      <w:bookmarkStart w:id="73" w:name="_Hlk36026469"/>
      <w:bookmarkEnd w:id="73"/>
      <w:r w:rsidR="00396B74">
        <w:t> </w:t>
      </w:r>
      <w:r w:rsidRPr="002E3B11">
        <w:t>секторам</w:t>
      </w:r>
    </w:p>
    <w:p w14:paraId="58728F34" w14:textId="77777777" w:rsidR="002E3B11" w:rsidRPr="002E3B11" w:rsidRDefault="00396B74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>: подготовка следующих руководящих принципов в дополнение к существующим общим руководящим принципам стратегической экологической оценки по конкретным вопросам/секторам, согласованным со странами-бенефициарами:</w:t>
      </w:r>
    </w:p>
    <w:p w14:paraId="3DEC9B07" w14:textId="77777777" w:rsidR="002E3B11" w:rsidRPr="002E3B11" w:rsidRDefault="002E3B11" w:rsidP="00CC3B8B">
      <w:pPr>
        <w:pStyle w:val="SingleTxtG"/>
        <w:ind w:left="1701"/>
        <w:rPr>
          <w:bCs/>
        </w:rPr>
      </w:pPr>
      <w:r w:rsidRPr="002E3B11">
        <w:lastRenderedPageBreak/>
        <w:tab/>
        <w:t>i)</w:t>
      </w:r>
      <w:r w:rsidRPr="002E3B11">
        <w:tab/>
        <w:t xml:space="preserve">руководящих принципов для Азербайджана в области регионального </w:t>
      </w:r>
      <w:r w:rsidRPr="002E3B11">
        <w:tab/>
        <w:t xml:space="preserve">развития/транспорта/сельского хозяйства (сектор требует подтверждения), в 2021 или 2022 году; </w:t>
      </w:r>
    </w:p>
    <w:p w14:paraId="39042CEA" w14:textId="77777777" w:rsidR="002E3B11" w:rsidRPr="002E3B11" w:rsidRDefault="00396B74" w:rsidP="00CC3B8B">
      <w:pPr>
        <w:pStyle w:val="SingleTxtG"/>
        <w:ind w:left="1701"/>
        <w:rPr>
          <w:bCs/>
        </w:rPr>
      </w:pPr>
      <w:r>
        <w:tab/>
      </w:r>
      <w:r w:rsidR="002E3B11" w:rsidRPr="002E3B11">
        <w:t>ii)</w:t>
      </w:r>
      <w:r w:rsidR="002E3B11" w:rsidRPr="002E3B11">
        <w:tab/>
        <w:t>руководящих принципов для Беларуси в области градостроительства, в 2121 году (требует подтверждения);</w:t>
      </w:r>
    </w:p>
    <w:p w14:paraId="703BF0E2" w14:textId="77777777" w:rsidR="002E3B11" w:rsidRPr="002E3B11" w:rsidRDefault="00396B74" w:rsidP="00CC3B8B">
      <w:pPr>
        <w:pStyle w:val="SingleTxtG"/>
        <w:ind w:left="1701"/>
        <w:rPr>
          <w:bCs/>
        </w:rPr>
      </w:pPr>
      <w:r>
        <w:tab/>
      </w:r>
      <w:r w:rsidR="002E3B11" w:rsidRPr="002E3B11">
        <w:t>iii)</w:t>
      </w:r>
      <w:r w:rsidR="002E3B11" w:rsidRPr="002E3B11">
        <w:tab/>
        <w:t>руководящих принципов для Республики Молдова по трансграничным процедурам, в 2021–2022 годах;</w:t>
      </w:r>
    </w:p>
    <w:p w14:paraId="4695132D" w14:textId="77777777" w:rsidR="002E3B11" w:rsidRPr="002E3B11" w:rsidRDefault="00396B74" w:rsidP="00CC3B8B">
      <w:pPr>
        <w:pStyle w:val="SingleTxtG"/>
        <w:ind w:left="1701"/>
      </w:pPr>
      <w:r>
        <w:tab/>
      </w:r>
      <w:r w:rsidR="002E3B11" w:rsidRPr="002E3B11">
        <w:t>iv)</w:t>
      </w:r>
      <w:r w:rsidR="002E3B11" w:rsidRPr="002E3B11">
        <w:tab/>
        <w:t>руководящих принципов для Украины в области градостроительства, в 2121 году.</w:t>
      </w:r>
    </w:p>
    <w:p w14:paraId="600D6F9A" w14:textId="77777777" w:rsidR="002E3B11" w:rsidRPr="002E3B11" w:rsidRDefault="00396B74" w:rsidP="002E3B11">
      <w:pPr>
        <w:pStyle w:val="SingleTxtG"/>
        <w:rPr>
          <w:bCs/>
        </w:rPr>
      </w:pPr>
      <w:bookmarkStart w:id="74" w:name="_Hlk31993495"/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 xml:space="preserve">: деятельность координируется секретариатом при поддержке консультантов в сотрудничестве со странами-бенефициарами. </w:t>
      </w:r>
    </w:p>
    <w:p w14:paraId="7E7F4101" w14:textId="77777777" w:rsidR="002E3B11" w:rsidRPr="002E3B11" w:rsidRDefault="00396B74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финансирование из средств программы </w:t>
      </w:r>
      <w:r w:rsidR="00FB06AB">
        <w:t>«</w:t>
      </w:r>
      <w:r w:rsidR="002E3B11" w:rsidRPr="002E3B11">
        <w:t>EU4Environment</w:t>
      </w:r>
      <w:r w:rsidR="00FB06AB">
        <w:t>»</w:t>
      </w:r>
      <w:r w:rsidR="002E3B11" w:rsidRPr="002E3B11">
        <w:t xml:space="preserve">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</w:t>
      </w:r>
    </w:p>
    <w:bookmarkEnd w:id="74"/>
    <w:p w14:paraId="72EDD04D" w14:textId="77777777" w:rsidR="002E3B11" w:rsidRPr="002E3B11" w:rsidRDefault="002E3B11" w:rsidP="00396B74">
      <w:pPr>
        <w:pStyle w:val="H1G"/>
      </w:pPr>
      <w:r w:rsidRPr="002E3B11">
        <w:tab/>
        <w:t>F.</w:t>
      </w:r>
      <w:r w:rsidRPr="002E3B11">
        <w:tab/>
        <w:t xml:space="preserve">Создание типовой базы данных по стратегической экологической оценке </w:t>
      </w:r>
    </w:p>
    <w:p w14:paraId="285D0D70" w14:textId="77777777" w:rsidR="002E3B11" w:rsidRPr="002E3B11" w:rsidRDefault="001542E1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>: разработка типовой базы данных направлена на поддержку применения стратегической экологической оценки в Армении, Азербайджане, Беларуси, Грузии, Республике Молдова и Украине.</w:t>
      </w:r>
    </w:p>
    <w:p w14:paraId="14D95815" w14:textId="77777777" w:rsidR="002E3B11" w:rsidRPr="002E3B11" w:rsidRDefault="001542E1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 xml:space="preserve">: деятельность координируется секретариатом при поддержке консультантов в сотрудничестве со странами-бенефициарами. </w:t>
      </w:r>
    </w:p>
    <w:p w14:paraId="7114E1A9" w14:textId="77777777" w:rsidR="002E3B11" w:rsidRPr="002E3B11" w:rsidRDefault="001542E1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финансирование из средств программы </w:t>
      </w:r>
      <w:r w:rsidR="00FB06AB">
        <w:t>«</w:t>
      </w:r>
      <w:r w:rsidR="002E3B11" w:rsidRPr="002E3B11">
        <w:t>EU4Environment</w:t>
      </w:r>
      <w:r w:rsidR="00FB06AB">
        <w:t>»</w:t>
      </w:r>
      <w:r w:rsidR="002E3B11" w:rsidRPr="002E3B11">
        <w:t xml:space="preserve">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</w:t>
      </w:r>
    </w:p>
    <w:p w14:paraId="49220DE6" w14:textId="77777777" w:rsidR="002E3B11" w:rsidRPr="002E3B11" w:rsidRDefault="002E3B11" w:rsidP="001542E1">
      <w:pPr>
        <w:pStyle w:val="H1G"/>
      </w:pPr>
      <w:r w:rsidRPr="002E3B11">
        <w:tab/>
        <w:t>G.</w:t>
      </w:r>
      <w:r w:rsidRPr="002E3B11">
        <w:tab/>
        <w:t xml:space="preserve">Перевод видеофильма о применении Конвенции </w:t>
      </w:r>
      <w:bookmarkStart w:id="75" w:name="_Hlk36026591"/>
      <w:bookmarkEnd w:id="75"/>
    </w:p>
    <w:p w14:paraId="3A7C13FC" w14:textId="77777777" w:rsidR="002E3B11" w:rsidRPr="002E3B11" w:rsidRDefault="001542E1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 xml:space="preserve">: перевод видеофильма о применении Конвенции на национальные языки стран-бенефициаров в целях повышения информированности и содействия применению Конвенции в этих странах. </w:t>
      </w:r>
    </w:p>
    <w:p w14:paraId="451785CF" w14:textId="77777777" w:rsidR="002E3B11" w:rsidRPr="002E3B11" w:rsidRDefault="001542E1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деятельность координируется секретариатом при поддержке консультантов в сотрудничестве со странами-бенефициарами.</w:t>
      </w:r>
    </w:p>
    <w:p w14:paraId="3275392E" w14:textId="77777777" w:rsidR="002E3B11" w:rsidRPr="002E3B11" w:rsidRDefault="001542E1" w:rsidP="002E3B11">
      <w:pPr>
        <w:pStyle w:val="SingleTxtG"/>
        <w:rPr>
          <w:bCs/>
          <w:i/>
          <w:i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 xml:space="preserve">: финансирование из средств программы </w:t>
      </w:r>
      <w:r w:rsidR="00FB06AB">
        <w:t>«</w:t>
      </w:r>
      <w:r w:rsidR="002E3B11" w:rsidRPr="002E3B11">
        <w:t>EU4Environment</w:t>
      </w:r>
      <w:r w:rsidR="00FB06AB">
        <w:t>»</w:t>
      </w:r>
      <w:r w:rsidR="002E3B11" w:rsidRPr="002E3B11">
        <w:t xml:space="preserve"> в интересах целевых стран программы (Армении, Азербайджана, Беларуси, Грузии, Республики Молдова и Украины) для оплаты рабочего времени сотрудников секретариата категории специалистов и административного персонала по проекту и осуществления запланированных видов деятельности. Другие заинтересованные Стороны могут по своему усмотрению предоставить финансирование для перевода видеофильма на свои национальные языки.</w:t>
      </w:r>
      <w:r w:rsidR="00BC086D">
        <w:t xml:space="preserve"> </w:t>
      </w:r>
    </w:p>
    <w:p w14:paraId="561F7187" w14:textId="77777777" w:rsidR="002E3B11" w:rsidRPr="002E3B11" w:rsidRDefault="002E3B11" w:rsidP="001542E1">
      <w:pPr>
        <w:pStyle w:val="H1G"/>
      </w:pPr>
      <w:r w:rsidRPr="002E3B11">
        <w:tab/>
      </w:r>
      <w:r w:rsidRPr="005A7D10">
        <w:rPr>
          <w:b w:val="0"/>
          <w:sz w:val="20"/>
        </w:rPr>
        <w:t>[</w:t>
      </w:r>
      <w:r w:rsidRPr="002E3B11">
        <w:t>H.</w:t>
      </w:r>
      <w:r w:rsidRPr="002E3B11">
        <w:tab/>
        <w:t xml:space="preserve">Подготовка </w:t>
      </w:r>
      <w:r w:rsidR="00FB06AB">
        <w:t>«</w:t>
      </w:r>
      <w:r w:rsidRPr="002E3B11">
        <w:t>FasTips</w:t>
      </w:r>
      <w:r w:rsidR="00FB06AB">
        <w:t>»</w:t>
      </w:r>
      <w:r w:rsidRPr="002E3B11">
        <w:t xml:space="preserve"> </w:t>
      </w:r>
      <w:bookmarkStart w:id="76" w:name="_Hlk36027098"/>
    </w:p>
    <w:bookmarkEnd w:id="76"/>
    <w:p w14:paraId="0F531D64" w14:textId="77777777" w:rsidR="002E3B11" w:rsidRPr="002E3B11" w:rsidRDefault="001542E1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Деятельность</w:t>
      </w:r>
      <w:r w:rsidR="002E3B11" w:rsidRPr="002E3B11">
        <w:t>: подготовка двухстраничных неофициальных брошюр (</w:t>
      </w:r>
      <w:r w:rsidR="00FB06AB">
        <w:t>«</w:t>
      </w:r>
      <w:r w:rsidR="002E3B11" w:rsidRPr="002E3B11">
        <w:t>FasTips</w:t>
      </w:r>
      <w:r w:rsidR="00FB06AB">
        <w:t>»</w:t>
      </w:r>
      <w:r w:rsidR="002E3B11" w:rsidRPr="002E3B11">
        <w:t>) по ключевым вопросам, касающимся практики проведения стратегической экологической оценки (по предложенным темам).</w:t>
      </w:r>
    </w:p>
    <w:p w14:paraId="029B3489" w14:textId="77777777" w:rsidR="002E3B11" w:rsidRPr="002E3B11" w:rsidRDefault="001542E1" w:rsidP="002E3B11">
      <w:pPr>
        <w:pStyle w:val="SingleTxtG"/>
        <w:rPr>
          <w:bCs/>
        </w:rPr>
      </w:pPr>
      <w:r>
        <w:rPr>
          <w:i/>
          <w:iCs/>
        </w:rPr>
        <w:tab/>
      </w:r>
      <w:r w:rsidR="002E3B11" w:rsidRPr="002E3B11">
        <w:rPr>
          <w:i/>
          <w:iCs/>
        </w:rPr>
        <w:t>Ответственный(ые) орган(ы)</w:t>
      </w:r>
      <w:r w:rsidR="002E3B11" w:rsidRPr="002E3B11">
        <w:t>: Международная ассоциация по оценке воздействия.</w:t>
      </w:r>
    </w:p>
    <w:p w14:paraId="173B2FE2" w14:textId="77777777" w:rsidR="001542E1" w:rsidRDefault="001542E1" w:rsidP="002E3B11">
      <w:pPr>
        <w:pStyle w:val="SingleTxtG"/>
      </w:pPr>
      <w:r>
        <w:rPr>
          <w:i/>
          <w:iCs/>
        </w:rPr>
        <w:tab/>
      </w:r>
      <w:r w:rsidR="002E3B11" w:rsidRPr="002E3B11">
        <w:rPr>
          <w:i/>
          <w:iCs/>
        </w:rPr>
        <w:t>Потребности в ресурсах</w:t>
      </w:r>
      <w:r w:rsidR="002E3B11" w:rsidRPr="002E3B11">
        <w:t>: взносы в натуральной форме].</w:t>
      </w:r>
      <w:r>
        <w:br w:type="page"/>
      </w:r>
    </w:p>
    <w:p w14:paraId="54A8A8DA" w14:textId="77777777" w:rsidR="002E3B11" w:rsidRPr="002E3B11" w:rsidRDefault="002E3B11" w:rsidP="001542E1">
      <w:pPr>
        <w:pStyle w:val="HChG"/>
      </w:pPr>
      <w:r w:rsidRPr="002E3B11">
        <w:lastRenderedPageBreak/>
        <w:t>Приложение II</w:t>
      </w:r>
    </w:p>
    <w:p w14:paraId="65628311" w14:textId="77777777" w:rsidR="002E3B11" w:rsidRPr="001542E1" w:rsidRDefault="002E3B11" w:rsidP="001542E1">
      <w:pPr>
        <w:pStyle w:val="HChG"/>
      </w:pPr>
      <w:bookmarkStart w:id="77" w:name="_Hlk34047917"/>
      <w:r w:rsidRPr="002E3B11">
        <w:tab/>
      </w:r>
      <w:r w:rsidRPr="001542E1">
        <w:tab/>
        <w:t>Потребности в ресурсах для осуществления плана работы на 2021</w:t>
      </w:r>
      <w:r w:rsidR="001542E1" w:rsidRPr="001542E1">
        <w:t>–</w:t>
      </w:r>
      <w:r w:rsidRPr="001542E1">
        <w:t>2023 годы</w:t>
      </w:r>
      <w:bookmarkEnd w:id="77"/>
    </w:p>
    <w:p w14:paraId="0F4B1525" w14:textId="77777777" w:rsidR="002E3B11" w:rsidRPr="002E3B11" w:rsidRDefault="001542E1" w:rsidP="001542E1">
      <w:pPr>
        <w:pStyle w:val="H23G"/>
      </w:pPr>
      <w:r w:rsidRPr="001542E1">
        <w:rPr>
          <w:b w:val="0"/>
        </w:rPr>
        <w:tab/>
      </w:r>
      <w:r w:rsidRPr="001542E1">
        <w:rPr>
          <w:b w:val="0"/>
        </w:rPr>
        <w:tab/>
      </w:r>
      <w:r w:rsidR="002E3B11" w:rsidRPr="001542E1">
        <w:rPr>
          <w:b w:val="0"/>
        </w:rPr>
        <w:t>Таблица 1</w:t>
      </w:r>
      <w:r>
        <w:br/>
      </w:r>
      <w:r w:rsidR="002E3B11" w:rsidRPr="002E3B11">
        <w:t>Потребности в ресурсах на 2021</w:t>
      </w:r>
      <w:r>
        <w:t>–</w:t>
      </w:r>
      <w:r w:rsidR="002E3B11" w:rsidRPr="002E3B11">
        <w:t xml:space="preserve">2023 годы 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3499"/>
        <w:gridCol w:w="1380"/>
        <w:gridCol w:w="857"/>
        <w:gridCol w:w="1060"/>
      </w:tblGrid>
      <w:tr w:rsidR="001B0497" w:rsidRPr="001B0497" w14:paraId="24EF4995" w14:textId="77777777" w:rsidTr="00EE3684">
        <w:trPr>
          <w:cantSplit/>
          <w:trHeight w:val="2200"/>
          <w:tblHeader/>
        </w:trPr>
        <w:tc>
          <w:tcPr>
            <w:tcW w:w="170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76EA7B" w14:textId="77777777" w:rsidR="001B0497" w:rsidRPr="001B0497" w:rsidRDefault="001B0497" w:rsidP="00440305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  <w:lang w:val="en-GB"/>
              </w:rPr>
            </w:pPr>
            <w:bookmarkStart w:id="78" w:name="_Hlk32164981"/>
            <w:r w:rsidRPr="001B0497">
              <w:rPr>
                <w:rFonts w:cs="Times New Roman"/>
                <w:i/>
                <w:sz w:val="16"/>
              </w:rPr>
              <w:t>Область работы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0E59CF" w14:textId="77777777" w:rsidR="001B0497" w:rsidRPr="001B0497" w:rsidRDefault="001B0497" w:rsidP="00440305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  <w:lang w:val="en-GB"/>
              </w:rPr>
            </w:pPr>
            <w:r w:rsidRPr="001B0497">
              <w:rPr>
                <w:rFonts w:cs="Times New Roman"/>
                <w:i/>
                <w:sz w:val="16"/>
              </w:rPr>
              <w:t>Деятельность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982DF9" w14:textId="77777777" w:rsidR="001B0497" w:rsidRPr="001B0497" w:rsidRDefault="001B0497" w:rsidP="00440305">
            <w:pPr>
              <w:spacing w:before="80" w:after="80" w:line="200" w:lineRule="exact"/>
              <w:ind w:left="11" w:right="11"/>
              <w:jc w:val="right"/>
              <w:rPr>
                <w:rFonts w:cs="Times New Roman"/>
                <w:i/>
                <w:sz w:val="16"/>
              </w:rPr>
            </w:pPr>
            <w:r w:rsidRPr="001B0497">
              <w:rPr>
                <w:rFonts w:cs="Times New Roman"/>
                <w:i/>
                <w:sz w:val="16"/>
              </w:rPr>
              <w:t xml:space="preserve">Внебюджетные финансовые ресурсы (наличными и в натуральной форме, </w:t>
            </w:r>
            <w:r w:rsidR="000818D6">
              <w:rPr>
                <w:rFonts w:cs="Times New Roman"/>
                <w:i/>
                <w:sz w:val="16"/>
              </w:rPr>
              <w:br/>
            </w:r>
            <w:r w:rsidRPr="001B0497">
              <w:rPr>
                <w:rFonts w:cs="Times New Roman"/>
                <w:i/>
                <w:sz w:val="16"/>
              </w:rPr>
              <w:t>в долл. США)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85FC8" w14:textId="77777777" w:rsidR="001B0497" w:rsidRPr="001B0497" w:rsidRDefault="001B0497" w:rsidP="00440305">
            <w:pPr>
              <w:spacing w:before="80" w:after="80" w:line="200" w:lineRule="exact"/>
              <w:ind w:left="11" w:right="11"/>
              <w:jc w:val="center"/>
              <w:rPr>
                <w:rFonts w:cs="Times New Roman"/>
                <w:i/>
                <w:sz w:val="16"/>
              </w:rPr>
            </w:pPr>
            <w:r w:rsidRPr="001B0497">
              <w:rPr>
                <w:rFonts w:cs="Times New Roman"/>
                <w:i/>
                <w:sz w:val="16"/>
              </w:rPr>
              <w:t xml:space="preserve">Людские ресурсы, финансируемые из РБ/ВБР в интересах поддержки планируемой деятельности (в виде человеко-месяцев работы сотрудников секретариата </w:t>
            </w:r>
            <w:r w:rsidR="00BA6D3E">
              <w:rPr>
                <w:rFonts w:cs="Times New Roman"/>
                <w:i/>
                <w:sz w:val="16"/>
              </w:rPr>
              <w:br/>
            </w:r>
            <w:r w:rsidRPr="001B0497">
              <w:rPr>
                <w:rFonts w:cs="Times New Roman"/>
                <w:i/>
                <w:sz w:val="16"/>
              </w:rPr>
              <w:t>категорий С и ОО)</w:t>
            </w:r>
          </w:p>
        </w:tc>
      </w:tr>
      <w:tr w:rsidR="002E3B11" w:rsidRPr="001B0497" w14:paraId="69C13916" w14:textId="77777777" w:rsidTr="00EE3684">
        <w:trPr>
          <w:cantSplit/>
          <w:tblHeader/>
        </w:trPr>
        <w:tc>
          <w:tcPr>
            <w:tcW w:w="170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E6AF60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E2ABF9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EC4ED7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9970B6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С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85D175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ОО</w:t>
            </w:r>
          </w:p>
        </w:tc>
      </w:tr>
      <w:tr w:rsidR="002E3B11" w:rsidRPr="001B0497" w14:paraId="6478A0F3" w14:textId="77777777" w:rsidTr="00240DEB">
        <w:trPr>
          <w:cantSplit/>
        </w:trPr>
        <w:tc>
          <w:tcPr>
            <w:tcW w:w="65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4B7FB0D" w14:textId="77777777" w:rsidR="002E3B11" w:rsidRPr="001B0497" w:rsidRDefault="002E3B11" w:rsidP="00440305">
            <w:pPr>
              <w:tabs>
                <w:tab w:val="left" w:pos="300"/>
              </w:tabs>
              <w:spacing w:before="40" w:after="40" w:line="220" w:lineRule="exact"/>
              <w:ind w:left="11" w:right="11"/>
              <w:rPr>
                <w:rFonts w:cs="Times New Roman"/>
                <w:b/>
                <w:sz w:val="18"/>
              </w:rPr>
            </w:pPr>
            <w:r w:rsidRPr="001B0497">
              <w:rPr>
                <w:rFonts w:cs="Times New Roman"/>
                <w:b/>
                <w:sz w:val="18"/>
              </w:rPr>
              <w:t>I.</w:t>
            </w:r>
            <w:r w:rsidRPr="001B0497">
              <w:rPr>
                <w:rFonts w:cs="Times New Roman"/>
                <w:b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Управление, координация и информационное освещение деятельности в</w:t>
            </w:r>
            <w:r w:rsidR="001B0497">
              <w:rPr>
                <w:rFonts w:cs="Times New Roman"/>
                <w:b/>
                <w:bCs/>
                <w:sz w:val="18"/>
              </w:rPr>
              <w:t> </w:t>
            </w:r>
            <w:r w:rsidRPr="001B0497">
              <w:rPr>
                <w:rFonts w:cs="Times New Roman"/>
                <w:b/>
                <w:bCs/>
                <w:sz w:val="18"/>
              </w:rPr>
              <w:t>межсессионный период</w:t>
            </w:r>
            <w:r w:rsidRPr="001B0497">
              <w:rPr>
                <w:rFonts w:cs="Times New Roman"/>
                <w:b/>
                <w:sz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</w:tcPr>
          <w:p w14:paraId="1126F772" w14:textId="77777777" w:rsidR="002E3B11" w:rsidRPr="00CB2F5F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CB2F5F">
              <w:rPr>
                <w:rFonts w:cs="Times New Roman"/>
                <w:b/>
                <w:sz w:val="18"/>
              </w:rPr>
              <w:t>29</w:t>
            </w:r>
            <w:r w:rsidR="00CB2F5F" w:rsidRPr="00CB2F5F">
              <w:rPr>
                <w:rFonts w:cs="Times New Roman"/>
                <w:b/>
                <w:sz w:val="18"/>
              </w:rPr>
              <w:t>,</w:t>
            </w:r>
            <w:r w:rsidRPr="00CB2F5F">
              <w:rPr>
                <w:rFonts w:cs="Times New Roman"/>
                <w:b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shd w:val="clear" w:color="auto" w:fill="auto"/>
          </w:tcPr>
          <w:p w14:paraId="1EEF7C19" w14:textId="77777777" w:rsidR="002E3B11" w:rsidRPr="00CB2F5F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CB2F5F">
              <w:rPr>
                <w:rFonts w:cs="Times New Roman"/>
                <w:b/>
                <w:sz w:val="18"/>
              </w:rPr>
              <w:t>15</w:t>
            </w:r>
            <w:r w:rsidR="00CB2F5F" w:rsidRPr="00CB2F5F">
              <w:rPr>
                <w:rFonts w:cs="Times New Roman"/>
                <w:b/>
                <w:sz w:val="18"/>
              </w:rPr>
              <w:t>,</w:t>
            </w:r>
            <w:r w:rsidRPr="00CB2F5F">
              <w:rPr>
                <w:rFonts w:cs="Times New Roman"/>
                <w:b/>
                <w:sz w:val="18"/>
              </w:rPr>
              <w:t>75</w:t>
            </w:r>
          </w:p>
        </w:tc>
      </w:tr>
      <w:tr w:rsidR="002E3B11" w:rsidRPr="001B0497" w14:paraId="035C178B" w14:textId="77777777" w:rsidTr="00240DEB">
        <w:trPr>
          <w:cantSplit/>
        </w:trPr>
        <w:tc>
          <w:tcPr>
            <w:tcW w:w="1708" w:type="dxa"/>
            <w:vMerge w:val="restart"/>
            <w:shd w:val="clear" w:color="auto" w:fill="auto"/>
          </w:tcPr>
          <w:p w14:paraId="02C36A44" w14:textId="77777777" w:rsidR="002E3B11" w:rsidRPr="001B0497" w:rsidRDefault="002E3B11" w:rsidP="00440305">
            <w:pPr>
              <w:tabs>
                <w:tab w:val="left" w:pos="27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 w:rsidRPr="001B0497">
              <w:rPr>
                <w:rFonts w:cs="Times New Roman"/>
                <w:b/>
                <w:sz w:val="18"/>
              </w:rPr>
              <w:t>A.</w:t>
            </w:r>
            <w:r w:rsidR="001B0497">
              <w:rPr>
                <w:rFonts w:cs="Times New Roman"/>
                <w:b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Организация совещаний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1DD059F8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>Основная и административная подготовка, обслуживание и последующие меры в связи с совещаниями Президиума, Рабочей группы и Совещаний Сторон</w:t>
            </w:r>
          </w:p>
        </w:tc>
        <w:tc>
          <w:tcPr>
            <w:tcW w:w="1380" w:type="dxa"/>
            <w:shd w:val="clear" w:color="auto" w:fill="auto"/>
          </w:tcPr>
          <w:p w14:paraId="5D183977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7" w:type="dxa"/>
            <w:shd w:val="clear" w:color="auto" w:fill="auto"/>
          </w:tcPr>
          <w:p w14:paraId="056167D2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4D891C0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2E3B11" w:rsidRPr="001B0497" w14:paraId="3A6D15D7" w14:textId="77777777" w:rsidTr="00240DEB">
        <w:trPr>
          <w:cantSplit/>
        </w:trPr>
        <w:tc>
          <w:tcPr>
            <w:tcW w:w="1708" w:type="dxa"/>
            <w:vMerge/>
            <w:shd w:val="clear" w:color="auto" w:fill="auto"/>
          </w:tcPr>
          <w:p w14:paraId="7EFFEA16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3AC44FD8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 xml:space="preserve">Совещания Президиума </w:t>
            </w:r>
            <w:r w:rsidR="001B0497">
              <w:rPr>
                <w:rFonts w:cs="Times New Roman"/>
                <w:sz w:val="18"/>
              </w:rPr>
              <w:br/>
            </w:r>
            <w:r w:rsidRPr="001B0497">
              <w:rPr>
                <w:rFonts w:cs="Times New Roman"/>
                <w:sz w:val="18"/>
              </w:rPr>
              <w:t>(смета 4 совещаний): покрытие путевых расходов экспертов, имеющих право на финансирование (смета на 4-х экспертов/</w:t>
            </w:r>
            <w:r w:rsidR="001B0497">
              <w:rPr>
                <w:rFonts w:cs="Times New Roman"/>
                <w:sz w:val="18"/>
              </w:rPr>
              <w:br/>
            </w:r>
            <w:r w:rsidRPr="001B0497">
              <w:rPr>
                <w:rFonts w:cs="Times New Roman"/>
                <w:sz w:val="18"/>
              </w:rPr>
              <w:t>6 000 долл. США на 2-дневное совещание)</w:t>
            </w:r>
          </w:p>
        </w:tc>
        <w:tc>
          <w:tcPr>
            <w:tcW w:w="1380" w:type="dxa"/>
            <w:shd w:val="clear" w:color="auto" w:fill="auto"/>
          </w:tcPr>
          <w:p w14:paraId="1837E312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24 000</w:t>
            </w:r>
          </w:p>
        </w:tc>
        <w:tc>
          <w:tcPr>
            <w:tcW w:w="857" w:type="dxa"/>
            <w:shd w:val="clear" w:color="auto" w:fill="auto"/>
          </w:tcPr>
          <w:p w14:paraId="330ED599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B2520ED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7B5645F4" w14:textId="77777777" w:rsidTr="00240DEB">
        <w:trPr>
          <w:cantSplit/>
        </w:trPr>
        <w:tc>
          <w:tcPr>
            <w:tcW w:w="1708" w:type="dxa"/>
            <w:vMerge/>
            <w:shd w:val="clear" w:color="auto" w:fill="auto"/>
          </w:tcPr>
          <w:p w14:paraId="05EBA89C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3CB0116F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 xml:space="preserve">Совещания Рабочей группы (3): </w:t>
            </w:r>
            <w:r w:rsidR="001B0497">
              <w:rPr>
                <w:rFonts w:cs="Times New Roman"/>
                <w:sz w:val="18"/>
              </w:rPr>
              <w:br/>
            </w:r>
            <w:r w:rsidRPr="001B0497">
              <w:rPr>
                <w:rFonts w:cs="Times New Roman"/>
                <w:sz w:val="18"/>
              </w:rPr>
              <w:t>покрытие путевых расходов примерно 20</w:t>
            </w:r>
            <w:r w:rsidR="001B0497">
              <w:rPr>
                <w:rFonts w:cs="Times New Roman"/>
                <w:sz w:val="18"/>
              </w:rPr>
              <w:t> </w:t>
            </w:r>
            <w:r w:rsidRPr="001B0497">
              <w:rPr>
                <w:rFonts w:cs="Times New Roman"/>
                <w:sz w:val="18"/>
              </w:rPr>
              <w:t>экспертов/совещание: 14 экспертов из имеющих на право на финансирование стран ЕЭК (макс. 20 000 долл. США); 5</w:t>
            </w:r>
            <w:r w:rsidR="001B0497">
              <w:rPr>
                <w:rFonts w:cs="Times New Roman"/>
                <w:sz w:val="18"/>
              </w:rPr>
              <w:t> </w:t>
            </w:r>
            <w:r w:rsidRPr="001B0497">
              <w:rPr>
                <w:rFonts w:cs="Times New Roman"/>
                <w:sz w:val="18"/>
              </w:rPr>
              <w:t xml:space="preserve">экспертов от НПО (макс. 10 000 долл. США); 1 эксперт от стран, не являющихся членами ЕЭК (макс. 3 000 долл. США) </w:t>
            </w:r>
            <w:r w:rsidR="001B0497">
              <w:rPr>
                <w:rFonts w:cs="Times New Roman"/>
                <w:sz w:val="18"/>
              </w:rPr>
              <w:t>–</w:t>
            </w:r>
            <w:r w:rsidRPr="001B0497">
              <w:rPr>
                <w:rFonts w:cs="Times New Roman"/>
                <w:sz w:val="18"/>
              </w:rPr>
              <w:t xml:space="preserve"> при условии наличия финансирования и утверждения Президиумом) </w:t>
            </w:r>
          </w:p>
        </w:tc>
        <w:tc>
          <w:tcPr>
            <w:tcW w:w="1380" w:type="dxa"/>
            <w:shd w:val="clear" w:color="auto" w:fill="auto"/>
          </w:tcPr>
          <w:p w14:paraId="4999A1F8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100 000</w:t>
            </w:r>
          </w:p>
        </w:tc>
        <w:tc>
          <w:tcPr>
            <w:tcW w:w="857" w:type="dxa"/>
            <w:shd w:val="clear" w:color="auto" w:fill="auto"/>
          </w:tcPr>
          <w:p w14:paraId="25E78E59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F4CAB59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6D1907E9" w14:textId="77777777" w:rsidTr="00240DEB">
        <w:trPr>
          <w:cantSplit/>
        </w:trPr>
        <w:tc>
          <w:tcPr>
            <w:tcW w:w="1708" w:type="dxa"/>
            <w:vMerge/>
            <w:shd w:val="clear" w:color="auto" w:fill="auto"/>
          </w:tcPr>
          <w:p w14:paraId="37C68C90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570B51F1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Сессии Совещаний Сторон (в 2023 году): покрытие путевых расходов примерно 37</w:t>
            </w:r>
            <w:r w:rsidR="001B0497">
              <w:rPr>
                <w:rFonts w:cs="Times New Roman"/>
                <w:sz w:val="18"/>
              </w:rPr>
              <w:t> </w:t>
            </w:r>
            <w:r w:rsidRPr="001B0497">
              <w:rPr>
                <w:rFonts w:cs="Times New Roman"/>
                <w:sz w:val="18"/>
              </w:rPr>
              <w:t xml:space="preserve">экспертов: 22 экспертов из имеющих право на финансирование стран ЕЭК </w:t>
            </w:r>
            <w:r w:rsidR="001B0497">
              <w:rPr>
                <w:rFonts w:cs="Times New Roman"/>
                <w:sz w:val="18"/>
              </w:rPr>
              <w:br/>
            </w:r>
            <w:r w:rsidRPr="001B0497">
              <w:rPr>
                <w:rFonts w:cs="Times New Roman"/>
                <w:sz w:val="18"/>
              </w:rPr>
              <w:t xml:space="preserve">(макс. 30 000 долл. США); 10 экспертов от НПО (макс. 20 000 долл. США); </w:t>
            </w:r>
            <w:r w:rsidR="00CB2F5F">
              <w:rPr>
                <w:rFonts w:cs="Times New Roman"/>
                <w:sz w:val="18"/>
              </w:rPr>
              <w:br/>
            </w:r>
            <w:r w:rsidRPr="001B0497">
              <w:rPr>
                <w:rFonts w:cs="Times New Roman"/>
                <w:sz w:val="18"/>
              </w:rPr>
              <w:t xml:space="preserve">5 экспертов из стран, не являющихся членами ЕЭК (макс. 15 000 долл. США); </w:t>
            </w:r>
            <w:r w:rsidR="001B0497">
              <w:rPr>
                <w:rFonts w:cs="Times New Roman"/>
                <w:sz w:val="18"/>
              </w:rPr>
              <w:br/>
            </w:r>
            <w:r w:rsidRPr="001B0497">
              <w:rPr>
                <w:rFonts w:cs="Times New Roman"/>
                <w:sz w:val="18"/>
              </w:rPr>
              <w:t>5 докладчиков (макс. 15 000 долл. США)</w:t>
            </w:r>
          </w:p>
        </w:tc>
        <w:tc>
          <w:tcPr>
            <w:tcW w:w="1380" w:type="dxa"/>
            <w:shd w:val="clear" w:color="auto" w:fill="auto"/>
          </w:tcPr>
          <w:p w14:paraId="68537E63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80 000</w:t>
            </w:r>
          </w:p>
        </w:tc>
        <w:tc>
          <w:tcPr>
            <w:tcW w:w="857" w:type="dxa"/>
            <w:shd w:val="clear" w:color="auto" w:fill="auto"/>
          </w:tcPr>
          <w:p w14:paraId="6624951F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479BB74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1B804B75" w14:textId="77777777" w:rsidTr="00240DEB">
        <w:trPr>
          <w:cantSplit/>
        </w:trPr>
        <w:tc>
          <w:tcPr>
            <w:tcW w:w="1708" w:type="dxa"/>
            <w:vMerge w:val="restart"/>
            <w:shd w:val="clear" w:color="auto" w:fill="auto"/>
          </w:tcPr>
          <w:p w14:paraId="74516D61" w14:textId="77777777" w:rsidR="002E3B11" w:rsidRPr="001B0497" w:rsidRDefault="002E3B11" w:rsidP="00440305">
            <w:pPr>
              <w:tabs>
                <w:tab w:val="left" w:pos="28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bookmarkStart w:id="79" w:name="_Hlk423232"/>
            <w:r w:rsidRPr="001B0497">
              <w:rPr>
                <w:rFonts w:cs="Times New Roman"/>
                <w:b/>
                <w:sz w:val="18"/>
              </w:rPr>
              <w:t>B.</w:t>
            </w:r>
            <w:r w:rsidR="001B0497">
              <w:rPr>
                <w:rFonts w:cs="Times New Roman"/>
                <w:b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Коммуникация, информационное освещение, координация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72DE0644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 xml:space="preserve">Поездки сотрудников секретариата в рамках осуществления плана работы и также информационно-координационные мероприятия (примерно 8 поездок в год) </w:t>
            </w:r>
          </w:p>
        </w:tc>
        <w:tc>
          <w:tcPr>
            <w:tcW w:w="1380" w:type="dxa"/>
            <w:shd w:val="clear" w:color="auto" w:fill="auto"/>
          </w:tcPr>
          <w:p w14:paraId="4AA34B6C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40 000</w:t>
            </w:r>
          </w:p>
        </w:tc>
        <w:tc>
          <w:tcPr>
            <w:tcW w:w="857" w:type="dxa"/>
            <w:shd w:val="clear" w:color="auto" w:fill="auto"/>
          </w:tcPr>
          <w:p w14:paraId="75915DA6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4C2AD54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2D802675" w14:textId="77777777" w:rsidTr="00240DEB">
        <w:trPr>
          <w:cantSplit/>
        </w:trPr>
        <w:tc>
          <w:tcPr>
            <w:tcW w:w="1708" w:type="dxa"/>
            <w:vMerge/>
            <w:shd w:val="clear" w:color="auto" w:fill="auto"/>
          </w:tcPr>
          <w:p w14:paraId="23DB761D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354EE943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>Консультационная поддержка и информационно-пропагандистские материалы</w:t>
            </w:r>
          </w:p>
        </w:tc>
        <w:tc>
          <w:tcPr>
            <w:tcW w:w="1380" w:type="dxa"/>
            <w:shd w:val="clear" w:color="auto" w:fill="auto"/>
          </w:tcPr>
          <w:p w14:paraId="2F57880E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10 000</w:t>
            </w:r>
          </w:p>
        </w:tc>
        <w:tc>
          <w:tcPr>
            <w:tcW w:w="857" w:type="dxa"/>
            <w:shd w:val="clear" w:color="auto" w:fill="auto"/>
          </w:tcPr>
          <w:p w14:paraId="4C0B5D52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B0803A1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794EE7E9" w14:textId="77777777" w:rsidTr="00240DEB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85030CB" w14:textId="77777777" w:rsidR="002E3B11" w:rsidRPr="001B0497" w:rsidRDefault="002E3B11" w:rsidP="00440305">
            <w:pPr>
              <w:tabs>
                <w:tab w:val="left" w:pos="30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 w:rsidRPr="001B0497">
              <w:rPr>
                <w:rFonts w:cs="Times New Roman"/>
                <w:b/>
                <w:sz w:val="18"/>
              </w:rPr>
              <w:lastRenderedPageBreak/>
              <w:t>C.</w:t>
            </w:r>
            <w:r w:rsidR="001B0497">
              <w:rPr>
                <w:rFonts w:cs="Times New Roman"/>
                <w:b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Общее управление программами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6CB0DE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 xml:space="preserve">Управление финансовыми и людскими ресурсами и другие функции, связанные с общим планированием и управлением программами, административные мероприятия и отчетность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0FC9F551" w14:textId="77777777" w:rsidR="002E3B11" w:rsidRPr="00CB2F5F" w:rsidRDefault="00CB2F5F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–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51D4CE89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43AC1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0134CB00" w14:textId="77777777" w:rsidTr="00EE3684">
        <w:trPr>
          <w:cantSplit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3C1C4" w14:textId="77777777" w:rsidR="002E3B11" w:rsidRPr="001B0497" w:rsidRDefault="001B0497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="002E3B11" w:rsidRPr="001B0497">
              <w:rPr>
                <w:rFonts w:cs="Times New Roman"/>
                <w:b/>
                <w:bCs/>
                <w:sz w:val="18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CD5A3C" w14:textId="77777777" w:rsidR="002E3B11" w:rsidRPr="001B0497" w:rsidRDefault="002E3B11" w:rsidP="00440305">
            <w:pPr>
              <w:spacing w:before="80" w:after="8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BAE6C" w14:textId="77777777" w:rsidR="002E3B11" w:rsidRPr="001B0497" w:rsidRDefault="002E3B11" w:rsidP="00440305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1B0497">
              <w:rPr>
                <w:rFonts w:cs="Times New Roman"/>
                <w:b/>
                <w:bCs/>
                <w:sz w:val="18"/>
              </w:rPr>
              <w:t>254 000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2F648A" w14:textId="77777777" w:rsidR="002E3B11" w:rsidRPr="001B0497" w:rsidRDefault="002E3B11" w:rsidP="00440305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30CCFD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bookmarkEnd w:id="79"/>
      <w:tr w:rsidR="002E3B11" w:rsidRPr="001B0497" w14:paraId="1033FD74" w14:textId="77777777" w:rsidTr="00115FB3">
        <w:trPr>
          <w:cantSplit/>
        </w:trPr>
        <w:tc>
          <w:tcPr>
            <w:tcW w:w="6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C5E3E" w14:textId="77777777" w:rsidR="002E3B11" w:rsidRPr="001B0497" w:rsidRDefault="002E3B11" w:rsidP="00440305">
            <w:pPr>
              <w:tabs>
                <w:tab w:val="left" w:pos="280"/>
              </w:tabs>
              <w:spacing w:before="40" w:after="40" w:line="220" w:lineRule="exact"/>
              <w:ind w:left="11" w:right="11"/>
              <w:rPr>
                <w:rFonts w:cs="Times New Roman"/>
                <w:b/>
                <w:sz w:val="18"/>
              </w:rPr>
            </w:pPr>
            <w:r w:rsidRPr="001B0497">
              <w:rPr>
                <w:rFonts w:cs="Times New Roman"/>
                <w:b/>
                <w:sz w:val="18"/>
              </w:rPr>
              <w:t>II.</w:t>
            </w:r>
            <w:r w:rsidRPr="001B0497">
              <w:rPr>
                <w:rFonts w:cs="Times New Roman"/>
                <w:b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Соблюдение и осуществление Конвенции и Протокола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9866EA" w14:textId="77777777" w:rsidR="002E3B11" w:rsidRPr="00CB2F5F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B2F5F">
              <w:rPr>
                <w:rFonts w:cs="Times New Roman"/>
                <w:b/>
                <w:sz w:val="18"/>
              </w:rPr>
              <w:t>26</w:t>
            </w:r>
            <w:r w:rsidR="00CB2F5F" w:rsidRPr="00CB2F5F">
              <w:rPr>
                <w:rFonts w:cs="Times New Roman"/>
                <w:b/>
                <w:sz w:val="18"/>
              </w:rPr>
              <w:t>,</w:t>
            </w:r>
            <w:r w:rsidRPr="00CB2F5F">
              <w:rPr>
                <w:rFonts w:cs="Times New Roman"/>
                <w:b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0DDA7" w14:textId="77777777" w:rsidR="002E3B11" w:rsidRPr="00CB2F5F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B2F5F">
              <w:rPr>
                <w:rFonts w:cs="Times New Roman"/>
                <w:b/>
                <w:sz w:val="18"/>
              </w:rPr>
              <w:t>10</w:t>
            </w:r>
            <w:r w:rsidR="00CB2F5F" w:rsidRPr="00CB2F5F">
              <w:rPr>
                <w:rFonts w:cs="Times New Roman"/>
                <w:b/>
                <w:sz w:val="18"/>
              </w:rPr>
              <w:t>,</w:t>
            </w:r>
            <w:r w:rsidRPr="00CB2F5F">
              <w:rPr>
                <w:rFonts w:cs="Times New Roman"/>
                <w:b/>
                <w:sz w:val="18"/>
              </w:rPr>
              <w:t>25</w:t>
            </w:r>
          </w:p>
        </w:tc>
      </w:tr>
      <w:tr w:rsidR="002E3B11" w:rsidRPr="001B0497" w14:paraId="72058448" w14:textId="77777777" w:rsidTr="00CC6861">
        <w:trPr>
          <w:cantSplit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358EFDF1" w14:textId="77777777" w:rsidR="002E3B11" w:rsidRPr="001B0497" w:rsidRDefault="002E3B11" w:rsidP="00440305">
            <w:pPr>
              <w:tabs>
                <w:tab w:val="left" w:pos="27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 w:rsidRPr="00115FB3">
              <w:rPr>
                <w:rFonts w:cs="Times New Roman"/>
                <w:b/>
                <w:sz w:val="18"/>
              </w:rPr>
              <w:t>A.</w:t>
            </w:r>
            <w:r w:rsidR="00115FB3">
              <w:rPr>
                <w:rFonts w:cs="Times New Roman"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Обзор соблюдения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B0E63C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>Сессии Комитета по осуществлению (9</w:t>
            </w:r>
            <w:r w:rsidR="00115FB3">
              <w:rPr>
                <w:rFonts w:cs="Times New Roman"/>
                <w:sz w:val="18"/>
              </w:rPr>
              <w:t> </w:t>
            </w:r>
            <w:r w:rsidRPr="001B0497">
              <w:rPr>
                <w:rFonts w:cs="Times New Roman"/>
                <w:sz w:val="18"/>
              </w:rPr>
              <w:t xml:space="preserve">сессий): покрытие путевых </w:t>
            </w:r>
            <w:r w:rsidR="00115FB3">
              <w:rPr>
                <w:rFonts w:cs="Times New Roman"/>
                <w:sz w:val="18"/>
              </w:rPr>
              <w:br/>
            </w:r>
            <w:r w:rsidRPr="001B0497">
              <w:rPr>
                <w:rFonts w:cs="Times New Roman"/>
                <w:sz w:val="18"/>
              </w:rPr>
              <w:t>расходов экспертов, имеющих право на финансирование (смета на 4-х экспертов/</w:t>
            </w:r>
            <w:r w:rsidR="00115FB3">
              <w:rPr>
                <w:rFonts w:cs="Times New Roman"/>
                <w:sz w:val="18"/>
              </w:rPr>
              <w:t xml:space="preserve"> </w:t>
            </w:r>
            <w:r w:rsidRPr="001B0497">
              <w:rPr>
                <w:rFonts w:cs="Times New Roman"/>
                <w:sz w:val="18"/>
              </w:rPr>
              <w:t>макс. 6 000 долл. США на 4-дневную сессию)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3F6ED2DD" w14:textId="77777777" w:rsidR="002E3B11" w:rsidRPr="00CC6861" w:rsidRDefault="002E3B11" w:rsidP="00CC6861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>54 000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199C2D5F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855B1F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68578BEB" w14:textId="77777777" w:rsidTr="00240DEB">
        <w:trPr>
          <w:cantSplit/>
        </w:trPr>
        <w:tc>
          <w:tcPr>
            <w:tcW w:w="1708" w:type="dxa"/>
            <w:shd w:val="clear" w:color="auto" w:fill="auto"/>
          </w:tcPr>
          <w:p w14:paraId="58B0BE0F" w14:textId="77777777" w:rsidR="002E3B11" w:rsidRPr="001B0497" w:rsidRDefault="002E3B11" w:rsidP="00440305">
            <w:pPr>
              <w:tabs>
                <w:tab w:val="left" w:pos="27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115FB3">
              <w:rPr>
                <w:rFonts w:cs="Times New Roman"/>
                <w:b/>
                <w:sz w:val="18"/>
              </w:rPr>
              <w:t>B.</w:t>
            </w:r>
            <w:r w:rsidR="00115FB3">
              <w:rPr>
                <w:rFonts w:cs="Times New Roman"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Представление отчетности и обзор осуществления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0F7821B0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>Подготовка проектов обзоров осуществления Конвенции и Протокола: расходы на услуги консультантов и перевод национальных докладов</w:t>
            </w:r>
          </w:p>
        </w:tc>
        <w:tc>
          <w:tcPr>
            <w:tcW w:w="1380" w:type="dxa"/>
            <w:shd w:val="clear" w:color="auto" w:fill="auto"/>
          </w:tcPr>
          <w:p w14:paraId="0EB1276B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25 000</w:t>
            </w:r>
          </w:p>
        </w:tc>
        <w:tc>
          <w:tcPr>
            <w:tcW w:w="857" w:type="dxa"/>
            <w:shd w:val="clear" w:color="auto" w:fill="auto"/>
          </w:tcPr>
          <w:p w14:paraId="3D41FC7A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77FAE89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030BC7A9" w14:textId="77777777" w:rsidTr="00240DEB">
        <w:trPr>
          <w:cantSplit/>
        </w:trPr>
        <w:tc>
          <w:tcPr>
            <w:tcW w:w="1708" w:type="dxa"/>
            <w:shd w:val="clear" w:color="auto" w:fill="auto"/>
          </w:tcPr>
          <w:p w14:paraId="019FA186" w14:textId="77777777" w:rsidR="002E3B11" w:rsidRPr="001B0497" w:rsidRDefault="002E3B11" w:rsidP="00440305">
            <w:pPr>
              <w:tabs>
                <w:tab w:val="left" w:pos="284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115FB3">
              <w:rPr>
                <w:rFonts w:cs="Times New Roman"/>
                <w:b/>
                <w:sz w:val="18"/>
              </w:rPr>
              <w:t>C.</w:t>
            </w:r>
            <w:r w:rsidR="00115FB3">
              <w:rPr>
                <w:rFonts w:cs="Times New Roman"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Предоставление Сторонам правовой помощи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64043B6A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>Помощь в разработке законодательных актов и повышении осведомленности (см.</w:t>
            </w:r>
            <w:r w:rsidR="00115FB3">
              <w:rPr>
                <w:rFonts w:cs="Times New Roman"/>
                <w:sz w:val="18"/>
              </w:rPr>
              <w:t> </w:t>
            </w:r>
            <w:r w:rsidRPr="001B0497">
              <w:rPr>
                <w:rFonts w:cs="Times New Roman"/>
                <w:sz w:val="18"/>
              </w:rPr>
              <w:t>таблицу 3 ниже)</w:t>
            </w:r>
          </w:p>
        </w:tc>
        <w:tc>
          <w:tcPr>
            <w:tcW w:w="1380" w:type="dxa"/>
            <w:shd w:val="clear" w:color="auto" w:fill="auto"/>
          </w:tcPr>
          <w:p w14:paraId="11683205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7" w:type="dxa"/>
            <w:shd w:val="clear" w:color="auto" w:fill="auto"/>
          </w:tcPr>
          <w:p w14:paraId="6553A6F5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538E73C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2E3B11" w:rsidRPr="001B0497" w14:paraId="370B59F5" w14:textId="77777777" w:rsidTr="00240DEB">
        <w:trPr>
          <w:cantSplit/>
        </w:trPr>
        <w:tc>
          <w:tcPr>
            <w:tcW w:w="1708" w:type="dxa"/>
            <w:shd w:val="clear" w:color="auto" w:fill="auto"/>
          </w:tcPr>
          <w:p w14:paraId="75F75038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2BCD6C88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Разработка руководства</w:t>
            </w:r>
          </w:p>
        </w:tc>
        <w:tc>
          <w:tcPr>
            <w:tcW w:w="1380" w:type="dxa"/>
            <w:shd w:val="clear" w:color="auto" w:fill="auto"/>
          </w:tcPr>
          <w:p w14:paraId="02C97573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25 000</w:t>
            </w:r>
          </w:p>
        </w:tc>
        <w:tc>
          <w:tcPr>
            <w:tcW w:w="857" w:type="dxa"/>
            <w:shd w:val="clear" w:color="auto" w:fill="auto"/>
          </w:tcPr>
          <w:p w14:paraId="05AB80AB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F73C2F8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59879637" w14:textId="77777777" w:rsidTr="00240DEB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986ED99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5E3CB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 xml:space="preserve">Обновление руководства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7210BB15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15 000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06E61AC1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D16FC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0A28DA42" w14:textId="77777777" w:rsidTr="00EE3684">
        <w:trPr>
          <w:cantSplit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A9F8F" w14:textId="77777777" w:rsidR="002E3B11" w:rsidRPr="00115FB3" w:rsidRDefault="00115FB3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>
              <w:rPr>
                <w:rFonts w:cs="Times New Roman"/>
                <w:b/>
                <w:bCs/>
                <w:sz w:val="18"/>
                <w:lang w:val="en-GB"/>
              </w:rPr>
              <w:tab/>
            </w:r>
            <w:r w:rsidR="002E3B11" w:rsidRPr="00115FB3">
              <w:rPr>
                <w:rFonts w:cs="Times New Roman"/>
                <w:b/>
                <w:bCs/>
                <w:sz w:val="18"/>
                <w:lang w:val="en-GB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E81A26" w14:textId="77777777" w:rsidR="002E3B11" w:rsidRPr="00115FB3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3FFE8B" w14:textId="77777777" w:rsidR="002E3B11" w:rsidRPr="00115FB3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115FB3">
              <w:rPr>
                <w:rFonts w:cs="Times New Roman"/>
                <w:b/>
                <w:bCs/>
                <w:sz w:val="18"/>
                <w:lang w:val="en-GB"/>
              </w:rPr>
              <w:t>119 000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4F30F" w14:textId="77777777" w:rsidR="002E3B11" w:rsidRPr="00115FB3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BD7B1E" w14:textId="77777777" w:rsidR="002E3B11" w:rsidRPr="00115FB3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</w:tr>
      <w:tr w:rsidR="002E3B11" w:rsidRPr="001B0497" w14:paraId="44B20205" w14:textId="77777777" w:rsidTr="00115FB3">
        <w:trPr>
          <w:cantSplit/>
        </w:trPr>
        <w:tc>
          <w:tcPr>
            <w:tcW w:w="6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9DDD5" w14:textId="77777777" w:rsidR="002E3B11" w:rsidRPr="001B0497" w:rsidRDefault="002E3B11" w:rsidP="00440305">
            <w:pPr>
              <w:tabs>
                <w:tab w:val="left" w:pos="326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115FB3">
              <w:rPr>
                <w:rFonts w:cs="Times New Roman"/>
                <w:b/>
                <w:sz w:val="18"/>
              </w:rPr>
              <w:t>III.</w:t>
            </w:r>
            <w:r w:rsidRPr="001B0497">
              <w:rPr>
                <w:rFonts w:cs="Times New Roman"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Субрегиональное сотрудничество и наращивание потенциала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015A3" w14:textId="77777777" w:rsidR="002E3B11" w:rsidRPr="00CB2F5F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B2F5F">
              <w:rPr>
                <w:rFonts w:cs="Times New Roman"/>
                <w:b/>
                <w:sz w:val="18"/>
              </w:rPr>
              <w:t>1</w:t>
            </w:r>
            <w:r w:rsidR="00CB2F5F" w:rsidRPr="00CB2F5F">
              <w:rPr>
                <w:rFonts w:cs="Times New Roman"/>
                <w:b/>
                <w:sz w:val="18"/>
              </w:rPr>
              <w:t>,</w:t>
            </w:r>
            <w:r w:rsidRPr="00CB2F5F">
              <w:rPr>
                <w:rFonts w:cs="Times New Roman"/>
                <w:b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DADF37" w14:textId="77777777" w:rsidR="002E3B11" w:rsidRPr="00CB2F5F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B2F5F">
              <w:rPr>
                <w:rFonts w:cs="Times New Roman"/>
                <w:b/>
                <w:sz w:val="18"/>
              </w:rPr>
              <w:t>2</w:t>
            </w:r>
            <w:r w:rsidR="00CB2F5F" w:rsidRPr="00CB2F5F">
              <w:rPr>
                <w:rFonts w:cs="Times New Roman"/>
                <w:b/>
                <w:sz w:val="18"/>
              </w:rPr>
              <w:t>,</w:t>
            </w:r>
            <w:r w:rsidRPr="00CB2F5F">
              <w:rPr>
                <w:rFonts w:cs="Times New Roman"/>
                <w:b/>
                <w:sz w:val="18"/>
              </w:rPr>
              <w:t>5</w:t>
            </w:r>
          </w:p>
        </w:tc>
      </w:tr>
      <w:tr w:rsidR="002E3B11" w:rsidRPr="001B0497" w14:paraId="30766A30" w14:textId="77777777" w:rsidTr="00EE3684">
        <w:trPr>
          <w:cantSplit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7C0446C4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BD2F3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 xml:space="preserve">Субрегион Балтийского моря </w:t>
            </w:r>
            <w:r w:rsidR="00596A69">
              <w:rPr>
                <w:rFonts w:cs="Times New Roman"/>
                <w:sz w:val="18"/>
              </w:rPr>
              <w:br/>
            </w:r>
            <w:r w:rsidRPr="001B0497">
              <w:rPr>
                <w:rFonts w:cs="Times New Roman"/>
                <w:sz w:val="18"/>
              </w:rPr>
              <w:t>(взносы в натуральной форме требуют подтверждения)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7896F6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44174E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F1788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2E3B11" w:rsidRPr="001B0497" w14:paraId="3B786CB4" w14:textId="77777777" w:rsidTr="00240DEB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9D48C9A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2CFA0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>Восточная Европа, Кавказ и Центральная Азия (см. таблицу 3 ниже)</w:t>
            </w:r>
          </w:p>
          <w:p w14:paraId="24842B9B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 xml:space="preserve">Покрытие расходов примерно 10 экспертов из Центральной Азии для участия в субрегиональной конференции </w:t>
            </w:r>
            <w:r w:rsidR="00596A69">
              <w:rPr>
                <w:rFonts w:cs="Times New Roman"/>
                <w:sz w:val="18"/>
              </w:rPr>
              <w:br/>
            </w:r>
            <w:r w:rsidRPr="001B0497">
              <w:rPr>
                <w:rFonts w:cs="Times New Roman"/>
                <w:sz w:val="18"/>
              </w:rPr>
              <w:t>(будут определены позднее)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246BA458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20 000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508C89BA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8C8288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285719CB" w14:textId="77777777" w:rsidTr="00EE3684">
        <w:trPr>
          <w:cantSplit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F124E" w14:textId="77777777" w:rsidR="002E3B11" w:rsidRPr="001B0497" w:rsidRDefault="00115FB3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>
              <w:rPr>
                <w:rFonts w:cs="Times New Roman"/>
                <w:b/>
                <w:bCs/>
                <w:sz w:val="18"/>
                <w:lang w:val="en-GB"/>
              </w:rPr>
              <w:tab/>
            </w:r>
            <w:r w:rsidR="002E3B11" w:rsidRPr="00115FB3">
              <w:rPr>
                <w:rFonts w:cs="Times New Roman"/>
                <w:b/>
                <w:bCs/>
                <w:sz w:val="18"/>
                <w:lang w:val="en-GB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9DF6CE" w14:textId="77777777" w:rsidR="002E3B11" w:rsidRPr="00115FB3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1206B7" w14:textId="77777777" w:rsidR="002E3B11" w:rsidRPr="001B0497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115FB3">
              <w:rPr>
                <w:rFonts w:cs="Times New Roman"/>
                <w:b/>
                <w:bCs/>
                <w:sz w:val="18"/>
                <w:lang w:val="en-GB"/>
              </w:rPr>
              <w:t>20 000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987810" w14:textId="77777777" w:rsidR="002E3B11" w:rsidRPr="001B0497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42F8FE" w14:textId="77777777" w:rsidR="002E3B11" w:rsidRPr="00115FB3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</w:tr>
      <w:tr w:rsidR="002E3B11" w:rsidRPr="001B0497" w14:paraId="49E08BFA" w14:textId="77777777" w:rsidTr="00115FB3">
        <w:trPr>
          <w:cantSplit/>
        </w:trPr>
        <w:tc>
          <w:tcPr>
            <w:tcW w:w="6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53B57" w14:textId="77777777" w:rsidR="002E3B11" w:rsidRPr="001B0497" w:rsidRDefault="002E3B11" w:rsidP="00440305">
            <w:pPr>
              <w:tabs>
                <w:tab w:val="left" w:pos="326"/>
              </w:tabs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15FB3">
              <w:rPr>
                <w:rFonts w:cs="Times New Roman"/>
                <w:b/>
                <w:sz w:val="18"/>
              </w:rPr>
              <w:t>IV.</w:t>
            </w:r>
            <w:r w:rsidR="00115FB3">
              <w:rPr>
                <w:rFonts w:cs="Times New Roman"/>
                <w:b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Обмен информацией о надлежащей практике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425419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1B0497">
              <w:rPr>
                <w:rFonts w:cs="Times New Roman"/>
                <w:b/>
                <w:bCs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0EE3E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1B0497">
              <w:rPr>
                <w:rFonts w:cs="Times New Roman"/>
                <w:b/>
                <w:bCs/>
                <w:sz w:val="18"/>
              </w:rPr>
              <w:t>3</w:t>
            </w:r>
          </w:p>
        </w:tc>
      </w:tr>
      <w:tr w:rsidR="002E3B11" w:rsidRPr="001B0497" w14:paraId="1FD733FE" w14:textId="77777777" w:rsidTr="00240DEB">
        <w:trPr>
          <w:cantSplit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4666E34A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2A762E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bCs/>
                <w:sz w:val="18"/>
              </w:rPr>
            </w:pPr>
            <w:r w:rsidRPr="001B0497">
              <w:rPr>
                <w:rFonts w:cs="Times New Roman"/>
                <w:sz w:val="18"/>
              </w:rPr>
              <w:t>Тематические рабочие совещания или семинары в рамках совещаний Рабочей группы или сессий Совещаний Сторон (взносы в натуральной форме от Сторон/заинтересованных субъектов)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1C04BCEC" w14:textId="77777777" w:rsidR="002E3B11" w:rsidRPr="00115FB3" w:rsidRDefault="00115FB3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7CD06719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Cs/>
                <w:sz w:val="18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102137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</w:p>
        </w:tc>
      </w:tr>
      <w:tr w:rsidR="002E3B11" w:rsidRPr="001B0497" w14:paraId="3390F102" w14:textId="77777777" w:rsidTr="00240DEB">
        <w:trPr>
          <w:cantSplit/>
        </w:trPr>
        <w:tc>
          <w:tcPr>
            <w:tcW w:w="1708" w:type="dxa"/>
            <w:shd w:val="clear" w:color="auto" w:fill="auto"/>
          </w:tcPr>
          <w:p w14:paraId="1DF2582A" w14:textId="77777777" w:rsidR="002E3B11" w:rsidRPr="001B0497" w:rsidRDefault="002E3B11" w:rsidP="00440305">
            <w:pPr>
              <w:pageBreakBefore/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752D0245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>Подготовка информационных бюллетеней (взносы в натуральной форме от Сторон/заинтересованных субъектов)</w:t>
            </w:r>
          </w:p>
        </w:tc>
        <w:tc>
          <w:tcPr>
            <w:tcW w:w="1380" w:type="dxa"/>
            <w:shd w:val="clear" w:color="auto" w:fill="auto"/>
          </w:tcPr>
          <w:p w14:paraId="5ABD080D" w14:textId="77777777" w:rsidR="002E3B11" w:rsidRPr="00115FB3" w:rsidRDefault="00115FB3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–</w:t>
            </w:r>
          </w:p>
        </w:tc>
        <w:tc>
          <w:tcPr>
            <w:tcW w:w="857" w:type="dxa"/>
            <w:shd w:val="clear" w:color="auto" w:fill="auto"/>
          </w:tcPr>
          <w:p w14:paraId="20EAC5A6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9AD2C7F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12CF5CC4" w14:textId="77777777" w:rsidTr="00240DEB">
        <w:trPr>
          <w:cantSplit/>
        </w:trPr>
        <w:tc>
          <w:tcPr>
            <w:tcW w:w="1708" w:type="dxa"/>
            <w:shd w:val="clear" w:color="auto" w:fill="auto"/>
          </w:tcPr>
          <w:p w14:paraId="5A7AB0A4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3499" w:type="dxa"/>
            <w:shd w:val="clear" w:color="auto" w:fill="auto"/>
            <w:vAlign w:val="bottom"/>
          </w:tcPr>
          <w:p w14:paraId="2FD77865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 xml:space="preserve">Разработка онлайновой базы данных о надлежащей практике Сторон или сбор и компиляция информации о надлежащей практике (размер гонораров консультантов будет определен позднее) </w:t>
            </w:r>
          </w:p>
        </w:tc>
        <w:tc>
          <w:tcPr>
            <w:tcW w:w="1380" w:type="dxa"/>
            <w:shd w:val="clear" w:color="auto" w:fill="auto"/>
          </w:tcPr>
          <w:p w14:paraId="783274FC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20 000</w:t>
            </w:r>
          </w:p>
        </w:tc>
        <w:tc>
          <w:tcPr>
            <w:tcW w:w="857" w:type="dxa"/>
            <w:shd w:val="clear" w:color="auto" w:fill="auto"/>
          </w:tcPr>
          <w:p w14:paraId="42BECD86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DF6FC3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CA1549" w14:paraId="497203DB" w14:textId="77777777" w:rsidTr="00240DEB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8268546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D39F81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>Разработка рекомендаций по надлежащей практике (размер гонораров консультантов будет определен позднее)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299ADFDF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1B0497">
              <w:rPr>
                <w:rFonts w:cs="Times New Roman"/>
                <w:sz w:val="18"/>
              </w:rPr>
              <w:t>20 000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358B36D8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C3C53A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65AD207E" w14:textId="77777777" w:rsidTr="00EE3684">
        <w:trPr>
          <w:cantSplit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AD4D5" w14:textId="77777777" w:rsidR="002E3B11" w:rsidRPr="001B0497" w:rsidRDefault="00CA1549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>
              <w:rPr>
                <w:rFonts w:cs="Times New Roman"/>
                <w:b/>
                <w:bCs/>
                <w:sz w:val="18"/>
                <w:lang w:val="en-GB"/>
              </w:rPr>
              <w:tab/>
            </w:r>
            <w:r w:rsidR="002E3B11" w:rsidRPr="00CA1549">
              <w:rPr>
                <w:rFonts w:cs="Times New Roman"/>
                <w:b/>
                <w:bCs/>
                <w:sz w:val="18"/>
                <w:lang w:val="en-GB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93B4E9" w14:textId="77777777" w:rsidR="002E3B11" w:rsidRPr="00CA1549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03E10" w14:textId="77777777" w:rsidR="002E3B11" w:rsidRPr="001B0497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CA1549">
              <w:rPr>
                <w:rFonts w:cs="Times New Roman"/>
                <w:b/>
                <w:bCs/>
                <w:sz w:val="18"/>
                <w:lang w:val="en-GB"/>
              </w:rPr>
              <w:t>40 000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A9C978" w14:textId="77777777" w:rsidR="002E3B11" w:rsidRPr="001B0497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A302C0" w14:textId="77777777" w:rsidR="002E3B11" w:rsidRPr="00CA1549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</w:tr>
      <w:tr w:rsidR="002E3B11" w:rsidRPr="001B0497" w14:paraId="359A6E13" w14:textId="77777777" w:rsidTr="00905911">
        <w:trPr>
          <w:cantSplit/>
        </w:trPr>
        <w:tc>
          <w:tcPr>
            <w:tcW w:w="6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46A13" w14:textId="77777777" w:rsidR="002E3B11" w:rsidRPr="001B0497" w:rsidRDefault="002E3B11" w:rsidP="00440305">
            <w:pPr>
              <w:tabs>
                <w:tab w:val="left" w:pos="284"/>
              </w:tabs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CA1549">
              <w:rPr>
                <w:rFonts w:cs="Times New Roman"/>
                <w:b/>
                <w:sz w:val="18"/>
              </w:rPr>
              <w:t>V.</w:t>
            </w:r>
            <w:r w:rsidRPr="00CA1549">
              <w:rPr>
                <w:rFonts w:cs="Times New Roman"/>
                <w:b/>
                <w:sz w:val="18"/>
              </w:rPr>
              <w:tab/>
            </w:r>
            <w:r w:rsidRPr="001B0497">
              <w:rPr>
                <w:rFonts w:cs="Times New Roman"/>
                <w:b/>
                <w:bCs/>
                <w:sz w:val="18"/>
              </w:rPr>
              <w:t>Содействие практическому применению Протокола и/или Конвенции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263A36" w14:textId="77777777" w:rsidR="002E3B11" w:rsidRPr="00CB2F5F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CB2F5F">
              <w:rPr>
                <w:rFonts w:cs="Times New Roman"/>
                <w:b/>
                <w:sz w:val="18"/>
              </w:rPr>
              <w:t>2</w:t>
            </w:r>
            <w:r w:rsidR="00CB2F5F" w:rsidRPr="00CB2F5F">
              <w:rPr>
                <w:rFonts w:cs="Times New Roman"/>
                <w:b/>
                <w:sz w:val="18"/>
              </w:rPr>
              <w:t>,</w:t>
            </w:r>
            <w:r w:rsidRPr="00CB2F5F">
              <w:rPr>
                <w:rFonts w:cs="Times New Roman"/>
                <w:b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40541" w14:textId="77777777" w:rsidR="002E3B11" w:rsidRPr="00CB2F5F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CB2F5F">
              <w:rPr>
                <w:rFonts w:cs="Times New Roman"/>
                <w:b/>
                <w:bCs/>
                <w:sz w:val="18"/>
              </w:rPr>
              <w:t>0</w:t>
            </w:r>
          </w:p>
        </w:tc>
      </w:tr>
      <w:tr w:rsidR="002E3B11" w:rsidRPr="001B0497" w14:paraId="64BFFB36" w14:textId="77777777" w:rsidTr="00240DEB">
        <w:trPr>
          <w:cantSplit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007D921E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5B39C0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>Экспериментальные проекты, подготовка, повышение информированности, руководящие принципы по конкретным вопросам или секторам и типовая база данных для стран Восточной Европы и Кавказа (см. таблицу 3 ниже)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02C36514" w14:textId="77777777" w:rsidR="002E3B11" w:rsidRPr="00905911" w:rsidRDefault="009059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1D0965B1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8EFE57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1B0497" w14:paraId="5F8054D1" w14:textId="77777777" w:rsidTr="00240DEB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4153BE2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A70AD8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B0497">
              <w:rPr>
                <w:rFonts w:cs="Times New Roman"/>
                <w:sz w:val="18"/>
              </w:rPr>
              <w:t xml:space="preserve">Подготовка </w:t>
            </w:r>
            <w:r w:rsidR="00FB06AB" w:rsidRPr="001B0497">
              <w:rPr>
                <w:rFonts w:cs="Times New Roman"/>
                <w:sz w:val="18"/>
              </w:rPr>
              <w:t>«</w:t>
            </w:r>
            <w:r w:rsidRPr="001B0497">
              <w:rPr>
                <w:rFonts w:cs="Times New Roman"/>
                <w:sz w:val="18"/>
              </w:rPr>
              <w:t>FasTips</w:t>
            </w:r>
            <w:r w:rsidR="00FB06AB" w:rsidRPr="001B0497">
              <w:rPr>
                <w:rFonts w:cs="Times New Roman"/>
                <w:sz w:val="18"/>
              </w:rPr>
              <w:t>»</w:t>
            </w:r>
            <w:r w:rsidRPr="001B0497">
              <w:rPr>
                <w:rFonts w:cs="Times New Roman"/>
                <w:sz w:val="18"/>
              </w:rPr>
              <w:t xml:space="preserve"> МАОВ (взнос в натуральной форме)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7C57CDB7" w14:textId="77777777" w:rsidR="002E3B11" w:rsidRPr="00905911" w:rsidRDefault="009059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–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4F7BF019" w14:textId="77777777" w:rsidR="002E3B11" w:rsidRPr="001B0497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B6CA6B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</w:p>
        </w:tc>
      </w:tr>
      <w:tr w:rsidR="002E3B11" w:rsidRPr="00905911" w14:paraId="3E6F691E" w14:textId="77777777" w:rsidTr="00EE3684">
        <w:trPr>
          <w:cantSplit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2CFFC" w14:textId="77777777" w:rsidR="002E3B11" w:rsidRPr="001B0497" w:rsidRDefault="009059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>
              <w:rPr>
                <w:rFonts w:cs="Times New Roman"/>
                <w:b/>
                <w:bCs/>
                <w:sz w:val="18"/>
                <w:lang w:val="en-GB"/>
              </w:rPr>
              <w:tab/>
            </w:r>
            <w:r w:rsidR="002E3B11" w:rsidRPr="00905911">
              <w:rPr>
                <w:rFonts w:cs="Times New Roman"/>
                <w:b/>
                <w:bCs/>
                <w:sz w:val="18"/>
                <w:lang w:val="en-GB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31CC43" w14:textId="77777777" w:rsidR="002E3B11" w:rsidRPr="00905911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61EC0" w14:textId="77777777" w:rsidR="002E3B11" w:rsidRPr="00905911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905911">
              <w:rPr>
                <w:rFonts w:cs="Times New Roman"/>
                <w:b/>
                <w:bCs/>
                <w:sz w:val="18"/>
                <w:lang w:val="en-GB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8681B1" w14:textId="77777777" w:rsidR="002E3B11" w:rsidRPr="00905911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2A4A41" w14:textId="77777777" w:rsidR="002E3B11" w:rsidRPr="00905911" w:rsidRDefault="002E3B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</w:p>
        </w:tc>
      </w:tr>
      <w:tr w:rsidR="002E3B11" w:rsidRPr="001B0497" w14:paraId="61839BCA" w14:textId="77777777" w:rsidTr="00EE3684">
        <w:trPr>
          <w:cantSplit/>
        </w:trPr>
        <w:tc>
          <w:tcPr>
            <w:tcW w:w="52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208501" w14:textId="77777777" w:rsidR="002E3B11" w:rsidRPr="001B0497" w:rsidRDefault="00905911" w:rsidP="00440305">
            <w:pPr>
              <w:tabs>
                <w:tab w:val="left" w:pos="300"/>
              </w:tabs>
              <w:spacing w:before="80" w:after="80" w:line="220" w:lineRule="exact"/>
              <w:ind w:left="11" w:right="11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="002E3B11" w:rsidRPr="001B0497">
              <w:rPr>
                <w:rFonts w:cs="Times New Roman"/>
                <w:b/>
                <w:bCs/>
                <w:sz w:val="18"/>
              </w:rPr>
              <w:t>Всего на деятельность (области работы I</w:t>
            </w:r>
            <w:r>
              <w:rPr>
                <w:rFonts w:cs="Times New Roman"/>
                <w:b/>
                <w:bCs/>
                <w:sz w:val="18"/>
              </w:rPr>
              <w:t>–</w:t>
            </w:r>
            <w:r w:rsidR="002E3B11" w:rsidRPr="001B0497">
              <w:rPr>
                <w:rFonts w:cs="Times New Roman"/>
                <w:b/>
                <w:bCs/>
                <w:sz w:val="18"/>
              </w:rPr>
              <w:t>V)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9B60CA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1B0497">
              <w:rPr>
                <w:rFonts w:cs="Times New Roman"/>
                <w:b/>
                <w:bCs/>
                <w:sz w:val="18"/>
              </w:rPr>
              <w:t>433 000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DCEEA9" w14:textId="77777777" w:rsidR="002E3B11" w:rsidRPr="001B0497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1B0497">
              <w:rPr>
                <w:rFonts w:cs="Times New Roman"/>
                <w:b/>
                <w:bCs/>
                <w:sz w:val="18"/>
              </w:rPr>
              <w:t>63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CBBF6" w14:textId="77777777" w:rsidR="002E3B11" w:rsidRPr="00CB2F5F" w:rsidRDefault="002E3B11" w:rsidP="00440305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B2F5F">
              <w:rPr>
                <w:rFonts w:cs="Times New Roman"/>
                <w:b/>
                <w:sz w:val="18"/>
              </w:rPr>
              <w:t>31</w:t>
            </w:r>
            <w:r w:rsidR="00CB2F5F" w:rsidRPr="00CB2F5F">
              <w:rPr>
                <w:rFonts w:cs="Times New Roman"/>
                <w:b/>
                <w:sz w:val="18"/>
              </w:rPr>
              <w:t>,</w:t>
            </w:r>
            <w:r w:rsidRPr="00CB2F5F">
              <w:rPr>
                <w:rFonts w:cs="Times New Roman"/>
                <w:b/>
                <w:sz w:val="18"/>
              </w:rPr>
              <w:t>5</w:t>
            </w:r>
          </w:p>
        </w:tc>
      </w:tr>
    </w:tbl>
    <w:p w14:paraId="10FC82E8" w14:textId="77777777" w:rsidR="002E3B11" w:rsidRPr="00CB2F5F" w:rsidRDefault="00CB2F5F" w:rsidP="00295057">
      <w:pPr>
        <w:pStyle w:val="SingleTxtG"/>
        <w:tabs>
          <w:tab w:val="left" w:pos="1276"/>
        </w:tabs>
        <w:spacing w:before="120" w:after="0" w:line="220" w:lineRule="exact"/>
        <w:ind w:right="0"/>
        <w:jc w:val="left"/>
        <w:rPr>
          <w:sz w:val="18"/>
          <w:szCs w:val="18"/>
        </w:rPr>
      </w:pPr>
      <w:bookmarkStart w:id="80" w:name="_Hlk32495233"/>
      <w:bookmarkEnd w:id="78"/>
      <w:r w:rsidRPr="007A106F">
        <w:rPr>
          <w:i/>
          <w:iCs/>
          <w:sz w:val="18"/>
          <w:szCs w:val="18"/>
        </w:rPr>
        <w:tab/>
      </w:r>
      <w:r w:rsidR="002E3B11" w:rsidRPr="00CB2F5F">
        <w:rPr>
          <w:i/>
          <w:iCs/>
          <w:sz w:val="18"/>
          <w:szCs w:val="18"/>
        </w:rPr>
        <w:t>Сокращения</w:t>
      </w:r>
      <w:r w:rsidR="002E3B11" w:rsidRPr="00CB2F5F">
        <w:rPr>
          <w:sz w:val="18"/>
          <w:szCs w:val="18"/>
        </w:rPr>
        <w:t>: ОО</w:t>
      </w:r>
      <w:r w:rsidR="00596A69">
        <w:rPr>
          <w:sz w:val="18"/>
          <w:szCs w:val="18"/>
        </w:rPr>
        <w:t xml:space="preserve"> – </w:t>
      </w:r>
      <w:r w:rsidR="002E3B11" w:rsidRPr="00CB2F5F">
        <w:rPr>
          <w:sz w:val="18"/>
          <w:szCs w:val="18"/>
        </w:rPr>
        <w:t xml:space="preserve">сотрудник категории общего обслуживания; С </w:t>
      </w:r>
      <w:r w:rsidR="00596A69">
        <w:rPr>
          <w:sz w:val="18"/>
          <w:szCs w:val="18"/>
        </w:rPr>
        <w:t>–</w:t>
      </w:r>
      <w:r w:rsidR="002E3B11" w:rsidRPr="00CB2F5F">
        <w:rPr>
          <w:sz w:val="18"/>
          <w:szCs w:val="18"/>
        </w:rPr>
        <w:t xml:space="preserve"> сотрудник категории специалистов; РБ</w:t>
      </w:r>
      <w:r w:rsidR="00295057">
        <w:rPr>
          <w:sz w:val="18"/>
          <w:szCs w:val="18"/>
        </w:rPr>
        <w:t> </w:t>
      </w:r>
      <w:r w:rsidR="00596A69">
        <w:rPr>
          <w:sz w:val="18"/>
          <w:szCs w:val="18"/>
        </w:rPr>
        <w:t>–</w:t>
      </w:r>
      <w:r w:rsidR="002E3B11" w:rsidRPr="00CB2F5F">
        <w:rPr>
          <w:sz w:val="18"/>
          <w:szCs w:val="18"/>
        </w:rPr>
        <w:t xml:space="preserve"> регулярный бюджет; ВБР </w:t>
      </w:r>
      <w:r w:rsidR="00596A69">
        <w:rPr>
          <w:sz w:val="18"/>
          <w:szCs w:val="18"/>
        </w:rPr>
        <w:t>–</w:t>
      </w:r>
      <w:r w:rsidR="002E3B11" w:rsidRPr="00CB2F5F">
        <w:rPr>
          <w:sz w:val="18"/>
          <w:szCs w:val="18"/>
        </w:rPr>
        <w:t xml:space="preserve"> внебюджетные ресурсы; ОВОС </w:t>
      </w:r>
      <w:r w:rsidR="00596A69">
        <w:rPr>
          <w:sz w:val="18"/>
          <w:szCs w:val="18"/>
        </w:rPr>
        <w:t>–</w:t>
      </w:r>
      <w:r w:rsidR="002E3B11" w:rsidRPr="00CB2F5F">
        <w:rPr>
          <w:sz w:val="18"/>
          <w:szCs w:val="18"/>
        </w:rPr>
        <w:t xml:space="preserve"> оценка воздействия на окружающую среду; МАОВ </w:t>
      </w:r>
      <w:r w:rsidR="00596A69">
        <w:rPr>
          <w:sz w:val="18"/>
          <w:szCs w:val="18"/>
        </w:rPr>
        <w:t>–</w:t>
      </w:r>
      <w:r w:rsidR="002E3B11" w:rsidRPr="00CB2F5F">
        <w:rPr>
          <w:sz w:val="18"/>
          <w:szCs w:val="18"/>
        </w:rPr>
        <w:t xml:space="preserve"> Международная ассоциация по оценке воздействия. </w:t>
      </w:r>
    </w:p>
    <w:bookmarkEnd w:id="80"/>
    <w:p w14:paraId="4236AEAF" w14:textId="77777777" w:rsidR="00BC086D" w:rsidRPr="00CB2F5F" w:rsidRDefault="00CB2F5F" w:rsidP="00295057">
      <w:pPr>
        <w:pStyle w:val="SingleTxtG"/>
        <w:tabs>
          <w:tab w:val="left" w:pos="1276"/>
        </w:tabs>
        <w:spacing w:line="220" w:lineRule="exact"/>
        <w:ind w:right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2E3B11" w:rsidRPr="00596A69">
        <w:rPr>
          <w:i/>
          <w:sz w:val="18"/>
          <w:szCs w:val="18"/>
          <w:vertAlign w:val="superscript"/>
        </w:rPr>
        <w:t>a</w:t>
      </w:r>
      <w:r w:rsidR="002E3B11" w:rsidRPr="00CB2F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E3B11" w:rsidRPr="00CB2F5F">
        <w:rPr>
          <w:sz w:val="18"/>
          <w:szCs w:val="18"/>
        </w:rPr>
        <w:t>Финансирование деятельности, предусмотренной планом работы на 2021</w:t>
      </w:r>
      <w:r w:rsidR="00596A69">
        <w:rPr>
          <w:sz w:val="18"/>
          <w:szCs w:val="18"/>
        </w:rPr>
        <w:t>–</w:t>
      </w:r>
      <w:r w:rsidR="002E3B11" w:rsidRPr="00CB2F5F">
        <w:rPr>
          <w:sz w:val="18"/>
          <w:szCs w:val="18"/>
        </w:rPr>
        <w:t>2023 годы, как указано в таблице 1, зависит от того, будут ли получены достаточные средства от Сторон в виде их добровольных взносов в целевой фонд Конвенции и Протокола.</w:t>
      </w:r>
    </w:p>
    <w:p w14:paraId="46D85673" w14:textId="77777777" w:rsidR="002E3B11" w:rsidRPr="00CB2F5F" w:rsidRDefault="00CB2F5F" w:rsidP="00CB2F5F">
      <w:pPr>
        <w:pStyle w:val="H23G"/>
        <w:rPr>
          <w:b w:val="0"/>
          <w:sz w:val="16"/>
          <w:szCs w:val="16"/>
        </w:rPr>
      </w:pPr>
      <w:bookmarkStart w:id="81" w:name="_Hlk34213913"/>
      <w:bookmarkStart w:id="82" w:name="_Hlk32231736"/>
      <w:r>
        <w:tab/>
      </w:r>
      <w:r>
        <w:tab/>
      </w:r>
      <w:r w:rsidR="002E3B11" w:rsidRPr="00CB2F5F">
        <w:rPr>
          <w:b w:val="0"/>
        </w:rPr>
        <w:t>Таблица 2</w:t>
      </w:r>
      <w:r w:rsidR="002E3B11" w:rsidRPr="002E3B11">
        <w:t xml:space="preserve"> </w:t>
      </w:r>
      <w:r>
        <w:br/>
      </w:r>
      <w:r w:rsidR="002E3B11" w:rsidRPr="002E3B11">
        <w:t>Общий объем ресурсов на 2021</w:t>
      </w:r>
      <w:r w:rsidR="00FD5526" w:rsidRPr="00FD5526">
        <w:t>–</w:t>
      </w:r>
      <w:r w:rsidR="002E3B11" w:rsidRPr="002E3B11">
        <w:t xml:space="preserve">2023 годы </w:t>
      </w:r>
      <w:r>
        <w:br/>
      </w:r>
      <w:r w:rsidR="002E3B11" w:rsidRPr="00CB2F5F">
        <w:rPr>
          <w:b w:val="0"/>
          <w:sz w:val="16"/>
          <w:szCs w:val="16"/>
        </w:rPr>
        <w:t>(в долл. США)</w:t>
      </w:r>
      <w:bookmarkEnd w:id="81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9"/>
        <w:gridCol w:w="1331"/>
      </w:tblGrid>
      <w:tr w:rsidR="002E3B11" w:rsidRPr="00596A69" w14:paraId="69FDFE06" w14:textId="77777777" w:rsidTr="00596A69">
        <w:trPr>
          <w:tblHeader/>
        </w:trPr>
        <w:tc>
          <w:tcPr>
            <w:tcW w:w="60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bookmarkEnd w:id="82"/>
          <w:p w14:paraId="747962AD" w14:textId="77777777" w:rsidR="002E3B11" w:rsidRPr="00596A69" w:rsidRDefault="002E3B11" w:rsidP="00596A69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596A69">
              <w:rPr>
                <w:rFonts w:cs="Times New Roman"/>
                <w:i/>
                <w:sz w:val="16"/>
              </w:rPr>
              <w:t>Статья расходов/деятельность + людские ресурсы (из таблицы 1 выше)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CB6C13" w14:textId="77777777" w:rsidR="002E3B11" w:rsidRPr="00596A69" w:rsidRDefault="002E3B11" w:rsidP="00596A69">
            <w:pPr>
              <w:suppressAutoHyphens w:val="0"/>
              <w:spacing w:before="80" w:after="80" w:line="200" w:lineRule="exact"/>
              <w:jc w:val="right"/>
              <w:rPr>
                <w:rFonts w:cs="Times New Roman"/>
                <w:i/>
                <w:sz w:val="16"/>
                <w:lang w:val="en-GB"/>
              </w:rPr>
            </w:pPr>
            <w:r w:rsidRPr="00596A69">
              <w:rPr>
                <w:rFonts w:cs="Times New Roman"/>
                <w:i/>
                <w:sz w:val="16"/>
              </w:rPr>
              <w:t>Расходы</w:t>
            </w:r>
          </w:p>
        </w:tc>
      </w:tr>
      <w:tr w:rsidR="002E3B11" w:rsidRPr="00596A69" w14:paraId="0857A892" w14:textId="77777777" w:rsidTr="00240DEB">
        <w:tc>
          <w:tcPr>
            <w:tcW w:w="6039" w:type="dxa"/>
            <w:shd w:val="clear" w:color="auto" w:fill="auto"/>
          </w:tcPr>
          <w:p w14:paraId="50072663" w14:textId="77777777" w:rsidR="002E3B11" w:rsidRPr="00596A69" w:rsidRDefault="002E3B11" w:rsidP="00596A69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lang w:val="en-GB"/>
              </w:rPr>
            </w:pPr>
            <w:bookmarkStart w:id="83" w:name="_Hlk34214090"/>
            <w:r w:rsidRPr="00596A69">
              <w:rPr>
                <w:rFonts w:cs="Times New Roman"/>
                <w:sz w:val="18"/>
              </w:rPr>
              <w:t>Направления деятельности</w:t>
            </w:r>
          </w:p>
        </w:tc>
        <w:tc>
          <w:tcPr>
            <w:tcW w:w="1331" w:type="dxa"/>
            <w:shd w:val="clear" w:color="auto" w:fill="auto"/>
          </w:tcPr>
          <w:p w14:paraId="3D58879F" w14:textId="77777777" w:rsidR="002E3B11" w:rsidRPr="00596A69" w:rsidRDefault="002E3B11" w:rsidP="00240DEB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lang w:val="en-GB"/>
              </w:rPr>
            </w:pPr>
            <w:r w:rsidRPr="00596A69">
              <w:rPr>
                <w:rFonts w:cs="Times New Roman"/>
                <w:sz w:val="18"/>
              </w:rPr>
              <w:t>433 000</w:t>
            </w:r>
          </w:p>
        </w:tc>
      </w:tr>
      <w:bookmarkEnd w:id="83"/>
      <w:tr w:rsidR="002E3B11" w:rsidRPr="00596A69" w14:paraId="253F1B38" w14:textId="77777777" w:rsidTr="00240DEB">
        <w:tc>
          <w:tcPr>
            <w:tcW w:w="6039" w:type="dxa"/>
            <w:shd w:val="clear" w:color="auto" w:fill="auto"/>
          </w:tcPr>
          <w:p w14:paraId="25EA994B" w14:textId="77777777" w:rsidR="002E3B11" w:rsidRPr="00596A69" w:rsidRDefault="002E3B11" w:rsidP="00596A69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lang w:val="en-GB"/>
              </w:rPr>
            </w:pPr>
            <w:r w:rsidRPr="00596A69">
              <w:rPr>
                <w:rFonts w:cs="Times New Roman"/>
                <w:sz w:val="18"/>
              </w:rPr>
              <w:t>Персонал:</w:t>
            </w:r>
          </w:p>
        </w:tc>
        <w:tc>
          <w:tcPr>
            <w:tcW w:w="1331" w:type="dxa"/>
            <w:shd w:val="clear" w:color="auto" w:fill="auto"/>
          </w:tcPr>
          <w:p w14:paraId="3407AB30" w14:textId="77777777" w:rsidR="002E3B11" w:rsidRPr="00596A69" w:rsidRDefault="002E3B11" w:rsidP="00240DEB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2E3B11" w:rsidRPr="00596A69" w14:paraId="7F0A8E3A" w14:textId="77777777" w:rsidTr="00240DEB">
        <w:tc>
          <w:tcPr>
            <w:tcW w:w="6039" w:type="dxa"/>
            <w:shd w:val="clear" w:color="auto" w:fill="auto"/>
          </w:tcPr>
          <w:p w14:paraId="0103F177" w14:textId="77777777" w:rsidR="002E3B11" w:rsidRPr="00596A69" w:rsidRDefault="002E3B11" w:rsidP="00596A69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596A69">
              <w:rPr>
                <w:rFonts w:cs="Times New Roman"/>
                <w:sz w:val="18"/>
              </w:rPr>
              <w:t xml:space="preserve">РБ, сотрудник категории специалистов, полная занятость, уровень С-4 </w:t>
            </w:r>
            <w:r w:rsidR="00596A69">
              <w:rPr>
                <w:rFonts w:cs="Times New Roman"/>
                <w:sz w:val="18"/>
              </w:rPr>
              <w:br/>
            </w:r>
            <w:r w:rsidRPr="00596A69">
              <w:rPr>
                <w:rFonts w:cs="Times New Roman"/>
                <w:sz w:val="18"/>
              </w:rPr>
              <w:t>(31,5 человеко-месяца)</w:t>
            </w:r>
          </w:p>
        </w:tc>
        <w:tc>
          <w:tcPr>
            <w:tcW w:w="1331" w:type="dxa"/>
            <w:shd w:val="clear" w:color="auto" w:fill="auto"/>
          </w:tcPr>
          <w:p w14:paraId="0F53059A" w14:textId="77777777" w:rsidR="002E3B11" w:rsidRPr="00FD5526" w:rsidRDefault="002E3B11" w:rsidP="00240DEB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i/>
                <w:sz w:val="18"/>
                <w:vertAlign w:val="superscript"/>
                <w:lang w:val="en-GB"/>
              </w:rPr>
            </w:pPr>
            <w:r w:rsidRPr="00FD5526">
              <w:rPr>
                <w:rFonts w:cs="Times New Roman"/>
                <w:i/>
                <w:sz w:val="18"/>
                <w:vertAlign w:val="superscript"/>
              </w:rPr>
              <w:t>a</w:t>
            </w:r>
          </w:p>
        </w:tc>
      </w:tr>
      <w:tr w:rsidR="002E3B11" w:rsidRPr="00596A69" w14:paraId="2829E84A" w14:textId="77777777" w:rsidTr="00240DEB">
        <w:tc>
          <w:tcPr>
            <w:tcW w:w="6039" w:type="dxa"/>
            <w:shd w:val="clear" w:color="auto" w:fill="auto"/>
          </w:tcPr>
          <w:p w14:paraId="52FF55FF" w14:textId="77777777" w:rsidR="002E3B11" w:rsidRPr="00596A69" w:rsidRDefault="002E3B11" w:rsidP="00596A69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596A69">
              <w:rPr>
                <w:rFonts w:cs="Times New Roman"/>
                <w:sz w:val="18"/>
              </w:rPr>
              <w:t xml:space="preserve">РБ, сотрудник категории общего обслуживания, частичная занятость </w:t>
            </w:r>
            <w:r w:rsidR="00596A69">
              <w:rPr>
                <w:rFonts w:cs="Times New Roman"/>
                <w:sz w:val="18"/>
              </w:rPr>
              <w:br/>
            </w:r>
            <w:r w:rsidRPr="00596A69">
              <w:rPr>
                <w:rFonts w:cs="Times New Roman"/>
                <w:sz w:val="18"/>
              </w:rPr>
              <w:t>50% (15,75 человеко-месяцев)</w:t>
            </w:r>
          </w:p>
        </w:tc>
        <w:tc>
          <w:tcPr>
            <w:tcW w:w="1331" w:type="dxa"/>
            <w:shd w:val="clear" w:color="auto" w:fill="auto"/>
          </w:tcPr>
          <w:p w14:paraId="2892F0BA" w14:textId="77777777" w:rsidR="002E3B11" w:rsidRPr="00596A69" w:rsidRDefault="002E3B11" w:rsidP="00240DEB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i/>
                <w:sz w:val="18"/>
                <w:vertAlign w:val="superscript"/>
                <w:lang w:val="en-GB"/>
              </w:rPr>
            </w:pPr>
            <w:r w:rsidRPr="00596A69">
              <w:rPr>
                <w:rFonts w:cs="Times New Roman"/>
                <w:i/>
                <w:sz w:val="18"/>
                <w:vertAlign w:val="superscript"/>
              </w:rPr>
              <w:t>a</w:t>
            </w:r>
          </w:p>
        </w:tc>
      </w:tr>
      <w:tr w:rsidR="002E3B11" w:rsidRPr="00596A69" w14:paraId="796B1F9B" w14:textId="77777777" w:rsidTr="00240DEB">
        <w:tc>
          <w:tcPr>
            <w:tcW w:w="6039" w:type="dxa"/>
            <w:shd w:val="clear" w:color="auto" w:fill="auto"/>
          </w:tcPr>
          <w:p w14:paraId="6AC114C1" w14:textId="77777777" w:rsidR="002E3B11" w:rsidRPr="00596A69" w:rsidDel="005F76A2" w:rsidRDefault="002E3B11" w:rsidP="00596A69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596A69">
              <w:rPr>
                <w:rFonts w:cs="Times New Roman"/>
                <w:sz w:val="18"/>
              </w:rPr>
              <w:t xml:space="preserve">ВБР, сотрудник категории специалистов, полная занятость, уровень С-3 </w:t>
            </w:r>
            <w:r w:rsidR="00596A69">
              <w:rPr>
                <w:rFonts w:cs="Times New Roman"/>
                <w:sz w:val="18"/>
              </w:rPr>
              <w:br/>
            </w:r>
            <w:r w:rsidRPr="00596A69">
              <w:rPr>
                <w:rFonts w:cs="Times New Roman"/>
                <w:sz w:val="18"/>
              </w:rPr>
              <w:t xml:space="preserve">(31,5 человеко-месяца) </w:t>
            </w:r>
          </w:p>
        </w:tc>
        <w:tc>
          <w:tcPr>
            <w:tcW w:w="1331" w:type="dxa"/>
            <w:shd w:val="clear" w:color="auto" w:fill="auto"/>
          </w:tcPr>
          <w:p w14:paraId="0C4620F5" w14:textId="77777777" w:rsidR="002E3B11" w:rsidRPr="00596A69" w:rsidRDefault="002E3B11" w:rsidP="00240DEB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lang w:val="en-GB"/>
              </w:rPr>
            </w:pPr>
            <w:r w:rsidRPr="00596A69">
              <w:rPr>
                <w:rFonts w:cs="Times New Roman"/>
                <w:sz w:val="18"/>
              </w:rPr>
              <w:t>630 000</w:t>
            </w:r>
          </w:p>
        </w:tc>
      </w:tr>
      <w:tr w:rsidR="002E3B11" w:rsidRPr="00596A69" w14:paraId="5EE5E12E" w14:textId="77777777" w:rsidTr="00240DEB">
        <w:tc>
          <w:tcPr>
            <w:tcW w:w="6039" w:type="dxa"/>
            <w:tcBorders>
              <w:bottom w:val="single" w:sz="4" w:space="0" w:color="auto"/>
            </w:tcBorders>
            <w:shd w:val="clear" w:color="auto" w:fill="auto"/>
          </w:tcPr>
          <w:p w14:paraId="1DA87DE3" w14:textId="77777777" w:rsidR="002E3B11" w:rsidRPr="00596A69" w:rsidRDefault="002E3B11" w:rsidP="00596A69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596A69">
              <w:rPr>
                <w:rFonts w:cs="Times New Roman"/>
                <w:sz w:val="18"/>
              </w:rPr>
              <w:t>ВБР, сотрудник категории общего обслуживания, частичная занятость 50%</w:t>
            </w:r>
            <w:r w:rsidR="00596A69">
              <w:rPr>
                <w:rFonts w:cs="Times New Roman"/>
                <w:sz w:val="18"/>
              </w:rPr>
              <w:t> </w:t>
            </w:r>
            <w:r w:rsidRPr="00596A69">
              <w:rPr>
                <w:rFonts w:cs="Times New Roman"/>
                <w:sz w:val="18"/>
              </w:rPr>
              <w:t>(15,75 человеко-месяцев)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63F23B9D" w14:textId="77777777" w:rsidR="002E3B11" w:rsidRPr="00596A69" w:rsidRDefault="002E3B11" w:rsidP="00240DEB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lang w:val="en-GB"/>
              </w:rPr>
            </w:pPr>
            <w:r w:rsidRPr="00596A69">
              <w:rPr>
                <w:rFonts w:cs="Times New Roman"/>
                <w:sz w:val="18"/>
              </w:rPr>
              <w:t>165 000</w:t>
            </w:r>
          </w:p>
        </w:tc>
      </w:tr>
      <w:tr w:rsidR="002E3B11" w:rsidRPr="00596A69" w14:paraId="0A8DA9D1" w14:textId="77777777" w:rsidTr="00596A69"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C982C" w14:textId="77777777" w:rsidR="002E3B11" w:rsidRPr="00596A69" w:rsidRDefault="002E3B11" w:rsidP="00596A69">
            <w:pPr>
              <w:tabs>
                <w:tab w:val="left" w:pos="270"/>
              </w:tabs>
              <w:suppressAutoHyphens w:val="0"/>
              <w:spacing w:before="80" w:after="80" w:line="220" w:lineRule="exact"/>
              <w:rPr>
                <w:rFonts w:cs="Times New Roman"/>
                <w:b/>
                <w:sz w:val="18"/>
                <w:lang w:val="en-GB"/>
              </w:rPr>
            </w:pPr>
            <w:r w:rsidRPr="00596A69">
              <w:rPr>
                <w:rFonts w:cs="Times New Roman"/>
                <w:sz w:val="18"/>
              </w:rPr>
              <w:lastRenderedPageBreak/>
              <w:tab/>
            </w:r>
            <w:r w:rsidRPr="00596A69">
              <w:rPr>
                <w:rFonts w:cs="Times New Roman"/>
                <w:b/>
                <w:bCs/>
                <w:sz w:val="18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6B07D" w14:textId="77777777" w:rsidR="002E3B11" w:rsidRPr="00596A69" w:rsidRDefault="002E3B11" w:rsidP="00596A69">
            <w:pPr>
              <w:suppressAutoHyphens w:val="0"/>
              <w:spacing w:before="80" w:after="80" w:line="220" w:lineRule="exact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596A69">
              <w:rPr>
                <w:rFonts w:cs="Times New Roman"/>
                <w:b/>
                <w:bCs/>
                <w:sz w:val="18"/>
              </w:rPr>
              <w:t>1 228 000</w:t>
            </w:r>
          </w:p>
        </w:tc>
      </w:tr>
      <w:tr w:rsidR="002E3B11" w:rsidRPr="00596A69" w14:paraId="268A22D8" w14:textId="77777777" w:rsidTr="00596A69"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87AE2" w14:textId="77777777" w:rsidR="002E3B11" w:rsidRPr="00596A69" w:rsidRDefault="002E3B11" w:rsidP="00596A69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  <w:lang w:val="en-GB"/>
              </w:rPr>
            </w:pPr>
            <w:r w:rsidRPr="00596A69">
              <w:rPr>
                <w:rFonts w:cs="Times New Roman"/>
                <w:sz w:val="18"/>
              </w:rPr>
              <w:t>Накладные расходы (13%) (округлено)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4F26A3" w14:textId="77777777" w:rsidR="002E3B11" w:rsidRPr="00596A69" w:rsidRDefault="002E3B11" w:rsidP="00596A69">
            <w:pPr>
              <w:suppressAutoHyphens w:val="0"/>
              <w:spacing w:before="40" w:after="40" w:line="220" w:lineRule="exact"/>
              <w:jc w:val="right"/>
              <w:rPr>
                <w:rFonts w:cs="Times New Roman"/>
                <w:sz w:val="18"/>
                <w:lang w:val="en-GB"/>
              </w:rPr>
            </w:pPr>
            <w:r w:rsidRPr="00596A69">
              <w:rPr>
                <w:rFonts w:cs="Times New Roman"/>
                <w:sz w:val="18"/>
              </w:rPr>
              <w:t>159 640</w:t>
            </w:r>
          </w:p>
        </w:tc>
      </w:tr>
      <w:tr w:rsidR="002E3B11" w:rsidRPr="00596A69" w14:paraId="46FCA413" w14:textId="77777777" w:rsidTr="00596A69">
        <w:tc>
          <w:tcPr>
            <w:tcW w:w="60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67740A" w14:textId="77777777" w:rsidR="002E3B11" w:rsidRPr="00596A69" w:rsidRDefault="002E3B11" w:rsidP="00596A69">
            <w:pPr>
              <w:tabs>
                <w:tab w:val="left" w:pos="270"/>
              </w:tabs>
              <w:suppressAutoHyphens w:val="0"/>
              <w:spacing w:before="80" w:after="80" w:line="220" w:lineRule="exact"/>
              <w:rPr>
                <w:rFonts w:cs="Times New Roman"/>
                <w:b/>
                <w:sz w:val="18"/>
                <w:lang w:val="en-GB"/>
              </w:rPr>
            </w:pPr>
            <w:r w:rsidRPr="00596A69">
              <w:rPr>
                <w:rFonts w:cs="Times New Roman"/>
                <w:b/>
                <w:sz w:val="18"/>
                <w:lang w:val="en-GB"/>
              </w:rPr>
              <w:tab/>
              <w:t xml:space="preserve">Всего 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DB669E" w14:textId="77777777" w:rsidR="002E3B11" w:rsidRPr="00596A69" w:rsidRDefault="002E3B11" w:rsidP="00596A69">
            <w:pPr>
              <w:tabs>
                <w:tab w:val="left" w:pos="270"/>
              </w:tabs>
              <w:suppressAutoHyphens w:val="0"/>
              <w:spacing w:before="80" w:after="80" w:line="220" w:lineRule="exact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596A69">
              <w:rPr>
                <w:rFonts w:cs="Times New Roman"/>
                <w:b/>
                <w:sz w:val="18"/>
                <w:lang w:val="en-GB"/>
              </w:rPr>
              <w:t>1 387 640</w:t>
            </w:r>
          </w:p>
        </w:tc>
      </w:tr>
    </w:tbl>
    <w:p w14:paraId="652F3D39" w14:textId="77777777" w:rsidR="002E3B11" w:rsidRPr="00596A69" w:rsidRDefault="00596A69" w:rsidP="00596A69">
      <w:pPr>
        <w:pStyle w:val="SingleTxtG"/>
        <w:tabs>
          <w:tab w:val="left" w:pos="1276"/>
        </w:tabs>
        <w:spacing w:before="120" w:after="0" w:line="220" w:lineRule="exact"/>
        <w:jc w:val="left"/>
        <w:rPr>
          <w:sz w:val="18"/>
          <w:szCs w:val="18"/>
        </w:rPr>
      </w:pPr>
      <w:bookmarkStart w:id="84" w:name="_Hlk32247406"/>
      <w:r>
        <w:rPr>
          <w:i/>
          <w:iCs/>
          <w:sz w:val="18"/>
          <w:szCs w:val="18"/>
        </w:rPr>
        <w:tab/>
      </w:r>
      <w:r w:rsidR="002E3B11" w:rsidRPr="00596A69">
        <w:rPr>
          <w:i/>
          <w:iCs/>
          <w:sz w:val="18"/>
          <w:szCs w:val="18"/>
        </w:rPr>
        <w:t>Примечание</w:t>
      </w:r>
      <w:r w:rsidR="002E3B11" w:rsidRPr="00596A69">
        <w:rPr>
          <w:sz w:val="18"/>
          <w:szCs w:val="18"/>
        </w:rPr>
        <w:t>: одна должность (сотрудника категории специалистов или категории общего обслуживания) переводится в 10,5 человеко-месяца в год или в 31,5 человеко-месяца в трехлетний период для одного сотрудника. Указанные выше оценки ресурсов на персонал подготовлены на основе стандартных ставок заработной платы Организации Объединенных Наций, включая чистый оклад, налоги и общие расходы по персоналу, а также обязательные расходы на служебные помещения, информационно-техническое оборудование, связь и подготовку).</w:t>
      </w:r>
    </w:p>
    <w:bookmarkEnd w:id="84"/>
    <w:p w14:paraId="604CA91E" w14:textId="77777777" w:rsidR="00BC086D" w:rsidRPr="00596A69" w:rsidRDefault="00596A69" w:rsidP="00596A69">
      <w:pPr>
        <w:pStyle w:val="SingleTxtG"/>
        <w:tabs>
          <w:tab w:val="left" w:pos="1276"/>
        </w:tabs>
        <w:spacing w:line="220" w:lineRule="exact"/>
        <w:jc w:val="left"/>
        <w:rPr>
          <w:bCs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2E3B11" w:rsidRPr="00596A69">
        <w:rPr>
          <w:i/>
          <w:sz w:val="18"/>
          <w:szCs w:val="18"/>
          <w:vertAlign w:val="superscript"/>
        </w:rPr>
        <w:t>a</w:t>
      </w:r>
      <w:r w:rsidR="00BC086D" w:rsidRPr="00596A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E3B11" w:rsidRPr="00596A69">
        <w:rPr>
          <w:sz w:val="18"/>
          <w:szCs w:val="18"/>
        </w:rPr>
        <w:t>Покрываются из регулярного бюджета Организации Объединенных Наций. Должность категории специалистов, финансируемая из РБ, это должность секретаря Конвенции Эспоо и Протокола к ней, предусматривающая надзор за функционированием секретариата договора и выполнением плана работы.</w:t>
      </w:r>
    </w:p>
    <w:p w14:paraId="7800D5F0" w14:textId="77777777" w:rsidR="002E3B11" w:rsidRPr="00596A69" w:rsidRDefault="00596A69" w:rsidP="00596A69">
      <w:pPr>
        <w:pStyle w:val="H23G"/>
        <w:rPr>
          <w:b w:val="0"/>
          <w:sz w:val="16"/>
          <w:szCs w:val="16"/>
        </w:rPr>
      </w:pPr>
      <w:r>
        <w:tab/>
      </w:r>
      <w:r>
        <w:tab/>
      </w:r>
      <w:r w:rsidR="002E3B11" w:rsidRPr="00596A69">
        <w:rPr>
          <w:b w:val="0"/>
        </w:rPr>
        <w:t xml:space="preserve">Таблица 3 </w:t>
      </w:r>
      <w:r>
        <w:br/>
      </w:r>
      <w:r w:rsidR="002E3B11" w:rsidRPr="002E3B11">
        <w:t xml:space="preserve">Обзор ресурсов программы </w:t>
      </w:r>
      <w:r w:rsidR="00FB06AB">
        <w:t>«</w:t>
      </w:r>
      <w:r w:rsidR="002E3B11" w:rsidRPr="002E3B11">
        <w:t>Европейский союз за окружающую среду</w:t>
      </w:r>
      <w:r w:rsidR="00FB06AB">
        <w:t>»</w:t>
      </w:r>
      <w:r w:rsidR="002E3B11" w:rsidRPr="002E3B11">
        <w:t xml:space="preserve"> </w:t>
      </w:r>
      <w:r>
        <w:br/>
      </w:r>
      <w:r w:rsidR="002E3B11" w:rsidRPr="002E3B11">
        <w:t>на 2021 и 2022 годы</w:t>
      </w:r>
      <w:r w:rsidR="002E3B11" w:rsidRPr="00596A69">
        <w:rPr>
          <w:b w:val="0"/>
          <w:i/>
          <w:sz w:val="18"/>
          <w:szCs w:val="18"/>
          <w:vertAlign w:val="superscript"/>
        </w:rPr>
        <w:t>а</w:t>
      </w:r>
      <w:r w:rsidR="002E3B11" w:rsidRPr="00596A69">
        <w:rPr>
          <w:b w:val="0"/>
          <w:i/>
        </w:rPr>
        <w:t xml:space="preserve"> </w:t>
      </w:r>
      <w:r>
        <w:rPr>
          <w:b w:val="0"/>
          <w:i/>
        </w:rPr>
        <w:br/>
      </w:r>
      <w:r w:rsidR="002E3B11" w:rsidRPr="00596A69">
        <w:rPr>
          <w:b w:val="0"/>
          <w:sz w:val="16"/>
          <w:szCs w:val="16"/>
        </w:rPr>
        <w:t>(в долл. США)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14"/>
        <w:gridCol w:w="1498"/>
        <w:gridCol w:w="980"/>
        <w:gridCol w:w="966"/>
        <w:gridCol w:w="1029"/>
      </w:tblGrid>
      <w:tr w:rsidR="00C2556E" w:rsidRPr="00C2556E" w14:paraId="7F0F691C" w14:textId="77777777" w:rsidTr="00CE5332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1C438F" w14:textId="77777777" w:rsidR="002E3B11" w:rsidRPr="00C2556E" w:rsidRDefault="002E3B11" w:rsidP="00C2556E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  <w:lang w:val="en-GB"/>
              </w:rPr>
            </w:pPr>
            <w:r w:rsidRPr="00C2556E">
              <w:rPr>
                <w:rFonts w:cs="Times New Roman"/>
                <w:i/>
                <w:sz w:val="16"/>
              </w:rPr>
              <w:t>Год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58AA06" w14:textId="77777777" w:rsidR="002E3B11" w:rsidRPr="00C2556E" w:rsidRDefault="002E3B11" w:rsidP="00C2556E">
            <w:pPr>
              <w:spacing w:before="80" w:after="80" w:line="200" w:lineRule="exact"/>
              <w:ind w:left="11" w:right="11"/>
              <w:rPr>
                <w:rFonts w:cs="Times New Roman"/>
                <w:bCs/>
                <w:i/>
                <w:sz w:val="16"/>
              </w:rPr>
            </w:pPr>
            <w:r w:rsidRPr="00C2556E">
              <w:rPr>
                <w:rFonts w:cs="Times New Roman"/>
                <w:i/>
                <w:sz w:val="16"/>
              </w:rPr>
              <w:t>Области работы и деятельность в странах Восточной Европы и Кавказа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7FA9A8" w14:textId="77777777" w:rsidR="002E3B11" w:rsidRPr="00C2556E" w:rsidRDefault="002E3B11" w:rsidP="00FA087E">
            <w:pPr>
              <w:spacing w:before="80" w:after="80" w:line="200" w:lineRule="exact"/>
              <w:ind w:left="11" w:right="11"/>
              <w:jc w:val="right"/>
              <w:rPr>
                <w:rFonts w:cs="Times New Roman"/>
                <w:i/>
                <w:sz w:val="16"/>
              </w:rPr>
            </w:pPr>
            <w:r w:rsidRPr="00C2556E">
              <w:rPr>
                <w:rFonts w:cs="Times New Roman"/>
                <w:i/>
                <w:sz w:val="16"/>
              </w:rPr>
              <w:t xml:space="preserve">Общие внебюджетные финансовые ресурсы из средств программы </w:t>
            </w:r>
            <w:r w:rsidR="00FB06AB" w:rsidRPr="00C2556E">
              <w:rPr>
                <w:rFonts w:cs="Times New Roman"/>
                <w:i/>
                <w:sz w:val="16"/>
              </w:rPr>
              <w:t>«</w:t>
            </w:r>
            <w:r w:rsidRPr="00C2556E">
              <w:rPr>
                <w:rFonts w:cs="Times New Roman"/>
                <w:i/>
                <w:sz w:val="16"/>
              </w:rPr>
              <w:t>EU4Environment</w:t>
            </w:r>
            <w:r w:rsidR="00FB06AB" w:rsidRPr="00C2556E">
              <w:rPr>
                <w:rFonts w:cs="Times New Roman"/>
                <w:i/>
                <w:sz w:val="16"/>
              </w:rPr>
              <w:t>»</w:t>
            </w:r>
            <w:r w:rsidRPr="00C2556E">
              <w:rPr>
                <w:rFonts w:cs="Times New Roman"/>
                <w:i/>
                <w:sz w:val="16"/>
              </w:rPr>
              <w:t xml:space="preserve"> (наличными </w:t>
            </w:r>
            <w:r w:rsidR="0052617A">
              <w:rPr>
                <w:rFonts w:cs="Times New Roman"/>
                <w:i/>
                <w:sz w:val="16"/>
              </w:rPr>
              <w:br/>
            </w:r>
            <w:r w:rsidRPr="00C2556E">
              <w:rPr>
                <w:rFonts w:cs="Times New Roman"/>
                <w:i/>
                <w:sz w:val="16"/>
              </w:rPr>
              <w:t>в долл. США)</w:t>
            </w:r>
            <w:r w:rsidR="00FA087E">
              <w:rPr>
                <w:rFonts w:cs="Times New Roman"/>
                <w:i/>
                <w:sz w:val="16"/>
              </w:rPr>
              <w:br/>
            </w:r>
            <w:r w:rsidRPr="00C2556E">
              <w:rPr>
                <w:rFonts w:cs="Times New Roman"/>
                <w:i/>
                <w:sz w:val="16"/>
              </w:rPr>
              <w:t xml:space="preserve">(Деятельность + персонал, финансируемый </w:t>
            </w:r>
            <w:r w:rsidR="00FA087E">
              <w:rPr>
                <w:rFonts w:cs="Times New Roman"/>
                <w:i/>
                <w:sz w:val="16"/>
              </w:rPr>
              <w:br/>
            </w:r>
            <w:r w:rsidRPr="00C2556E">
              <w:rPr>
                <w:rFonts w:cs="Times New Roman"/>
                <w:i/>
                <w:sz w:val="16"/>
              </w:rPr>
              <w:t>из ВБР)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9C6712" w14:textId="77777777" w:rsidR="002E3B11" w:rsidRPr="00C2556E" w:rsidRDefault="002E3B11" w:rsidP="00CE5332">
            <w:pPr>
              <w:spacing w:before="80" w:after="80" w:line="200" w:lineRule="exact"/>
              <w:ind w:left="11" w:right="11"/>
              <w:jc w:val="center"/>
              <w:rPr>
                <w:rFonts w:cs="Times New Roman"/>
                <w:i/>
                <w:sz w:val="16"/>
              </w:rPr>
            </w:pPr>
            <w:r w:rsidRPr="00C2556E">
              <w:rPr>
                <w:rFonts w:cs="Times New Roman"/>
                <w:i/>
                <w:sz w:val="16"/>
              </w:rPr>
              <w:t xml:space="preserve">Финансируемые из </w:t>
            </w:r>
            <w:r w:rsidR="00CE5332">
              <w:rPr>
                <w:rFonts w:cs="Times New Roman"/>
                <w:i/>
                <w:sz w:val="16"/>
              </w:rPr>
              <w:br/>
            </w:r>
            <w:r w:rsidRPr="00C2556E">
              <w:rPr>
                <w:rFonts w:cs="Times New Roman"/>
                <w:i/>
                <w:sz w:val="16"/>
              </w:rPr>
              <w:t xml:space="preserve">средств программы </w:t>
            </w:r>
            <w:r w:rsidR="00FB06AB" w:rsidRPr="00C2556E">
              <w:rPr>
                <w:rFonts w:cs="Times New Roman"/>
                <w:i/>
                <w:sz w:val="16"/>
              </w:rPr>
              <w:t>«</w:t>
            </w:r>
            <w:r w:rsidRPr="00C2556E">
              <w:rPr>
                <w:rFonts w:cs="Times New Roman"/>
                <w:i/>
                <w:sz w:val="16"/>
              </w:rPr>
              <w:t>EU4Environment</w:t>
            </w:r>
            <w:r w:rsidR="00FB06AB" w:rsidRPr="00C2556E">
              <w:rPr>
                <w:rFonts w:cs="Times New Roman"/>
                <w:i/>
                <w:sz w:val="16"/>
              </w:rPr>
              <w:t>»</w:t>
            </w:r>
            <w:r w:rsidRPr="00C2556E">
              <w:rPr>
                <w:rFonts w:cs="Times New Roman"/>
                <w:i/>
                <w:sz w:val="16"/>
              </w:rPr>
              <w:t xml:space="preserve"> кадровые ресурсы (руководитель </w:t>
            </w:r>
            <w:r w:rsidR="00C2556E">
              <w:rPr>
                <w:rFonts w:cs="Times New Roman"/>
                <w:i/>
                <w:sz w:val="16"/>
              </w:rPr>
              <w:br/>
            </w:r>
            <w:r w:rsidRPr="00C2556E">
              <w:rPr>
                <w:rFonts w:cs="Times New Roman"/>
                <w:i/>
                <w:sz w:val="16"/>
              </w:rPr>
              <w:t xml:space="preserve">проекта + ассистент) </w:t>
            </w:r>
            <w:r w:rsidR="00C2556E">
              <w:rPr>
                <w:rFonts w:cs="Times New Roman"/>
                <w:i/>
                <w:sz w:val="16"/>
              </w:rPr>
              <w:br/>
            </w:r>
            <w:r w:rsidRPr="00C2556E">
              <w:rPr>
                <w:rFonts w:cs="Times New Roman"/>
                <w:i/>
                <w:sz w:val="16"/>
              </w:rPr>
              <w:t>(в человеко-месяцах)</w:t>
            </w:r>
            <w:r w:rsidRPr="00FA087E">
              <w:rPr>
                <w:rFonts w:cs="Times New Roman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2B23F6" w14:textId="77777777" w:rsidR="002E3B11" w:rsidRPr="00C2556E" w:rsidRDefault="002E3B11" w:rsidP="00C2556E">
            <w:pPr>
              <w:spacing w:before="80" w:after="80" w:line="200" w:lineRule="exact"/>
              <w:ind w:left="11" w:right="11"/>
              <w:jc w:val="right"/>
              <w:rPr>
                <w:rFonts w:cs="Times New Roman"/>
                <w:i/>
                <w:sz w:val="16"/>
              </w:rPr>
            </w:pPr>
            <w:r w:rsidRPr="00C2556E">
              <w:rPr>
                <w:rFonts w:cs="Times New Roman"/>
                <w:i/>
                <w:sz w:val="16"/>
              </w:rPr>
              <w:t xml:space="preserve">Прочие </w:t>
            </w:r>
            <w:r w:rsidR="00C2556E">
              <w:rPr>
                <w:rFonts w:cs="Times New Roman"/>
                <w:i/>
                <w:sz w:val="16"/>
              </w:rPr>
              <w:br/>
            </w:r>
            <w:r w:rsidRPr="00C2556E">
              <w:rPr>
                <w:rFonts w:cs="Times New Roman"/>
                <w:i/>
                <w:sz w:val="16"/>
              </w:rPr>
              <w:t xml:space="preserve">людские </w:t>
            </w:r>
            <w:r w:rsidR="00C2556E">
              <w:rPr>
                <w:rFonts w:cs="Times New Roman"/>
                <w:i/>
                <w:sz w:val="16"/>
              </w:rPr>
              <w:br/>
            </w:r>
            <w:r w:rsidRPr="00C2556E">
              <w:rPr>
                <w:rFonts w:cs="Times New Roman"/>
                <w:i/>
                <w:sz w:val="16"/>
              </w:rPr>
              <w:t xml:space="preserve">ресурсы секретариата </w:t>
            </w:r>
            <w:r w:rsidR="00C2556E">
              <w:rPr>
                <w:rFonts w:cs="Times New Roman"/>
                <w:i/>
                <w:sz w:val="16"/>
              </w:rPr>
              <w:br/>
            </w:r>
            <w:r w:rsidRPr="00C2556E">
              <w:rPr>
                <w:rFonts w:cs="Times New Roman"/>
                <w:i/>
                <w:sz w:val="16"/>
              </w:rPr>
              <w:t xml:space="preserve">(РБ+ВБР) </w:t>
            </w:r>
            <w:r w:rsidR="00C2556E">
              <w:rPr>
                <w:rFonts w:cs="Times New Roman"/>
                <w:i/>
                <w:sz w:val="16"/>
              </w:rPr>
              <w:br/>
            </w:r>
            <w:r w:rsidRPr="00C2556E">
              <w:rPr>
                <w:rFonts w:cs="Times New Roman"/>
                <w:i/>
                <w:sz w:val="16"/>
              </w:rPr>
              <w:t>в человеко-месяцах</w:t>
            </w:r>
          </w:p>
        </w:tc>
      </w:tr>
      <w:tr w:rsidR="00C2556E" w:rsidRPr="00C2556E" w14:paraId="47F1CA47" w14:textId="77777777" w:rsidTr="00CE5332">
        <w:trPr>
          <w:cantSplit/>
          <w:tblHeader/>
        </w:trPr>
        <w:tc>
          <w:tcPr>
            <w:tcW w:w="81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4041B9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21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261512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149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033C96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3839D0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C2556E">
              <w:rPr>
                <w:rFonts w:cs="Times New Roman"/>
                <w:sz w:val="18"/>
              </w:rPr>
              <w:t>С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0E8294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C2556E">
              <w:rPr>
                <w:rFonts w:cs="Times New Roman"/>
                <w:sz w:val="18"/>
              </w:rPr>
              <w:t>ОО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B45370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C2556E">
              <w:rPr>
                <w:rFonts w:cs="Times New Roman"/>
                <w:sz w:val="18"/>
              </w:rPr>
              <w:t>С</w:t>
            </w:r>
          </w:p>
        </w:tc>
      </w:tr>
      <w:tr w:rsidR="00C2556E" w:rsidRPr="00C2556E" w14:paraId="2278E05A" w14:textId="77777777" w:rsidTr="00CE5332">
        <w:trPr>
          <w:cantSplit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E9D06C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 w:rsidRPr="00C2556E">
              <w:rPr>
                <w:rFonts w:cs="Times New Roman"/>
                <w:b/>
                <w:bCs/>
                <w:sz w:val="18"/>
              </w:rPr>
              <w:t>2021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ED95C7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C2556E">
              <w:rPr>
                <w:rFonts w:cs="Times New Roman"/>
                <w:sz w:val="18"/>
              </w:rPr>
              <w:t>II. Соблюдение и осуществление Конвенции и Протокола (С)</w:t>
            </w:r>
          </w:p>
          <w:p w14:paraId="3297C544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C2556E">
              <w:rPr>
                <w:rFonts w:cs="Times New Roman"/>
                <w:sz w:val="18"/>
              </w:rPr>
              <w:t>III. Субрегиональное сотрудничество и наращивание потенциала (B)</w:t>
            </w:r>
          </w:p>
          <w:p w14:paraId="0377909B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C2556E">
              <w:rPr>
                <w:rFonts w:cs="Times New Roman"/>
                <w:sz w:val="18"/>
              </w:rPr>
              <w:t>V. Содействие практическому применению Протокола и/или Конвенции (A</w:t>
            </w:r>
            <w:r w:rsidR="00FA087E">
              <w:rPr>
                <w:rFonts w:cs="Times New Roman"/>
                <w:sz w:val="18"/>
              </w:rPr>
              <w:t>–</w:t>
            </w:r>
            <w:r w:rsidRPr="00C2556E">
              <w:rPr>
                <w:rFonts w:cs="Times New Roman"/>
                <w:sz w:val="18"/>
              </w:rPr>
              <w:t>F)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F3480D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1FE7F9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131FB6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4644F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CE5332" w:rsidRPr="00C2556E" w14:paraId="78E00F1E" w14:textId="77777777" w:rsidTr="00240DEB">
        <w:trPr>
          <w:cantSplit/>
        </w:trPr>
        <w:tc>
          <w:tcPr>
            <w:tcW w:w="4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39246" w14:textId="77777777" w:rsidR="00CE5332" w:rsidRPr="00C2556E" w:rsidRDefault="00CE5332" w:rsidP="00CE5332">
            <w:pPr>
              <w:tabs>
                <w:tab w:val="left" w:pos="300"/>
              </w:tabs>
              <w:spacing w:before="80" w:after="80" w:line="220" w:lineRule="exact"/>
              <w:ind w:left="295" w:right="11" w:hanging="284"/>
              <w:rPr>
                <w:rFonts w:cs="Times New Roman"/>
                <w:b/>
                <w:sz w:val="18"/>
                <w:lang w:val="en-GB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Pr="00C2556E">
              <w:rPr>
                <w:rFonts w:cs="Times New Roman"/>
                <w:b/>
                <w:bCs/>
                <w:sz w:val="18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F3609" w14:textId="77777777" w:rsidR="00CE5332" w:rsidRPr="00CE5332" w:rsidRDefault="00CE5332" w:rsidP="00FA087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E5332">
              <w:rPr>
                <w:rFonts w:cs="Times New Roman"/>
                <w:b/>
                <w:sz w:val="18"/>
              </w:rPr>
              <w:t>664 007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D8D05D" w14:textId="77777777" w:rsidR="00CE5332" w:rsidRPr="00CE5332" w:rsidRDefault="00CE5332" w:rsidP="00FA087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E5332">
              <w:rPr>
                <w:rFonts w:cs="Times New Roman"/>
                <w:b/>
                <w:sz w:val="18"/>
              </w:rPr>
              <w:t>10,5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BE3223" w14:textId="77777777" w:rsidR="00CE5332" w:rsidRPr="00CE5332" w:rsidRDefault="00CE5332" w:rsidP="00FA087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E5332">
              <w:rPr>
                <w:rFonts w:cs="Times New Roman"/>
                <w:b/>
                <w:sz w:val="18"/>
              </w:rPr>
              <w:t>10,5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644F4" w14:textId="77777777" w:rsidR="00CE5332" w:rsidRPr="00CE5332" w:rsidRDefault="00CE5332" w:rsidP="00FA087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E5332">
              <w:rPr>
                <w:rFonts w:cs="Times New Roman"/>
                <w:b/>
                <w:sz w:val="18"/>
              </w:rPr>
              <w:t xml:space="preserve">1 </w:t>
            </w:r>
          </w:p>
        </w:tc>
      </w:tr>
      <w:tr w:rsidR="00C2556E" w:rsidRPr="00C2556E" w14:paraId="03297362" w14:textId="77777777" w:rsidTr="00CE5332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0E0DE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rPr>
                <w:rFonts w:cs="Times New Roman"/>
                <w:b/>
                <w:sz w:val="18"/>
                <w:lang w:val="en-GB"/>
              </w:rPr>
            </w:pPr>
            <w:r w:rsidRPr="00C2556E">
              <w:rPr>
                <w:rFonts w:cs="Times New Roman"/>
                <w:b/>
                <w:bCs/>
                <w:sz w:val="18"/>
              </w:rPr>
              <w:t>2022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AF7EF1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C2556E">
              <w:rPr>
                <w:rFonts w:cs="Times New Roman"/>
                <w:sz w:val="18"/>
              </w:rPr>
              <w:t>III. Субрегиональное сотрудничество и наращивание потенциала (B)</w:t>
            </w:r>
          </w:p>
          <w:p w14:paraId="09A5924F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C2556E">
              <w:rPr>
                <w:rFonts w:cs="Times New Roman"/>
                <w:sz w:val="18"/>
              </w:rPr>
              <w:t>V. Содействие практическому применению Протокола и/или Конвенции (A</w:t>
            </w:r>
            <w:r w:rsidR="00FA087E">
              <w:rPr>
                <w:rFonts w:cs="Times New Roman"/>
                <w:sz w:val="18"/>
              </w:rPr>
              <w:t>–</w:t>
            </w:r>
            <w:r w:rsidRPr="00C2556E">
              <w:rPr>
                <w:rFonts w:cs="Times New Roman"/>
                <w:sz w:val="18"/>
              </w:rPr>
              <w:t>F)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EAA15D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3D3D42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3E9F6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136C2B" w14:textId="77777777" w:rsidR="002E3B11" w:rsidRPr="00C2556E" w:rsidRDefault="002E3B11" w:rsidP="00C2556E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Cs/>
                <w:sz w:val="18"/>
              </w:rPr>
            </w:pPr>
          </w:p>
        </w:tc>
      </w:tr>
      <w:tr w:rsidR="00FA087E" w:rsidRPr="00C2556E" w14:paraId="3C0A27A0" w14:textId="77777777" w:rsidTr="00CE5332">
        <w:trPr>
          <w:cantSplit/>
        </w:trPr>
        <w:tc>
          <w:tcPr>
            <w:tcW w:w="4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C2E32" w14:textId="77777777" w:rsidR="00FA087E" w:rsidRPr="00C2556E" w:rsidRDefault="00FA087E" w:rsidP="00FA087E">
            <w:pPr>
              <w:tabs>
                <w:tab w:val="left" w:pos="280"/>
              </w:tabs>
              <w:spacing w:before="80" w:after="8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Pr="00C2556E">
              <w:rPr>
                <w:rFonts w:cs="Times New Roman"/>
                <w:b/>
                <w:bCs/>
                <w:sz w:val="18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52BD3" w14:textId="77777777" w:rsidR="00FA087E" w:rsidRPr="00CE5332" w:rsidRDefault="00FA087E" w:rsidP="00FA087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E5332">
              <w:rPr>
                <w:rFonts w:cs="Times New Roman"/>
                <w:b/>
                <w:sz w:val="18"/>
              </w:rPr>
              <w:t>402 795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F3192" w14:textId="77777777" w:rsidR="00FA087E" w:rsidRPr="00CE5332" w:rsidRDefault="00FA087E" w:rsidP="00FA087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E5332">
              <w:rPr>
                <w:rFonts w:cs="Times New Roman"/>
                <w:b/>
                <w:sz w:val="18"/>
              </w:rPr>
              <w:t>10</w:t>
            </w:r>
            <w:r w:rsidR="00CE5332">
              <w:rPr>
                <w:rFonts w:cs="Times New Roman"/>
                <w:b/>
                <w:sz w:val="18"/>
              </w:rPr>
              <w:t>,</w:t>
            </w:r>
            <w:r w:rsidRPr="00CE5332">
              <w:rPr>
                <w:rFonts w:cs="Times New Roman"/>
                <w:b/>
                <w:sz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8D6171" w14:textId="77777777" w:rsidR="00FA087E" w:rsidRPr="00CE5332" w:rsidRDefault="00FA087E" w:rsidP="00FA087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CE5332">
              <w:rPr>
                <w:rFonts w:cs="Times New Roman"/>
                <w:b/>
                <w:sz w:val="18"/>
              </w:rPr>
              <w:t>10</w:t>
            </w:r>
            <w:r w:rsidR="00CE5332">
              <w:rPr>
                <w:rFonts w:cs="Times New Roman"/>
                <w:b/>
                <w:sz w:val="18"/>
              </w:rPr>
              <w:t>,</w:t>
            </w:r>
            <w:r w:rsidRPr="00CE5332">
              <w:rPr>
                <w:rFonts w:cs="Times New Roman"/>
                <w:b/>
                <w:sz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DFF6C1" w14:textId="77777777" w:rsidR="00FA087E" w:rsidRPr="00CE5332" w:rsidRDefault="00FA087E" w:rsidP="00FA087E">
            <w:pPr>
              <w:spacing w:before="80" w:after="8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CE5332">
              <w:rPr>
                <w:rFonts w:cs="Times New Roman"/>
                <w:b/>
                <w:sz w:val="18"/>
              </w:rPr>
              <w:t xml:space="preserve">1 </w:t>
            </w:r>
          </w:p>
        </w:tc>
      </w:tr>
      <w:tr w:rsidR="00C2556E" w:rsidRPr="00C2556E" w14:paraId="795C330B" w14:textId="77777777" w:rsidTr="00240DEB">
        <w:trPr>
          <w:cantSplit/>
        </w:trPr>
        <w:tc>
          <w:tcPr>
            <w:tcW w:w="403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9EF2F9" w14:textId="77777777" w:rsidR="002E3B11" w:rsidRPr="00C2556E" w:rsidRDefault="002E3B11" w:rsidP="00FA087E">
            <w:pPr>
              <w:tabs>
                <w:tab w:val="left" w:pos="11"/>
              </w:tabs>
              <w:spacing w:before="40" w:after="40" w:line="220" w:lineRule="exact"/>
              <w:ind w:left="284" w:right="11"/>
              <w:rPr>
                <w:rFonts w:cs="Times New Roman"/>
                <w:b/>
                <w:sz w:val="18"/>
              </w:rPr>
            </w:pPr>
            <w:r w:rsidRPr="00C2556E">
              <w:rPr>
                <w:rFonts w:cs="Times New Roman"/>
                <w:b/>
                <w:bCs/>
                <w:sz w:val="18"/>
              </w:rPr>
              <w:t xml:space="preserve">Всего внебюджетных ресурсов на 2021 и </w:t>
            </w:r>
            <w:r w:rsidR="00FA087E">
              <w:rPr>
                <w:rFonts w:cs="Times New Roman"/>
                <w:b/>
                <w:bCs/>
                <w:sz w:val="18"/>
              </w:rPr>
              <w:br/>
            </w:r>
            <w:r w:rsidRPr="00C2556E">
              <w:rPr>
                <w:rFonts w:cs="Times New Roman"/>
                <w:b/>
                <w:bCs/>
                <w:sz w:val="18"/>
              </w:rPr>
              <w:t>2022 годы (на осуществление деятельности и</w:t>
            </w:r>
            <w:r w:rsidR="00FA087E">
              <w:rPr>
                <w:rFonts w:cs="Times New Roman"/>
                <w:b/>
                <w:bCs/>
                <w:sz w:val="18"/>
              </w:rPr>
              <w:t> </w:t>
            </w:r>
            <w:r w:rsidRPr="00C2556E">
              <w:rPr>
                <w:rFonts w:cs="Times New Roman"/>
                <w:b/>
                <w:bCs/>
                <w:sz w:val="18"/>
              </w:rPr>
              <w:t>кадровое обеспечение)</w:t>
            </w:r>
            <w:r w:rsidR="00BC086D" w:rsidRPr="00C2556E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DC3019" w14:textId="77777777" w:rsidR="002E3B11" w:rsidRPr="00C2556E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C2556E">
              <w:rPr>
                <w:rFonts w:cs="Times New Roman"/>
                <w:b/>
                <w:bCs/>
                <w:sz w:val="18"/>
              </w:rPr>
              <w:t>1 066 802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2DE974" w14:textId="77777777" w:rsidR="002E3B11" w:rsidRPr="00C2556E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C2556E">
              <w:rPr>
                <w:rFonts w:cs="Times New Roman"/>
                <w:b/>
                <w:bCs/>
                <w:sz w:val="18"/>
              </w:rPr>
              <w:t>42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61CDB9" w14:textId="77777777" w:rsidR="002E3B11" w:rsidRPr="00C2556E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C2556E">
              <w:rPr>
                <w:rFonts w:cs="Times New Roman"/>
                <w:b/>
                <w:bCs/>
                <w:sz w:val="18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E1019" w14:textId="77777777" w:rsidR="002E3B11" w:rsidRPr="00C2556E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C2556E">
              <w:rPr>
                <w:rFonts w:cs="Times New Roman"/>
                <w:b/>
                <w:bCs/>
                <w:sz w:val="18"/>
              </w:rPr>
              <w:t>2</w:t>
            </w:r>
          </w:p>
        </w:tc>
      </w:tr>
    </w:tbl>
    <w:p w14:paraId="611F3464" w14:textId="77777777" w:rsidR="002E3B11" w:rsidRPr="00922BA7" w:rsidRDefault="00922BA7" w:rsidP="00295057">
      <w:pPr>
        <w:pStyle w:val="SingleTxtG"/>
        <w:tabs>
          <w:tab w:val="left" w:pos="1276"/>
        </w:tabs>
        <w:spacing w:before="120" w:after="0" w:line="220" w:lineRule="exact"/>
        <w:ind w:right="0"/>
        <w:jc w:val="left"/>
        <w:rPr>
          <w:sz w:val="18"/>
          <w:szCs w:val="18"/>
        </w:rPr>
      </w:pPr>
      <w:bookmarkStart w:id="85" w:name="_Hlk34208675"/>
      <w:r>
        <w:rPr>
          <w:sz w:val="18"/>
          <w:szCs w:val="18"/>
          <w:vertAlign w:val="superscript"/>
        </w:rPr>
        <w:tab/>
      </w:r>
      <w:r w:rsidR="002E3B11" w:rsidRPr="00922BA7">
        <w:rPr>
          <w:i/>
          <w:sz w:val="18"/>
          <w:szCs w:val="18"/>
          <w:vertAlign w:val="superscript"/>
        </w:rPr>
        <w:t>а</w:t>
      </w:r>
      <w:r w:rsidR="002E3B11" w:rsidRPr="00922B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B06AB" w:rsidRPr="00922BA7">
        <w:rPr>
          <w:sz w:val="18"/>
          <w:szCs w:val="18"/>
        </w:rPr>
        <w:t>«</w:t>
      </w:r>
      <w:r w:rsidR="002E3B11" w:rsidRPr="00922BA7">
        <w:rPr>
          <w:sz w:val="18"/>
          <w:szCs w:val="18"/>
        </w:rPr>
        <w:t>Европейский союз за окружающую среду</w:t>
      </w:r>
      <w:r w:rsidR="00FB06AB" w:rsidRPr="00922BA7">
        <w:rPr>
          <w:sz w:val="18"/>
          <w:szCs w:val="18"/>
        </w:rPr>
        <w:t>»</w:t>
      </w:r>
      <w:r w:rsidR="002E3B11" w:rsidRPr="00922BA7">
        <w:rPr>
          <w:sz w:val="18"/>
          <w:szCs w:val="18"/>
        </w:rPr>
        <w:t xml:space="preserve"> (</w:t>
      </w:r>
      <w:r w:rsidR="00FB06AB" w:rsidRPr="00922BA7">
        <w:rPr>
          <w:sz w:val="18"/>
          <w:szCs w:val="18"/>
        </w:rPr>
        <w:t>«</w:t>
      </w:r>
      <w:r w:rsidR="002E3B11" w:rsidRPr="00922BA7">
        <w:rPr>
          <w:sz w:val="18"/>
          <w:szCs w:val="18"/>
        </w:rPr>
        <w:t>EU4Environment</w:t>
      </w:r>
      <w:r w:rsidR="00FB06AB" w:rsidRPr="00922BA7">
        <w:rPr>
          <w:sz w:val="18"/>
          <w:szCs w:val="18"/>
        </w:rPr>
        <w:t>»</w:t>
      </w:r>
      <w:r w:rsidR="002E3B11" w:rsidRPr="00922BA7">
        <w:rPr>
          <w:sz w:val="18"/>
          <w:szCs w:val="18"/>
        </w:rPr>
        <w:t xml:space="preserve">) </w:t>
      </w:r>
      <w:r w:rsidR="00CE5332">
        <w:rPr>
          <w:sz w:val="18"/>
          <w:szCs w:val="18"/>
        </w:rPr>
        <w:t>–</w:t>
      </w:r>
      <w:r w:rsidR="002E3B11" w:rsidRPr="00922BA7">
        <w:rPr>
          <w:sz w:val="18"/>
          <w:szCs w:val="18"/>
        </w:rPr>
        <w:t xml:space="preserve"> финансируемый Европейским союзом региональный многосторонний проект, рассчитанный на период с 2019</w:t>
      </w:r>
      <w:r w:rsidR="00CE5332">
        <w:rPr>
          <w:sz w:val="18"/>
          <w:szCs w:val="18"/>
        </w:rPr>
        <w:t xml:space="preserve"> п</w:t>
      </w:r>
      <w:r w:rsidR="002E3B11" w:rsidRPr="00922BA7">
        <w:rPr>
          <w:sz w:val="18"/>
          <w:szCs w:val="18"/>
        </w:rPr>
        <w:t>о 2022 год. Общий объем финансирования Европейским союзом компонента ЕЭК по оценке воздействия на окружающую среду составляет 2 384 687 евро, или приблизительно 2</w:t>
      </w:r>
      <w:r>
        <w:rPr>
          <w:sz w:val="18"/>
          <w:szCs w:val="18"/>
        </w:rPr>
        <w:t> </w:t>
      </w:r>
      <w:r w:rsidR="002E3B11" w:rsidRPr="00922BA7">
        <w:rPr>
          <w:sz w:val="18"/>
          <w:szCs w:val="18"/>
        </w:rPr>
        <w:t>579 670 долл. США (по обменному курсу на декабрь 2019</w:t>
      </w:r>
      <w:r w:rsidR="00295057">
        <w:rPr>
          <w:sz w:val="18"/>
          <w:szCs w:val="18"/>
        </w:rPr>
        <w:t> </w:t>
      </w:r>
      <w:r w:rsidR="002E3B11" w:rsidRPr="00922BA7">
        <w:rPr>
          <w:sz w:val="18"/>
          <w:szCs w:val="18"/>
        </w:rPr>
        <w:t>года). Финансирование регулируется применимыми в рамках проекта процедурами.</w:t>
      </w:r>
    </w:p>
    <w:p w14:paraId="0529CE67" w14:textId="77777777" w:rsidR="002E3B11" w:rsidRPr="002E3B11" w:rsidRDefault="00922BA7" w:rsidP="00295057">
      <w:pPr>
        <w:pStyle w:val="SingleTxtG"/>
        <w:tabs>
          <w:tab w:val="left" w:pos="1276"/>
        </w:tabs>
        <w:spacing w:after="0" w:line="220" w:lineRule="exact"/>
        <w:ind w:right="0"/>
        <w:jc w:val="left"/>
      </w:pPr>
      <w:r>
        <w:rPr>
          <w:sz w:val="18"/>
          <w:szCs w:val="18"/>
          <w:vertAlign w:val="superscript"/>
        </w:rPr>
        <w:tab/>
      </w:r>
      <w:r w:rsidR="002E3B11" w:rsidRPr="00922BA7">
        <w:rPr>
          <w:i/>
          <w:sz w:val="18"/>
          <w:szCs w:val="18"/>
          <w:vertAlign w:val="superscript"/>
        </w:rPr>
        <w:t>b</w:t>
      </w:r>
      <w:r>
        <w:rPr>
          <w:sz w:val="18"/>
          <w:szCs w:val="18"/>
        </w:rPr>
        <w:t xml:space="preserve"> </w:t>
      </w:r>
      <w:r w:rsidR="002E3B11" w:rsidRPr="00922BA7">
        <w:rPr>
          <w:sz w:val="18"/>
          <w:szCs w:val="18"/>
        </w:rPr>
        <w:t xml:space="preserve"> Одна должность (сотрудника категории специалистов или категории общего обслуживания) переводится в 10,5 человеко-месяца в год или в 31,5 человеко-месяца в трехлетний период.</w:t>
      </w:r>
      <w:bookmarkEnd w:id="85"/>
      <w:r w:rsidR="002E3B11" w:rsidRPr="002E3B11">
        <w:br w:type="page"/>
      </w:r>
    </w:p>
    <w:p w14:paraId="2FDFF260" w14:textId="77777777" w:rsidR="002E3B11" w:rsidRPr="002E3B11" w:rsidRDefault="00BC086D" w:rsidP="00E30BD2">
      <w:pPr>
        <w:pStyle w:val="HChG"/>
      </w:pPr>
      <w:bookmarkStart w:id="86" w:name="_Hlk34209124"/>
      <w:r w:rsidRPr="002E3B11">
        <w:lastRenderedPageBreak/>
        <w:tab/>
      </w:r>
      <w:r w:rsidR="002E3B11" w:rsidRPr="002E3B11">
        <w:t>Приложение III</w:t>
      </w:r>
      <w:bookmarkStart w:id="87" w:name="_Hlk34048008"/>
    </w:p>
    <w:p w14:paraId="3D62261D" w14:textId="77777777" w:rsidR="002E3B11" w:rsidRPr="002E3B11" w:rsidRDefault="002E3B11" w:rsidP="00D43275">
      <w:pPr>
        <w:pStyle w:val="HChG"/>
        <w:spacing w:before="240"/>
      </w:pPr>
      <w:r w:rsidRPr="002E3B11">
        <w:tab/>
      </w:r>
      <w:r w:rsidRPr="002E3B11">
        <w:tab/>
        <w:t>Виды деятельности, требующие дополнительных ресурсов, включая кадровое обеспечение секретариата, для осуществления в период 2021</w:t>
      </w:r>
      <w:r w:rsidR="00E30BD2">
        <w:t>–</w:t>
      </w:r>
      <w:r w:rsidRPr="002E3B11">
        <w:t>2023 годов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499"/>
        <w:gridCol w:w="1162"/>
        <w:gridCol w:w="1162"/>
        <w:gridCol w:w="1211"/>
      </w:tblGrid>
      <w:tr w:rsidR="002E3B11" w:rsidRPr="000A6ED2" w14:paraId="381E9A11" w14:textId="77777777" w:rsidTr="00D43275">
        <w:trPr>
          <w:tblHeader/>
        </w:trPr>
        <w:tc>
          <w:tcPr>
            <w:tcW w:w="147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bookmarkEnd w:id="86"/>
          <w:bookmarkEnd w:id="87"/>
          <w:p w14:paraId="795D0D2F" w14:textId="77777777" w:rsidR="002E3B11" w:rsidRPr="000A6ED2" w:rsidRDefault="002E3B11" w:rsidP="000A6ED2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  <w:lang w:val="en-GB"/>
              </w:rPr>
            </w:pPr>
            <w:r w:rsidRPr="000A6ED2">
              <w:rPr>
                <w:rFonts w:cs="Times New Roman"/>
                <w:i/>
                <w:sz w:val="16"/>
              </w:rPr>
              <w:t>Область работы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FBE70" w14:textId="77777777" w:rsidR="002E3B11" w:rsidRPr="000A6ED2" w:rsidRDefault="002E3B11" w:rsidP="000A6ED2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</w:rPr>
            </w:pPr>
            <w:r w:rsidRPr="000A6ED2">
              <w:rPr>
                <w:rFonts w:cs="Times New Roman"/>
                <w:i/>
                <w:sz w:val="16"/>
              </w:rPr>
              <w:t>Деятельность, страны-руководители/</w:t>
            </w:r>
            <w:r w:rsidR="000A6ED2">
              <w:rPr>
                <w:rFonts w:cs="Times New Roman"/>
                <w:i/>
                <w:sz w:val="16"/>
              </w:rPr>
              <w:t xml:space="preserve"> </w:t>
            </w:r>
            <w:r w:rsidRPr="000A6ED2">
              <w:rPr>
                <w:rFonts w:cs="Times New Roman"/>
                <w:i/>
                <w:sz w:val="16"/>
              </w:rPr>
              <w:t>поддерживающие страны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C973A1" w14:textId="77777777" w:rsidR="002E3B11" w:rsidRPr="000A6ED2" w:rsidRDefault="002E3B11" w:rsidP="000A6ED2">
            <w:pPr>
              <w:spacing w:before="80" w:after="80" w:line="200" w:lineRule="exact"/>
              <w:ind w:left="11" w:right="11"/>
              <w:jc w:val="right"/>
              <w:rPr>
                <w:rFonts w:cs="Times New Roman"/>
                <w:i/>
                <w:sz w:val="16"/>
              </w:rPr>
            </w:pPr>
            <w:r w:rsidRPr="000A6ED2">
              <w:rPr>
                <w:rFonts w:cs="Times New Roman"/>
                <w:i/>
                <w:sz w:val="16"/>
              </w:rPr>
              <w:t xml:space="preserve">Первоначальная смета внебюджетных финансовых ресурсов (наличными и в натуральной форме, </w:t>
            </w:r>
            <w:r w:rsidR="000A6ED2">
              <w:rPr>
                <w:rFonts w:cs="Times New Roman"/>
                <w:i/>
                <w:sz w:val="16"/>
              </w:rPr>
              <w:br/>
            </w:r>
            <w:r w:rsidRPr="000A6ED2">
              <w:rPr>
                <w:rFonts w:cs="Times New Roman"/>
                <w:i/>
                <w:sz w:val="16"/>
              </w:rPr>
              <w:t xml:space="preserve">в долл. США) </w:t>
            </w:r>
            <w:bookmarkStart w:id="88" w:name="_Hlk32167078"/>
          </w:p>
        </w:tc>
        <w:bookmarkEnd w:id="88"/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65B005" w14:textId="6EA228F4" w:rsidR="002E3B11" w:rsidRPr="000A6ED2" w:rsidRDefault="002E3B11" w:rsidP="00CE5332">
            <w:pPr>
              <w:spacing w:before="80" w:after="80" w:line="200" w:lineRule="exact"/>
              <w:ind w:left="11" w:right="11"/>
              <w:jc w:val="center"/>
              <w:rPr>
                <w:rFonts w:cs="Times New Roman"/>
                <w:i/>
                <w:sz w:val="16"/>
              </w:rPr>
            </w:pPr>
            <w:r w:rsidRPr="000A6ED2">
              <w:rPr>
                <w:rFonts w:cs="Times New Roman"/>
                <w:i/>
                <w:sz w:val="16"/>
              </w:rPr>
              <w:t xml:space="preserve">Финансируемые из ВБР </w:t>
            </w:r>
            <w:r w:rsidR="00DB08D2">
              <w:rPr>
                <w:rFonts w:cs="Times New Roman"/>
                <w:i/>
                <w:sz w:val="16"/>
              </w:rPr>
              <w:br/>
            </w:r>
            <w:r w:rsidRPr="000A6ED2">
              <w:rPr>
                <w:rFonts w:cs="Times New Roman"/>
                <w:i/>
                <w:sz w:val="16"/>
              </w:rPr>
              <w:t xml:space="preserve">людские ресурсы, </w:t>
            </w:r>
            <w:r w:rsidR="00DB08D2">
              <w:rPr>
                <w:rFonts w:cs="Times New Roman"/>
                <w:i/>
                <w:sz w:val="16"/>
              </w:rPr>
              <w:br/>
            </w:r>
            <w:r w:rsidRPr="000A6ED2">
              <w:rPr>
                <w:rFonts w:cs="Times New Roman"/>
                <w:i/>
                <w:sz w:val="16"/>
              </w:rPr>
              <w:t xml:space="preserve">необходимые для поддержки осуществления деятельности </w:t>
            </w:r>
            <w:r w:rsidR="000A6ED2">
              <w:rPr>
                <w:rFonts w:cs="Times New Roman"/>
                <w:i/>
                <w:sz w:val="16"/>
              </w:rPr>
              <w:br/>
            </w:r>
            <w:r w:rsidRPr="000A6ED2">
              <w:rPr>
                <w:rFonts w:cs="Times New Roman"/>
                <w:i/>
                <w:sz w:val="16"/>
              </w:rPr>
              <w:t>(в человеко-месяцах)</w:t>
            </w:r>
          </w:p>
        </w:tc>
      </w:tr>
      <w:tr w:rsidR="00684851" w:rsidRPr="000A6ED2" w14:paraId="25B51B39" w14:textId="77777777" w:rsidTr="00D43275">
        <w:trPr>
          <w:tblHeader/>
        </w:trPr>
        <w:tc>
          <w:tcPr>
            <w:tcW w:w="147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094762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349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043FD6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</w:p>
        </w:tc>
        <w:tc>
          <w:tcPr>
            <w:tcW w:w="116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11C849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3D86AA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С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640232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ОО</w:t>
            </w:r>
          </w:p>
        </w:tc>
      </w:tr>
      <w:tr w:rsidR="00684851" w:rsidRPr="000A6ED2" w14:paraId="0606816D" w14:textId="77777777" w:rsidTr="00953DA6">
        <w:tc>
          <w:tcPr>
            <w:tcW w:w="49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FE21221" w14:textId="77777777" w:rsidR="002E3B11" w:rsidRPr="000A6ED2" w:rsidRDefault="002E3B11" w:rsidP="000A6ED2">
            <w:pPr>
              <w:tabs>
                <w:tab w:val="left" w:pos="368"/>
              </w:tabs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b/>
                <w:sz w:val="18"/>
              </w:rPr>
              <w:t>III.</w:t>
            </w:r>
            <w:r w:rsidR="000A6ED2">
              <w:rPr>
                <w:rFonts w:cs="Times New Roman"/>
                <w:sz w:val="18"/>
              </w:rPr>
              <w:tab/>
            </w:r>
            <w:r w:rsidRPr="000A6ED2">
              <w:rPr>
                <w:rFonts w:cs="Times New Roman"/>
                <w:b/>
                <w:bCs/>
                <w:sz w:val="18"/>
              </w:rPr>
              <w:t>Субрегиональное сотрудничество и наращивание потенциала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EDE4D37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44E690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4DE2E6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</w:rPr>
            </w:pPr>
          </w:p>
        </w:tc>
      </w:tr>
      <w:tr w:rsidR="002E3B11" w:rsidRPr="000A6ED2" w14:paraId="67631B75" w14:textId="77777777" w:rsidTr="00953DA6">
        <w:tc>
          <w:tcPr>
            <w:tcW w:w="4969" w:type="dxa"/>
            <w:gridSpan w:val="2"/>
            <w:shd w:val="clear" w:color="auto" w:fill="auto"/>
          </w:tcPr>
          <w:p w14:paraId="429FF8CE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b/>
                <w:bCs/>
                <w:sz w:val="18"/>
              </w:rPr>
              <w:t>Юго-Восточная Европа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E18D83F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6A2CA175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14:paraId="4D3AE4AA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684851" w:rsidRPr="000A6ED2" w14:paraId="6013A32D" w14:textId="77777777" w:rsidTr="00240DEB">
        <w:tc>
          <w:tcPr>
            <w:tcW w:w="1470" w:type="dxa"/>
            <w:shd w:val="clear" w:color="auto" w:fill="auto"/>
          </w:tcPr>
          <w:p w14:paraId="60213F34" w14:textId="77777777" w:rsidR="002E3B11" w:rsidRPr="000A6ED2" w:rsidRDefault="002E3B11" w:rsidP="000A6ED2">
            <w:pPr>
              <w:tabs>
                <w:tab w:val="left" w:pos="368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 w:rsidRPr="000A6ED2">
              <w:rPr>
                <w:rFonts w:cs="Times New Roman"/>
                <w:b/>
                <w:sz w:val="18"/>
              </w:rPr>
              <w:t>1.</w:t>
            </w:r>
            <w:r w:rsidR="000A6ED2">
              <w:rPr>
                <w:rFonts w:cs="Times New Roman"/>
                <w:sz w:val="18"/>
              </w:rPr>
              <w:tab/>
            </w:r>
            <w:r w:rsidRPr="000A6ED2">
              <w:rPr>
                <w:rFonts w:cs="Times New Roman"/>
                <w:b/>
                <w:bCs/>
                <w:sz w:val="18"/>
              </w:rPr>
              <w:t>Совещание Сторон Бухарестского соглашения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768296B6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684851">
              <w:rPr>
                <w:rFonts w:cs="Times New Roman"/>
                <w:i/>
                <w:sz w:val="18"/>
              </w:rPr>
              <w:t>Ответственный(ые) орган(ы)</w:t>
            </w:r>
            <w:r w:rsidRPr="00684851">
              <w:rPr>
                <w:rFonts w:cs="Times New Roman"/>
                <w:sz w:val="18"/>
              </w:rPr>
              <w:t xml:space="preserve">: </w:t>
            </w:r>
            <w:r w:rsidRPr="000A6ED2">
              <w:rPr>
                <w:rFonts w:cs="Times New Roman"/>
                <w:sz w:val="18"/>
              </w:rPr>
              <w:t>Румыния в качестве депозитария Бухарестского соглашения, возможно, совместно с другой страной-руководителем</w:t>
            </w:r>
          </w:p>
          <w:p w14:paraId="0ADCC8BE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684851">
              <w:rPr>
                <w:rFonts w:cs="Times New Roman"/>
                <w:i/>
                <w:sz w:val="18"/>
              </w:rPr>
              <w:t>Деятельность</w:t>
            </w:r>
            <w:r w:rsidRPr="000A6ED2">
              <w:rPr>
                <w:rFonts w:cs="Times New Roman"/>
                <w:sz w:val="18"/>
              </w:rPr>
              <w:t>: организация первого совещания Сторон Бухарестского соглашения. Подробности и сроки будут определены позднее</w:t>
            </w:r>
          </w:p>
          <w:p w14:paraId="530DE7FB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684851">
              <w:rPr>
                <w:rFonts w:cs="Times New Roman"/>
                <w:i/>
                <w:sz w:val="18"/>
              </w:rPr>
              <w:t>Потребности в ресурсах</w:t>
            </w:r>
            <w:r w:rsidRPr="000A6ED2">
              <w:rPr>
                <w:rFonts w:cs="Times New Roman"/>
                <w:sz w:val="18"/>
              </w:rPr>
              <w:t xml:space="preserve">: примерно </w:t>
            </w:r>
            <w:r w:rsidR="001E1AD2">
              <w:rPr>
                <w:rFonts w:cs="Times New Roman"/>
                <w:sz w:val="18"/>
              </w:rPr>
              <w:br/>
            </w:r>
            <w:r w:rsidRPr="000A6ED2">
              <w:rPr>
                <w:rFonts w:cs="Times New Roman"/>
                <w:sz w:val="18"/>
              </w:rPr>
              <w:t>40</w:t>
            </w:r>
            <w:r w:rsidR="00684851">
              <w:rPr>
                <w:rFonts w:cs="Times New Roman"/>
                <w:sz w:val="18"/>
              </w:rPr>
              <w:t> </w:t>
            </w:r>
            <w:r w:rsidRPr="000A6ED2">
              <w:rPr>
                <w:rFonts w:cs="Times New Roman"/>
                <w:sz w:val="18"/>
              </w:rPr>
              <w:t>000 долл. США на двухдневное мероприятие для 2</w:t>
            </w:r>
            <w:r w:rsidR="00684851">
              <w:rPr>
                <w:rFonts w:cs="Times New Roman"/>
                <w:sz w:val="18"/>
              </w:rPr>
              <w:t>–</w:t>
            </w:r>
            <w:r w:rsidRPr="000A6ED2">
              <w:rPr>
                <w:rFonts w:cs="Times New Roman"/>
                <w:sz w:val="18"/>
              </w:rPr>
              <w:t>3 человек/страну; или взносы в натуральной форме от принимающей страны и, возможно, других стран-руководителей, а также, в случае необходимости, ресурсы секретариата в поддержку этого мероприятия</w:t>
            </w:r>
          </w:p>
        </w:tc>
        <w:tc>
          <w:tcPr>
            <w:tcW w:w="1162" w:type="dxa"/>
            <w:shd w:val="clear" w:color="auto" w:fill="auto"/>
          </w:tcPr>
          <w:p w14:paraId="5789628C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 xml:space="preserve">40 000 </w:t>
            </w:r>
          </w:p>
          <w:p w14:paraId="4C9670F2" w14:textId="295F8706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(или в</w:t>
            </w:r>
            <w:r w:rsidR="00240DEB">
              <w:rPr>
                <w:rFonts w:cs="Times New Roman"/>
                <w:sz w:val="18"/>
                <w:lang w:val="en-US"/>
              </w:rPr>
              <w:t> </w:t>
            </w:r>
            <w:r w:rsidRPr="000A6ED2">
              <w:rPr>
                <w:rFonts w:cs="Times New Roman"/>
                <w:sz w:val="18"/>
              </w:rPr>
              <w:t>натуральной форме)</w:t>
            </w:r>
          </w:p>
        </w:tc>
        <w:tc>
          <w:tcPr>
            <w:tcW w:w="1162" w:type="dxa"/>
            <w:shd w:val="clear" w:color="auto" w:fill="auto"/>
          </w:tcPr>
          <w:p w14:paraId="4277D6D2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1</w:t>
            </w:r>
            <w:r w:rsidR="00684851">
              <w:rPr>
                <w:rFonts w:cs="Times New Roman"/>
                <w:sz w:val="18"/>
              </w:rPr>
              <w:t>,</w:t>
            </w:r>
            <w:r w:rsidRPr="000A6ED2">
              <w:rPr>
                <w:rFonts w:cs="Times New Roman"/>
                <w:sz w:val="18"/>
              </w:rPr>
              <w:t>5</w:t>
            </w:r>
          </w:p>
        </w:tc>
        <w:tc>
          <w:tcPr>
            <w:tcW w:w="1211" w:type="dxa"/>
            <w:shd w:val="clear" w:color="auto" w:fill="auto"/>
          </w:tcPr>
          <w:p w14:paraId="0A790724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1</w:t>
            </w:r>
            <w:r w:rsidR="00684851">
              <w:rPr>
                <w:rFonts w:cs="Times New Roman"/>
                <w:sz w:val="18"/>
              </w:rPr>
              <w:t>,</w:t>
            </w:r>
            <w:r w:rsidRPr="000A6ED2">
              <w:rPr>
                <w:rFonts w:cs="Times New Roman"/>
                <w:sz w:val="18"/>
              </w:rPr>
              <w:t>5</w:t>
            </w:r>
          </w:p>
        </w:tc>
      </w:tr>
      <w:tr w:rsidR="00684851" w:rsidRPr="000A6ED2" w14:paraId="078A9426" w14:textId="77777777" w:rsidTr="00240DEB">
        <w:tc>
          <w:tcPr>
            <w:tcW w:w="1470" w:type="dxa"/>
            <w:shd w:val="clear" w:color="auto" w:fill="auto"/>
          </w:tcPr>
          <w:p w14:paraId="6C67F0E7" w14:textId="77777777" w:rsidR="002E3B11" w:rsidRPr="000A6ED2" w:rsidRDefault="002E3B11" w:rsidP="00684851">
            <w:pPr>
              <w:tabs>
                <w:tab w:val="left" w:pos="30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684851">
              <w:rPr>
                <w:rFonts w:cs="Times New Roman"/>
                <w:b/>
                <w:sz w:val="18"/>
              </w:rPr>
              <w:t>2.</w:t>
            </w:r>
            <w:r w:rsidR="00684851">
              <w:rPr>
                <w:rFonts w:cs="Times New Roman"/>
                <w:b/>
                <w:sz w:val="18"/>
              </w:rPr>
              <w:tab/>
            </w:r>
            <w:r w:rsidRPr="000A6ED2">
              <w:rPr>
                <w:rFonts w:cs="Times New Roman"/>
                <w:b/>
                <w:bCs/>
                <w:sz w:val="18"/>
              </w:rPr>
              <w:t>Создание потенциала для осуществления Бухарестского соглашения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6A91BBE9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Субрегиональная инициатива, предложенная Черногорией (и на настоящий момент поддержанная Албанией, Северной Македонией и Сербией) и направленная на улучшение осуществления Бухарестского соглашения, Конвенции и Протокола к ней в трансграничном контексте между Сторонами Бухарестского соглашения (и</w:t>
            </w:r>
            <w:r w:rsidR="001E1AD2">
              <w:rPr>
                <w:rFonts w:cs="Times New Roman"/>
                <w:sz w:val="18"/>
              </w:rPr>
              <w:t> </w:t>
            </w:r>
            <w:r w:rsidRPr="000A6ED2">
              <w:rPr>
                <w:rFonts w:cs="Times New Roman"/>
                <w:sz w:val="18"/>
              </w:rPr>
              <w:t xml:space="preserve">другими странами субрегиона </w:t>
            </w:r>
            <w:r w:rsidR="004545C7">
              <w:rPr>
                <w:rFonts w:cs="Times New Roman"/>
                <w:sz w:val="18"/>
              </w:rPr>
              <w:br/>
            </w:r>
            <w:r w:rsidRPr="000A6ED2">
              <w:rPr>
                <w:rFonts w:cs="Times New Roman"/>
                <w:sz w:val="18"/>
              </w:rPr>
              <w:t>Юго-Восточной Европы)</w:t>
            </w:r>
          </w:p>
          <w:p w14:paraId="73E2CC5B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Предлагаемая деятельность включает создание секретариата для координации осуществления Бухарестского соглашения, обмен примерами надлежащей практики и разработку и осуществление деятельности по созданию потенциала, включая учебные рабочие совещания, например, для 5</w:t>
            </w:r>
            <w:r w:rsidR="00684851">
              <w:rPr>
                <w:rFonts w:cs="Times New Roman"/>
                <w:sz w:val="18"/>
              </w:rPr>
              <w:t> </w:t>
            </w:r>
            <w:r w:rsidRPr="000A6ED2">
              <w:rPr>
                <w:rFonts w:cs="Times New Roman"/>
                <w:sz w:val="18"/>
              </w:rPr>
              <w:t xml:space="preserve">стран </w:t>
            </w:r>
            <w:r w:rsidR="001872DB">
              <w:rPr>
                <w:rFonts w:cs="Times New Roman"/>
                <w:sz w:val="18"/>
              </w:rPr>
              <w:br/>
            </w:r>
            <w:r w:rsidRPr="000A6ED2">
              <w:rPr>
                <w:rFonts w:cs="Times New Roman"/>
                <w:sz w:val="18"/>
              </w:rPr>
              <w:t xml:space="preserve">(25 000 долл. США), разработку руководящих принципов (25 000 долл. США) и экспериментальные проекты </w:t>
            </w:r>
            <w:r w:rsidR="00684851">
              <w:rPr>
                <w:rFonts w:cs="Times New Roman"/>
                <w:sz w:val="18"/>
              </w:rPr>
              <w:br/>
            </w:r>
            <w:r w:rsidRPr="000A6ED2">
              <w:rPr>
                <w:rFonts w:cs="Times New Roman"/>
                <w:sz w:val="18"/>
              </w:rPr>
              <w:t>(85</w:t>
            </w:r>
            <w:r w:rsidR="00684851">
              <w:rPr>
                <w:rFonts w:cs="Times New Roman"/>
                <w:sz w:val="18"/>
              </w:rPr>
              <w:t> </w:t>
            </w:r>
            <w:r w:rsidRPr="000A6ED2">
              <w:rPr>
                <w:rFonts w:cs="Times New Roman"/>
                <w:sz w:val="18"/>
              </w:rPr>
              <w:t>000</w:t>
            </w:r>
            <w:r w:rsidR="00684851">
              <w:rPr>
                <w:rFonts w:cs="Times New Roman"/>
                <w:sz w:val="18"/>
              </w:rPr>
              <w:t>–</w:t>
            </w:r>
            <w:r w:rsidRPr="000A6ED2">
              <w:rPr>
                <w:rFonts w:cs="Times New Roman"/>
                <w:sz w:val="18"/>
              </w:rPr>
              <w:t>100 000 долл. США)</w:t>
            </w:r>
          </w:p>
          <w:p w14:paraId="5EC6C2C8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Виды деятельности, сроки и условия осуществления будут определены позднее. Черногория предложила возможное сотрудничество с Организацией по безопасности и сотрудничеству в Европе</w:t>
            </w:r>
          </w:p>
        </w:tc>
        <w:tc>
          <w:tcPr>
            <w:tcW w:w="1162" w:type="dxa"/>
            <w:shd w:val="clear" w:color="auto" w:fill="auto"/>
          </w:tcPr>
          <w:p w14:paraId="0A2B5916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750 000</w:t>
            </w:r>
          </w:p>
        </w:tc>
        <w:tc>
          <w:tcPr>
            <w:tcW w:w="1162" w:type="dxa"/>
            <w:shd w:val="clear" w:color="auto" w:fill="auto"/>
          </w:tcPr>
          <w:p w14:paraId="3C056015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14:paraId="3543DD39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15</w:t>
            </w:r>
          </w:p>
        </w:tc>
      </w:tr>
      <w:tr w:rsidR="002E3B11" w:rsidRPr="000A6ED2" w14:paraId="540CF2DC" w14:textId="77777777" w:rsidTr="000A6ED2">
        <w:tc>
          <w:tcPr>
            <w:tcW w:w="8504" w:type="dxa"/>
            <w:gridSpan w:val="5"/>
            <w:shd w:val="clear" w:color="auto" w:fill="auto"/>
          </w:tcPr>
          <w:p w14:paraId="6A62315F" w14:textId="77777777" w:rsidR="002E3B11" w:rsidRPr="000A6ED2" w:rsidRDefault="002E3B11" w:rsidP="00CE5332">
            <w:pPr>
              <w:pageBreakBefore/>
              <w:tabs>
                <w:tab w:val="left" w:pos="270"/>
              </w:tabs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684851">
              <w:rPr>
                <w:rFonts w:cs="Times New Roman"/>
                <w:b/>
                <w:sz w:val="18"/>
              </w:rPr>
              <w:lastRenderedPageBreak/>
              <w:t>V.</w:t>
            </w:r>
            <w:r w:rsidRPr="00684851">
              <w:rPr>
                <w:rFonts w:cs="Times New Roman"/>
                <w:b/>
                <w:sz w:val="18"/>
              </w:rPr>
              <w:tab/>
            </w:r>
            <w:r w:rsidRPr="000A6ED2">
              <w:rPr>
                <w:rFonts w:cs="Times New Roman"/>
                <w:b/>
                <w:bCs/>
                <w:sz w:val="18"/>
              </w:rPr>
              <w:t>Содействие практическому применению Протокола и/или Конвенции</w:t>
            </w:r>
          </w:p>
        </w:tc>
      </w:tr>
      <w:tr w:rsidR="00684851" w:rsidRPr="000A6ED2" w14:paraId="01D46CE0" w14:textId="77777777" w:rsidTr="00240DEB">
        <w:tc>
          <w:tcPr>
            <w:tcW w:w="1470" w:type="dxa"/>
            <w:shd w:val="clear" w:color="auto" w:fill="auto"/>
          </w:tcPr>
          <w:p w14:paraId="0FCDCA9A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 w:rsidRPr="000A6ED2">
              <w:rPr>
                <w:rFonts w:cs="Times New Roman"/>
                <w:b/>
                <w:bCs/>
                <w:sz w:val="18"/>
              </w:rPr>
              <w:t>Центральная Азия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64E21FE7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Деятельность по наращиванию потенциала в 5 республиках Центральной Азии в поддержку осуществления и ратификации Протокола и/или Конвенции. На</w:t>
            </w:r>
            <w:r w:rsidR="004545C7">
              <w:rPr>
                <w:rFonts w:cs="Times New Roman"/>
                <w:sz w:val="18"/>
              </w:rPr>
              <w:t xml:space="preserve"> </w:t>
            </w:r>
            <w:r w:rsidRPr="000A6ED2">
              <w:rPr>
                <w:rFonts w:cs="Times New Roman"/>
                <w:sz w:val="18"/>
              </w:rPr>
              <w:t>основе предоставленной ранее правовой помощи</w:t>
            </w:r>
          </w:p>
          <w:p w14:paraId="51EED654" w14:textId="77777777" w:rsidR="002E3B11" w:rsidRPr="004545C7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 xml:space="preserve">Учебные рабочие совещания </w:t>
            </w:r>
            <w:r w:rsidR="00684851">
              <w:rPr>
                <w:rFonts w:cs="Times New Roman"/>
                <w:sz w:val="18"/>
              </w:rPr>
              <w:br/>
            </w:r>
            <w:r w:rsidRPr="000A6ED2">
              <w:rPr>
                <w:rFonts w:cs="Times New Roman"/>
                <w:sz w:val="18"/>
              </w:rPr>
              <w:t xml:space="preserve">(25 000 долл. США), разработка руководящих принципов (25 000 долл. США) и экспериментальные проекты </w:t>
            </w:r>
            <w:r w:rsidR="00684851">
              <w:rPr>
                <w:rFonts w:cs="Times New Roman"/>
                <w:sz w:val="18"/>
              </w:rPr>
              <w:br/>
            </w:r>
            <w:r w:rsidRPr="000A6ED2">
              <w:rPr>
                <w:rFonts w:cs="Times New Roman"/>
                <w:sz w:val="18"/>
              </w:rPr>
              <w:t>(85</w:t>
            </w:r>
            <w:r w:rsidR="00684851">
              <w:rPr>
                <w:rFonts w:cs="Times New Roman"/>
                <w:sz w:val="18"/>
              </w:rPr>
              <w:t> </w:t>
            </w:r>
            <w:r w:rsidRPr="000A6ED2">
              <w:rPr>
                <w:rFonts w:cs="Times New Roman"/>
                <w:sz w:val="18"/>
              </w:rPr>
              <w:t>000</w:t>
            </w:r>
            <w:r w:rsidR="00684851">
              <w:rPr>
                <w:rFonts w:cs="Times New Roman"/>
                <w:sz w:val="18"/>
              </w:rPr>
              <w:t>–</w:t>
            </w:r>
            <w:r w:rsidRPr="000A6ED2">
              <w:rPr>
                <w:rFonts w:cs="Times New Roman"/>
                <w:sz w:val="18"/>
              </w:rPr>
              <w:t xml:space="preserve">100 000 долл. США) </w:t>
            </w:r>
          </w:p>
        </w:tc>
        <w:tc>
          <w:tcPr>
            <w:tcW w:w="1162" w:type="dxa"/>
            <w:shd w:val="clear" w:color="auto" w:fill="auto"/>
          </w:tcPr>
          <w:p w14:paraId="52A1468E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750 000</w:t>
            </w:r>
          </w:p>
        </w:tc>
        <w:tc>
          <w:tcPr>
            <w:tcW w:w="1162" w:type="dxa"/>
            <w:shd w:val="clear" w:color="auto" w:fill="auto"/>
          </w:tcPr>
          <w:p w14:paraId="101CA0F6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14:paraId="3557BC02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15</w:t>
            </w:r>
          </w:p>
        </w:tc>
      </w:tr>
      <w:tr w:rsidR="00240DEB" w:rsidRPr="000A6ED2" w14:paraId="50EF910F" w14:textId="77777777" w:rsidTr="00240DEB"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F1E09" w14:textId="4FC19FD9" w:rsidR="00240DEB" w:rsidRPr="000A6ED2" w:rsidRDefault="00240DEB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>
              <w:rPr>
                <w:rFonts w:cs="Times New Roman"/>
                <w:b/>
                <w:bCs/>
                <w:sz w:val="18"/>
                <w:lang w:val="en-US"/>
              </w:rPr>
              <w:t>III</w:t>
            </w:r>
            <w:r w:rsidRPr="00684851">
              <w:rPr>
                <w:rFonts w:cs="Times New Roman"/>
                <w:b/>
                <w:bCs/>
                <w:sz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</w:rPr>
              <w:t xml:space="preserve">и </w:t>
            </w:r>
            <w:r>
              <w:rPr>
                <w:rFonts w:cs="Times New Roman"/>
                <w:b/>
                <w:bCs/>
                <w:sz w:val="18"/>
                <w:lang w:val="en-US"/>
              </w:rPr>
              <w:t>V</w:t>
            </w:r>
            <w:r w:rsidRPr="00684851">
              <w:rPr>
                <w:rFonts w:cs="Times New Roman"/>
                <w:b/>
                <w:bCs/>
                <w:sz w:val="18"/>
              </w:rPr>
              <w:t>.</w:t>
            </w:r>
            <w:r w:rsidRPr="00DC6560">
              <w:rPr>
                <w:rFonts w:cs="Times New Roman"/>
                <w:b/>
                <w:bCs/>
                <w:sz w:val="18"/>
              </w:rPr>
              <w:t xml:space="preserve"> </w:t>
            </w:r>
            <w:r w:rsidRPr="000A6ED2">
              <w:rPr>
                <w:rFonts w:cs="Times New Roman"/>
                <w:b/>
                <w:bCs/>
                <w:sz w:val="18"/>
              </w:rPr>
              <w:t>Деятельность и</w:t>
            </w:r>
            <w:r>
              <w:rPr>
                <w:rFonts w:cs="Times New Roman"/>
                <w:b/>
                <w:bCs/>
                <w:sz w:val="18"/>
              </w:rPr>
              <w:t> </w:t>
            </w:r>
            <w:r w:rsidRPr="000A6ED2">
              <w:rPr>
                <w:rFonts w:cs="Times New Roman"/>
                <w:b/>
                <w:bCs/>
                <w:sz w:val="18"/>
              </w:rPr>
              <w:t>кадровые ресурсы</w:t>
            </w:r>
            <w:r w:rsidRPr="000A6ED2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7B00807" w14:textId="77777777" w:rsidR="00240DEB" w:rsidRPr="00684851" w:rsidRDefault="00240DEB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</w:rPr>
            </w:pPr>
          </w:p>
          <w:p w14:paraId="5730B654" w14:textId="77777777" w:rsidR="00240DEB" w:rsidRPr="00684851" w:rsidRDefault="00240DEB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684851">
              <w:rPr>
                <w:rFonts w:cs="Times New Roman"/>
                <w:b/>
                <w:bCs/>
                <w:sz w:val="18"/>
              </w:rPr>
              <w:t>1 540 000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2CFA0CB" w14:textId="77777777" w:rsidR="00240DEB" w:rsidRPr="00684851" w:rsidRDefault="00240DEB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684851">
              <w:rPr>
                <w:rFonts w:cs="Times New Roman"/>
                <w:b/>
                <w:sz w:val="18"/>
              </w:rPr>
              <w:t>31,5</w:t>
            </w:r>
          </w:p>
          <w:p w14:paraId="72582AEA" w14:textId="50CBC373" w:rsidR="00240DEB" w:rsidRPr="00684851" w:rsidRDefault="00240DEB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684851">
              <w:rPr>
                <w:rFonts w:cs="Times New Roman"/>
                <w:b/>
                <w:sz w:val="18"/>
              </w:rPr>
              <w:t xml:space="preserve">(610 000 </w:t>
            </w:r>
            <w:r>
              <w:rPr>
                <w:rFonts w:cs="Times New Roman"/>
                <w:b/>
                <w:sz w:val="18"/>
              </w:rPr>
              <w:br/>
            </w:r>
            <w:r w:rsidRPr="00684851">
              <w:rPr>
                <w:rFonts w:cs="Times New Roman"/>
                <w:b/>
                <w:sz w:val="18"/>
              </w:rPr>
              <w:t>долл. США)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3B73426E" w14:textId="77777777" w:rsidR="00240DEB" w:rsidRPr="00684851" w:rsidRDefault="00240DEB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684851">
              <w:rPr>
                <w:rFonts w:cs="Times New Roman"/>
                <w:b/>
                <w:sz w:val="18"/>
              </w:rPr>
              <w:t>31,5</w:t>
            </w:r>
          </w:p>
          <w:p w14:paraId="4FC84443" w14:textId="3415FD8D" w:rsidR="00240DEB" w:rsidRPr="00684851" w:rsidRDefault="00240DEB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sz w:val="18"/>
                <w:lang w:val="en-GB"/>
              </w:rPr>
            </w:pPr>
            <w:r w:rsidRPr="00684851">
              <w:rPr>
                <w:rFonts w:cs="Times New Roman"/>
                <w:b/>
                <w:sz w:val="18"/>
              </w:rPr>
              <w:t xml:space="preserve">(330 000 </w:t>
            </w:r>
            <w:r>
              <w:rPr>
                <w:rFonts w:cs="Times New Roman"/>
                <w:b/>
                <w:sz w:val="18"/>
              </w:rPr>
              <w:br/>
            </w:r>
            <w:r w:rsidRPr="00684851">
              <w:rPr>
                <w:rFonts w:cs="Times New Roman"/>
                <w:b/>
                <w:sz w:val="18"/>
              </w:rPr>
              <w:t>долл. США)</w:t>
            </w:r>
          </w:p>
        </w:tc>
      </w:tr>
      <w:tr w:rsidR="002E3B11" w:rsidRPr="000A6ED2" w14:paraId="497DB361" w14:textId="77777777" w:rsidTr="00684851"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CDAAC" w14:textId="77777777" w:rsidR="002E3B11" w:rsidRPr="000A6ED2" w:rsidRDefault="00186DC8" w:rsidP="00186DC8">
            <w:pPr>
              <w:tabs>
                <w:tab w:val="left" w:pos="288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="002E3B11" w:rsidRPr="000A6ED2">
              <w:rPr>
                <w:rFonts w:cs="Times New Roman"/>
                <w:b/>
                <w:bCs/>
                <w:sz w:val="18"/>
              </w:rPr>
              <w:t>Итого по областям III и V: 2 480 000 + 13% накладных расходов (322 400) = 2 802 400</w:t>
            </w:r>
          </w:p>
        </w:tc>
      </w:tr>
      <w:tr w:rsidR="002E3B11" w:rsidRPr="000A6ED2" w14:paraId="7E3ECB7A" w14:textId="77777777" w:rsidTr="00684851">
        <w:tc>
          <w:tcPr>
            <w:tcW w:w="85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657613C" w14:textId="77777777" w:rsidR="002E3B11" w:rsidRPr="000A6ED2" w:rsidRDefault="002E3B11" w:rsidP="00186DC8">
            <w:pPr>
              <w:tabs>
                <w:tab w:val="left" w:pos="288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684851">
              <w:rPr>
                <w:rFonts w:cs="Times New Roman"/>
                <w:b/>
                <w:sz w:val="18"/>
              </w:rPr>
              <w:t>VI.</w:t>
            </w:r>
            <w:r w:rsidR="00684851" w:rsidRPr="00684851">
              <w:rPr>
                <w:rFonts w:cs="Times New Roman"/>
                <w:b/>
                <w:sz w:val="18"/>
              </w:rPr>
              <w:tab/>
            </w:r>
            <w:r w:rsidRPr="000A6ED2">
              <w:rPr>
                <w:rFonts w:cs="Times New Roman"/>
                <w:b/>
                <w:bCs/>
                <w:sz w:val="18"/>
              </w:rPr>
              <w:t>Информационно-пропагандистская деятельность</w:t>
            </w:r>
          </w:p>
          <w:p w14:paraId="113A2233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186DC8">
              <w:rPr>
                <w:rFonts w:cs="Times New Roman"/>
                <w:i/>
                <w:sz w:val="18"/>
              </w:rPr>
              <w:t>Цель</w:t>
            </w:r>
            <w:r w:rsidRPr="000A6ED2">
              <w:rPr>
                <w:rFonts w:cs="Times New Roman"/>
                <w:sz w:val="18"/>
              </w:rPr>
              <w:t xml:space="preserve">: повышение осведомленности о Конвенции и Протоколе и присоединении к ним, а также применение их принципов за пределами региона ЕЭК. </w:t>
            </w:r>
            <w:r w:rsidRPr="00186DC8">
              <w:rPr>
                <w:rFonts w:cs="Times New Roman"/>
                <w:i/>
                <w:sz w:val="18"/>
              </w:rPr>
              <w:t>Ответственный(ые) орган(ы)</w:t>
            </w:r>
            <w:r w:rsidRPr="000A6ED2">
              <w:rPr>
                <w:rFonts w:cs="Times New Roman"/>
                <w:sz w:val="18"/>
              </w:rPr>
              <w:t>: секретариат, в случае необходимости</w:t>
            </w:r>
            <w:r w:rsidR="00D43275">
              <w:rPr>
                <w:rFonts w:cs="Times New Roman"/>
                <w:sz w:val="18"/>
              </w:rPr>
              <w:t>,</w:t>
            </w:r>
            <w:r w:rsidRPr="000A6ED2">
              <w:rPr>
                <w:rFonts w:cs="Times New Roman"/>
                <w:sz w:val="18"/>
              </w:rPr>
              <w:t xml:space="preserve"> в консультации с договорными органами</w:t>
            </w:r>
          </w:p>
        </w:tc>
      </w:tr>
      <w:tr w:rsidR="00684851" w:rsidRPr="000A6ED2" w14:paraId="676A8FEA" w14:textId="77777777" w:rsidTr="00240DEB">
        <w:tc>
          <w:tcPr>
            <w:tcW w:w="1470" w:type="dxa"/>
            <w:shd w:val="clear" w:color="auto" w:fill="auto"/>
          </w:tcPr>
          <w:p w14:paraId="4A10F610" w14:textId="77777777" w:rsidR="002E3B11" w:rsidRPr="000A6ED2" w:rsidRDefault="002E3B11" w:rsidP="00186DC8">
            <w:pPr>
              <w:tabs>
                <w:tab w:val="left" w:pos="288"/>
                <w:tab w:val="left" w:pos="38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186DC8">
              <w:rPr>
                <w:rFonts w:cs="Times New Roman"/>
                <w:b/>
                <w:sz w:val="18"/>
              </w:rPr>
              <w:t>1.</w:t>
            </w:r>
            <w:r w:rsidR="00186DC8">
              <w:rPr>
                <w:rFonts w:cs="Times New Roman"/>
                <w:sz w:val="18"/>
              </w:rPr>
              <w:tab/>
            </w:r>
            <w:r w:rsidRPr="000A6ED2">
              <w:rPr>
                <w:rFonts w:cs="Times New Roman"/>
                <w:b/>
                <w:bCs/>
                <w:sz w:val="18"/>
              </w:rPr>
              <w:t>Повышение осведомленности о Конвенции и</w:t>
            </w:r>
            <w:r w:rsidR="001E1AD2">
              <w:rPr>
                <w:rFonts w:cs="Times New Roman"/>
                <w:b/>
                <w:bCs/>
                <w:sz w:val="18"/>
              </w:rPr>
              <w:t> </w:t>
            </w:r>
            <w:r w:rsidRPr="000A6ED2">
              <w:rPr>
                <w:rFonts w:cs="Times New Roman"/>
                <w:b/>
                <w:bCs/>
                <w:sz w:val="18"/>
              </w:rPr>
              <w:t>Протоколе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07BCAFA3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Содейст</w:t>
            </w:r>
            <w:r w:rsidR="00186DC8">
              <w:rPr>
                <w:rFonts w:cs="Times New Roman"/>
                <w:sz w:val="18"/>
              </w:rPr>
              <w:t>в</w:t>
            </w:r>
            <w:r w:rsidRPr="000A6ED2">
              <w:rPr>
                <w:rFonts w:cs="Times New Roman"/>
                <w:sz w:val="18"/>
              </w:rPr>
              <w:t xml:space="preserve">ие повышению осведомленности о договорах и их деятельности на глобальных и региональных мероприятиях путем представления докладов и организации заседаний и/или параллельных мероприятий; </w:t>
            </w:r>
          </w:p>
          <w:p w14:paraId="6CAAC24D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ресурсы для покрытия путевых расходов</w:t>
            </w:r>
          </w:p>
        </w:tc>
        <w:tc>
          <w:tcPr>
            <w:tcW w:w="1162" w:type="dxa"/>
            <w:shd w:val="clear" w:color="auto" w:fill="auto"/>
          </w:tcPr>
          <w:p w14:paraId="6DECE5C0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50 000</w:t>
            </w:r>
          </w:p>
        </w:tc>
        <w:tc>
          <w:tcPr>
            <w:tcW w:w="1162" w:type="dxa"/>
            <w:shd w:val="clear" w:color="auto" w:fill="auto"/>
          </w:tcPr>
          <w:p w14:paraId="3436F89A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14:paraId="3BEBFD8B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684851" w:rsidRPr="000A6ED2" w14:paraId="757200C1" w14:textId="77777777" w:rsidTr="00240DEB">
        <w:tc>
          <w:tcPr>
            <w:tcW w:w="1470" w:type="dxa"/>
            <w:shd w:val="clear" w:color="auto" w:fill="auto"/>
          </w:tcPr>
          <w:p w14:paraId="7E1FFCB7" w14:textId="77777777" w:rsidR="002E3B11" w:rsidRPr="000A6ED2" w:rsidRDefault="002E3B11" w:rsidP="00186DC8">
            <w:pPr>
              <w:tabs>
                <w:tab w:val="left" w:pos="288"/>
                <w:tab w:val="left" w:pos="380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 w:rsidRPr="00186DC8">
              <w:rPr>
                <w:rFonts w:cs="Times New Roman"/>
                <w:b/>
                <w:bCs/>
                <w:sz w:val="18"/>
              </w:rPr>
              <w:t>2.</w:t>
            </w:r>
            <w:r w:rsidR="00186DC8">
              <w:rPr>
                <w:rFonts w:cs="Times New Roman"/>
                <w:b/>
                <w:bCs/>
                <w:sz w:val="18"/>
              </w:rPr>
              <w:tab/>
            </w:r>
            <w:r w:rsidRPr="000A6ED2">
              <w:rPr>
                <w:rFonts w:cs="Times New Roman"/>
                <w:b/>
                <w:bCs/>
                <w:sz w:val="18"/>
              </w:rPr>
              <w:t>Содействие присоединению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2C2EEA39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Подготовка и перевод специального руководства, посвященного общим и конкретным вопросам, касающимся присоединения к договорам и их осуществления. Расходы на услуги консультантов в размере приблизительно 25</w:t>
            </w:r>
            <w:r w:rsidR="001E1AD2">
              <w:rPr>
                <w:rFonts w:cs="Times New Roman"/>
                <w:sz w:val="18"/>
              </w:rPr>
              <w:t> </w:t>
            </w:r>
            <w:r w:rsidRPr="000A6ED2">
              <w:rPr>
                <w:rFonts w:cs="Times New Roman"/>
                <w:sz w:val="18"/>
              </w:rPr>
              <w:t>000 долл. США</w:t>
            </w:r>
          </w:p>
        </w:tc>
        <w:tc>
          <w:tcPr>
            <w:tcW w:w="1162" w:type="dxa"/>
            <w:shd w:val="clear" w:color="auto" w:fill="auto"/>
          </w:tcPr>
          <w:p w14:paraId="1EDC5C5C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25 000</w:t>
            </w:r>
          </w:p>
        </w:tc>
        <w:tc>
          <w:tcPr>
            <w:tcW w:w="1162" w:type="dxa"/>
            <w:shd w:val="clear" w:color="auto" w:fill="auto"/>
          </w:tcPr>
          <w:p w14:paraId="06CFEC20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14:paraId="71A22BAA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684851" w:rsidRPr="000A6ED2" w14:paraId="137FBDC0" w14:textId="77777777" w:rsidTr="00240DEB">
        <w:tc>
          <w:tcPr>
            <w:tcW w:w="1470" w:type="dxa"/>
            <w:shd w:val="clear" w:color="auto" w:fill="auto"/>
          </w:tcPr>
          <w:p w14:paraId="3193F0D0" w14:textId="166AC21B" w:rsidR="002E3B11" w:rsidRPr="000A6ED2" w:rsidRDefault="002E3B11" w:rsidP="00186DC8">
            <w:pPr>
              <w:tabs>
                <w:tab w:val="left" w:pos="288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 w:rsidRPr="00186DC8">
              <w:rPr>
                <w:rFonts w:cs="Times New Roman"/>
                <w:b/>
                <w:bCs/>
                <w:sz w:val="18"/>
              </w:rPr>
              <w:t>3.</w:t>
            </w:r>
            <w:r w:rsidR="00186DC8">
              <w:rPr>
                <w:rFonts w:cs="Times New Roman"/>
                <w:b/>
                <w:bCs/>
                <w:sz w:val="18"/>
              </w:rPr>
              <w:tab/>
            </w:r>
            <w:r w:rsidRPr="000A6ED2">
              <w:rPr>
                <w:rFonts w:cs="Times New Roman"/>
                <w:b/>
                <w:bCs/>
                <w:sz w:val="18"/>
              </w:rPr>
              <w:t>Пропаганда преимуществ осуществления договоров и распространение информации о</w:t>
            </w:r>
            <w:r w:rsidR="00240DEB">
              <w:rPr>
                <w:rFonts w:cs="Times New Roman"/>
                <w:b/>
                <w:bCs/>
                <w:sz w:val="18"/>
                <w:lang w:val="en-US"/>
              </w:rPr>
              <w:t> </w:t>
            </w:r>
            <w:r w:rsidRPr="000A6ED2">
              <w:rPr>
                <w:rFonts w:cs="Times New Roman"/>
                <w:b/>
                <w:bCs/>
                <w:sz w:val="18"/>
              </w:rPr>
              <w:t>них</w:t>
            </w:r>
            <w:r w:rsidRPr="000A6ED2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3499" w:type="dxa"/>
            <w:shd w:val="clear" w:color="auto" w:fill="auto"/>
          </w:tcPr>
          <w:p w14:paraId="138A296B" w14:textId="77777777" w:rsidR="002E3B11" w:rsidRPr="000A6ED2" w:rsidRDefault="002E3B11" w:rsidP="001E1A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Подготовка информационной брошюры для договорных органов о преимуществах Конвенции и Протокола, включая надлежащую практику и тематические исследования</w:t>
            </w:r>
          </w:p>
        </w:tc>
        <w:tc>
          <w:tcPr>
            <w:tcW w:w="1162" w:type="dxa"/>
            <w:shd w:val="clear" w:color="auto" w:fill="auto"/>
          </w:tcPr>
          <w:p w14:paraId="366396C8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25 000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59C573E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14:paraId="79CB9E2B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684851" w:rsidRPr="000A6ED2" w14:paraId="2F7A9902" w14:textId="77777777" w:rsidTr="00240DEB">
        <w:tc>
          <w:tcPr>
            <w:tcW w:w="1470" w:type="dxa"/>
            <w:shd w:val="clear" w:color="auto" w:fill="auto"/>
          </w:tcPr>
          <w:p w14:paraId="269F3868" w14:textId="77777777" w:rsidR="002E3B11" w:rsidRPr="000A6ED2" w:rsidRDefault="002E3B11" w:rsidP="00186DC8">
            <w:pPr>
              <w:tabs>
                <w:tab w:val="left" w:pos="288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 w:rsidRPr="00186DC8">
              <w:rPr>
                <w:rFonts w:cs="Times New Roman"/>
                <w:b/>
                <w:sz w:val="18"/>
              </w:rPr>
              <w:t>4.</w:t>
            </w:r>
            <w:r w:rsidR="00186DC8" w:rsidRPr="00186DC8">
              <w:rPr>
                <w:rFonts w:cs="Times New Roman"/>
                <w:b/>
                <w:sz w:val="18"/>
              </w:rPr>
              <w:tab/>
            </w:r>
            <w:r w:rsidRPr="000A6ED2">
              <w:rPr>
                <w:rFonts w:cs="Times New Roman"/>
                <w:b/>
                <w:bCs/>
                <w:sz w:val="18"/>
              </w:rPr>
              <w:t>Предоставле</w:t>
            </w:r>
            <w:r w:rsidR="001E1AD2">
              <w:rPr>
                <w:rFonts w:cs="Times New Roman"/>
                <w:b/>
                <w:bCs/>
                <w:sz w:val="18"/>
              </w:rPr>
              <w:t>-</w:t>
            </w:r>
            <w:r w:rsidRPr="000A6ED2">
              <w:rPr>
                <w:rFonts w:cs="Times New Roman"/>
                <w:b/>
                <w:bCs/>
                <w:sz w:val="18"/>
              </w:rPr>
              <w:t>ние правовой помощи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4543B676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Обзоры законодательства и оказание поддержки в разработке правовых документов для приведения национального законодательства в соответствие с Конвенцией и Протоколом (30 000 долл. США) для 5 стран</w:t>
            </w:r>
          </w:p>
        </w:tc>
        <w:tc>
          <w:tcPr>
            <w:tcW w:w="1162" w:type="dxa"/>
            <w:shd w:val="clear" w:color="auto" w:fill="auto"/>
          </w:tcPr>
          <w:p w14:paraId="51BBAE0C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150 000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810F2C1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14:paraId="2D3D9B46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684851" w:rsidRPr="000A6ED2" w14:paraId="61F88CAD" w14:textId="77777777" w:rsidTr="00240DEB">
        <w:tc>
          <w:tcPr>
            <w:tcW w:w="1470" w:type="dxa"/>
            <w:shd w:val="clear" w:color="auto" w:fill="auto"/>
          </w:tcPr>
          <w:p w14:paraId="0D4CADA2" w14:textId="77777777" w:rsidR="002E3B11" w:rsidRPr="000A6ED2" w:rsidRDefault="002E3B11" w:rsidP="00120C8C">
            <w:pPr>
              <w:pageBreakBefore/>
              <w:tabs>
                <w:tab w:val="left" w:pos="354"/>
              </w:tabs>
              <w:spacing w:before="40" w:after="40" w:line="220" w:lineRule="exact"/>
              <w:ind w:left="11" w:right="11"/>
              <w:rPr>
                <w:rFonts w:cs="Times New Roman"/>
                <w:b/>
                <w:bCs/>
                <w:sz w:val="18"/>
                <w:lang w:val="en-GB"/>
              </w:rPr>
            </w:pPr>
            <w:r w:rsidRPr="00186DC8">
              <w:rPr>
                <w:rFonts w:cs="Times New Roman"/>
                <w:b/>
                <w:sz w:val="18"/>
              </w:rPr>
              <w:lastRenderedPageBreak/>
              <w:t>5.</w:t>
            </w:r>
            <w:r w:rsidR="00186DC8">
              <w:rPr>
                <w:rFonts w:cs="Times New Roman"/>
                <w:sz w:val="18"/>
              </w:rPr>
              <w:tab/>
            </w:r>
            <w:r w:rsidRPr="000A6ED2">
              <w:rPr>
                <w:rFonts w:cs="Times New Roman"/>
                <w:b/>
                <w:bCs/>
                <w:sz w:val="18"/>
              </w:rPr>
              <w:t>Укрепление потенциала</w:t>
            </w:r>
          </w:p>
        </w:tc>
        <w:tc>
          <w:tcPr>
            <w:tcW w:w="3499" w:type="dxa"/>
            <w:shd w:val="clear" w:color="auto" w:fill="auto"/>
            <w:vAlign w:val="bottom"/>
          </w:tcPr>
          <w:p w14:paraId="51ADD367" w14:textId="77777777" w:rsidR="002E3B11" w:rsidRPr="000A6E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Содействие эффективному практическому применению Конвенции и Протокола</w:t>
            </w:r>
          </w:p>
          <w:p w14:paraId="1493EF10" w14:textId="77777777" w:rsidR="002E3B11" w:rsidRPr="001E1AD2" w:rsidRDefault="002E3B11" w:rsidP="000A6ED2">
            <w:pPr>
              <w:spacing w:before="40" w:after="40" w:line="220" w:lineRule="exact"/>
              <w:ind w:left="11" w:right="11"/>
              <w:rPr>
                <w:rFonts w:cs="Times New Roman"/>
                <w:sz w:val="18"/>
              </w:rPr>
            </w:pPr>
            <w:r w:rsidRPr="000A6ED2">
              <w:rPr>
                <w:rFonts w:cs="Times New Roman"/>
                <w:sz w:val="18"/>
              </w:rPr>
              <w:t>Учебные рабочие совещания (25 000 долл. США), разработка руководящих принципов (25 000 долл. США) и экспериментальные проекты (85</w:t>
            </w:r>
            <w:r w:rsidR="00186DC8">
              <w:rPr>
                <w:rFonts w:cs="Times New Roman"/>
                <w:sz w:val="18"/>
              </w:rPr>
              <w:t> </w:t>
            </w:r>
            <w:r w:rsidRPr="000A6ED2">
              <w:rPr>
                <w:rFonts w:cs="Times New Roman"/>
                <w:sz w:val="18"/>
              </w:rPr>
              <w:t>000</w:t>
            </w:r>
            <w:r w:rsidR="00186DC8">
              <w:rPr>
                <w:rFonts w:cs="Times New Roman"/>
                <w:sz w:val="18"/>
              </w:rPr>
              <w:t>–</w:t>
            </w:r>
            <w:r w:rsidRPr="000A6ED2">
              <w:rPr>
                <w:rFonts w:cs="Times New Roman"/>
                <w:sz w:val="18"/>
              </w:rPr>
              <w:t>100 000 долл. США) для 5</w:t>
            </w:r>
            <w:r w:rsidR="00186DC8">
              <w:rPr>
                <w:rFonts w:cs="Times New Roman"/>
                <w:sz w:val="18"/>
              </w:rPr>
              <w:t> </w:t>
            </w:r>
            <w:r w:rsidRPr="000A6ED2">
              <w:rPr>
                <w:rFonts w:cs="Times New Roman"/>
                <w:sz w:val="18"/>
              </w:rPr>
              <w:t>стран</w:t>
            </w:r>
          </w:p>
        </w:tc>
        <w:tc>
          <w:tcPr>
            <w:tcW w:w="1162" w:type="dxa"/>
            <w:shd w:val="clear" w:color="auto" w:fill="auto"/>
          </w:tcPr>
          <w:p w14:paraId="0A46E7B9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  <w:r w:rsidRPr="000A6ED2">
              <w:rPr>
                <w:rFonts w:cs="Times New Roman"/>
                <w:sz w:val="18"/>
              </w:rPr>
              <w:t>750 000</w:t>
            </w:r>
          </w:p>
        </w:tc>
        <w:tc>
          <w:tcPr>
            <w:tcW w:w="1162" w:type="dxa"/>
            <w:shd w:val="clear" w:color="auto" w:fill="auto"/>
          </w:tcPr>
          <w:p w14:paraId="5D344C71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  <w:tc>
          <w:tcPr>
            <w:tcW w:w="1211" w:type="dxa"/>
            <w:shd w:val="clear" w:color="auto" w:fill="auto"/>
          </w:tcPr>
          <w:p w14:paraId="3A6579A5" w14:textId="77777777" w:rsidR="002E3B11" w:rsidRPr="000A6ED2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sz w:val="18"/>
                <w:lang w:val="en-GB"/>
              </w:rPr>
            </w:pPr>
          </w:p>
        </w:tc>
      </w:tr>
      <w:tr w:rsidR="00186DC8" w:rsidRPr="000A6ED2" w14:paraId="772837B1" w14:textId="77777777" w:rsidTr="00240DEB"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39AB9B" w14:textId="77777777" w:rsidR="002E3B11" w:rsidRPr="00186DC8" w:rsidRDefault="002E3B11" w:rsidP="00120C8C">
            <w:pPr>
              <w:tabs>
                <w:tab w:val="left" w:pos="354"/>
              </w:tabs>
              <w:spacing w:before="40" w:after="40" w:line="220" w:lineRule="exact"/>
              <w:ind w:left="11" w:right="11"/>
              <w:rPr>
                <w:rFonts w:cs="Times New Roman"/>
                <w:b/>
                <w:sz w:val="18"/>
              </w:rPr>
            </w:pPr>
            <w:r w:rsidRPr="00186DC8">
              <w:rPr>
                <w:rFonts w:cs="Times New Roman"/>
                <w:b/>
                <w:sz w:val="18"/>
              </w:rPr>
              <w:t>VI.</w:t>
            </w:r>
            <w:r w:rsidR="00186DC8" w:rsidRPr="00186DC8">
              <w:rPr>
                <w:rFonts w:cs="Times New Roman"/>
                <w:b/>
                <w:sz w:val="18"/>
              </w:rPr>
              <w:tab/>
            </w:r>
            <w:r w:rsidRPr="00186DC8">
              <w:rPr>
                <w:rFonts w:cs="Times New Roman"/>
                <w:b/>
                <w:sz w:val="18"/>
              </w:rPr>
              <w:t>Д</w:t>
            </w:r>
            <w:r w:rsidRPr="00186DC8">
              <w:rPr>
                <w:rFonts w:cs="Times New Roman"/>
                <w:b/>
                <w:bCs/>
                <w:sz w:val="18"/>
              </w:rPr>
              <w:t>еятельность и кадровые ресурсы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1A791C39" w14:textId="77777777" w:rsidR="002E3B11" w:rsidRPr="00186DC8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</w:rPr>
            </w:pPr>
          </w:p>
          <w:p w14:paraId="333C720D" w14:textId="77777777" w:rsidR="002E3B11" w:rsidRPr="00186DC8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186DC8">
              <w:rPr>
                <w:rFonts w:cs="Times New Roman"/>
                <w:b/>
                <w:bCs/>
                <w:sz w:val="18"/>
              </w:rPr>
              <w:t>950 000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30F0312B" w14:textId="77777777" w:rsidR="002E3B11" w:rsidRPr="00186DC8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186DC8">
              <w:rPr>
                <w:rFonts w:cs="Times New Roman"/>
                <w:b/>
                <w:sz w:val="18"/>
              </w:rPr>
              <w:t>31</w:t>
            </w:r>
            <w:r w:rsidR="00186DC8">
              <w:rPr>
                <w:rFonts w:cs="Times New Roman"/>
                <w:b/>
                <w:sz w:val="18"/>
              </w:rPr>
              <w:t>,</w:t>
            </w:r>
            <w:r w:rsidRPr="00186DC8">
              <w:rPr>
                <w:rFonts w:cs="Times New Roman"/>
                <w:b/>
                <w:sz w:val="18"/>
              </w:rPr>
              <w:t>5</w:t>
            </w:r>
          </w:p>
          <w:p w14:paraId="099B0D4D" w14:textId="4AACDDD8" w:rsidR="002E3B11" w:rsidRPr="00186DC8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186DC8">
              <w:rPr>
                <w:rFonts w:cs="Times New Roman"/>
                <w:b/>
                <w:sz w:val="18"/>
              </w:rPr>
              <w:t xml:space="preserve">(610 000 </w:t>
            </w:r>
            <w:r w:rsidR="00240DEB">
              <w:rPr>
                <w:rFonts w:cs="Times New Roman"/>
                <w:b/>
                <w:sz w:val="18"/>
              </w:rPr>
              <w:br/>
            </w:r>
            <w:r w:rsidRPr="00186DC8">
              <w:rPr>
                <w:rFonts w:cs="Times New Roman"/>
                <w:b/>
                <w:sz w:val="18"/>
              </w:rPr>
              <w:t>долл. США)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1C59EBD0" w14:textId="77777777" w:rsidR="002E3B11" w:rsidRPr="00186DC8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186DC8">
              <w:rPr>
                <w:rFonts w:cs="Times New Roman"/>
                <w:b/>
                <w:sz w:val="18"/>
              </w:rPr>
              <w:t>31</w:t>
            </w:r>
            <w:r w:rsidR="00186DC8">
              <w:rPr>
                <w:rFonts w:cs="Times New Roman"/>
                <w:b/>
                <w:sz w:val="18"/>
              </w:rPr>
              <w:t>,</w:t>
            </w:r>
            <w:r w:rsidRPr="00186DC8">
              <w:rPr>
                <w:rFonts w:cs="Times New Roman"/>
                <w:b/>
                <w:sz w:val="18"/>
              </w:rPr>
              <w:t>5</w:t>
            </w:r>
          </w:p>
          <w:p w14:paraId="40B83DD0" w14:textId="64C77637" w:rsidR="002E3B11" w:rsidRPr="00186DC8" w:rsidRDefault="002E3B11" w:rsidP="00240DEB">
            <w:pPr>
              <w:spacing w:before="40" w:after="40" w:line="220" w:lineRule="exact"/>
              <w:ind w:left="11" w:right="11"/>
              <w:jc w:val="right"/>
              <w:rPr>
                <w:rFonts w:cs="Times New Roman"/>
                <w:b/>
                <w:bCs/>
                <w:sz w:val="18"/>
                <w:lang w:val="en-GB"/>
              </w:rPr>
            </w:pPr>
            <w:r w:rsidRPr="00186DC8">
              <w:rPr>
                <w:rFonts w:cs="Times New Roman"/>
                <w:b/>
                <w:sz w:val="18"/>
              </w:rPr>
              <w:t xml:space="preserve">(330 000 </w:t>
            </w:r>
            <w:r w:rsidR="00240DEB">
              <w:rPr>
                <w:rFonts w:cs="Times New Roman"/>
                <w:b/>
                <w:sz w:val="18"/>
              </w:rPr>
              <w:br/>
            </w:r>
            <w:r w:rsidRPr="00186DC8">
              <w:rPr>
                <w:rFonts w:cs="Times New Roman"/>
                <w:b/>
                <w:sz w:val="18"/>
              </w:rPr>
              <w:t>долл. США)</w:t>
            </w:r>
          </w:p>
        </w:tc>
      </w:tr>
      <w:tr w:rsidR="002E3B11" w:rsidRPr="000A6ED2" w14:paraId="1A975157" w14:textId="77777777" w:rsidTr="00186DC8">
        <w:tc>
          <w:tcPr>
            <w:tcW w:w="85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D670D" w14:textId="77777777" w:rsidR="002E3B11" w:rsidRPr="00186DC8" w:rsidRDefault="00186DC8" w:rsidP="00186DC8">
            <w:pPr>
              <w:tabs>
                <w:tab w:val="left" w:pos="288"/>
              </w:tabs>
              <w:spacing w:before="80" w:after="80" w:line="220" w:lineRule="exact"/>
              <w:ind w:left="11" w:right="11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="002E3B11" w:rsidRPr="000A6ED2">
              <w:rPr>
                <w:rFonts w:cs="Times New Roman"/>
                <w:b/>
                <w:bCs/>
                <w:sz w:val="18"/>
              </w:rPr>
              <w:t>Итого по области работы VI: 1 890 000 + 13% накладных расходов (245 700) = 2 135 700</w:t>
            </w:r>
          </w:p>
        </w:tc>
      </w:tr>
      <w:tr w:rsidR="002E3B11" w:rsidRPr="000A6ED2" w14:paraId="4DA2C753" w14:textId="77777777" w:rsidTr="00186DC8">
        <w:tc>
          <w:tcPr>
            <w:tcW w:w="850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18347F" w14:textId="77777777" w:rsidR="002E3B11" w:rsidRPr="000A6ED2" w:rsidRDefault="00186DC8" w:rsidP="00186DC8">
            <w:pPr>
              <w:tabs>
                <w:tab w:val="left" w:pos="288"/>
              </w:tabs>
              <w:spacing w:before="80" w:after="80" w:line="220" w:lineRule="exact"/>
              <w:ind w:left="11" w:right="11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="002E3B11" w:rsidRPr="000A6ED2">
              <w:rPr>
                <w:rFonts w:cs="Times New Roman"/>
                <w:b/>
                <w:bCs/>
                <w:sz w:val="18"/>
              </w:rPr>
              <w:t>Всего по областям работы III, V и VI = 4 938 100</w:t>
            </w:r>
          </w:p>
        </w:tc>
      </w:tr>
    </w:tbl>
    <w:p w14:paraId="78C59729" w14:textId="77777777" w:rsidR="002E3B11" w:rsidRPr="004C6360" w:rsidRDefault="004C6360" w:rsidP="00120C8C">
      <w:pPr>
        <w:pStyle w:val="SingleTxtG"/>
        <w:tabs>
          <w:tab w:val="left" w:pos="1276"/>
        </w:tabs>
        <w:spacing w:before="120" w:after="0" w:line="220" w:lineRule="exact"/>
        <w:ind w:right="0"/>
        <w:jc w:val="left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2E3B11" w:rsidRPr="004C6360">
        <w:rPr>
          <w:i/>
          <w:iCs/>
          <w:sz w:val="18"/>
          <w:szCs w:val="18"/>
        </w:rPr>
        <w:t>Сокращения</w:t>
      </w:r>
      <w:r w:rsidR="002E3B11" w:rsidRPr="004C6360">
        <w:rPr>
          <w:sz w:val="18"/>
          <w:szCs w:val="18"/>
        </w:rPr>
        <w:t xml:space="preserve">: ОО </w:t>
      </w:r>
      <w:r>
        <w:rPr>
          <w:sz w:val="18"/>
          <w:szCs w:val="18"/>
        </w:rPr>
        <w:t xml:space="preserve">– </w:t>
      </w:r>
      <w:r w:rsidR="002E3B11" w:rsidRPr="004C6360">
        <w:rPr>
          <w:sz w:val="18"/>
          <w:szCs w:val="18"/>
        </w:rPr>
        <w:t xml:space="preserve">сотрудник категории общего обслуживания; С </w:t>
      </w:r>
      <w:r>
        <w:rPr>
          <w:sz w:val="18"/>
          <w:szCs w:val="18"/>
        </w:rPr>
        <w:t>–</w:t>
      </w:r>
      <w:r w:rsidR="002E3B11" w:rsidRPr="004C6360">
        <w:rPr>
          <w:sz w:val="18"/>
          <w:szCs w:val="18"/>
        </w:rPr>
        <w:t xml:space="preserve"> сотрудник категории специалистов; РБ</w:t>
      </w:r>
      <w:r w:rsidR="00120C8C">
        <w:rPr>
          <w:sz w:val="18"/>
          <w:szCs w:val="18"/>
        </w:rPr>
        <w:t> </w:t>
      </w:r>
      <w:r>
        <w:rPr>
          <w:sz w:val="18"/>
          <w:szCs w:val="18"/>
        </w:rPr>
        <w:t>–</w:t>
      </w:r>
      <w:r w:rsidR="002E3B11" w:rsidRPr="004C6360">
        <w:rPr>
          <w:sz w:val="18"/>
          <w:szCs w:val="18"/>
        </w:rPr>
        <w:t xml:space="preserve"> регулярный бюджет; ВБР </w:t>
      </w:r>
      <w:r>
        <w:rPr>
          <w:sz w:val="18"/>
          <w:szCs w:val="18"/>
        </w:rPr>
        <w:t>–</w:t>
      </w:r>
      <w:r w:rsidR="002E3B11" w:rsidRPr="004C6360">
        <w:rPr>
          <w:sz w:val="18"/>
          <w:szCs w:val="18"/>
        </w:rPr>
        <w:t xml:space="preserve"> внебюджетные ресурсы; Бухарестское соглашение </w:t>
      </w:r>
      <w:r>
        <w:rPr>
          <w:sz w:val="18"/>
          <w:szCs w:val="18"/>
        </w:rPr>
        <w:t>–</w:t>
      </w:r>
      <w:r w:rsidR="002E3B11" w:rsidRPr="004C6360">
        <w:rPr>
          <w:sz w:val="18"/>
          <w:szCs w:val="18"/>
        </w:rPr>
        <w:t xml:space="preserve"> многостороннее соглашение между странами Юго-Восточной Европы по осуществлению Конвенции об оценке воздействия на окружающую среду в трансграничном контексте</w:t>
      </w:r>
      <w:bookmarkStart w:id="89" w:name="_Hlk32495456"/>
      <w:bookmarkEnd w:id="89"/>
      <w:r>
        <w:rPr>
          <w:sz w:val="18"/>
          <w:szCs w:val="18"/>
        </w:rPr>
        <w:t>.</w:t>
      </w:r>
    </w:p>
    <w:p w14:paraId="4F450232" w14:textId="77777777" w:rsidR="002E3B11" w:rsidRPr="002E3B11" w:rsidRDefault="004C6360" w:rsidP="00120C8C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bCs/>
          <w:iCs/>
        </w:rPr>
      </w:pPr>
      <w:r>
        <w:rPr>
          <w:i/>
          <w:iCs/>
          <w:sz w:val="18"/>
          <w:szCs w:val="18"/>
        </w:rPr>
        <w:tab/>
      </w:r>
      <w:r w:rsidR="002E3B11" w:rsidRPr="004C6360">
        <w:rPr>
          <w:i/>
          <w:iCs/>
          <w:sz w:val="18"/>
          <w:szCs w:val="18"/>
        </w:rPr>
        <w:t>Примечание</w:t>
      </w:r>
      <w:r w:rsidR="002E3B11" w:rsidRPr="004C6360">
        <w:rPr>
          <w:sz w:val="18"/>
          <w:szCs w:val="18"/>
        </w:rPr>
        <w:t>: одна должность (сотрудника категории специалистов или категории общего обслуживания) переводится в 10,5 человеко-месяца в год или в 31,5 человеко-месяца в трехлетний период для одного сотрудника. Указанные выше оценки ресурсов на персонал подготовлены на основе стандартных ставок заработной платы Организации Объединенных Наций, включая чистый</w:t>
      </w:r>
      <w:r w:rsidR="00BC086D" w:rsidRPr="004C6360">
        <w:rPr>
          <w:sz w:val="18"/>
          <w:szCs w:val="18"/>
        </w:rPr>
        <w:t xml:space="preserve"> </w:t>
      </w:r>
      <w:r w:rsidR="002E3B11" w:rsidRPr="004C6360">
        <w:rPr>
          <w:sz w:val="18"/>
          <w:szCs w:val="18"/>
        </w:rPr>
        <w:t>оклад, налоги и общие расходы по персоналу, а также расходы на служебные помещения, информационно-техническое оборудование, связь и подготовку</w:t>
      </w:r>
      <w:r w:rsidR="002E3B11" w:rsidRPr="002E3B11">
        <w:t>.</w:t>
      </w:r>
    </w:p>
    <w:p w14:paraId="25720D36" w14:textId="77777777" w:rsidR="002E3B11" w:rsidRPr="002E3B11" w:rsidRDefault="002E3B11" w:rsidP="002E3B11">
      <w:pPr>
        <w:pStyle w:val="SingleTxtG"/>
        <w:rPr>
          <w:bCs/>
        </w:rPr>
      </w:pPr>
      <w:r w:rsidRPr="002E3B11">
        <w:rPr>
          <w:bCs/>
        </w:rPr>
        <w:br w:type="page"/>
      </w:r>
    </w:p>
    <w:p w14:paraId="23718A50" w14:textId="77777777" w:rsidR="002E3B11" w:rsidRPr="002E3B11" w:rsidRDefault="002E3B11" w:rsidP="001B350E">
      <w:pPr>
        <w:pStyle w:val="HChG"/>
      </w:pPr>
      <w:r w:rsidRPr="002E3B11">
        <w:lastRenderedPageBreak/>
        <w:tab/>
      </w:r>
      <w:r w:rsidRPr="002E3B11">
        <w:tab/>
        <w:t>Решение VIII/3–IV/3</w:t>
      </w:r>
    </w:p>
    <w:p w14:paraId="55D3F3A8" w14:textId="77777777" w:rsidR="002E3B11" w:rsidRPr="002E3B11" w:rsidRDefault="002E3B11" w:rsidP="001B350E">
      <w:pPr>
        <w:pStyle w:val="H1G"/>
      </w:pPr>
      <w:r w:rsidRPr="002E3B11">
        <w:tab/>
      </w:r>
      <w:r w:rsidRPr="002E3B11">
        <w:tab/>
        <w:t xml:space="preserve">Долгосрочная стратегия и план действий по осуществлению Конвенции и Протокола </w:t>
      </w:r>
    </w:p>
    <w:p w14:paraId="3F3750A5" w14:textId="77777777" w:rsidR="002E3B11" w:rsidRPr="002E3B11" w:rsidRDefault="001B350E" w:rsidP="002E3B11">
      <w:pPr>
        <w:pStyle w:val="SingleTxt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2E3B11" w:rsidRPr="002E3B11"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</w:p>
    <w:p w14:paraId="481D90E6" w14:textId="77777777" w:rsidR="002E3B11" w:rsidRPr="002E3B11" w:rsidRDefault="001B350E" w:rsidP="002E3B11">
      <w:pPr>
        <w:pStyle w:val="SingleTxtG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2E3B11" w:rsidRPr="002E3B11">
        <w:rPr>
          <w:i/>
          <w:iCs/>
        </w:rPr>
        <w:t xml:space="preserve">ссылаясь </w:t>
      </w:r>
      <w:r w:rsidR="002E3B11" w:rsidRPr="002E3B11">
        <w:t xml:space="preserve">на свое решение VII/7–III/6 о разработке стратегии и плана действий по дальнейшему применению Конвенции и Протокола, </w:t>
      </w:r>
    </w:p>
    <w:p w14:paraId="314CA1EB" w14:textId="77777777" w:rsidR="002E3B11" w:rsidRPr="002E3B11" w:rsidRDefault="001B350E" w:rsidP="002E3B11">
      <w:pPr>
        <w:pStyle w:val="SingleTxtG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2E3B11" w:rsidRPr="002E3B11">
        <w:rPr>
          <w:i/>
          <w:iCs/>
        </w:rPr>
        <w:t>признавая</w:t>
      </w:r>
      <w:r w:rsidR="002E3B11" w:rsidRPr="002E3B11">
        <w:t xml:space="preserve"> важность долгосрочной стратегии и плана действий для руководства работой и приоритетными направлениями деятельности в рамках Конвенции и Протокола, </w:t>
      </w:r>
    </w:p>
    <w:p w14:paraId="63EC9075" w14:textId="77777777" w:rsidR="002E3B11" w:rsidRPr="002E3B11" w:rsidRDefault="001B350E" w:rsidP="002E3B11">
      <w:pPr>
        <w:pStyle w:val="SingleTxtG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2E3B11" w:rsidRPr="002E3B11">
        <w:rPr>
          <w:i/>
          <w:iCs/>
        </w:rPr>
        <w:t xml:space="preserve">признавая </w:t>
      </w:r>
      <w:r w:rsidR="002E3B11" w:rsidRPr="002E3B11">
        <w:t>необходимость выделения достаточных ресурсов для их осуществления,</w:t>
      </w:r>
    </w:p>
    <w:p w14:paraId="056EBB6A" w14:textId="77777777" w:rsidR="002E3B11" w:rsidRPr="002E3B11" w:rsidRDefault="001B350E" w:rsidP="002E3B11">
      <w:pPr>
        <w:pStyle w:val="SingleTxtG"/>
        <w:rPr>
          <w:iCs/>
        </w:rPr>
      </w:pPr>
      <w:r>
        <w:tab/>
      </w:r>
      <w:r>
        <w:tab/>
      </w:r>
      <w:r w:rsidR="002E3B11" w:rsidRPr="002E3B11">
        <w:t>1.</w:t>
      </w:r>
      <w:r w:rsidR="002E3B11" w:rsidRPr="002E3B11">
        <w:tab/>
      </w:r>
      <w:r w:rsidR="002E3B11" w:rsidRPr="002E3B11">
        <w:rPr>
          <w:i/>
          <w:iCs/>
        </w:rPr>
        <w:t xml:space="preserve">приветствуют </w:t>
      </w:r>
      <w:r w:rsidR="002E3B11" w:rsidRPr="002E3B11">
        <w:t>разработку проекта долгосрочной стратегии Сторонами, вызвавшимися добровольно участвовать в этой работе, в рамках неофициальных консультаций под сопредседательством Нидерландов сначала с Австрией, а затем с Польшей при поддержке секретариата;</w:t>
      </w:r>
    </w:p>
    <w:p w14:paraId="04187BFF" w14:textId="77777777" w:rsidR="002E3B11" w:rsidRPr="002E3B11" w:rsidRDefault="001B350E" w:rsidP="002E3B11">
      <w:pPr>
        <w:pStyle w:val="SingleTxtG"/>
        <w:rPr>
          <w:iCs/>
        </w:rPr>
      </w:pPr>
      <w:r>
        <w:tab/>
      </w:r>
      <w:r>
        <w:tab/>
      </w:r>
      <w:r w:rsidR="002E3B11" w:rsidRPr="002E3B11">
        <w:t>2.</w:t>
      </w:r>
      <w:r w:rsidR="002E3B11" w:rsidRPr="002E3B11">
        <w:tab/>
      </w:r>
      <w:r w:rsidR="002E3B11" w:rsidRPr="002E3B11">
        <w:rPr>
          <w:i/>
          <w:iCs/>
        </w:rPr>
        <w:t>утверждают</w:t>
      </w:r>
      <w:r w:rsidR="002E3B11" w:rsidRPr="002E3B11">
        <w:t xml:space="preserve"> долгосрочную стратегию и план действий, содержащиеся в документе [(ECE/MP.EIA/2020/[3]–ECE/MP.EIA/SEA/2020/[3])];</w:t>
      </w:r>
    </w:p>
    <w:p w14:paraId="3A5998BD" w14:textId="77777777" w:rsidR="002E3B11" w:rsidRPr="002E3B11" w:rsidRDefault="001B350E" w:rsidP="002E3B11">
      <w:pPr>
        <w:pStyle w:val="SingleTxtG"/>
        <w:rPr>
          <w:iCs/>
        </w:rPr>
      </w:pPr>
      <w:r>
        <w:tab/>
      </w:r>
      <w:r>
        <w:tab/>
      </w:r>
      <w:r w:rsidR="002E3B11" w:rsidRPr="002E3B11">
        <w:t>3.</w:t>
      </w:r>
      <w:r w:rsidR="002E3B11" w:rsidRPr="002E3B11">
        <w:tab/>
      </w:r>
      <w:r w:rsidR="002E3B11" w:rsidRPr="002E3B11">
        <w:rPr>
          <w:i/>
          <w:iCs/>
        </w:rPr>
        <w:t>постановляют</w:t>
      </w:r>
      <w:r w:rsidR="002E3B11" w:rsidRPr="002E3B11">
        <w:t>, что стратегия и план действий будут осуществляться посредством действий, предусмотренных в планах работы и решениях Совещаний Сторон;</w:t>
      </w:r>
    </w:p>
    <w:p w14:paraId="1A455FDB" w14:textId="77777777" w:rsidR="002E3B11" w:rsidRPr="002E3B11" w:rsidRDefault="001B350E" w:rsidP="002E3B11">
      <w:pPr>
        <w:pStyle w:val="SingleTxtG"/>
        <w:rPr>
          <w:iCs/>
        </w:rPr>
      </w:pPr>
      <w:r>
        <w:tab/>
      </w:r>
      <w:r>
        <w:tab/>
      </w:r>
      <w:r w:rsidR="002E3B11" w:rsidRPr="002E3B11">
        <w:t>4.</w:t>
      </w:r>
      <w:r w:rsidR="002E3B11" w:rsidRPr="002E3B11">
        <w:tab/>
      </w:r>
      <w:r w:rsidR="002E3B11" w:rsidRPr="002E3B11">
        <w:rPr>
          <w:i/>
          <w:iCs/>
        </w:rPr>
        <w:t>соглашаются</w:t>
      </w:r>
      <w:r w:rsidR="002E3B11" w:rsidRPr="002E3B11">
        <w:t xml:space="preserve"> приложить все усилия для выделения финансирования на осуществление запланированных видов деятельности;</w:t>
      </w:r>
    </w:p>
    <w:p w14:paraId="727B1C30" w14:textId="77777777" w:rsidR="002E3B11" w:rsidRPr="002E3B11" w:rsidRDefault="001B350E" w:rsidP="002E3B11">
      <w:pPr>
        <w:pStyle w:val="SingleTxtG"/>
        <w:rPr>
          <w:iCs/>
        </w:rPr>
      </w:pPr>
      <w:r>
        <w:tab/>
      </w:r>
      <w:r>
        <w:tab/>
      </w:r>
      <w:r w:rsidR="002E3B11" w:rsidRPr="002E3B11">
        <w:t>5.</w:t>
      </w:r>
      <w:r w:rsidR="002E3B11" w:rsidRPr="002E3B11">
        <w:tab/>
      </w:r>
      <w:r w:rsidR="002E3B11" w:rsidRPr="002E3B11">
        <w:rPr>
          <w:i/>
          <w:iCs/>
        </w:rPr>
        <w:t>постановляют</w:t>
      </w:r>
      <w:r w:rsidR="002E3B11" w:rsidRPr="002E3B11">
        <w:t xml:space="preserve"> проводить регулярную оценку прогресса в осуществлении долгосрочной стратегии и плана действий;</w:t>
      </w:r>
    </w:p>
    <w:p w14:paraId="77F55026" w14:textId="77777777" w:rsidR="002E3B11" w:rsidRPr="002E3B11" w:rsidRDefault="001B350E" w:rsidP="002E3B11">
      <w:pPr>
        <w:pStyle w:val="SingleTxtG"/>
        <w:rPr>
          <w:iCs/>
        </w:rPr>
      </w:pPr>
      <w:r>
        <w:tab/>
      </w:r>
      <w:r>
        <w:tab/>
      </w:r>
      <w:r w:rsidR="002E3B11" w:rsidRPr="002E3B11">
        <w:t>6.</w:t>
      </w:r>
      <w:r w:rsidR="002E3B11" w:rsidRPr="002E3B11">
        <w:tab/>
      </w:r>
      <w:r w:rsidR="002E3B11" w:rsidRPr="002E3B11">
        <w:rPr>
          <w:i/>
          <w:iCs/>
        </w:rPr>
        <w:t>постановляют также</w:t>
      </w:r>
      <w:r w:rsidR="002E3B11" w:rsidRPr="002E3B11">
        <w:t xml:space="preserve"> пересмотреть и при необходимости скорректировать стратегические цели и приоритетные задачи в 2030 году. </w:t>
      </w:r>
    </w:p>
    <w:p w14:paraId="1910C59B" w14:textId="77777777" w:rsidR="00BC086D" w:rsidRDefault="002E3B11" w:rsidP="002E3B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799244" w14:textId="77777777" w:rsidR="002E3B11" w:rsidRPr="008D53B6" w:rsidRDefault="002E3B11" w:rsidP="00D9145B"/>
    <w:sectPr w:rsidR="002E3B11" w:rsidRPr="008D53B6" w:rsidSect="003064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84E6" w14:textId="77777777" w:rsidR="00240DEB" w:rsidRPr="00A312BC" w:rsidRDefault="00240DEB" w:rsidP="00A312BC"/>
  </w:endnote>
  <w:endnote w:type="continuationSeparator" w:id="0">
    <w:p w14:paraId="14DF361B" w14:textId="77777777" w:rsidR="00240DEB" w:rsidRPr="00A312BC" w:rsidRDefault="00240D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BE9D" w14:textId="77777777" w:rsidR="00240DEB" w:rsidRPr="0030649D" w:rsidRDefault="00240DEB">
    <w:pPr>
      <w:pStyle w:val="Footer"/>
    </w:pPr>
    <w:r w:rsidRPr="0030649D">
      <w:rPr>
        <w:b/>
        <w:sz w:val="18"/>
      </w:rPr>
      <w:fldChar w:fldCharType="begin"/>
    </w:r>
    <w:r w:rsidRPr="0030649D">
      <w:rPr>
        <w:b/>
        <w:sz w:val="18"/>
      </w:rPr>
      <w:instrText xml:space="preserve"> PAGE  \* MERGEFORMAT </w:instrText>
    </w:r>
    <w:r w:rsidRPr="0030649D">
      <w:rPr>
        <w:b/>
        <w:sz w:val="18"/>
      </w:rPr>
      <w:fldChar w:fldCharType="separate"/>
    </w:r>
    <w:r w:rsidRPr="0030649D">
      <w:rPr>
        <w:b/>
        <w:noProof/>
        <w:sz w:val="18"/>
      </w:rPr>
      <w:t>2</w:t>
    </w:r>
    <w:r w:rsidRPr="0030649D">
      <w:rPr>
        <w:b/>
        <w:sz w:val="18"/>
      </w:rPr>
      <w:fldChar w:fldCharType="end"/>
    </w:r>
    <w:r>
      <w:rPr>
        <w:b/>
        <w:sz w:val="18"/>
      </w:rPr>
      <w:tab/>
    </w:r>
    <w:r>
      <w:t>GE.20-04571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2EE8" w14:textId="77777777" w:rsidR="00240DEB" w:rsidRPr="0030649D" w:rsidRDefault="00240DEB" w:rsidP="0030649D">
    <w:pPr>
      <w:pStyle w:val="Footer"/>
      <w:tabs>
        <w:tab w:val="clear" w:pos="9639"/>
        <w:tab w:val="right" w:pos="9638"/>
      </w:tabs>
      <w:rPr>
        <w:b/>
        <w:sz w:val="18"/>
      </w:rPr>
    </w:pPr>
    <w:r>
      <w:t>GE.20-04571</w:t>
    </w:r>
    <w:r>
      <w:tab/>
    </w:r>
    <w:r w:rsidRPr="0030649D">
      <w:rPr>
        <w:b/>
        <w:sz w:val="18"/>
      </w:rPr>
      <w:fldChar w:fldCharType="begin"/>
    </w:r>
    <w:r w:rsidRPr="0030649D">
      <w:rPr>
        <w:b/>
        <w:sz w:val="18"/>
      </w:rPr>
      <w:instrText xml:space="preserve"> PAGE  \* MERGEFORMAT </w:instrText>
    </w:r>
    <w:r w:rsidRPr="0030649D">
      <w:rPr>
        <w:b/>
        <w:sz w:val="18"/>
      </w:rPr>
      <w:fldChar w:fldCharType="separate"/>
    </w:r>
    <w:r w:rsidRPr="0030649D">
      <w:rPr>
        <w:b/>
        <w:noProof/>
        <w:sz w:val="18"/>
      </w:rPr>
      <w:t>3</w:t>
    </w:r>
    <w:r w:rsidRPr="003064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EF8E" w14:textId="77777777" w:rsidR="00240DEB" w:rsidRPr="0030649D" w:rsidRDefault="00240DEB" w:rsidP="0030649D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017D7A" wp14:editId="6E37998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20-04571  (R)  140420  160420</w:t>
    </w:r>
    <w:r>
      <w:br/>
    </w:r>
    <w:r w:rsidRPr="0030649D">
      <w:rPr>
        <w:rFonts w:ascii="C39T30Lfz" w:hAnsi="C39T30Lfz"/>
        <w:kern w:val="14"/>
        <w:sz w:val="56"/>
      </w:rPr>
      <w:t></w:t>
    </w:r>
    <w:r w:rsidRPr="0030649D">
      <w:rPr>
        <w:rFonts w:ascii="C39T30Lfz" w:hAnsi="C39T30Lfz"/>
        <w:kern w:val="14"/>
        <w:sz w:val="56"/>
      </w:rPr>
      <w:t></w:t>
    </w:r>
    <w:r w:rsidRPr="0030649D">
      <w:rPr>
        <w:rFonts w:ascii="C39T30Lfz" w:hAnsi="C39T30Lfz"/>
        <w:kern w:val="14"/>
        <w:sz w:val="56"/>
      </w:rPr>
      <w:t></w:t>
    </w:r>
    <w:r w:rsidRPr="0030649D">
      <w:rPr>
        <w:rFonts w:ascii="C39T30Lfz" w:hAnsi="C39T30Lfz"/>
        <w:kern w:val="14"/>
        <w:sz w:val="56"/>
      </w:rPr>
      <w:t></w:t>
    </w:r>
    <w:r w:rsidRPr="0030649D">
      <w:rPr>
        <w:rFonts w:ascii="C39T30Lfz" w:hAnsi="C39T30Lfz"/>
        <w:kern w:val="14"/>
        <w:sz w:val="56"/>
      </w:rPr>
      <w:t></w:t>
    </w:r>
    <w:r w:rsidRPr="0030649D">
      <w:rPr>
        <w:rFonts w:ascii="C39T30Lfz" w:hAnsi="C39T30Lfz"/>
        <w:kern w:val="14"/>
        <w:sz w:val="56"/>
      </w:rPr>
      <w:t></w:t>
    </w:r>
    <w:r w:rsidRPr="0030649D">
      <w:rPr>
        <w:rFonts w:ascii="C39T30Lfz" w:hAnsi="C39T30Lfz"/>
        <w:kern w:val="14"/>
        <w:sz w:val="56"/>
      </w:rPr>
      <w:t></w:t>
    </w:r>
    <w:r w:rsidRPr="0030649D">
      <w:rPr>
        <w:rFonts w:ascii="C39T30Lfz" w:hAnsi="C39T30Lfz"/>
        <w:kern w:val="14"/>
        <w:sz w:val="56"/>
      </w:rPr>
      <w:t></w:t>
    </w:r>
    <w:r w:rsidRPr="0030649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0A5CBC" wp14:editId="3694803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WG.2/2020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WG.2/2020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F94F" w14:textId="77777777" w:rsidR="00240DEB" w:rsidRPr="001075E9" w:rsidRDefault="00240D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319DED" w14:textId="77777777" w:rsidR="00240DEB" w:rsidRDefault="00240D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07E212" w14:textId="77777777" w:rsidR="00240DEB" w:rsidRPr="003077D5" w:rsidRDefault="00240DEB" w:rsidP="00BC086D">
      <w:pPr>
        <w:pStyle w:val="FootnoteText"/>
      </w:pPr>
      <w:r>
        <w:tab/>
      </w:r>
      <w:r w:rsidRPr="00BC086D">
        <w:rPr>
          <w:rStyle w:val="FootnoteReference"/>
        </w:rPr>
        <w:footnoteRef/>
      </w:r>
      <w:r>
        <w:tab/>
        <w:t>Шкала взносов Организации Объединенных Наций принимается Генеральной Ассамблеей на трехлетний период. Она служит основой для расчета взносов государств</w:t>
      </w:r>
      <w:r w:rsidRPr="000A3E5F">
        <w:t xml:space="preserve"> – </w:t>
      </w:r>
      <w:r>
        <w:t>членов Организации Объединенных Наций в ее регулярный бюджет. В декабре 2018 года Генеральная Ассамблея приняла резолюцию 73/271 о шкале взносов для распределения расходов Организации Объединенных Наций на период 2019–2021 годов. Эта шкала корректируется с учетом числа Сторон Конвенции и Протокола.</w:t>
      </w:r>
    </w:p>
  </w:footnote>
  <w:footnote w:id="2">
    <w:p w14:paraId="1B78C4CD" w14:textId="77777777" w:rsidR="00240DEB" w:rsidRPr="003077D5" w:rsidRDefault="00240DEB" w:rsidP="00BC086D">
      <w:pPr>
        <w:pStyle w:val="FootnoteText"/>
      </w:pPr>
      <w:r>
        <w:tab/>
      </w:r>
      <w:r w:rsidRPr="00BC086D">
        <w:rPr>
          <w:rStyle w:val="FootnoteReference"/>
        </w:rPr>
        <w:footnoteRef/>
      </w:r>
      <w:r>
        <w:tab/>
        <w:t xml:space="preserve">Министерства иностранных дел и агентства по сотрудничеству в целях развития могут предоставлять финансирование для наращивания потенциала и предусмотренной планом работы информационно-пропагандистской деятельности в странах, имеющих право на получение официальной помощи в целях развития. Перечень стран, имеющих право на получение такой помощи, имеется на веб-сайте Организации экономического сотрудничества и развития по адресу </w:t>
      </w:r>
      <w:hyperlink r:id="rId1" w:history="1">
        <w:r w:rsidRPr="00973371">
          <w:rPr>
            <w:rStyle w:val="Hyperlink"/>
          </w:rPr>
          <w:t>www.oecd.org/development/financing-sustainable-development/development-finance-standards/daclist.htm</w:t>
        </w:r>
      </w:hyperlink>
      <w:r>
        <w:t xml:space="preserve">. </w:t>
      </w:r>
    </w:p>
  </w:footnote>
  <w:footnote w:id="3">
    <w:p w14:paraId="0322B47C" w14:textId="77777777" w:rsidR="00240DEB" w:rsidRPr="003077D5" w:rsidRDefault="00240DEB" w:rsidP="00BC086D">
      <w:pPr>
        <w:pStyle w:val="FootnoteText"/>
      </w:pPr>
      <w:r>
        <w:tab/>
      </w:r>
      <w:r w:rsidRPr="00BC086D">
        <w:rPr>
          <w:rStyle w:val="FootnoteReference"/>
        </w:rPr>
        <w:footnoteRef/>
      </w:r>
      <w:r>
        <w:tab/>
        <w:t>Издание Организации Объединенных Наций, ECE/MP.EIA/7.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767F" w14:textId="0037486B" w:rsidR="00240DEB" w:rsidRPr="0030649D" w:rsidRDefault="0023031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74174">
      <w:t>ECE/MP.EIA/WG.2/2020/3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3678" w14:textId="6AC8AA19" w:rsidR="00240DEB" w:rsidRPr="0030649D" w:rsidRDefault="00230316" w:rsidP="0030649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74174">
      <w:t>ECE/MP.EIA/WG.2/2020/3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129"/>
    <w:multiLevelType w:val="hybridMultilevel"/>
    <w:tmpl w:val="A814A596"/>
    <w:lvl w:ilvl="0" w:tplc="8F2035DC">
      <w:start w:val="20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20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pStyle w:val="Heading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6ECF"/>
    <w:multiLevelType w:val="hybridMultilevel"/>
    <w:tmpl w:val="C532CABE"/>
    <w:lvl w:ilvl="0" w:tplc="AD146478">
      <w:start w:val="20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3E"/>
    <w:rsid w:val="00033EE1"/>
    <w:rsid w:val="00042B72"/>
    <w:rsid w:val="000558BD"/>
    <w:rsid w:val="000748F4"/>
    <w:rsid w:val="000818D6"/>
    <w:rsid w:val="000A3E5F"/>
    <w:rsid w:val="000A6ED2"/>
    <w:rsid w:val="000B4E52"/>
    <w:rsid w:val="000B57E7"/>
    <w:rsid w:val="000B6373"/>
    <w:rsid w:val="000E4E5B"/>
    <w:rsid w:val="000F09DF"/>
    <w:rsid w:val="000F61B2"/>
    <w:rsid w:val="001075E9"/>
    <w:rsid w:val="00115FB3"/>
    <w:rsid w:val="00120C8C"/>
    <w:rsid w:val="0014152F"/>
    <w:rsid w:val="00141DE9"/>
    <w:rsid w:val="001542E1"/>
    <w:rsid w:val="00180183"/>
    <w:rsid w:val="0018024D"/>
    <w:rsid w:val="0018649F"/>
    <w:rsid w:val="00186DC8"/>
    <w:rsid w:val="001872DB"/>
    <w:rsid w:val="00196389"/>
    <w:rsid w:val="001B0497"/>
    <w:rsid w:val="001B350E"/>
    <w:rsid w:val="001B3EF6"/>
    <w:rsid w:val="001C7A89"/>
    <w:rsid w:val="001E15DA"/>
    <w:rsid w:val="001E1AD2"/>
    <w:rsid w:val="00200125"/>
    <w:rsid w:val="00230316"/>
    <w:rsid w:val="002346D3"/>
    <w:rsid w:val="00240DEB"/>
    <w:rsid w:val="00255343"/>
    <w:rsid w:val="0027151D"/>
    <w:rsid w:val="00274174"/>
    <w:rsid w:val="00282E73"/>
    <w:rsid w:val="00295057"/>
    <w:rsid w:val="002A2EFC"/>
    <w:rsid w:val="002B0106"/>
    <w:rsid w:val="002B74B1"/>
    <w:rsid w:val="002C0E18"/>
    <w:rsid w:val="002D5AAC"/>
    <w:rsid w:val="002E3B11"/>
    <w:rsid w:val="002E4C5B"/>
    <w:rsid w:val="002E5067"/>
    <w:rsid w:val="002F405F"/>
    <w:rsid w:val="002F7EEC"/>
    <w:rsid w:val="00301299"/>
    <w:rsid w:val="00305C08"/>
    <w:rsid w:val="0030649D"/>
    <w:rsid w:val="00307FB6"/>
    <w:rsid w:val="00314926"/>
    <w:rsid w:val="00317339"/>
    <w:rsid w:val="00322004"/>
    <w:rsid w:val="003402C2"/>
    <w:rsid w:val="00381C24"/>
    <w:rsid w:val="00387CD4"/>
    <w:rsid w:val="003958D0"/>
    <w:rsid w:val="00396B74"/>
    <w:rsid w:val="003A0D43"/>
    <w:rsid w:val="003A48CE"/>
    <w:rsid w:val="003B00E5"/>
    <w:rsid w:val="003C058B"/>
    <w:rsid w:val="003E0B46"/>
    <w:rsid w:val="00407B78"/>
    <w:rsid w:val="00416EEE"/>
    <w:rsid w:val="00424203"/>
    <w:rsid w:val="00440305"/>
    <w:rsid w:val="00441C1A"/>
    <w:rsid w:val="00452493"/>
    <w:rsid w:val="00453318"/>
    <w:rsid w:val="004545C7"/>
    <w:rsid w:val="00454AF2"/>
    <w:rsid w:val="00454E07"/>
    <w:rsid w:val="00472C5C"/>
    <w:rsid w:val="004C6360"/>
    <w:rsid w:val="004E05B7"/>
    <w:rsid w:val="0050108D"/>
    <w:rsid w:val="00513081"/>
    <w:rsid w:val="00517901"/>
    <w:rsid w:val="0052617A"/>
    <w:rsid w:val="00526683"/>
    <w:rsid w:val="005379F8"/>
    <w:rsid w:val="005639C1"/>
    <w:rsid w:val="005709E0"/>
    <w:rsid w:val="00572E19"/>
    <w:rsid w:val="005961C8"/>
    <w:rsid w:val="005966F1"/>
    <w:rsid w:val="00596A69"/>
    <w:rsid w:val="005A7D10"/>
    <w:rsid w:val="005D7914"/>
    <w:rsid w:val="005E2B41"/>
    <w:rsid w:val="005F0B42"/>
    <w:rsid w:val="00617A43"/>
    <w:rsid w:val="006345DB"/>
    <w:rsid w:val="00640F49"/>
    <w:rsid w:val="00664230"/>
    <w:rsid w:val="00680D03"/>
    <w:rsid w:val="00681A10"/>
    <w:rsid w:val="00684851"/>
    <w:rsid w:val="006A1ED8"/>
    <w:rsid w:val="006B57F1"/>
    <w:rsid w:val="006C2031"/>
    <w:rsid w:val="006D034F"/>
    <w:rsid w:val="006D461A"/>
    <w:rsid w:val="006F35EE"/>
    <w:rsid w:val="007021FF"/>
    <w:rsid w:val="00712895"/>
    <w:rsid w:val="00734ACB"/>
    <w:rsid w:val="00757357"/>
    <w:rsid w:val="00792497"/>
    <w:rsid w:val="007A106F"/>
    <w:rsid w:val="007D7E77"/>
    <w:rsid w:val="007E05C0"/>
    <w:rsid w:val="007E23E2"/>
    <w:rsid w:val="00806737"/>
    <w:rsid w:val="00821AA1"/>
    <w:rsid w:val="00825F8D"/>
    <w:rsid w:val="00834B71"/>
    <w:rsid w:val="0086445C"/>
    <w:rsid w:val="00894693"/>
    <w:rsid w:val="008A08D7"/>
    <w:rsid w:val="008A37C8"/>
    <w:rsid w:val="008B069C"/>
    <w:rsid w:val="008B650D"/>
    <w:rsid w:val="008B6909"/>
    <w:rsid w:val="008D53B6"/>
    <w:rsid w:val="008F7609"/>
    <w:rsid w:val="00905911"/>
    <w:rsid w:val="00906890"/>
    <w:rsid w:val="00911BE4"/>
    <w:rsid w:val="00922BA7"/>
    <w:rsid w:val="00951972"/>
    <w:rsid w:val="00953DA6"/>
    <w:rsid w:val="009608F3"/>
    <w:rsid w:val="009A24AC"/>
    <w:rsid w:val="009C59D7"/>
    <w:rsid w:val="009C6FE6"/>
    <w:rsid w:val="009D7E7D"/>
    <w:rsid w:val="00A14DA8"/>
    <w:rsid w:val="00A312BC"/>
    <w:rsid w:val="00A76267"/>
    <w:rsid w:val="00A7732C"/>
    <w:rsid w:val="00A84021"/>
    <w:rsid w:val="00A84D35"/>
    <w:rsid w:val="00A917B3"/>
    <w:rsid w:val="00AA343E"/>
    <w:rsid w:val="00AB4B51"/>
    <w:rsid w:val="00AE2D27"/>
    <w:rsid w:val="00AE61C3"/>
    <w:rsid w:val="00B10CC7"/>
    <w:rsid w:val="00B36DF7"/>
    <w:rsid w:val="00B36E56"/>
    <w:rsid w:val="00B539E7"/>
    <w:rsid w:val="00B62458"/>
    <w:rsid w:val="00BA6D3E"/>
    <w:rsid w:val="00BC086D"/>
    <w:rsid w:val="00BC18B2"/>
    <w:rsid w:val="00BD33EE"/>
    <w:rsid w:val="00BE1CC7"/>
    <w:rsid w:val="00C106D6"/>
    <w:rsid w:val="00C119AE"/>
    <w:rsid w:val="00C2556E"/>
    <w:rsid w:val="00C60F0C"/>
    <w:rsid w:val="00C71E84"/>
    <w:rsid w:val="00C805C9"/>
    <w:rsid w:val="00C92939"/>
    <w:rsid w:val="00CA1549"/>
    <w:rsid w:val="00CA1679"/>
    <w:rsid w:val="00CB151C"/>
    <w:rsid w:val="00CB20FE"/>
    <w:rsid w:val="00CB2F5F"/>
    <w:rsid w:val="00CB5FD4"/>
    <w:rsid w:val="00CC3B8B"/>
    <w:rsid w:val="00CC6861"/>
    <w:rsid w:val="00CE5332"/>
    <w:rsid w:val="00CE5A1A"/>
    <w:rsid w:val="00CF55F6"/>
    <w:rsid w:val="00D31DA9"/>
    <w:rsid w:val="00D33D63"/>
    <w:rsid w:val="00D377F3"/>
    <w:rsid w:val="00D43275"/>
    <w:rsid w:val="00D5253A"/>
    <w:rsid w:val="00D668AF"/>
    <w:rsid w:val="00D84000"/>
    <w:rsid w:val="00D873A8"/>
    <w:rsid w:val="00D90028"/>
    <w:rsid w:val="00D90138"/>
    <w:rsid w:val="00D9145B"/>
    <w:rsid w:val="00DA41E5"/>
    <w:rsid w:val="00DB08D2"/>
    <w:rsid w:val="00DC0A56"/>
    <w:rsid w:val="00DC6560"/>
    <w:rsid w:val="00DD78D1"/>
    <w:rsid w:val="00DE32CD"/>
    <w:rsid w:val="00DF5767"/>
    <w:rsid w:val="00DF71B9"/>
    <w:rsid w:val="00E12C5F"/>
    <w:rsid w:val="00E30BD2"/>
    <w:rsid w:val="00E53753"/>
    <w:rsid w:val="00E73F76"/>
    <w:rsid w:val="00EA2C9F"/>
    <w:rsid w:val="00EA420E"/>
    <w:rsid w:val="00EB319D"/>
    <w:rsid w:val="00ED0BDA"/>
    <w:rsid w:val="00EE142A"/>
    <w:rsid w:val="00EE3684"/>
    <w:rsid w:val="00EE725C"/>
    <w:rsid w:val="00EF049B"/>
    <w:rsid w:val="00EF1360"/>
    <w:rsid w:val="00EF3220"/>
    <w:rsid w:val="00F2523A"/>
    <w:rsid w:val="00F43903"/>
    <w:rsid w:val="00F94155"/>
    <w:rsid w:val="00F9783F"/>
    <w:rsid w:val="00FA087E"/>
    <w:rsid w:val="00FB06AB"/>
    <w:rsid w:val="00FD2EF7"/>
    <w:rsid w:val="00FD552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C721E9"/>
  <w15:docId w15:val="{B6A225FF-798B-40A1-8D38-A7D09D6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5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5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5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numbering" w:styleId="111111">
    <w:name w:val="Outline List 2"/>
    <w:basedOn w:val="NoList"/>
    <w:semiHidden/>
    <w:unhideWhenUsed/>
    <w:rsid w:val="002E3B11"/>
    <w:pPr>
      <w:numPr>
        <w:numId w:val="4"/>
      </w:numPr>
    </w:pPr>
  </w:style>
  <w:style w:type="character" w:customStyle="1" w:styleId="H23GChar">
    <w:name w:val="_ H_2/3_G Char"/>
    <w:link w:val="H23G"/>
    <w:rsid w:val="002E3B11"/>
    <w:rPr>
      <w:b/>
      <w:lang w:val="ru-RU" w:eastAsia="ru-RU"/>
    </w:rPr>
  </w:style>
  <w:style w:type="paragraph" w:customStyle="1" w:styleId="ParNoG">
    <w:name w:val="_ParNo_G"/>
    <w:basedOn w:val="SingleTxtG"/>
    <w:qFormat/>
    <w:rsid w:val="002E3B11"/>
    <w:pPr>
      <w:numPr>
        <w:numId w:val="6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2E3B1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E3B1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2E3B11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2E3B11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2E3B11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2E3B11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E3B11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2E3B11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3B11"/>
    <w:rPr>
      <w:lang w:val="en-GB" w:eastAsia="en-US"/>
    </w:rPr>
  </w:style>
  <w:style w:type="paragraph" w:styleId="BlockText">
    <w:name w:val="Block Text"/>
    <w:basedOn w:val="Normal"/>
    <w:semiHidden/>
    <w:rsid w:val="002E3B11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2E3B11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2E3B11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B11"/>
    <w:rPr>
      <w:lang w:val="en-GB" w:eastAsia="en-US"/>
    </w:rPr>
  </w:style>
  <w:style w:type="character" w:styleId="LineNumber">
    <w:name w:val="line number"/>
    <w:semiHidden/>
    <w:rsid w:val="002E3B11"/>
    <w:rPr>
      <w:sz w:val="14"/>
    </w:rPr>
  </w:style>
  <w:style w:type="numbering" w:styleId="1ai">
    <w:name w:val="Outline List 1"/>
    <w:basedOn w:val="NoList"/>
    <w:semiHidden/>
    <w:rsid w:val="002E3B11"/>
    <w:pPr>
      <w:numPr>
        <w:numId w:val="7"/>
      </w:numPr>
    </w:pPr>
  </w:style>
  <w:style w:type="numbering" w:styleId="ArticleSection">
    <w:name w:val="Outline List 3"/>
    <w:basedOn w:val="NoList"/>
    <w:semiHidden/>
    <w:rsid w:val="002E3B11"/>
    <w:pPr>
      <w:numPr>
        <w:numId w:val="8"/>
      </w:numPr>
    </w:pPr>
  </w:style>
  <w:style w:type="paragraph" w:styleId="BodyText2">
    <w:name w:val="Body Text 2"/>
    <w:basedOn w:val="Normal"/>
    <w:link w:val="BodyText2Char"/>
    <w:semiHidden/>
    <w:rsid w:val="002E3B11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E3B11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2E3B11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E3B11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2E3B1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E3B11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2E3B1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E3B11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2E3B11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E3B11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2E3B11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E3B11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2E3B11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2E3B11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2E3B11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2E3B11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2E3B11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E3B11"/>
    <w:rPr>
      <w:lang w:val="en-GB" w:eastAsia="en-US"/>
    </w:rPr>
  </w:style>
  <w:style w:type="character" w:styleId="Emphasis">
    <w:name w:val="Emphasis"/>
    <w:qFormat/>
    <w:rsid w:val="002E3B11"/>
    <w:rPr>
      <w:i/>
      <w:iCs/>
    </w:rPr>
  </w:style>
  <w:style w:type="paragraph" w:styleId="EnvelopeReturn">
    <w:name w:val="envelope return"/>
    <w:basedOn w:val="Normal"/>
    <w:semiHidden/>
    <w:rsid w:val="002E3B11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2E3B11"/>
  </w:style>
  <w:style w:type="paragraph" w:styleId="HTMLAddress">
    <w:name w:val="HTML Address"/>
    <w:basedOn w:val="Normal"/>
    <w:link w:val="HTMLAddressChar"/>
    <w:semiHidden/>
    <w:rsid w:val="002E3B11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2E3B11"/>
    <w:rPr>
      <w:i/>
      <w:iCs/>
      <w:lang w:val="en-GB" w:eastAsia="en-US"/>
    </w:rPr>
  </w:style>
  <w:style w:type="character" w:styleId="HTMLCite">
    <w:name w:val="HTML Cite"/>
    <w:semiHidden/>
    <w:rsid w:val="002E3B11"/>
    <w:rPr>
      <w:i/>
      <w:iCs/>
    </w:rPr>
  </w:style>
  <w:style w:type="character" w:styleId="HTMLCode">
    <w:name w:val="HTML Code"/>
    <w:semiHidden/>
    <w:rsid w:val="002E3B1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E3B11"/>
    <w:rPr>
      <w:i/>
      <w:iCs/>
    </w:rPr>
  </w:style>
  <w:style w:type="character" w:styleId="HTMLKeyboard">
    <w:name w:val="HTML Keyboard"/>
    <w:semiHidden/>
    <w:rsid w:val="002E3B1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E3B11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E3B11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2E3B11"/>
    <w:rPr>
      <w:rFonts w:ascii="Courier New" w:hAnsi="Courier New" w:cs="Courier New"/>
    </w:rPr>
  </w:style>
  <w:style w:type="character" w:styleId="HTMLTypewriter">
    <w:name w:val="HTML Typewriter"/>
    <w:semiHidden/>
    <w:rsid w:val="002E3B1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E3B11"/>
    <w:rPr>
      <w:i/>
      <w:iCs/>
    </w:rPr>
  </w:style>
  <w:style w:type="paragraph" w:styleId="List">
    <w:name w:val="List"/>
    <w:basedOn w:val="Normal"/>
    <w:semiHidden/>
    <w:rsid w:val="002E3B11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2E3B11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2E3B11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2E3B11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2E3B11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2E3B1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2E3B11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2E3B11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2E3B11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2E3B11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2E3B11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2E3B11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2E3B11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2E3B11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2E3B11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2E3B1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2E3B11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2E3B11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2E3B11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2E3B11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2E3B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E3B1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2E3B11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2E3B11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2E3B11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2E3B11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2E3B11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2E3B11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2E3B11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2E3B11"/>
    <w:rPr>
      <w:lang w:val="en-GB" w:eastAsia="en-US"/>
    </w:rPr>
  </w:style>
  <w:style w:type="character" w:styleId="Strong">
    <w:name w:val="Strong"/>
    <w:qFormat/>
    <w:rsid w:val="002E3B11"/>
    <w:rPr>
      <w:b/>
      <w:bCs/>
    </w:rPr>
  </w:style>
  <w:style w:type="paragraph" w:styleId="Subtitle">
    <w:name w:val="Subtitle"/>
    <w:basedOn w:val="Normal"/>
    <w:link w:val="SubtitleChar"/>
    <w:qFormat/>
    <w:rsid w:val="002E3B1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2E3B11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E3B11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E3B11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E3B11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E3B11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E3B11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E3B11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E3B11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E3B11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E3B1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2E3B11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2E3B1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E3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3B11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2E3B11"/>
    <w:rPr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2E3B1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B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2E3B11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2E3B11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2E3B11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2E3B11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2E3B11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2E3B11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2E3B11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2E3B11"/>
    <w:rPr>
      <w:rFonts w:ascii="Arial" w:eastAsiaTheme="minorHAnsi" w:hAnsi="Arial" w:cs="Arial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2E3B11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Arial"/>
      <w:sz w:val="22"/>
      <w:lang w:val="nb-NO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E3B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development/financing-sustainable-development/development-finance-standards/daclis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11516</Words>
  <Characters>65646</Characters>
  <Application>Microsoft Office Word</Application>
  <DocSecurity>4</DocSecurity>
  <Lines>547</Lines>
  <Paragraphs>154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ECE/MP.EIA/WG.2/2020/3</vt:lpstr>
      <vt:lpstr>ECE/MP.EIA/WG.2/2020/3</vt:lpstr>
      <vt:lpstr>A/</vt:lpstr>
    </vt:vector>
  </TitlesOfParts>
  <Company>DCM</Company>
  <LinksUpToDate>false</LinksUpToDate>
  <CharactersWithSpaces>77008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ECE/MP.EIA/WG.2/2020/3</dc:title>
  <dc:subject/>
  <dc:creator>Elena IZOTOVA</dc:creator>
  <cp:keywords/>
  <cp:lastModifiedBy>Elisabeth James</cp:lastModifiedBy>
  <cp:revision>2</cp:revision>
  <cp:lastPrinted>2020-04-16T12:36:00Z</cp:lastPrinted>
  <dcterms:created xsi:type="dcterms:W3CDTF">2020-04-17T08:07:00Z</dcterms:created>
  <dcterms:modified xsi:type="dcterms:W3CDTF">2020-04-17T08:07:00Z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