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0E22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79D9E4" w14:textId="77777777" w:rsidR="002D5AAC" w:rsidRDefault="002D5AAC" w:rsidP="00B813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A8ADE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C249252" w14:textId="77777777" w:rsidR="002D5AAC" w:rsidRDefault="00B81395" w:rsidP="00B81395">
            <w:pPr>
              <w:jc w:val="right"/>
            </w:pPr>
            <w:r w:rsidRPr="00B81395">
              <w:rPr>
                <w:sz w:val="40"/>
              </w:rPr>
              <w:t>ECE</w:t>
            </w:r>
            <w:r>
              <w:t>/MP.EIA/WG.2/2020/5</w:t>
            </w:r>
          </w:p>
        </w:tc>
      </w:tr>
      <w:tr w:rsidR="002D5AAC" w:rsidRPr="00281198" w14:paraId="3BFCAF8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611D8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FBDA0E" wp14:editId="6BE907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B680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786AF4" w14:textId="77777777" w:rsidR="002D5AAC" w:rsidRDefault="00B813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ABDFBE" w14:textId="77777777" w:rsidR="00B81395" w:rsidRDefault="00B81395" w:rsidP="00B81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2020</w:t>
            </w:r>
          </w:p>
          <w:p w14:paraId="49B35257" w14:textId="77777777" w:rsidR="00B81395" w:rsidRDefault="00B81395" w:rsidP="00B81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6AB708" w14:textId="77777777" w:rsidR="00B81395" w:rsidRPr="008D53B6" w:rsidRDefault="00B81395" w:rsidP="00B813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7E6D789" w14:textId="77777777" w:rsidR="00B8139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DE78886" w14:textId="77777777" w:rsidR="00B81395" w:rsidRPr="00BE0F09" w:rsidRDefault="00B81395" w:rsidP="00B81395">
      <w:pPr>
        <w:spacing w:before="120"/>
        <w:rPr>
          <w:bCs/>
          <w:sz w:val="28"/>
          <w:szCs w:val="28"/>
        </w:rPr>
      </w:pPr>
      <w:r w:rsidRPr="00BE0F09">
        <w:rPr>
          <w:sz w:val="28"/>
          <w:szCs w:val="28"/>
        </w:rPr>
        <w:t>Совещание Сторон Конвенции об оценке</w:t>
      </w:r>
      <w:r w:rsidRPr="00BE0F09">
        <w:rPr>
          <w:bCs/>
          <w:sz w:val="28"/>
          <w:szCs w:val="28"/>
        </w:rPr>
        <w:br/>
      </w:r>
      <w:r w:rsidRPr="00BE0F09">
        <w:rPr>
          <w:sz w:val="28"/>
          <w:szCs w:val="28"/>
        </w:rPr>
        <w:t>воздействия на окружающую среду</w:t>
      </w:r>
      <w:r w:rsidRPr="00BE0F09">
        <w:rPr>
          <w:bCs/>
          <w:sz w:val="28"/>
          <w:szCs w:val="28"/>
        </w:rPr>
        <w:br/>
      </w:r>
      <w:r w:rsidRPr="00BE0F09">
        <w:rPr>
          <w:sz w:val="28"/>
          <w:szCs w:val="28"/>
        </w:rPr>
        <w:t>в трансграничном контексте</w:t>
      </w:r>
    </w:p>
    <w:p w14:paraId="566D49C8" w14:textId="77777777" w:rsidR="00B81395" w:rsidRPr="00BE0F09" w:rsidRDefault="00B81395" w:rsidP="00B81395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E0F09">
        <w:rPr>
          <w:sz w:val="28"/>
          <w:szCs w:val="28"/>
        </w:rPr>
        <w:t>Совещание Сторон Конвенции об оценке</w:t>
      </w:r>
      <w:r w:rsidRPr="00BE0F09">
        <w:rPr>
          <w:bCs/>
          <w:sz w:val="28"/>
          <w:szCs w:val="28"/>
        </w:rPr>
        <w:br/>
      </w:r>
      <w:r w:rsidRPr="00BE0F09">
        <w:rPr>
          <w:sz w:val="28"/>
          <w:szCs w:val="28"/>
        </w:rPr>
        <w:t xml:space="preserve">воздействия на окружающую среду </w:t>
      </w:r>
      <w:r w:rsidR="00BE0F09">
        <w:rPr>
          <w:sz w:val="28"/>
          <w:szCs w:val="28"/>
        </w:rPr>
        <w:br/>
      </w:r>
      <w:r w:rsidRPr="00BE0F09">
        <w:rPr>
          <w:sz w:val="28"/>
          <w:szCs w:val="28"/>
        </w:rPr>
        <w:t>в</w:t>
      </w:r>
      <w:r w:rsidR="00BE0F09">
        <w:rPr>
          <w:sz w:val="28"/>
          <w:szCs w:val="28"/>
          <w:lang w:val="en-US"/>
        </w:rPr>
        <w:t> </w:t>
      </w:r>
      <w:r w:rsidRPr="00BE0F09">
        <w:rPr>
          <w:sz w:val="28"/>
          <w:szCs w:val="28"/>
        </w:rPr>
        <w:t>трансграничном контексте,</w:t>
      </w:r>
      <w:r w:rsidRPr="00BE0F09">
        <w:rPr>
          <w:bCs/>
          <w:sz w:val="28"/>
          <w:szCs w:val="28"/>
        </w:rPr>
        <w:t xml:space="preserve"> </w:t>
      </w:r>
      <w:r w:rsidRPr="00BE0F09">
        <w:rPr>
          <w:sz w:val="28"/>
          <w:szCs w:val="28"/>
        </w:rPr>
        <w:t>действующее</w:t>
      </w:r>
      <w:r w:rsidRPr="00BE0F09">
        <w:rPr>
          <w:bCs/>
          <w:sz w:val="28"/>
          <w:szCs w:val="28"/>
        </w:rPr>
        <w:br/>
      </w:r>
      <w:r w:rsidRPr="00BE0F09">
        <w:rPr>
          <w:sz w:val="28"/>
          <w:szCs w:val="28"/>
        </w:rPr>
        <w:t>в качестве совещания Сторон Протокола</w:t>
      </w:r>
      <w:r w:rsidRPr="00BE0F09">
        <w:rPr>
          <w:bCs/>
          <w:sz w:val="28"/>
          <w:szCs w:val="28"/>
        </w:rPr>
        <w:br/>
      </w:r>
      <w:r w:rsidRPr="00BE0F09">
        <w:rPr>
          <w:sz w:val="28"/>
          <w:szCs w:val="28"/>
        </w:rPr>
        <w:t>по стратегической экологической оценке</w:t>
      </w:r>
    </w:p>
    <w:p w14:paraId="39B453F9" w14:textId="77777777" w:rsidR="00B81395" w:rsidRPr="00723B13" w:rsidRDefault="00B81395" w:rsidP="00B81395">
      <w:pPr>
        <w:spacing w:before="120"/>
        <w:rPr>
          <w:b/>
          <w:sz w:val="24"/>
          <w:szCs w:val="24"/>
        </w:rPr>
      </w:pPr>
      <w:r w:rsidRPr="00723B13">
        <w:rPr>
          <w:b/>
          <w:bCs/>
          <w:sz w:val="24"/>
          <w:szCs w:val="24"/>
        </w:rPr>
        <w:t xml:space="preserve">Рабочая группа по оценке воздействия </w:t>
      </w:r>
      <w:r w:rsidR="00723B13">
        <w:rPr>
          <w:b/>
          <w:bCs/>
          <w:sz w:val="24"/>
          <w:szCs w:val="24"/>
        </w:rPr>
        <w:br/>
      </w:r>
      <w:r w:rsidRPr="00723B13">
        <w:rPr>
          <w:b/>
          <w:bCs/>
          <w:sz w:val="24"/>
          <w:szCs w:val="24"/>
        </w:rPr>
        <w:t>на</w:t>
      </w:r>
      <w:r w:rsidR="00723B13" w:rsidRPr="00723B13">
        <w:rPr>
          <w:b/>
          <w:bCs/>
          <w:sz w:val="24"/>
          <w:szCs w:val="24"/>
        </w:rPr>
        <w:t xml:space="preserve"> </w:t>
      </w:r>
      <w:r w:rsidRPr="00723B13">
        <w:rPr>
          <w:b/>
          <w:bCs/>
          <w:sz w:val="24"/>
          <w:szCs w:val="24"/>
        </w:rPr>
        <w:t>окружающую среду и стратегической</w:t>
      </w:r>
      <w:r w:rsidRPr="00723B13">
        <w:rPr>
          <w:bCs/>
          <w:sz w:val="24"/>
          <w:szCs w:val="24"/>
        </w:rPr>
        <w:br/>
      </w:r>
      <w:r w:rsidRPr="00723B13">
        <w:rPr>
          <w:b/>
          <w:bCs/>
          <w:sz w:val="24"/>
          <w:szCs w:val="24"/>
        </w:rPr>
        <w:t>экологической оценке</w:t>
      </w:r>
    </w:p>
    <w:p w14:paraId="56065AE3" w14:textId="77777777" w:rsidR="00B81395" w:rsidRPr="002638AD" w:rsidRDefault="00B81395" w:rsidP="00B81395">
      <w:pPr>
        <w:spacing w:before="120"/>
        <w:rPr>
          <w:b/>
        </w:rPr>
      </w:pPr>
      <w:r>
        <w:rPr>
          <w:b/>
          <w:bCs/>
        </w:rPr>
        <w:t>Девятое совещание</w:t>
      </w:r>
    </w:p>
    <w:p w14:paraId="4CD991BA" w14:textId="77777777" w:rsidR="00B81395" w:rsidRPr="002638AD" w:rsidRDefault="00B81395" w:rsidP="00B81395">
      <w:r>
        <w:t>Женева, 9</w:t>
      </w:r>
      <w:r w:rsidR="009C4DA6" w:rsidRPr="00281198">
        <w:t>–</w:t>
      </w:r>
      <w:r>
        <w:t>11 июня 2020 года</w:t>
      </w:r>
    </w:p>
    <w:p w14:paraId="51B86F8D" w14:textId="77777777" w:rsidR="00B81395" w:rsidRPr="002638AD" w:rsidRDefault="00B81395" w:rsidP="00B81395">
      <w:r>
        <w:t>Пункты 5 b) и 6 a) предварительной повестки дня</w:t>
      </w:r>
    </w:p>
    <w:p w14:paraId="2B9C4C0A" w14:textId="77777777" w:rsidR="00B81395" w:rsidRPr="002638AD" w:rsidRDefault="00B81395" w:rsidP="00B81395">
      <w:pPr>
        <w:rPr>
          <w:b/>
          <w:bCs/>
        </w:rPr>
      </w:pPr>
      <w:r>
        <w:rPr>
          <w:b/>
          <w:bCs/>
        </w:rPr>
        <w:t>Содействие ратификации и применению Конвенции</w:t>
      </w:r>
      <w:r w:rsidRPr="009730B3">
        <w:rPr>
          <w:bCs/>
          <w:sz w:val="24"/>
          <w:szCs w:val="24"/>
        </w:rPr>
        <w:br/>
      </w:r>
      <w:r>
        <w:rPr>
          <w:b/>
          <w:bCs/>
        </w:rPr>
        <w:t>и Протокола: проект руководства по оценке</w:t>
      </w:r>
      <w:r w:rsidRPr="009730B3">
        <w:rPr>
          <w:bCs/>
          <w:sz w:val="24"/>
          <w:szCs w:val="24"/>
        </w:rPr>
        <w:br/>
      </w:r>
      <w:r>
        <w:rPr>
          <w:b/>
          <w:bCs/>
        </w:rPr>
        <w:t>воздействия на здоровье</w:t>
      </w:r>
      <w:r>
        <w:t xml:space="preserve"> </w:t>
      </w:r>
      <w:r>
        <w:rPr>
          <w:b/>
          <w:bCs/>
        </w:rPr>
        <w:t>при проведении</w:t>
      </w:r>
      <w:r w:rsidRPr="009730B3">
        <w:rPr>
          <w:bCs/>
          <w:sz w:val="24"/>
          <w:szCs w:val="24"/>
        </w:rPr>
        <w:br/>
      </w:r>
      <w:r>
        <w:rPr>
          <w:b/>
          <w:bCs/>
        </w:rPr>
        <w:t>стратегической экологической оценки,</w:t>
      </w:r>
      <w:r w:rsidRPr="009730B3">
        <w:rPr>
          <w:bCs/>
          <w:sz w:val="24"/>
          <w:szCs w:val="24"/>
        </w:rPr>
        <w:br/>
      </w:r>
      <w:r>
        <w:rPr>
          <w:b/>
          <w:bCs/>
        </w:rPr>
        <w:t>соблюдение и осуществление: представление</w:t>
      </w:r>
      <w:r w:rsidRPr="009730B3">
        <w:rPr>
          <w:bCs/>
          <w:sz w:val="24"/>
          <w:szCs w:val="24"/>
        </w:rPr>
        <w:br/>
      </w:r>
      <w:r>
        <w:rPr>
          <w:b/>
          <w:bCs/>
        </w:rPr>
        <w:t>отчетности и обзор осуществления</w:t>
      </w:r>
    </w:p>
    <w:p w14:paraId="261DF0FA" w14:textId="77777777" w:rsidR="00B81395" w:rsidRPr="002638AD" w:rsidRDefault="00B81395" w:rsidP="00B81395">
      <w:pPr>
        <w:pStyle w:val="HChG"/>
      </w:pPr>
      <w:r>
        <w:tab/>
      </w:r>
      <w:r>
        <w:tab/>
      </w:r>
      <w:r>
        <w:rPr>
          <w:bCs/>
        </w:rPr>
        <w:t>Проекты решений совещания Сторон Протокола</w:t>
      </w:r>
    </w:p>
    <w:p w14:paraId="65B27C63" w14:textId="77777777" w:rsidR="00B81395" w:rsidRDefault="00B81395" w:rsidP="00B81395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Предложения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E0F09" w:rsidRPr="00BE0F09" w14:paraId="3561C2CC" w14:textId="77777777" w:rsidTr="00BE0F09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0B5ACC71" w14:textId="77777777" w:rsidR="00BE0F09" w:rsidRPr="00BE0F09" w:rsidRDefault="00BE0F0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E0F09">
              <w:rPr>
                <w:rFonts w:cs="Times New Roman"/>
              </w:rPr>
              <w:tab/>
            </w:r>
            <w:r w:rsidRPr="00BE0F0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E0F09" w:rsidRPr="00BE0F09" w14:paraId="40A363A3" w14:textId="77777777" w:rsidTr="00BE0F0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27AEB59" w14:textId="77777777" w:rsidR="00BE0F09" w:rsidRPr="00BE0F09" w:rsidRDefault="00BE0F09" w:rsidP="00D6488B">
            <w:pPr>
              <w:pStyle w:val="SingleTxtG"/>
            </w:pPr>
            <w:r w:rsidRPr="00BE0F09">
              <w:tab/>
            </w:r>
            <w:r>
              <w:tab/>
            </w:r>
            <w:r w:rsidRPr="00BE0F09">
              <w:t>В соответствии с мандатом, предоставленным Рабочей группе по оценке воздействия на окружающую среду и стратегической экологической оценке совещаниями Сторон Конвенции об оценке воздействия на окружающую среду в трансграничном контексте и Сторон Протокола по стратегической экологической оценке, Рабочей группе было поручено готовить для этих руководящих органов рекомендации в отношении дальнейшей работы по осуществлению Конвенции и Протокола (ECE/MP.EIA/SEA/2, решение I/5–V/5, пункт 4 постановляющей части).</w:t>
            </w:r>
          </w:p>
        </w:tc>
      </w:tr>
      <w:tr w:rsidR="00BE0F09" w:rsidRPr="00BE0F09" w14:paraId="79BDD9F2" w14:textId="77777777" w:rsidTr="00BE0F09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73247CC" w14:textId="77777777" w:rsidR="00BE0F09" w:rsidRPr="00BE0F09" w:rsidRDefault="00BE0F09" w:rsidP="00D7046A">
            <w:pPr>
              <w:pStyle w:val="SingleTxtG"/>
              <w:pageBreakBefore/>
            </w:pPr>
            <w:r w:rsidRPr="00BE0F09">
              <w:lastRenderedPageBreak/>
              <w:tab/>
            </w:r>
            <w:r w:rsidRPr="00BE0F09">
              <w:tab/>
              <w:t>В соответствии с вышеуказанным мандатом в настоящем документе содержатся два проекта решений, подготовленных Президиумом для рассмотрения Рабочей группой: проект решения о представлении отчетности и обзоре осуществления Протокола (IV/5); и проект решения об оценке воздействия на здоровье при проведении стратегической экологической оценки (IV/6).</w:t>
            </w:r>
          </w:p>
          <w:p w14:paraId="3EF936F3" w14:textId="77777777" w:rsidR="00BE0F09" w:rsidRPr="00BE0F09" w:rsidRDefault="00BE0F09" w:rsidP="00D6488B">
            <w:pPr>
              <w:pStyle w:val="SingleTxtG"/>
            </w:pPr>
            <w:r>
              <w:tab/>
            </w:r>
            <w:r>
              <w:tab/>
              <w:t>Ожидается, что Рабочая группа рассмотрит и согласует тексты проектов решений, которые будут препровождены на рассмотрение совещания Сторон Протокола на его четвертой сессии (Вильнюс, 8–11 декабря 2020 года).</w:t>
            </w:r>
          </w:p>
        </w:tc>
      </w:tr>
      <w:tr w:rsidR="00BE0F09" w:rsidRPr="00BE0F09" w14:paraId="7242266B" w14:textId="77777777" w:rsidTr="00BE0F09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35F18AC" w14:textId="77777777" w:rsidR="00BE0F09" w:rsidRPr="00BE0F09" w:rsidRDefault="00BE0F09" w:rsidP="00850215">
            <w:pPr>
              <w:rPr>
                <w:rFonts w:cs="Times New Roman"/>
              </w:rPr>
            </w:pPr>
          </w:p>
        </w:tc>
      </w:tr>
    </w:tbl>
    <w:p w14:paraId="6EC8CFF4" w14:textId="77777777" w:rsidR="00B81395" w:rsidRPr="002638AD" w:rsidRDefault="00B81395" w:rsidP="00B81395">
      <w:pPr>
        <w:pStyle w:val="HChG"/>
      </w:pPr>
      <w:r>
        <w:tab/>
      </w:r>
      <w:r>
        <w:tab/>
      </w:r>
      <w:r>
        <w:rPr>
          <w:bCs/>
        </w:rPr>
        <w:t>Проект решения IV/5</w:t>
      </w:r>
    </w:p>
    <w:p w14:paraId="28DEB1DD" w14:textId="77777777" w:rsidR="00B81395" w:rsidRPr="002638AD" w:rsidRDefault="00B81395" w:rsidP="00B81395">
      <w:pPr>
        <w:pStyle w:val="H1G"/>
        <w:rPr>
          <w:rFonts w:eastAsiaTheme="minorHAns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Протокола</w:t>
      </w:r>
    </w:p>
    <w:p w14:paraId="025A2642" w14:textId="77777777" w:rsidR="00B81395" w:rsidRPr="002638AD" w:rsidRDefault="00B81395" w:rsidP="00B81395">
      <w:pPr>
        <w:pStyle w:val="SingleTxtG"/>
        <w:ind w:firstLine="567"/>
        <w:rPr>
          <w:rFonts w:eastAsiaTheme="minorHAnsi"/>
          <w:i/>
          <w:iCs/>
        </w:rPr>
      </w:pPr>
      <w:bookmarkStart w:id="1" w:name="ici"/>
      <w:bookmarkEnd w:id="1"/>
      <w:r>
        <w:tab/>
      </w:r>
      <w:r>
        <w:rPr>
          <w:i/>
          <w:iCs/>
        </w:rPr>
        <w:t>Совещание Сторон Протокола,</w:t>
      </w:r>
    </w:p>
    <w:p w14:paraId="577A6394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ссылаясь</w:t>
      </w:r>
      <w:r>
        <w:t xml:space="preserve"> на решение I/7–V/7 совещания Сторон Конвенции об оценке воздействия на окружающую среду в трансграничном контексте и совещания Сторон Конвенции, действующего в качестве </w:t>
      </w:r>
      <w:r w:rsidR="00014759">
        <w:t>с</w:t>
      </w:r>
      <w:r>
        <w:t>овещания Сторон Протокола по стратегической экологической оценке (совещание Сторон Протокола), а также решения II/1 и III/1 совещания Сторон Протокола о представлении отчетности и обзоре осуществления,</w:t>
      </w:r>
    </w:p>
    <w:p w14:paraId="0D4B080D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ссылаясь также</w:t>
      </w:r>
      <w:r>
        <w:t xml:space="preserve"> на пункт 4 статьи 14 Протокола о регулярном рассмотрении осуществления Протокола,</w:t>
      </w:r>
    </w:p>
    <w:p w14:paraId="128098B1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ссылаясь далее</w:t>
      </w:r>
      <w:r>
        <w:t xml:space="preserve"> на пункт 7 статьи 14 Протокола, касающийся отчетности Сторон о мерах, принятых ими в целях осуществления Протокола, и пункт 4 статьи</w:t>
      </w:r>
      <w:r w:rsidR="003460AA">
        <w:rPr>
          <w:lang w:val="en-US"/>
        </w:rPr>
        <w:t> </w:t>
      </w:r>
      <w:r>
        <w:t>13 Протокола, касающийся отчетности Сторон о применении ими статьи 13 о политике и законодательстве,</w:t>
      </w:r>
    </w:p>
    <w:p w14:paraId="6A6E7A17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признавая</w:t>
      </w:r>
      <w:r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в соответствии с Протоколом и тем самым вносит вклад в работу Комитета по осуществлению,</w:t>
      </w:r>
    </w:p>
    <w:p w14:paraId="2B4EC29C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признавая также,</w:t>
      </w:r>
      <w:r>
        <w:t xml:space="preserve"> что отчетность Сторон дает полезную информацию другим странам, находящимся как в регионе Европейской экономической комиссии Организации Объединенных Наций (ЕЭК), так и за его пределами, что содействует их усилиям по осуществлению Протокола и присоединению к нему,</w:t>
      </w:r>
    </w:p>
    <w:p w14:paraId="078CB6FD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проведя анализ</w:t>
      </w:r>
      <w:r>
        <w:t xml:space="preserve"> докладов, представленных Сторонами в ответ на вопросник об осуществлении Протокола в период 2016–2018 годов,</w:t>
      </w:r>
    </w:p>
    <w:p w14:paraId="3C54B2FF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решительно подчеркивая</w:t>
      </w:r>
      <w:r>
        <w:t xml:space="preserve"> важное значение своевременности и высокого качества национальной отчетности,</w:t>
      </w:r>
    </w:p>
    <w:p w14:paraId="1863A520" w14:textId="77777777" w:rsidR="00B81395" w:rsidRPr="002638AD" w:rsidRDefault="00B81395" w:rsidP="00B81395">
      <w:pPr>
        <w:pStyle w:val="SingleTxtG"/>
        <w:ind w:firstLine="567"/>
      </w:pPr>
      <w:r>
        <w:tab/>
      </w:r>
      <w:r>
        <w:rPr>
          <w:i/>
          <w:iCs/>
        </w:rPr>
        <w:t>выражая обеспокоенность</w:t>
      </w:r>
      <w:r>
        <w:t xml:space="preserve"> в связи с тем, что на вопросник с опозданием ответили следующие 15 государств-участников, которые являлись Сторонами Протокола в рассматриваемый период: Босния и Герцеговина, Германия, Дания, Испания, Италия, Кипр, Латвия, Люксембург, Нидерланды, Северная Македония, Португалия, Сербия, Словения, Украина и Черногория,</w:t>
      </w:r>
      <w:bookmarkStart w:id="2" w:name="_Hlk31812073"/>
      <w:bookmarkEnd w:id="2"/>
    </w:p>
    <w:p w14:paraId="41C270DA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отмечая</w:t>
      </w:r>
      <w:r>
        <w:t>, что Европейский союз является Стороной Протокола, но, будучи региональной организацией экономической интеграции, до сих пор считал нецелесообразным возвращать заполненный вопросник, представляя вместо этого обновленную информацию в отношении соответствующего законодательства Европейского союза,</w:t>
      </w:r>
    </w:p>
    <w:p w14:paraId="5B7025D3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ab/>
      </w:r>
      <w:r>
        <w:rPr>
          <w:i/>
          <w:iCs/>
        </w:rPr>
        <w:t>выражая признательность</w:t>
      </w:r>
      <w:r>
        <w:t xml:space="preserve"> за то, что Республика Молдова, государство, не являвшееся Стороной Протокола в рассматриваемый период, а также Грузия и Казахстан, государства, не являющиеся Сторонами Протокола, тем не менее ответили на вопросник,</w:t>
      </w:r>
    </w:p>
    <w:p w14:paraId="7867E631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lastRenderedPageBreak/>
        <w:t>1.</w:t>
      </w:r>
      <w:r>
        <w:tab/>
      </w:r>
      <w:r>
        <w:rPr>
          <w:i/>
          <w:iCs/>
        </w:rPr>
        <w:t>приветствует</w:t>
      </w:r>
      <w:r>
        <w:t xml:space="preserve"> доклады Сторон об осуществлении ими Протокола в период 2016–2018 годов, которые были размещены на веб-сайте Конвенции;</w:t>
      </w:r>
    </w:p>
    <w:p w14:paraId="44F6DE23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2.</w:t>
      </w:r>
      <w:r>
        <w:tab/>
      </w:r>
      <w:r>
        <w:rPr>
          <w:i/>
          <w:iCs/>
        </w:rPr>
        <w:t>одобряет</w:t>
      </w:r>
      <w:r>
        <w:t xml:space="preserve"> третий обзор осуществления Протокола, содержащийся в документе ECE/MP.EIA/SEA/2020/[8], и просит секретариат организовать его опубликование в электронном виде на всех трех официальных языках ЕЭК;</w:t>
      </w:r>
      <w:bookmarkStart w:id="3" w:name="_Hlk35612004"/>
      <w:bookmarkEnd w:id="3"/>
    </w:p>
    <w:p w14:paraId="4DB4B3C4" w14:textId="77777777" w:rsidR="00B81395" w:rsidRPr="00297566" w:rsidRDefault="00B81395" w:rsidP="00B81395">
      <w:pPr>
        <w:pStyle w:val="SingleTxtG"/>
        <w:ind w:firstLine="567"/>
        <w:rPr>
          <w:rFonts w:eastAsiaTheme="minorHAnsi"/>
        </w:rPr>
      </w:pPr>
      <w:r>
        <w:t>3.</w:t>
      </w:r>
      <w:r>
        <w:tab/>
      </w:r>
      <w:r>
        <w:rPr>
          <w:i/>
          <w:iCs/>
        </w:rPr>
        <w:t>принимает к сведению</w:t>
      </w:r>
      <w:r>
        <w:t xml:space="preserve"> выводы, содержащиеся в третьем обзоре осуществления Протокола, в том числе следующие возможные слабые места или недостатки, а также области, нуждающиеся в дальнейшем усовершенствовании деятельности по осуществлению Протокола Сторонами:</w:t>
      </w:r>
    </w:p>
    <w:p w14:paraId="286131E2" w14:textId="77777777" w:rsidR="00B81395" w:rsidRPr="002638AD" w:rsidRDefault="00B81395" w:rsidP="00B81395">
      <w:pPr>
        <w:pStyle w:val="SingleTxtG"/>
        <w:ind w:firstLine="567"/>
        <w:rPr>
          <w:rFonts w:eastAsia="Times"/>
        </w:rPr>
      </w:pPr>
      <w:r>
        <w:t>a)</w:t>
      </w:r>
      <w:r>
        <w:tab/>
        <w:t>существуют различные подходы к толкованию термина «определяют основу для выдачи в будущем разрешений на реализацию», содержащегося в пункте</w:t>
      </w:r>
      <w:r w:rsidR="003460AA">
        <w:rPr>
          <w:lang w:val="en-US"/>
        </w:rPr>
        <w:t> </w:t>
      </w:r>
      <w:r>
        <w:t>2 статьи 4 Протокола, при этом большинство Сторон не имеют четкого определения этого термина в своем внутреннем законодательстве; Стороны также сталкиваются с трудностями при толковании положений пункта 4 статьи 4, в частности терминов «небольших территорий на местном уровне» и «незначительных изменений». Эти недоработки могут привести к возникновению проблем, особенно если следствием этого станет отсутствие ясности в отношении того, какие планы и программы подпадают под сферу действия Протокола;</w:t>
      </w:r>
      <w:bookmarkStart w:id="4" w:name="_Hlk18410911"/>
    </w:p>
    <w:bookmarkEnd w:id="4"/>
    <w:p w14:paraId="33C3701D" w14:textId="77777777" w:rsidR="00B81395" w:rsidRPr="002638AD" w:rsidRDefault="00B81395" w:rsidP="00B81395">
      <w:pPr>
        <w:pStyle w:val="SingleTxtG"/>
        <w:ind w:firstLine="567"/>
        <w:rPr>
          <w:rFonts w:eastAsia="Times"/>
        </w:rPr>
      </w:pPr>
      <w:r>
        <w:t>b)</w:t>
      </w:r>
      <w:r>
        <w:tab/>
        <w:t>законодательство и практика Сторон по-прежнему существенно различаются в отношении предоставляемых заинтересованной общественности возможностей для участия в дальнейшей предварительной оценке и определении сферы охвата соответственно пункта 3 статьи 5 и пункта 3 статьи 6 Протокола, что может осложнить осуществление Протокола. Семь Сторон сообщают об отсутствии у них законодательных положений, предусматривающих участие заинтересованной общественности в предварительной оценке и/или определении сферы охвата, а шесть Сторон указывают на то, что такие возможности предоставляются только в ходе определения сферы охвата;</w:t>
      </w:r>
    </w:p>
    <w:p w14:paraId="6BB0C72C" w14:textId="77777777" w:rsidR="00B81395" w:rsidRPr="002638AD" w:rsidRDefault="00B81395" w:rsidP="00B81395">
      <w:pPr>
        <w:pStyle w:val="SingleTxtG"/>
        <w:ind w:firstLine="567"/>
        <w:rPr>
          <w:rFonts w:eastAsia="Times"/>
        </w:rPr>
      </w:pPr>
      <w:bookmarkStart w:id="5" w:name="_Hlk17104193"/>
      <w:r>
        <w:t>c)</w:t>
      </w:r>
      <w:r>
        <w:tab/>
        <w:t>некоторым Сторонам, по-видимому, трудно надлежащим образом учитывать медицинские аспекты и воздействие на здоровье в стратегических экологических оценках. Стороны, возможно, пожелают ознакомиться с разделом, посвященным здравоохранению, в Руководстве по ресурсам в поддержку применения Протокола ЕЭК ООН по стратегической экологической оценке</w:t>
      </w:r>
      <w:r w:rsidRPr="00995D8F">
        <w:rPr>
          <w:rStyle w:val="FootnoteReference"/>
          <w:rFonts w:eastAsia="Times"/>
        </w:rPr>
        <w:footnoteReference w:id="1"/>
      </w:r>
      <w:r>
        <w:t xml:space="preserve"> (Руководство по ресурсам) [и в готовящемся к выпуску </w:t>
      </w:r>
      <w:r w:rsidR="00014759">
        <w:t>«</w:t>
      </w:r>
      <w:r>
        <w:t>Руководстве по оценке воздействия на здоровье при проведении стратегической экологической оценки</w:t>
      </w:r>
      <w:r w:rsidR="00014759">
        <w:t>»</w:t>
      </w:r>
      <w:r>
        <w:t xml:space="preserve"> ECE/MP.EIA/SEA/2020/[X]] для получения дополнительной информации по этому вопросу;</w:t>
      </w:r>
      <w:bookmarkStart w:id="6" w:name="_Hlk18072819"/>
    </w:p>
    <w:bookmarkEnd w:id="6"/>
    <w:p w14:paraId="77D5DD7D" w14:textId="77777777" w:rsidR="00B81395" w:rsidRPr="002638AD" w:rsidRDefault="00B81395" w:rsidP="00B81395">
      <w:pPr>
        <w:pStyle w:val="SingleTxtG"/>
        <w:ind w:firstLine="567"/>
      </w:pPr>
      <w:r>
        <w:t>d)</w:t>
      </w:r>
      <w:r>
        <w:tab/>
        <w:t>консультации осложняются трудностями, обусловленными различной практикой Сторон в отношении перевода документации при проведении трансграничных консультаций, в частности в отношении качества, сроков и ресурсов, необходимых для выполнения этого перевода, а также в отношении включения процесса перевода в графики проведения консультаций и участия общественности;</w:t>
      </w:r>
    </w:p>
    <w:bookmarkEnd w:id="5"/>
    <w:p w14:paraId="629F0403" w14:textId="77777777" w:rsidR="00B81395" w:rsidRPr="002638AD" w:rsidRDefault="00B81395" w:rsidP="00B81395">
      <w:pPr>
        <w:pStyle w:val="SingleTxtG"/>
        <w:ind w:firstLine="567"/>
      </w:pPr>
      <w:r>
        <w:t>e)</w:t>
      </w:r>
      <w:r>
        <w:tab/>
        <w:t>[по-прежнему требуется] [могло бы оказаться полезным] заключение дополнительных двусторонних соглашений или других договоренностей в целях содействия проведению трансграничных консультаций между Сторонами, в частности для повышения эффективности и устранения различий в применяемой Сторонами практике осуществления, в том числе в отношении вопросов языка, сроков, участия общественности, толкования различных терминов и организации трансграничных консультаций;</w:t>
      </w:r>
    </w:p>
    <w:p w14:paraId="0969CDD2" w14:textId="77777777" w:rsidR="00B81395" w:rsidRPr="002638AD" w:rsidRDefault="00B81395" w:rsidP="00B81395">
      <w:pPr>
        <w:pStyle w:val="SingleTxtG"/>
        <w:ind w:firstLine="567"/>
      </w:pPr>
      <w:r>
        <w:t>f)</w:t>
      </w:r>
      <w:r>
        <w:tab/>
        <w:t xml:space="preserve">Стороны сообщают о широком спектре наработанных ими практики и опыта осуществления, и эту информацию можно было бы использовать при разработке материалов для активизации осуществления. Поскольку ни одна из Сторон не изъявила желания представлять описание примеров практического опыта, было бы </w:t>
      </w:r>
      <w:r>
        <w:lastRenderedPageBreak/>
        <w:t>целесообразно рассмотреть вопрос о возможных способах содействия ЕЭК подготовке таких материалов;</w:t>
      </w:r>
    </w:p>
    <w:p w14:paraId="3B09A5E4" w14:textId="77777777" w:rsidR="00B81395" w:rsidRPr="002638AD" w:rsidRDefault="00B81395" w:rsidP="00B81395">
      <w:pPr>
        <w:pStyle w:val="SingleTxtG"/>
        <w:ind w:firstLine="567"/>
      </w:pPr>
      <w:r>
        <w:t>g)</w:t>
      </w:r>
      <w:r>
        <w:tab/>
        <w:t>многие Стороны систематически не выполняют своего обязательства по своевременному представлению докладов (в соответствии с пунктом 7 статьи 14);</w:t>
      </w:r>
    </w:p>
    <w:p w14:paraId="7C2DE2EF" w14:textId="77777777" w:rsidR="00B81395" w:rsidRPr="002638AD" w:rsidRDefault="00B81395" w:rsidP="00B81395">
      <w:pPr>
        <w:pStyle w:val="SingleTxtG"/>
        <w:ind w:firstLine="567"/>
        <w:rPr>
          <w:rFonts w:eastAsia="Times"/>
        </w:rPr>
      </w:pPr>
      <w:r>
        <w:t>h)</w:t>
      </w:r>
      <w:r>
        <w:tab/>
        <w:t>относительно немногие Стороны пользуются Руководством по ресурсам, однако не ясно, связано ли это с необходимостью обновления целиком или дополнения отдельных частей Руководства по ресурсам. В то же время ряд Сторон обратились с просьбой о переводе нынешнего варианта Руководства по ресурсам на их национальные языки;</w:t>
      </w:r>
    </w:p>
    <w:p w14:paraId="0767D321" w14:textId="77777777" w:rsidR="00B81395" w:rsidRPr="002638AD" w:rsidRDefault="00B81395" w:rsidP="00B81395">
      <w:pPr>
        <w:pStyle w:val="SingleTxtG"/>
        <w:ind w:firstLine="567"/>
      </w:pPr>
      <w:r>
        <w:t>i)</w:t>
      </w:r>
      <w:r>
        <w:tab/>
        <w:t>одним из направлений совершенствования работы по осуществлению Протокола является обеспечение качества докладов о воздействии на окружающую среду. Возможно, следует рекомендовать поощрять применение различных подходов к контролю качества. Стороны также выразили пожелание получить надлежащие разъяснения в отношении того, как были учтены замечания, полученные в соответствии со статьями 8–10;</w:t>
      </w:r>
    </w:p>
    <w:p w14:paraId="351B4679" w14:textId="73DC23E1" w:rsidR="00B81395" w:rsidRPr="00281198" w:rsidRDefault="00B81395" w:rsidP="00B81395">
      <w:pPr>
        <w:pStyle w:val="SingleTxtG"/>
        <w:ind w:firstLine="567"/>
      </w:pPr>
      <w:r>
        <w:t>j)</w:t>
      </w:r>
      <w:r>
        <w:tab/>
        <w:t>для осуществления статьи 12 Протокола применяются различные методы мониторинга, что в результате создает трудности, связанные с определением сферы охвата мониторинга и его продолжительности, используемых в ходе проведения мониторинга мер и показателей</w:t>
      </w:r>
      <w:r w:rsidR="00281198" w:rsidRPr="00281198">
        <w:t>;</w:t>
      </w:r>
    </w:p>
    <w:p w14:paraId="726B4D3F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4.</w:t>
      </w:r>
      <w:r>
        <w:tab/>
      </w:r>
      <w:r>
        <w:rPr>
          <w:i/>
          <w:iCs/>
        </w:rPr>
        <w:t>просит</w:t>
      </w:r>
      <w:r>
        <w:t xml:space="preserve"> секретариат обратить внимание Комитета по осуществлению на общие и конкретные вопросы соблюдения, указанные в третьем обзоре осуществления, и просит Комитет по осуществлению принимать их во внимание в своей работе;</w:t>
      </w:r>
    </w:p>
    <w:p w14:paraId="197F5A0F" w14:textId="77777777" w:rsidR="00B81395" w:rsidRPr="002638AD" w:rsidRDefault="00B81395" w:rsidP="00B81395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просит</w:t>
      </w:r>
      <w:r>
        <w:t xml:space="preserve"> Комитет по осуществлению скорректировать вопросник для следующего раунда представления докладов об осуществлении Протокола Сторонами в период 2019</w:t>
      </w:r>
      <w:r w:rsidR="0063288D">
        <w:t>–</w:t>
      </w:r>
      <w:r>
        <w:t>2021 годов с учетом предлагаемых улучшений вопросников по осуществлению Протокола и представить измененный вариант на рассмотрение Рабочей группы по оценке воздействия на окружающую среду и стратегической экологической оценке для последующего распространения секретариатом;</w:t>
      </w:r>
    </w:p>
    <w:p w14:paraId="45AEA1C7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bookmarkStart w:id="7" w:name="_Hlk32336393"/>
      <w:r>
        <w:t>6.</w:t>
      </w:r>
      <w:r>
        <w:tab/>
      </w:r>
      <w:r>
        <w:rPr>
          <w:i/>
          <w:iCs/>
        </w:rPr>
        <w:t>просит также</w:t>
      </w:r>
      <w:r>
        <w:t xml:space="preserve"> Комитет по осуществлению подготовить типовую форму доклада с учетом контекста и специализации региональных организаций экономической интеграции, включая Европейский союз, с тем чтобы облегчить представление ими докладов в соответствии с пунктом 4 статьи 13 Протокола;</w:t>
      </w:r>
      <w:bookmarkEnd w:id="7"/>
    </w:p>
    <w:p w14:paraId="57812F33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7.</w:t>
      </w:r>
      <w:r>
        <w:tab/>
      </w:r>
      <w:r>
        <w:rPr>
          <w:i/>
          <w:iCs/>
        </w:rPr>
        <w:t>постановляет</w:t>
      </w:r>
      <w:r>
        <w:t>, что Стороны Протокола заполнят вопросник в качестве доклада об осуществлении ими Протокола в период 2019–2021 годов с учетом обязательств по представлению докладов, вытекающих из пункта 7 статьи 14 и пункта</w:t>
      </w:r>
      <w:r w:rsidR="0063288D">
        <w:t> </w:t>
      </w:r>
      <w:r>
        <w:t>4 статьи 13 Протокола;</w:t>
      </w:r>
    </w:p>
    <w:p w14:paraId="11FCA48D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8.</w:t>
      </w:r>
      <w:r>
        <w:tab/>
      </w:r>
      <w:r>
        <w:rPr>
          <w:i/>
          <w:iCs/>
        </w:rPr>
        <w:t>настоятельно призывает</w:t>
      </w:r>
      <w:r>
        <w:t xml:space="preserve"> Стороны представлять доклады до истечения крайнего срока, который будет согласован Рабочей группой;</w:t>
      </w:r>
    </w:p>
    <w:p w14:paraId="244173B7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9.</w:t>
      </w:r>
      <w:r>
        <w:tab/>
      </w:r>
      <w:r>
        <w:rPr>
          <w:i/>
          <w:iCs/>
        </w:rPr>
        <w:t>просит</w:t>
      </w:r>
      <w:r>
        <w:t xml:space="preserve"> секретариат размещать на веб-сайте Конвенции национальные доклады на имеющихся языках;</w:t>
      </w:r>
    </w:p>
    <w:p w14:paraId="7E00F9AF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10.</w:t>
      </w:r>
      <w:r>
        <w:tab/>
      </w:r>
      <w:r>
        <w:rPr>
          <w:i/>
          <w:iCs/>
        </w:rPr>
        <w:t>просит также</w:t>
      </w:r>
      <w:r>
        <w:t xml:space="preserve"> секретариат разместить на веб-сайте Конвенции перечни примеров проведения стратегической экологической оценки на национальном и трансграничном уровне, включенных в ответы на вопросник, если Стороны не возражают против этого;</w:t>
      </w:r>
    </w:p>
    <w:p w14:paraId="0677B659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11.</w:t>
      </w:r>
      <w:r>
        <w:tab/>
      </w:r>
      <w:r>
        <w:rPr>
          <w:i/>
          <w:iCs/>
        </w:rPr>
        <w:t>постановляет</w:t>
      </w:r>
      <w:r>
        <w:t>, что проект четвертого обзора осуществления Протокола за период 2019–2021 годов, основанный на докладах Сторон, будет представлен на пятой сессии совещания Сторон Протокола и что в плане работы будут отражены элементы, необходимые для подготовки этого проекта четвертого обзора;</w:t>
      </w:r>
    </w:p>
    <w:p w14:paraId="399B2CE7" w14:textId="77777777" w:rsidR="00B81395" w:rsidRPr="002638AD" w:rsidRDefault="00B81395" w:rsidP="00B81395">
      <w:pPr>
        <w:pStyle w:val="SingleTxtG"/>
        <w:ind w:firstLine="567"/>
        <w:rPr>
          <w:rFonts w:eastAsiaTheme="minorHAnsi"/>
        </w:rPr>
      </w:pPr>
      <w:r>
        <w:t>12.</w:t>
      </w:r>
      <w:r>
        <w:tab/>
      </w:r>
      <w:r>
        <w:rPr>
          <w:i/>
          <w:iCs/>
        </w:rPr>
        <w:t>просит</w:t>
      </w:r>
      <w:r>
        <w:t xml:space="preserve"> секретариат разместить проект четвертого обзора осуществления Протокола на веб-сайте договора;</w:t>
      </w:r>
    </w:p>
    <w:p w14:paraId="11167915" w14:textId="77777777" w:rsidR="00B81395" w:rsidRPr="002638AD" w:rsidRDefault="00B81395" w:rsidP="00B81395">
      <w:pPr>
        <w:pStyle w:val="SingleTxtG"/>
        <w:ind w:firstLine="567"/>
        <w:rPr>
          <w:rFonts w:eastAsiaTheme="minorEastAsia"/>
        </w:rPr>
      </w:pPr>
      <w:r>
        <w:lastRenderedPageBreak/>
        <w:t>13.</w:t>
      </w:r>
      <w:r>
        <w:tab/>
      </w:r>
      <w:r>
        <w:rPr>
          <w:i/>
          <w:iCs/>
        </w:rPr>
        <w:t>просит также</w:t>
      </w:r>
      <w:r>
        <w:t xml:space="preserve"> секретариат предусмотреть после утверждения четвертого обзора осуществления последующее его опубликование в электронном виде на всех трех официальных языках ЕЭК.</w:t>
      </w:r>
    </w:p>
    <w:p w14:paraId="262FC1F8" w14:textId="77777777" w:rsidR="00B81395" w:rsidRPr="002638AD" w:rsidRDefault="00B81395" w:rsidP="0063288D">
      <w:pPr>
        <w:pStyle w:val="HChG"/>
      </w:pPr>
      <w:r>
        <w:tab/>
      </w:r>
      <w:r>
        <w:tab/>
      </w:r>
      <w:r>
        <w:rPr>
          <w:bCs/>
        </w:rPr>
        <w:t>Проект решения IV/6</w:t>
      </w:r>
    </w:p>
    <w:p w14:paraId="1131086F" w14:textId="77777777" w:rsidR="00B81395" w:rsidRPr="002638AD" w:rsidRDefault="00B81395" w:rsidP="0063288D">
      <w:pPr>
        <w:pStyle w:val="H1G"/>
        <w:rPr>
          <w:szCs w:val="24"/>
        </w:rPr>
      </w:pPr>
      <w:r>
        <w:tab/>
      </w:r>
      <w:r>
        <w:tab/>
        <w:t>Оценка воздействия на здоровье при проведении стратегической экологической оценки</w:t>
      </w:r>
    </w:p>
    <w:p w14:paraId="211D4CCA" w14:textId="77777777" w:rsidR="00B81395" w:rsidRPr="00A81F79" w:rsidRDefault="00B81395" w:rsidP="00B81395">
      <w:pPr>
        <w:pStyle w:val="SingleTxtG"/>
        <w:rPr>
          <w:iCs/>
        </w:rPr>
      </w:pPr>
      <w:r>
        <w:tab/>
      </w:r>
      <w:r>
        <w:tab/>
      </w:r>
      <w:r>
        <w:rPr>
          <w:i/>
          <w:iCs/>
        </w:rPr>
        <w:t>Совещание Сторон Протокола</w:t>
      </w:r>
      <w:r>
        <w:t>,</w:t>
      </w:r>
    </w:p>
    <w:p w14:paraId="7C179947" w14:textId="77777777" w:rsidR="00B81395" w:rsidRPr="002638AD" w:rsidRDefault="00B81395" w:rsidP="00B81395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преамбулу Протокола, в которой признаются выгоды для здоровья и благополучия нынешнего и будущих поколений, которые будут иметь место в том случае, если необходимость в охране и улучшении здоровья людей будет приниматься в расчет в качестве неотъемлемой части стратегической экологической оценки,</w:t>
      </w:r>
    </w:p>
    <w:p w14:paraId="306025F7" w14:textId="77777777" w:rsidR="00B81395" w:rsidRPr="002638AD" w:rsidRDefault="00B81395" w:rsidP="00B81395">
      <w:pPr>
        <w:pStyle w:val="SingleTxtG"/>
        <w:ind w:firstLine="567"/>
        <w:rPr>
          <w:i/>
        </w:rPr>
      </w:pPr>
      <w:r>
        <w:rPr>
          <w:i/>
          <w:iCs/>
        </w:rPr>
        <w:t>ссылаясь также</w:t>
      </w:r>
      <w:r>
        <w:t xml:space="preserve"> на Руководство по ресурсам в поддержку применения Протокола ЕЭК ООН по стратегической экологической оценке</w:t>
      </w:r>
      <w:r>
        <w:rPr>
          <w:rStyle w:val="FootnoteReference"/>
        </w:rPr>
        <w:footnoteReference w:id="2"/>
      </w:r>
      <w:r>
        <w:t>, и в частности на его приложение А1.1. по вопросам здравоохранения, подготовленное в сотрудничестве со Всемирной организацией здравоохранения,</w:t>
      </w:r>
    </w:p>
    <w:p w14:paraId="739D413B" w14:textId="77777777" w:rsidR="00B81395" w:rsidRPr="002638AD" w:rsidRDefault="00B81395" w:rsidP="00B81395">
      <w:pPr>
        <w:pStyle w:val="SingleTxtG"/>
        <w:ind w:firstLine="567"/>
      </w:pPr>
      <w:r>
        <w:rPr>
          <w:i/>
          <w:iCs/>
        </w:rPr>
        <w:t>ссылаясь далее</w:t>
      </w:r>
      <w:r>
        <w:t xml:space="preserve"> на свое решение VII/2-III/2 о принятии плана работы по осуществлению Конвенции и Протокола к ней на период 2021</w:t>
      </w:r>
      <w:r w:rsidR="004852CF">
        <w:t>–</w:t>
      </w:r>
      <w:r>
        <w:t>2023 годов, в котором предусматривается разработка руководства по оценке потенциального воздействия планов и программ на здоровье и участие органов здравоохранения,</w:t>
      </w:r>
    </w:p>
    <w:p w14:paraId="72DC5FBA" w14:textId="77777777" w:rsidR="00B81395" w:rsidRPr="002638AD" w:rsidRDefault="00B81395" w:rsidP="00B81395">
      <w:pPr>
        <w:pStyle w:val="SingleTxtG"/>
        <w:ind w:firstLine="567"/>
        <w:rPr>
          <w:i/>
        </w:rPr>
      </w:pPr>
      <w:r>
        <w:rPr>
          <w:i/>
          <w:iCs/>
        </w:rPr>
        <w:t>подчеркивая</w:t>
      </w:r>
      <w:r>
        <w:t xml:space="preserve"> важность консультаций с органами здравоохранения наряду с природоохранными органами в целях обеспечения того, чтобы соображения, касающиеся экологии, в том числе здравоохранения, учитывались в области разработки планов и программ и, по мере необходимости, в политике и законодательстве,</w:t>
      </w:r>
    </w:p>
    <w:p w14:paraId="0B5166F9" w14:textId="77777777" w:rsidR="00B81395" w:rsidRPr="002638AD" w:rsidRDefault="00B81395" w:rsidP="00B81395">
      <w:pPr>
        <w:pStyle w:val="SingleTxtG"/>
        <w:ind w:firstLine="567"/>
      </w:pPr>
      <w:r>
        <w:rPr>
          <w:i/>
          <w:iCs/>
        </w:rPr>
        <w:t>желая</w:t>
      </w:r>
      <w:r>
        <w:t xml:space="preserve"> оказать Сторонам помощь в выполнении ими своих обязательств по Протоколу и содействовать ее эффективному применению,</w:t>
      </w:r>
    </w:p>
    <w:p w14:paraId="4CE8106F" w14:textId="77777777" w:rsidR="00B81395" w:rsidRPr="002638AD" w:rsidRDefault="00B81395" w:rsidP="00B81395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приветствует</w:t>
      </w:r>
      <w:r>
        <w:t xml:space="preserve"> разработку проекта руководства двумя консультантами при финансовой поддержке Европейского инвестиционного банка в консультации с секретариатом, Всемирной организацией здравоохранения и целевой группой в составе представителей Австрии, Ирландии, Словении и Финляндии;</w:t>
      </w:r>
    </w:p>
    <w:p w14:paraId="7DCB5214" w14:textId="77777777" w:rsidR="00B81395" w:rsidRPr="002638AD" w:rsidRDefault="00B81395" w:rsidP="00B81395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>одобряет</w:t>
      </w:r>
      <w:r>
        <w:t xml:space="preserve"> Руководство по оценке воздействия на здоровье [при проведении стратегической экологической оценки] [в соответствии с Протоколом по стратегической экологической оценке] [(ECE/MP.EIA/SEA/2020/...];</w:t>
      </w:r>
    </w:p>
    <w:p w14:paraId="7C18CEB6" w14:textId="77777777" w:rsidR="00B81395" w:rsidRPr="002638AD" w:rsidRDefault="00B81395" w:rsidP="00B81395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рекомендует</w:t>
      </w:r>
      <w:r>
        <w:t xml:space="preserve"> Сторонам принимать во внимание содержание Руководства при осуществлении Протокола;</w:t>
      </w:r>
    </w:p>
    <w:p w14:paraId="5EBF0949" w14:textId="77777777" w:rsidR="00B81395" w:rsidRPr="002638AD" w:rsidRDefault="00B81395" w:rsidP="00B81395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призывает</w:t>
      </w:r>
      <w:r>
        <w:t xml:space="preserve"> Стороны обеспечить широкое распространение Руководства среди компетентных органов и соответствующих заинтересованных сторон;</w:t>
      </w:r>
    </w:p>
    <w:p w14:paraId="61D42862" w14:textId="77777777" w:rsidR="00B81395" w:rsidRPr="002638AD" w:rsidRDefault="00B81395" w:rsidP="00B81395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предлагает</w:t>
      </w:r>
      <w:r>
        <w:t xml:space="preserve"> использовать Руководство в рамках деятельности по наращиванию потенциала, предусмотренной планом работы;</w:t>
      </w:r>
    </w:p>
    <w:p w14:paraId="231E22E7" w14:textId="77777777" w:rsidR="00B81395" w:rsidRPr="002638AD" w:rsidRDefault="00B81395" w:rsidP="00B81395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высоко оценивает</w:t>
      </w:r>
      <w:r>
        <w:t xml:space="preserve"> хорошее и долгосрочное сотрудничество со Всемирной организацией здравоохранения в деле повышения осведомленности о Протоколе и оказания поддержки его осуществлению;</w:t>
      </w:r>
    </w:p>
    <w:p w14:paraId="562DAF97" w14:textId="77777777" w:rsidR="00E12C5F" w:rsidRDefault="00B81395" w:rsidP="00B81395">
      <w:pPr>
        <w:pStyle w:val="SingleTxtG"/>
        <w:ind w:firstLine="567"/>
      </w:pPr>
      <w:r>
        <w:tab/>
        <w:t>7.</w:t>
      </w:r>
      <w:r>
        <w:tab/>
      </w:r>
      <w:r>
        <w:rPr>
          <w:i/>
          <w:iCs/>
        </w:rPr>
        <w:t>призывает</w:t>
      </w:r>
      <w:r>
        <w:t xml:space="preserve"> Стороны представить примеры надлежащей практики в области оценки здоровья и вовлечения органов здравоохранения в проведение стратегической экологической оценки.</w:t>
      </w:r>
    </w:p>
    <w:p w14:paraId="31B60C1F" w14:textId="77777777" w:rsidR="00B81395" w:rsidRPr="00B81395" w:rsidRDefault="00B81395" w:rsidP="00B6124D">
      <w:pPr>
        <w:pStyle w:val="SingleTxtG"/>
        <w:spacing w:before="8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1395" w:rsidRPr="00B81395" w:rsidSect="00B8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3A95" w14:textId="77777777" w:rsidR="00A95D39" w:rsidRPr="00A312BC" w:rsidRDefault="00A95D39" w:rsidP="00A312BC"/>
  </w:endnote>
  <w:endnote w:type="continuationSeparator" w:id="0">
    <w:p w14:paraId="344EF596" w14:textId="77777777" w:rsidR="00A95D39" w:rsidRPr="00A312BC" w:rsidRDefault="00A95D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A4A" w14:textId="77777777" w:rsidR="00B81395" w:rsidRPr="00B81395" w:rsidRDefault="00B81395">
    <w:pPr>
      <w:pStyle w:val="Footer"/>
    </w:pPr>
    <w:r w:rsidRPr="00B81395">
      <w:rPr>
        <w:b/>
        <w:sz w:val="18"/>
      </w:rPr>
      <w:fldChar w:fldCharType="begin"/>
    </w:r>
    <w:r w:rsidRPr="00B81395">
      <w:rPr>
        <w:b/>
        <w:sz w:val="18"/>
      </w:rPr>
      <w:instrText xml:space="preserve"> PAGE  \* MERGEFORMAT </w:instrText>
    </w:r>
    <w:r w:rsidRPr="00B81395">
      <w:rPr>
        <w:b/>
        <w:sz w:val="18"/>
      </w:rPr>
      <w:fldChar w:fldCharType="separate"/>
    </w:r>
    <w:r w:rsidRPr="00B81395">
      <w:rPr>
        <w:b/>
        <w:noProof/>
        <w:sz w:val="18"/>
      </w:rPr>
      <w:t>2</w:t>
    </w:r>
    <w:r w:rsidRPr="00B81395">
      <w:rPr>
        <w:b/>
        <w:sz w:val="18"/>
      </w:rPr>
      <w:fldChar w:fldCharType="end"/>
    </w:r>
    <w:r>
      <w:rPr>
        <w:b/>
        <w:sz w:val="18"/>
      </w:rPr>
      <w:tab/>
    </w:r>
    <w:r>
      <w:t>GE.20-04494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8687" w14:textId="77777777" w:rsidR="00B81395" w:rsidRPr="00B81395" w:rsidRDefault="00B81395" w:rsidP="00B81395">
    <w:pPr>
      <w:pStyle w:val="Footer"/>
      <w:tabs>
        <w:tab w:val="clear" w:pos="9639"/>
        <w:tab w:val="right" w:pos="9638"/>
      </w:tabs>
      <w:rPr>
        <w:b/>
        <w:sz w:val="18"/>
      </w:rPr>
    </w:pPr>
    <w:r>
      <w:t>GE.20-04494</w:t>
    </w:r>
    <w:r>
      <w:tab/>
    </w:r>
    <w:r w:rsidRPr="00B81395">
      <w:rPr>
        <w:b/>
        <w:sz w:val="18"/>
      </w:rPr>
      <w:fldChar w:fldCharType="begin"/>
    </w:r>
    <w:r w:rsidRPr="00B81395">
      <w:rPr>
        <w:b/>
        <w:sz w:val="18"/>
      </w:rPr>
      <w:instrText xml:space="preserve"> PAGE  \* MERGEFORMAT </w:instrText>
    </w:r>
    <w:r w:rsidRPr="00B81395">
      <w:rPr>
        <w:b/>
        <w:sz w:val="18"/>
      </w:rPr>
      <w:fldChar w:fldCharType="separate"/>
    </w:r>
    <w:r w:rsidRPr="00B81395">
      <w:rPr>
        <w:b/>
        <w:noProof/>
        <w:sz w:val="18"/>
      </w:rPr>
      <w:t>3</w:t>
    </w:r>
    <w:r w:rsidRPr="00B813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68C2" w14:textId="77777777" w:rsidR="00042B72" w:rsidRPr="00B81395" w:rsidRDefault="00B81395" w:rsidP="00B8139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D0B2E0" wp14:editId="4B6B31C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20-04494  (R)</w:t>
    </w:r>
    <w:r>
      <w:rPr>
        <w:lang w:val="en-US"/>
      </w:rPr>
      <w:t xml:space="preserve">  020420  030420</w:t>
    </w:r>
    <w:r>
      <w:br/>
    </w:r>
    <w:r w:rsidRPr="00B81395">
      <w:rPr>
        <w:rFonts w:ascii="C39T30Lfz" w:hAnsi="C39T30Lfz"/>
        <w:kern w:val="14"/>
        <w:sz w:val="56"/>
      </w:rPr>
      <w:t></w:t>
    </w:r>
    <w:r w:rsidRPr="00B81395">
      <w:rPr>
        <w:rFonts w:ascii="C39T30Lfz" w:hAnsi="C39T30Lfz"/>
        <w:kern w:val="14"/>
        <w:sz w:val="56"/>
      </w:rPr>
      <w:t></w:t>
    </w:r>
    <w:r w:rsidRPr="00B81395">
      <w:rPr>
        <w:rFonts w:ascii="C39T30Lfz" w:hAnsi="C39T30Lfz"/>
        <w:kern w:val="14"/>
        <w:sz w:val="56"/>
      </w:rPr>
      <w:t></w:t>
    </w:r>
    <w:r w:rsidRPr="00B81395">
      <w:rPr>
        <w:rFonts w:ascii="C39T30Lfz" w:hAnsi="C39T30Lfz"/>
        <w:kern w:val="14"/>
        <w:sz w:val="56"/>
      </w:rPr>
      <w:t></w:t>
    </w:r>
    <w:r w:rsidRPr="00B81395">
      <w:rPr>
        <w:rFonts w:ascii="C39T30Lfz" w:hAnsi="C39T30Lfz"/>
        <w:kern w:val="14"/>
        <w:sz w:val="56"/>
      </w:rPr>
      <w:t></w:t>
    </w:r>
    <w:r w:rsidRPr="00B81395">
      <w:rPr>
        <w:rFonts w:ascii="C39T30Lfz" w:hAnsi="C39T30Lfz"/>
        <w:kern w:val="14"/>
        <w:sz w:val="56"/>
      </w:rPr>
      <w:t></w:t>
    </w:r>
    <w:r w:rsidRPr="00B81395">
      <w:rPr>
        <w:rFonts w:ascii="C39T30Lfz" w:hAnsi="C39T30Lfz"/>
        <w:kern w:val="14"/>
        <w:sz w:val="56"/>
      </w:rPr>
      <w:t></w:t>
    </w:r>
    <w:r w:rsidRPr="00B81395">
      <w:rPr>
        <w:rFonts w:ascii="C39T30Lfz" w:hAnsi="C39T30Lfz"/>
        <w:kern w:val="14"/>
        <w:sz w:val="56"/>
      </w:rPr>
      <w:t></w:t>
    </w:r>
    <w:r w:rsidRPr="00B8139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FBCB8E" wp14:editId="23BCC2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WG.2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WG.2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50DB" w14:textId="77777777" w:rsidR="00A95D39" w:rsidRPr="001075E9" w:rsidRDefault="00A95D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28D8EE" w14:textId="77777777" w:rsidR="00A95D39" w:rsidRDefault="00A95D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741B64" w14:textId="77777777" w:rsidR="00B81395" w:rsidRPr="002638AD" w:rsidRDefault="00B81395" w:rsidP="003460AA">
      <w:pPr>
        <w:pStyle w:val="FootnoteText"/>
      </w:pPr>
      <w:r w:rsidRPr="006C3449">
        <w:tab/>
      </w:r>
      <w:r w:rsidRPr="006C3449">
        <w:rPr>
          <w:vertAlign w:val="superscript"/>
        </w:rPr>
        <w:footnoteRef/>
      </w:r>
      <w:r>
        <w:tab/>
        <w:t>Издание Организации Объединенных Наций, ECE/MP.EIA/17.</w:t>
      </w:r>
    </w:p>
  </w:footnote>
  <w:footnote w:id="2">
    <w:p w14:paraId="504B8985" w14:textId="77777777" w:rsidR="00B81395" w:rsidRPr="002638AD" w:rsidRDefault="00B81395" w:rsidP="003460A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Издание Организации Объединенных Наций, ECE/MP.EIA/17.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79D7" w14:textId="0B3332B8" w:rsidR="00B81395" w:rsidRPr="00B81395" w:rsidRDefault="004149E5">
    <w:pPr>
      <w:pStyle w:val="Header"/>
    </w:pPr>
    <w:fldSimple w:instr=" TITLE  \* MERGEFORMAT ">
      <w:r>
        <w:t>ECE/MP.EIA/WG.2/2020/5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DBF4" w14:textId="580FAD66" w:rsidR="00B81395" w:rsidRPr="00B81395" w:rsidRDefault="004149E5" w:rsidP="00B81395">
    <w:pPr>
      <w:pStyle w:val="Header"/>
      <w:jc w:val="right"/>
    </w:pPr>
    <w:fldSimple w:instr=" TITLE  \* MERGEFORMAT ">
      <w:r>
        <w:t>ECE/MP.EIA/WG.2/2020/5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47B8" w14:textId="77777777" w:rsidR="00B81395" w:rsidRDefault="00B81395" w:rsidP="00B8139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39"/>
    <w:rsid w:val="000147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EA5"/>
    <w:rsid w:val="00255343"/>
    <w:rsid w:val="0027151D"/>
    <w:rsid w:val="00281198"/>
    <w:rsid w:val="002A2EFC"/>
    <w:rsid w:val="002B0106"/>
    <w:rsid w:val="002B74B1"/>
    <w:rsid w:val="002C0E18"/>
    <w:rsid w:val="002C49B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0AA"/>
    <w:rsid w:val="00381C24"/>
    <w:rsid w:val="00387CD4"/>
    <w:rsid w:val="003958D0"/>
    <w:rsid w:val="003A0D43"/>
    <w:rsid w:val="003A1C30"/>
    <w:rsid w:val="003A48CE"/>
    <w:rsid w:val="003B00E5"/>
    <w:rsid w:val="003E0B46"/>
    <w:rsid w:val="00407B78"/>
    <w:rsid w:val="004149E5"/>
    <w:rsid w:val="00424203"/>
    <w:rsid w:val="00452493"/>
    <w:rsid w:val="00453318"/>
    <w:rsid w:val="00454AF2"/>
    <w:rsid w:val="00454E07"/>
    <w:rsid w:val="00472C5C"/>
    <w:rsid w:val="004852C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288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3B13"/>
    <w:rsid w:val="00734ACB"/>
    <w:rsid w:val="00757357"/>
    <w:rsid w:val="00792497"/>
    <w:rsid w:val="007D61B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4DA6"/>
    <w:rsid w:val="009C59D7"/>
    <w:rsid w:val="009C6FE6"/>
    <w:rsid w:val="009D7E7D"/>
    <w:rsid w:val="00A14DA8"/>
    <w:rsid w:val="00A312BC"/>
    <w:rsid w:val="00A511F9"/>
    <w:rsid w:val="00A84021"/>
    <w:rsid w:val="00A84D35"/>
    <w:rsid w:val="00A917B3"/>
    <w:rsid w:val="00A95D39"/>
    <w:rsid w:val="00AB4B51"/>
    <w:rsid w:val="00AE7F6C"/>
    <w:rsid w:val="00B10CC7"/>
    <w:rsid w:val="00B36DF7"/>
    <w:rsid w:val="00B539E7"/>
    <w:rsid w:val="00B6124D"/>
    <w:rsid w:val="00B62458"/>
    <w:rsid w:val="00B81395"/>
    <w:rsid w:val="00BC18B2"/>
    <w:rsid w:val="00BD33EE"/>
    <w:rsid w:val="00BE0F09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755D"/>
    <w:rsid w:val="00D33D63"/>
    <w:rsid w:val="00D5253A"/>
    <w:rsid w:val="00D7046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F1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A4931"/>
  <w15:docId w15:val="{C22409E1-0262-4C63-B5E6-C0DCCC3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8139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B8139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12079</Characters>
  <Application>Microsoft Office Word</Application>
  <DocSecurity>4</DocSecurity>
  <Lines>100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ECE/MP.EIA/WG.2/2020/5</vt:lpstr>
      <vt:lpstr>ECE/MP.EIA/WG.2/2020/5</vt:lpstr>
      <vt:lpstr>A/</vt:lpstr>
    </vt:vector>
  </TitlesOfParts>
  <Company>DCM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ECE/MP.EIA/WG.2/2020/5</dc:title>
  <dc:subject/>
  <dc:creator>Olga OVTCHINNIKOVA</dc:creator>
  <cp:keywords/>
  <cp:lastModifiedBy>Elizabeth James</cp:lastModifiedBy>
  <cp:revision>2</cp:revision>
  <cp:lastPrinted>2020-04-03T13:23:00Z</cp:lastPrinted>
  <dcterms:created xsi:type="dcterms:W3CDTF">2020-04-06T10:05:00Z</dcterms:created>
  <dcterms:modified xsi:type="dcterms:W3CDTF">2020-04-06T10:05:00Z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