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FCAFA" w14:textId="6B29C984" w:rsidR="00B33F5C" w:rsidRPr="009E3C8A" w:rsidRDefault="009E3C8A" w:rsidP="00DA0772">
      <w:pPr>
        <w:jc w:val="center"/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3C8A"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Критерии передовой практики и извлеченных уроков </w:t>
      </w:r>
    </w:p>
    <w:p w14:paraId="63F5191E" w14:textId="77777777" w:rsidR="00DA0772" w:rsidRPr="009E3C8A" w:rsidRDefault="00DA0772" w:rsidP="00DA0772">
      <w:pPr>
        <w:rPr>
          <w:b/>
          <w:bCs/>
          <w:lang w:val="ru-RU"/>
        </w:rPr>
      </w:pPr>
    </w:p>
    <w:p w14:paraId="4CD17D66" w14:textId="4BAE1DCA" w:rsidR="00DA0772" w:rsidRPr="009E3C8A" w:rsidRDefault="009E3C8A" w:rsidP="00DA0772">
      <w:pPr>
        <w:pStyle w:val="Title"/>
        <w:spacing w:after="120"/>
        <w:jc w:val="left"/>
        <w:rPr>
          <w:color w:val="4472C4" w:themeColor="accent1"/>
          <w:sz w:val="24"/>
          <w:szCs w:val="24"/>
          <w:lang w:val="ru-RU"/>
        </w:rPr>
      </w:pPr>
      <w:r w:rsidRPr="009E3C8A">
        <w:rPr>
          <w:color w:val="4472C4" w:themeColor="accent1"/>
          <w:sz w:val="24"/>
          <w:szCs w:val="24"/>
          <w:lang w:val="ru-RU"/>
        </w:rPr>
        <w:t>Темы</w:t>
      </w:r>
    </w:p>
    <w:p w14:paraId="4ED927EE" w14:textId="34EB1651" w:rsidR="00B33F5C" w:rsidRPr="009E3C8A" w:rsidRDefault="009E3C8A" w:rsidP="00B33F5C">
      <w:pPr>
        <w:rPr>
          <w:rFonts w:eastAsia="Calibri"/>
          <w:szCs w:val="20"/>
          <w:lang w:val="ru-RU"/>
        </w:rPr>
      </w:pPr>
      <w:r>
        <w:rPr>
          <w:rFonts w:eastAsia="Calibri"/>
          <w:szCs w:val="20"/>
          <w:lang w:val="ru-RU"/>
        </w:rPr>
        <w:t>Практические примеры</w:t>
      </w:r>
      <w:r w:rsidRPr="009E3C8A">
        <w:rPr>
          <w:rFonts w:eastAsia="Calibri"/>
          <w:szCs w:val="20"/>
          <w:lang w:val="ru-RU"/>
        </w:rPr>
        <w:t xml:space="preserve"> передовой практики и/или извлеченных уроков, которые будут отобраны для включения в </w:t>
      </w:r>
      <w:r w:rsidRPr="009E3C8A">
        <w:rPr>
          <w:rFonts w:eastAsia="Calibri"/>
          <w:i/>
          <w:iCs/>
          <w:szCs w:val="20"/>
          <w:lang w:val="ru-RU"/>
        </w:rPr>
        <w:t>Информационный репозиторий по передовой практике и извлеченных уроках в области планирования землепользования и промышленной безопасности</w:t>
      </w:r>
      <w:r w:rsidRPr="009E3C8A">
        <w:rPr>
          <w:rFonts w:eastAsia="Calibri"/>
          <w:szCs w:val="20"/>
          <w:lang w:val="ru-RU"/>
        </w:rPr>
        <w:t xml:space="preserve">, должны быть связаны с </w:t>
      </w:r>
      <w:r w:rsidRPr="009E3C8A">
        <w:rPr>
          <w:rFonts w:eastAsia="Calibri"/>
          <w:szCs w:val="20"/>
          <w:u w:val="single"/>
          <w:lang w:val="ru-RU"/>
        </w:rPr>
        <w:t>одной или несколькими из следующих трех тем</w:t>
      </w:r>
      <w:r w:rsidR="00B33F5C" w:rsidRPr="002D0B7A">
        <w:rPr>
          <w:rFonts w:eastAsia="Calibri"/>
          <w:szCs w:val="20"/>
          <w:lang w:val="ru-RU"/>
        </w:rPr>
        <w:t>:</w:t>
      </w:r>
    </w:p>
    <w:p w14:paraId="688F8B42" w14:textId="38D1A840" w:rsidR="00B33F5C" w:rsidRPr="002D0B7A" w:rsidRDefault="002D0B7A" w:rsidP="00B33F5C">
      <w:pPr>
        <w:numPr>
          <w:ilvl w:val="0"/>
          <w:numId w:val="2"/>
        </w:numPr>
        <w:spacing w:before="100" w:beforeAutospacing="1"/>
        <w:jc w:val="both"/>
        <w:rPr>
          <w:rFonts w:eastAsia="Calibri"/>
          <w:szCs w:val="20"/>
          <w:lang w:val="ru-RU"/>
        </w:rPr>
      </w:pPr>
      <w:r w:rsidRPr="002D0B7A">
        <w:rPr>
          <w:rFonts w:eastAsia="Calibri"/>
          <w:szCs w:val="20"/>
          <w:lang w:val="ru-RU"/>
        </w:rPr>
        <w:t>Политик</w:t>
      </w:r>
      <w:r>
        <w:rPr>
          <w:rFonts w:eastAsia="Calibri"/>
          <w:szCs w:val="20"/>
          <w:lang w:val="ru-RU"/>
        </w:rPr>
        <w:t>и</w:t>
      </w:r>
      <w:r w:rsidRPr="002D0B7A">
        <w:rPr>
          <w:rFonts w:eastAsia="Calibri"/>
          <w:szCs w:val="20"/>
          <w:lang w:val="ru-RU"/>
        </w:rPr>
        <w:t xml:space="preserve">, </w:t>
      </w:r>
      <w:r>
        <w:rPr>
          <w:rFonts w:eastAsia="Calibri"/>
          <w:szCs w:val="20"/>
          <w:lang w:val="ru-RU"/>
        </w:rPr>
        <w:t>з</w:t>
      </w:r>
      <w:r w:rsidRPr="002D0B7A">
        <w:rPr>
          <w:rFonts w:eastAsia="Calibri"/>
          <w:szCs w:val="20"/>
          <w:lang w:val="ru-RU"/>
        </w:rPr>
        <w:t>аконодательны</w:t>
      </w:r>
      <w:r>
        <w:rPr>
          <w:rFonts w:eastAsia="Calibri"/>
          <w:szCs w:val="20"/>
          <w:lang w:val="ru-RU"/>
        </w:rPr>
        <w:t>е</w:t>
      </w:r>
      <w:r w:rsidRPr="002D0B7A">
        <w:rPr>
          <w:rFonts w:eastAsia="Calibri"/>
          <w:szCs w:val="20"/>
          <w:lang w:val="ru-RU"/>
        </w:rPr>
        <w:t xml:space="preserve"> акт</w:t>
      </w:r>
      <w:r>
        <w:rPr>
          <w:rFonts w:eastAsia="Calibri"/>
          <w:szCs w:val="20"/>
          <w:lang w:val="ru-RU"/>
        </w:rPr>
        <w:t>ы</w:t>
      </w:r>
      <w:r w:rsidRPr="002D0B7A">
        <w:rPr>
          <w:rFonts w:eastAsia="Calibri"/>
          <w:szCs w:val="20"/>
          <w:lang w:val="ru-RU"/>
        </w:rPr>
        <w:t>, планы, программы, меры или проекты</w:t>
      </w:r>
      <w:r>
        <w:rPr>
          <w:rStyle w:val="FootnoteReference"/>
          <w:rFonts w:eastAsia="Calibri"/>
          <w:szCs w:val="20"/>
          <w:lang w:val="ru-RU"/>
        </w:rPr>
        <w:footnoteReference w:id="1"/>
      </w:r>
      <w:r w:rsidRPr="002D0B7A">
        <w:rPr>
          <w:rFonts w:eastAsia="Calibri"/>
          <w:szCs w:val="20"/>
          <w:lang w:val="ru-RU"/>
        </w:rPr>
        <w:t>, направленные на</w:t>
      </w:r>
      <w:r w:rsidR="00024AD5" w:rsidRPr="002D0B7A">
        <w:rPr>
          <w:rFonts w:eastAsia="Calibri"/>
          <w:szCs w:val="20"/>
          <w:lang w:val="ru-RU"/>
        </w:rPr>
        <w:t>:</w:t>
      </w:r>
      <w:r w:rsidRPr="002D0B7A">
        <w:rPr>
          <w:rFonts w:eastAsia="Calibri"/>
          <w:szCs w:val="20"/>
          <w:lang w:val="ru-RU"/>
        </w:rPr>
        <w:tab/>
        <w:t xml:space="preserve"> </w:t>
      </w:r>
    </w:p>
    <w:p w14:paraId="0ED4EBBF" w14:textId="5FE94205" w:rsidR="002D0B7A" w:rsidRPr="002D0B7A" w:rsidRDefault="002D0B7A" w:rsidP="00B33F5C">
      <w:pPr>
        <w:numPr>
          <w:ilvl w:val="1"/>
          <w:numId w:val="2"/>
        </w:numPr>
        <w:spacing w:before="100" w:beforeAutospacing="1"/>
        <w:jc w:val="both"/>
        <w:rPr>
          <w:rFonts w:eastAsia="Calibri"/>
          <w:szCs w:val="20"/>
          <w:lang w:val="ru-RU"/>
        </w:rPr>
      </w:pPr>
      <w:r w:rsidRPr="002D0B7A">
        <w:rPr>
          <w:rFonts w:eastAsia="Calibri"/>
          <w:b/>
          <w:bCs/>
          <w:szCs w:val="20"/>
          <w:lang w:val="ru-RU"/>
        </w:rPr>
        <w:t>Промышленная безопасность</w:t>
      </w:r>
      <w:r w:rsidRPr="002D0B7A">
        <w:rPr>
          <w:rFonts w:eastAsia="Calibri"/>
          <w:szCs w:val="20"/>
          <w:lang w:val="ru-RU"/>
        </w:rPr>
        <w:t>, например, предотвращени</w:t>
      </w:r>
      <w:r>
        <w:rPr>
          <w:rFonts w:eastAsia="Calibri"/>
          <w:szCs w:val="20"/>
          <w:lang w:val="ru-RU"/>
        </w:rPr>
        <w:t>е</w:t>
      </w:r>
      <w:r w:rsidRPr="002D0B7A">
        <w:rPr>
          <w:rFonts w:eastAsia="Calibri"/>
          <w:szCs w:val="20"/>
          <w:lang w:val="ru-RU"/>
        </w:rPr>
        <w:t xml:space="preserve"> аварий, меры готовности и реагирования, оценка рисков, проекты развития промышленных/химических объектов, модификации промышленного объекта и/или его эксплуатационной деятельности и т.д., </w:t>
      </w:r>
      <w:r w:rsidRPr="002D0B7A">
        <w:rPr>
          <w:rFonts w:eastAsia="Calibri"/>
          <w:b/>
          <w:bCs/>
          <w:szCs w:val="20"/>
          <w:lang w:val="ru-RU"/>
        </w:rPr>
        <w:t>а также</w:t>
      </w:r>
    </w:p>
    <w:p w14:paraId="36FA1041" w14:textId="56A6EE5F" w:rsidR="002D0B7A" w:rsidRPr="002D0B7A" w:rsidRDefault="002D0B7A">
      <w:pPr>
        <w:numPr>
          <w:ilvl w:val="1"/>
          <w:numId w:val="2"/>
        </w:numPr>
        <w:spacing w:before="100" w:beforeAutospacing="1"/>
        <w:jc w:val="both"/>
        <w:rPr>
          <w:rFonts w:eastAsia="Calibri"/>
          <w:szCs w:val="20"/>
          <w:lang w:val="ru-RU"/>
        </w:rPr>
      </w:pPr>
      <w:r w:rsidRPr="002D0B7A">
        <w:rPr>
          <w:rFonts w:eastAsia="Calibri"/>
          <w:b/>
          <w:bCs/>
          <w:szCs w:val="20"/>
          <w:lang w:val="ru-RU"/>
        </w:rPr>
        <w:t>Планирование землепользования и решения о размещении</w:t>
      </w:r>
      <w:r w:rsidRPr="002D0B7A">
        <w:rPr>
          <w:rFonts w:eastAsia="Calibri"/>
          <w:szCs w:val="20"/>
          <w:lang w:val="ru-RU"/>
        </w:rPr>
        <w:t>, такие как принятие решений о размещении или существенном изменении химических/промышленных объектов, в том числе объектов, имеющих потенциальное трансграничное воздействие.</w:t>
      </w:r>
      <w:r w:rsidR="00A77FFD">
        <w:rPr>
          <w:rStyle w:val="FootnoteReference"/>
          <w:rFonts w:eastAsia="Calibri"/>
          <w:szCs w:val="20"/>
          <w:lang w:val="ru-RU"/>
        </w:rPr>
        <w:footnoteReference w:id="2"/>
      </w:r>
    </w:p>
    <w:p w14:paraId="4AB56147" w14:textId="7B9379EE" w:rsidR="00B33F5C" w:rsidRPr="00F3127A" w:rsidRDefault="00F3127A" w:rsidP="006F7D9D">
      <w:pPr>
        <w:snapToGrid w:val="0"/>
        <w:spacing w:before="120"/>
        <w:ind w:left="425"/>
        <w:jc w:val="both"/>
        <w:rPr>
          <w:rFonts w:eastAsia="Calibri"/>
          <w:szCs w:val="20"/>
          <w:lang w:val="ru-RU"/>
        </w:rPr>
      </w:pPr>
      <w:r>
        <w:rPr>
          <w:rFonts w:eastAsia="Calibri"/>
          <w:szCs w:val="20"/>
          <w:lang w:val="ru-RU"/>
        </w:rPr>
        <w:t>Практический пример</w:t>
      </w:r>
      <w:r w:rsidRPr="009E3C8A">
        <w:rPr>
          <w:rFonts w:eastAsia="Calibri"/>
          <w:szCs w:val="20"/>
          <w:lang w:val="ru-RU"/>
        </w:rPr>
        <w:t xml:space="preserve"> </w:t>
      </w:r>
      <w:r w:rsidRPr="00F3127A">
        <w:rPr>
          <w:rFonts w:eastAsia="Calibri"/>
          <w:szCs w:val="20"/>
          <w:lang w:val="ru-RU"/>
        </w:rPr>
        <w:t>может быть связан с подготовительным процессом/разработкой, охватывающим такие аспекты, как:</w:t>
      </w:r>
    </w:p>
    <w:p w14:paraId="39138114" w14:textId="5D6F550E" w:rsidR="00CB5876" w:rsidRPr="00F3127A" w:rsidRDefault="00F3127A" w:rsidP="00CB5876">
      <w:pPr>
        <w:numPr>
          <w:ilvl w:val="1"/>
          <w:numId w:val="4"/>
        </w:numPr>
        <w:snapToGrid w:val="0"/>
        <w:jc w:val="both"/>
        <w:rPr>
          <w:rFonts w:eastAsia="Calibri"/>
          <w:szCs w:val="20"/>
          <w:lang w:val="ru-RU"/>
        </w:rPr>
      </w:pPr>
      <w:r w:rsidRPr="00F3127A">
        <w:rPr>
          <w:rFonts w:eastAsia="Calibri"/>
          <w:szCs w:val="20"/>
          <w:lang w:val="ru-RU"/>
        </w:rPr>
        <w:t xml:space="preserve">Применение </w:t>
      </w:r>
      <w:r w:rsidRPr="00F3127A">
        <w:rPr>
          <w:rFonts w:eastAsia="Calibri"/>
          <w:b/>
          <w:bCs/>
          <w:szCs w:val="20"/>
          <w:lang w:val="ru-RU"/>
        </w:rPr>
        <w:t>оценки воздействия на окружающую среду</w:t>
      </w:r>
      <w:r w:rsidRPr="00F3127A">
        <w:rPr>
          <w:rFonts w:eastAsia="Calibri"/>
          <w:szCs w:val="20"/>
          <w:lang w:val="ru-RU"/>
        </w:rPr>
        <w:t xml:space="preserve"> (ОВОС) и/или </w:t>
      </w:r>
      <w:r w:rsidRPr="00F3127A">
        <w:rPr>
          <w:rFonts w:eastAsia="Calibri"/>
          <w:b/>
          <w:bCs/>
          <w:szCs w:val="20"/>
          <w:lang w:val="ru-RU"/>
        </w:rPr>
        <w:t>стратегической экологической оценки</w:t>
      </w:r>
      <w:r w:rsidRPr="00F3127A">
        <w:rPr>
          <w:rFonts w:eastAsia="Calibri"/>
          <w:szCs w:val="20"/>
          <w:lang w:val="ru-RU"/>
        </w:rPr>
        <w:t xml:space="preserve"> (СЭО),</w:t>
      </w:r>
    </w:p>
    <w:p w14:paraId="1CD89BB3" w14:textId="5C93C284" w:rsidR="00DB4D76" w:rsidRPr="004E45CF" w:rsidRDefault="004E45CF" w:rsidP="00CB5876">
      <w:pPr>
        <w:numPr>
          <w:ilvl w:val="1"/>
          <w:numId w:val="4"/>
        </w:numPr>
        <w:snapToGrid w:val="0"/>
        <w:jc w:val="both"/>
        <w:rPr>
          <w:rFonts w:eastAsia="Calibri"/>
          <w:szCs w:val="20"/>
          <w:lang w:val="ru-RU"/>
        </w:rPr>
      </w:pPr>
      <w:r>
        <w:rPr>
          <w:rFonts w:eastAsia="Times New Roman" w:cstheme="minorHAnsi"/>
          <w:b/>
          <w:bCs/>
          <w:color w:val="000000" w:themeColor="text1"/>
          <w:spacing w:val="-3"/>
          <w:lang w:val="ru-RU" w:eastAsia="en-GB"/>
        </w:rPr>
        <w:t>У</w:t>
      </w:r>
      <w:r w:rsidRPr="006A5A61">
        <w:rPr>
          <w:rFonts w:eastAsia="Times New Roman" w:cstheme="minorHAnsi"/>
          <w:b/>
          <w:bCs/>
          <w:color w:val="000000" w:themeColor="text1"/>
          <w:spacing w:val="-3"/>
          <w:lang w:val="ru-RU" w:eastAsia="en-GB"/>
        </w:rPr>
        <w:t>части</w:t>
      </w:r>
      <w:r>
        <w:rPr>
          <w:rFonts w:eastAsia="Times New Roman" w:cstheme="minorHAnsi"/>
          <w:b/>
          <w:bCs/>
          <w:color w:val="000000" w:themeColor="text1"/>
          <w:spacing w:val="-3"/>
          <w:lang w:val="ru-RU" w:eastAsia="en-GB"/>
        </w:rPr>
        <w:t>е</w:t>
      </w:r>
      <w:r w:rsidRPr="004E45CF">
        <w:rPr>
          <w:rFonts w:eastAsia="Times New Roman" w:cstheme="minorHAnsi"/>
          <w:b/>
          <w:bCs/>
          <w:color w:val="000000" w:themeColor="text1"/>
          <w:spacing w:val="-3"/>
          <w:lang w:val="ru-RU" w:eastAsia="en-GB"/>
        </w:rPr>
        <w:t xml:space="preserve"> общественности и предоставление информации общественности</w:t>
      </w:r>
      <w:r w:rsidRPr="004E45CF">
        <w:rPr>
          <w:rFonts w:eastAsia="Calibri"/>
          <w:b/>
          <w:bCs/>
          <w:szCs w:val="20"/>
          <w:lang w:val="ru-RU"/>
        </w:rPr>
        <w:t xml:space="preserve">, </w:t>
      </w:r>
      <w:r w:rsidRPr="004E45CF">
        <w:rPr>
          <w:rFonts w:eastAsia="Calibri"/>
          <w:szCs w:val="20"/>
          <w:lang w:val="ru-RU"/>
        </w:rPr>
        <w:t>и/или</w:t>
      </w:r>
      <w:r w:rsidRPr="004E45CF">
        <w:rPr>
          <w:rFonts w:eastAsia="Calibri"/>
          <w:b/>
          <w:bCs/>
          <w:szCs w:val="20"/>
          <w:lang w:val="ru-RU"/>
        </w:rPr>
        <w:t xml:space="preserve"> </w:t>
      </w:r>
    </w:p>
    <w:p w14:paraId="24E7EFA8" w14:textId="0BDF3E21" w:rsidR="004E45CF" w:rsidRPr="004E45CF" w:rsidRDefault="004E45CF" w:rsidP="00372F60">
      <w:pPr>
        <w:numPr>
          <w:ilvl w:val="1"/>
          <w:numId w:val="4"/>
        </w:numPr>
        <w:spacing w:before="100" w:beforeAutospacing="1"/>
        <w:jc w:val="both"/>
        <w:rPr>
          <w:rFonts w:eastAsia="Calibri"/>
          <w:szCs w:val="20"/>
          <w:lang w:val="ru-RU"/>
        </w:rPr>
      </w:pPr>
      <w:r w:rsidRPr="004E45CF">
        <w:rPr>
          <w:rFonts w:eastAsia="Calibri"/>
          <w:szCs w:val="20"/>
          <w:lang w:val="ru-RU"/>
        </w:rPr>
        <w:t xml:space="preserve">Рассмотрение вопросов </w:t>
      </w:r>
      <w:r w:rsidRPr="004E45CF">
        <w:rPr>
          <w:rFonts w:eastAsia="Calibri"/>
          <w:b/>
          <w:bCs/>
          <w:szCs w:val="20"/>
          <w:lang w:val="ru-RU"/>
        </w:rPr>
        <w:t xml:space="preserve">снижения </w:t>
      </w:r>
      <w:r w:rsidRPr="006A5A61">
        <w:rPr>
          <w:rFonts w:eastAsia="Times New Roman" w:cstheme="minorHAnsi"/>
          <w:b/>
          <w:bCs/>
          <w:color w:val="000000" w:themeColor="text1"/>
          <w:spacing w:val="-3"/>
          <w:lang w:val="ru-RU" w:eastAsia="en-GB"/>
        </w:rPr>
        <w:t>опасности бедствий</w:t>
      </w:r>
      <w:r w:rsidRPr="007B107F">
        <w:rPr>
          <w:rFonts w:eastAsia="Times New Roman" w:cstheme="minorHAnsi"/>
          <w:color w:val="000000" w:themeColor="text1"/>
          <w:spacing w:val="-3"/>
          <w:lang w:val="ru-RU" w:eastAsia="en-GB"/>
        </w:rPr>
        <w:t xml:space="preserve"> </w:t>
      </w:r>
      <w:r w:rsidRPr="004E45CF">
        <w:rPr>
          <w:rFonts w:eastAsia="Calibri"/>
          <w:szCs w:val="20"/>
          <w:lang w:val="ru-RU"/>
        </w:rPr>
        <w:t>(предотвращение новых рисков стихийных бедствий, снижение существующего риска стихийных бедствий и управление остаточным риском, связанным с техногенными/промышленными опасностями или природными катаклизмами, которые могут привести к техногенным авариям (также известным как события "</w:t>
      </w:r>
      <w:r w:rsidRPr="004E45CF">
        <w:rPr>
          <w:rFonts w:eastAsia="Calibri"/>
          <w:szCs w:val="20"/>
          <w:lang w:val="en-US"/>
        </w:rPr>
        <w:t>NaTech</w:t>
      </w:r>
      <w:r w:rsidRPr="004E45CF">
        <w:rPr>
          <w:rFonts w:eastAsia="Calibri"/>
          <w:szCs w:val="20"/>
          <w:lang w:val="ru-RU"/>
        </w:rPr>
        <w:t>"), функционирование систем раннего оповещения о многих опасностях и/или восстановление по принципу “лучше, чем было”).</w:t>
      </w:r>
    </w:p>
    <w:p w14:paraId="16A4B488" w14:textId="7CCCAACB" w:rsidR="00777EC8" w:rsidRPr="004E45CF" w:rsidRDefault="004E45CF" w:rsidP="00990BB1">
      <w:pPr>
        <w:snapToGrid w:val="0"/>
        <w:spacing w:before="120" w:after="240"/>
        <w:ind w:left="425"/>
        <w:jc w:val="both"/>
        <w:rPr>
          <w:rFonts w:eastAsia="Calibri"/>
          <w:szCs w:val="20"/>
          <w:lang w:val="ru-RU"/>
        </w:rPr>
      </w:pPr>
      <w:r w:rsidRPr="004E45CF">
        <w:rPr>
          <w:rFonts w:eastAsia="Calibri"/>
          <w:szCs w:val="20"/>
          <w:lang w:val="ru-RU"/>
        </w:rPr>
        <w:lastRenderedPageBreak/>
        <w:t xml:space="preserve">Желательно, чтобы </w:t>
      </w:r>
      <w:r>
        <w:rPr>
          <w:rFonts w:eastAsia="Calibri"/>
          <w:szCs w:val="20"/>
          <w:lang w:val="ru-RU"/>
        </w:rPr>
        <w:t>практические примеры</w:t>
      </w:r>
      <w:r w:rsidRPr="004E45CF">
        <w:rPr>
          <w:rFonts w:eastAsia="Calibri"/>
          <w:szCs w:val="20"/>
          <w:lang w:val="ru-RU"/>
        </w:rPr>
        <w:t xml:space="preserve"> </w:t>
      </w:r>
      <w:r>
        <w:rPr>
          <w:rFonts w:eastAsia="Calibri"/>
          <w:szCs w:val="20"/>
          <w:lang w:val="ru-RU"/>
        </w:rPr>
        <w:t>были связаны с</w:t>
      </w:r>
      <w:r w:rsidRPr="004E45CF">
        <w:rPr>
          <w:rFonts w:eastAsia="Calibri"/>
          <w:szCs w:val="20"/>
          <w:lang w:val="ru-RU"/>
        </w:rPr>
        <w:t xml:space="preserve"> соответствующи</w:t>
      </w:r>
      <w:r>
        <w:rPr>
          <w:rFonts w:eastAsia="Calibri"/>
          <w:szCs w:val="20"/>
          <w:lang w:val="ru-RU"/>
        </w:rPr>
        <w:t>ми</w:t>
      </w:r>
      <w:r w:rsidRPr="004E45CF">
        <w:rPr>
          <w:rFonts w:eastAsia="Calibri"/>
          <w:szCs w:val="20"/>
          <w:lang w:val="ru-RU"/>
        </w:rPr>
        <w:t xml:space="preserve"> </w:t>
      </w:r>
      <w:r>
        <w:rPr>
          <w:rFonts w:eastAsia="Calibri"/>
          <w:szCs w:val="20"/>
          <w:lang w:val="ru-RU"/>
        </w:rPr>
        <w:t>руководствами</w:t>
      </w:r>
      <w:r w:rsidRPr="004E45CF">
        <w:rPr>
          <w:rFonts w:eastAsia="Calibri"/>
          <w:szCs w:val="20"/>
          <w:lang w:val="ru-RU"/>
        </w:rPr>
        <w:t>/конвенци</w:t>
      </w:r>
      <w:r>
        <w:rPr>
          <w:rFonts w:eastAsia="Calibri"/>
          <w:szCs w:val="20"/>
          <w:lang w:val="ru-RU"/>
        </w:rPr>
        <w:t>ями</w:t>
      </w:r>
      <w:r w:rsidRPr="004E45CF">
        <w:rPr>
          <w:rFonts w:eastAsia="Calibri"/>
          <w:szCs w:val="20"/>
          <w:lang w:val="ru-RU"/>
        </w:rPr>
        <w:t>, рамк</w:t>
      </w:r>
      <w:r>
        <w:rPr>
          <w:rFonts w:eastAsia="Calibri"/>
          <w:szCs w:val="20"/>
          <w:lang w:val="ru-RU"/>
        </w:rPr>
        <w:t>ам</w:t>
      </w:r>
      <w:r w:rsidRPr="004E45CF">
        <w:rPr>
          <w:rFonts w:eastAsia="Calibri"/>
          <w:szCs w:val="20"/>
          <w:lang w:val="ru-RU"/>
        </w:rPr>
        <w:t>и и инструмент</w:t>
      </w:r>
      <w:r>
        <w:rPr>
          <w:rFonts w:eastAsia="Calibri"/>
          <w:szCs w:val="20"/>
          <w:lang w:val="ru-RU"/>
        </w:rPr>
        <w:t>ами</w:t>
      </w:r>
      <w:r w:rsidRPr="004E45CF">
        <w:rPr>
          <w:rFonts w:eastAsia="Calibri"/>
          <w:szCs w:val="20"/>
          <w:lang w:val="ru-RU"/>
        </w:rPr>
        <w:t xml:space="preserve"> ЕЭК ООН</w:t>
      </w:r>
      <w:r w:rsidR="00777EC8">
        <w:rPr>
          <w:rStyle w:val="FootnoteReference"/>
          <w:rFonts w:eastAsia="Calibri"/>
          <w:szCs w:val="20"/>
          <w:lang w:val="en-US"/>
        </w:rPr>
        <w:footnoteReference w:id="3"/>
      </w:r>
      <w:r w:rsidR="00777EC8" w:rsidRPr="004E45CF">
        <w:rPr>
          <w:rFonts w:eastAsia="Calibri"/>
          <w:szCs w:val="20"/>
          <w:lang w:val="ru-RU"/>
        </w:rPr>
        <w:t>.</w:t>
      </w:r>
    </w:p>
    <w:p w14:paraId="5D20A485" w14:textId="51669FB8" w:rsidR="00CD2D16" w:rsidRPr="004E45CF" w:rsidRDefault="004E45CF" w:rsidP="00CD2D16">
      <w:pPr>
        <w:numPr>
          <w:ilvl w:val="0"/>
          <w:numId w:val="2"/>
        </w:numPr>
        <w:snapToGrid w:val="0"/>
        <w:spacing w:after="120"/>
        <w:ind w:left="357" w:hanging="357"/>
        <w:jc w:val="both"/>
        <w:rPr>
          <w:rFonts w:eastAsia="Calibri"/>
          <w:szCs w:val="20"/>
          <w:lang w:val="ru-RU"/>
        </w:rPr>
      </w:pPr>
      <w:r>
        <w:rPr>
          <w:rFonts w:eastAsia="Calibri"/>
          <w:szCs w:val="20"/>
          <w:lang w:val="ru-RU"/>
        </w:rPr>
        <w:t>Практические примеры</w:t>
      </w:r>
      <w:r w:rsidRPr="004E45CF">
        <w:rPr>
          <w:rFonts w:eastAsia="Calibri"/>
          <w:szCs w:val="20"/>
          <w:lang w:val="ru-RU"/>
        </w:rPr>
        <w:t xml:space="preserve"> </w:t>
      </w:r>
      <w:r w:rsidRPr="004E45CF">
        <w:rPr>
          <w:rFonts w:eastAsia="Calibri"/>
          <w:b/>
          <w:bCs/>
          <w:szCs w:val="20"/>
          <w:lang w:val="ru-RU"/>
        </w:rPr>
        <w:t>законодательных, политических</w:t>
      </w:r>
      <w:r w:rsidRPr="004E45CF">
        <w:rPr>
          <w:rFonts w:eastAsia="Calibri"/>
          <w:szCs w:val="20"/>
          <w:lang w:val="ru-RU"/>
        </w:rPr>
        <w:t xml:space="preserve"> или </w:t>
      </w:r>
      <w:r w:rsidRPr="004E45CF">
        <w:rPr>
          <w:rFonts w:eastAsia="Calibri"/>
          <w:b/>
          <w:bCs/>
          <w:szCs w:val="20"/>
          <w:lang w:val="ru-RU"/>
        </w:rPr>
        <w:t>организационных/структурных изменений или других мер</w:t>
      </w:r>
      <w:r w:rsidRPr="004E45CF">
        <w:rPr>
          <w:rFonts w:eastAsia="Calibri"/>
          <w:szCs w:val="20"/>
          <w:lang w:val="ru-RU"/>
        </w:rPr>
        <w:t xml:space="preserve">, принятых в целях снижения подверженности и уязвимости к рискам бедствий и повышения промышленной безопасности на основе соответствующих решений или практики в области планирования землепользования и определения </w:t>
      </w:r>
      <w:r>
        <w:rPr>
          <w:rFonts w:eastAsia="Calibri"/>
          <w:szCs w:val="20"/>
          <w:lang w:val="ru-RU"/>
        </w:rPr>
        <w:t>размещения объектов</w:t>
      </w:r>
      <w:r w:rsidRPr="004E45CF">
        <w:rPr>
          <w:rFonts w:eastAsia="Calibri"/>
          <w:szCs w:val="20"/>
          <w:lang w:val="ru-RU"/>
        </w:rPr>
        <w:t xml:space="preserve">, например, </w:t>
      </w:r>
      <w:r>
        <w:rPr>
          <w:rFonts w:eastAsia="Calibri"/>
          <w:szCs w:val="20"/>
          <w:lang w:val="ru-RU"/>
        </w:rPr>
        <w:t xml:space="preserve">для </w:t>
      </w:r>
      <w:r w:rsidRPr="004E45CF">
        <w:rPr>
          <w:rFonts w:eastAsia="Calibri"/>
          <w:szCs w:val="20"/>
          <w:lang w:val="ru-RU"/>
        </w:rPr>
        <w:t xml:space="preserve">решения </w:t>
      </w:r>
      <w:r>
        <w:rPr>
          <w:rFonts w:eastAsia="Calibri"/>
          <w:szCs w:val="20"/>
          <w:lang w:val="ru-RU"/>
        </w:rPr>
        <w:t>вопросов</w:t>
      </w:r>
      <w:r w:rsidR="00CD2D16" w:rsidRPr="004E45CF">
        <w:rPr>
          <w:rFonts w:eastAsia="Calibri"/>
          <w:szCs w:val="20"/>
          <w:lang w:val="ru-RU"/>
        </w:rPr>
        <w:t>:</w:t>
      </w:r>
    </w:p>
    <w:p w14:paraId="23ACD289" w14:textId="0CFDEEA2" w:rsidR="00CD2D16" w:rsidRPr="004E45CF" w:rsidRDefault="004E45CF" w:rsidP="00F642C3">
      <w:pPr>
        <w:pStyle w:val="ListParagraph"/>
        <w:numPr>
          <w:ilvl w:val="0"/>
          <w:numId w:val="7"/>
        </w:numPr>
        <w:snapToGrid w:val="0"/>
        <w:spacing w:after="120"/>
        <w:jc w:val="both"/>
        <w:rPr>
          <w:rFonts w:eastAsia="Calibri"/>
          <w:szCs w:val="20"/>
          <w:lang w:val="ru-RU"/>
        </w:rPr>
      </w:pPr>
      <w:r w:rsidRPr="004E45CF">
        <w:rPr>
          <w:rFonts w:eastAsia="Calibri"/>
          <w:szCs w:val="20"/>
          <w:lang w:val="ru-RU"/>
        </w:rPr>
        <w:t>Доступ общественности к информации и участие в принятии решений по планированию землепользования/размещения участков</w:t>
      </w:r>
      <w:r w:rsidR="005F2A94" w:rsidRPr="00E331FB">
        <w:rPr>
          <w:rFonts w:eastAsia="Calibri"/>
          <w:szCs w:val="20"/>
          <w:lang w:val="ru-RU"/>
        </w:rPr>
        <w:t>/</w:t>
      </w:r>
      <w:r w:rsidR="005F2A94">
        <w:rPr>
          <w:rFonts w:eastAsia="Calibri"/>
          <w:szCs w:val="20"/>
          <w:lang w:val="ru-RU"/>
        </w:rPr>
        <w:t>промышленной безопасности</w:t>
      </w:r>
      <w:r w:rsidRPr="004E45CF">
        <w:rPr>
          <w:rFonts w:eastAsia="Calibri"/>
          <w:szCs w:val="20"/>
          <w:lang w:val="ru-RU"/>
        </w:rPr>
        <w:t>, в том числе уязвимых лиц или групп,</w:t>
      </w:r>
    </w:p>
    <w:p w14:paraId="5CE1914A" w14:textId="090FD279" w:rsidR="00F50DFC" w:rsidRPr="004E45CF" w:rsidRDefault="004E45CF" w:rsidP="00F642C3">
      <w:pPr>
        <w:pStyle w:val="ListParagraph"/>
        <w:numPr>
          <w:ilvl w:val="0"/>
          <w:numId w:val="7"/>
        </w:numPr>
        <w:snapToGrid w:val="0"/>
        <w:spacing w:after="120"/>
        <w:jc w:val="both"/>
        <w:rPr>
          <w:rFonts w:eastAsia="Calibri"/>
          <w:szCs w:val="20"/>
          <w:lang w:val="ru-RU"/>
        </w:rPr>
      </w:pPr>
      <w:r w:rsidRPr="004E45CF">
        <w:rPr>
          <w:rFonts w:eastAsia="Calibri"/>
          <w:szCs w:val="20"/>
          <w:lang w:val="ru-RU"/>
        </w:rPr>
        <w:t>Последовательное и эффективное использование СЭО (для планов и программ землепользования) и/или ОВОС (для запланированного размещения или изменения опасных видов деятельности),</w:t>
      </w:r>
    </w:p>
    <w:p w14:paraId="588D0D7D" w14:textId="5E32A9AE" w:rsidR="00372455" w:rsidRPr="00372455" w:rsidRDefault="00372455" w:rsidP="009C3391">
      <w:pPr>
        <w:pStyle w:val="ListParagraph"/>
        <w:numPr>
          <w:ilvl w:val="0"/>
          <w:numId w:val="7"/>
        </w:numPr>
        <w:snapToGrid w:val="0"/>
        <w:spacing w:after="120"/>
        <w:jc w:val="both"/>
        <w:rPr>
          <w:rFonts w:eastAsia="Calibri"/>
          <w:szCs w:val="20"/>
          <w:lang w:val="ru-RU"/>
        </w:rPr>
      </w:pPr>
      <w:r w:rsidRPr="00372455">
        <w:rPr>
          <w:rFonts w:eastAsia="Calibri"/>
          <w:szCs w:val="20"/>
          <w:lang w:val="ru-RU"/>
        </w:rPr>
        <w:t xml:space="preserve">Использование веб-приложений, цифровых технологий и других инструментов для передачи информации о рисках между </w:t>
      </w:r>
      <w:r w:rsidR="00E331FB" w:rsidRPr="00E331FB">
        <w:rPr>
          <w:rFonts w:eastAsia="Calibri"/>
          <w:szCs w:val="20"/>
          <w:lang w:val="ru-RU"/>
        </w:rPr>
        <w:t>“планировщиками</w:t>
      </w:r>
      <w:r w:rsidRPr="00372455">
        <w:rPr>
          <w:rFonts w:eastAsia="Calibri"/>
          <w:szCs w:val="20"/>
          <w:lang w:val="ru-RU"/>
        </w:rPr>
        <w:t>, экспертами по безопасности, другими экспертами и общественностью (например, инструменты для выявления опасности/риска, регистры выброса и переноса загрязнителей, краудсорсинг данных или онлайновые средства обучения и подготовки),</w:t>
      </w:r>
    </w:p>
    <w:p w14:paraId="547132AB" w14:textId="3CC99C95" w:rsidR="00372455" w:rsidRPr="00372455" w:rsidRDefault="00372455" w:rsidP="00F642C3">
      <w:pPr>
        <w:pStyle w:val="ListParagraph"/>
        <w:numPr>
          <w:ilvl w:val="0"/>
          <w:numId w:val="7"/>
        </w:numPr>
        <w:snapToGrid w:val="0"/>
        <w:spacing w:after="120"/>
        <w:jc w:val="both"/>
        <w:rPr>
          <w:rFonts w:eastAsia="Calibri"/>
          <w:szCs w:val="20"/>
          <w:lang w:val="ru-RU"/>
        </w:rPr>
      </w:pPr>
      <w:r w:rsidRPr="00372455">
        <w:rPr>
          <w:rFonts w:eastAsia="Calibri"/>
          <w:szCs w:val="20"/>
          <w:lang w:val="ru-RU"/>
        </w:rPr>
        <w:t>Сотрудничество между экспертами в области промышленной безопасности, планирования землепользования, оценки окружающей среды, участия общественности и/или управления информацией и коммуникациями (например, путем создания рабочих групп, создания советов компетентных органов или слияния департаментов, или проведения специальных тренингов/мероприятий по наращиванию потенциала),</w:t>
      </w:r>
    </w:p>
    <w:p w14:paraId="0C8EBBCF" w14:textId="057128DC" w:rsidR="00CD2D16" w:rsidRPr="00372455" w:rsidRDefault="00372455" w:rsidP="00F642C3">
      <w:pPr>
        <w:pStyle w:val="ListParagraph"/>
        <w:numPr>
          <w:ilvl w:val="0"/>
          <w:numId w:val="7"/>
        </w:numPr>
        <w:snapToGrid w:val="0"/>
        <w:spacing w:after="120"/>
        <w:jc w:val="both"/>
        <w:rPr>
          <w:rFonts w:eastAsia="Calibri"/>
          <w:szCs w:val="20"/>
          <w:lang w:val="ru-RU"/>
        </w:rPr>
      </w:pPr>
      <w:r>
        <w:rPr>
          <w:rFonts w:eastAsia="Calibri"/>
          <w:szCs w:val="20"/>
          <w:lang w:val="ru-RU"/>
        </w:rPr>
        <w:t>И</w:t>
      </w:r>
      <w:r w:rsidRPr="00372455">
        <w:rPr>
          <w:rFonts w:eastAsia="Calibri"/>
          <w:szCs w:val="20"/>
          <w:lang w:val="ru-RU"/>
        </w:rPr>
        <w:t>нтеграция политики между соответствующими дисциплинами (например, уменьшение опасности бедствий, промышленная безопасность, СЭО/ОВОС, доступ общественности к информации и участие в принятии решений).</w:t>
      </w:r>
    </w:p>
    <w:p w14:paraId="0CCC1A9E" w14:textId="20BDF873" w:rsidR="00A51A88" w:rsidRDefault="00372455" w:rsidP="00597414">
      <w:pPr>
        <w:numPr>
          <w:ilvl w:val="0"/>
          <w:numId w:val="2"/>
        </w:numPr>
        <w:snapToGrid w:val="0"/>
        <w:spacing w:before="240" w:after="120"/>
        <w:ind w:left="357" w:hanging="357"/>
        <w:jc w:val="both"/>
        <w:rPr>
          <w:rFonts w:eastAsia="Calibri"/>
          <w:szCs w:val="20"/>
          <w:lang w:val="ru-RU"/>
        </w:rPr>
      </w:pPr>
      <w:r w:rsidRPr="00372455">
        <w:rPr>
          <w:rFonts w:eastAsia="Calibri"/>
          <w:b/>
          <w:bCs/>
          <w:szCs w:val="20"/>
          <w:lang w:val="ru-RU"/>
        </w:rPr>
        <w:t xml:space="preserve">Трансграничное сотрудничество </w:t>
      </w:r>
      <w:r w:rsidRPr="00372455">
        <w:rPr>
          <w:rFonts w:eastAsia="Calibri"/>
          <w:szCs w:val="20"/>
          <w:lang w:val="ru-RU"/>
        </w:rPr>
        <w:t>между странами ЕЭК ООН по вопросам политики, законодательства, мер, планов/программ или проектов, связанных с промышленной безопасностью и планированием землепользования, котор</w:t>
      </w:r>
      <w:r>
        <w:rPr>
          <w:rFonts w:eastAsia="Calibri"/>
          <w:szCs w:val="20"/>
          <w:lang w:val="ru-RU"/>
        </w:rPr>
        <w:t>ые</w:t>
      </w:r>
      <w:r w:rsidRPr="00372455">
        <w:rPr>
          <w:rFonts w:eastAsia="Calibri"/>
          <w:szCs w:val="20"/>
          <w:lang w:val="ru-RU"/>
        </w:rPr>
        <w:t xml:space="preserve"> мо</w:t>
      </w:r>
      <w:r>
        <w:rPr>
          <w:rFonts w:eastAsia="Calibri"/>
          <w:szCs w:val="20"/>
          <w:lang w:val="ru-RU"/>
        </w:rPr>
        <w:t>гу</w:t>
      </w:r>
      <w:r w:rsidRPr="00372455">
        <w:rPr>
          <w:rFonts w:eastAsia="Calibri"/>
          <w:szCs w:val="20"/>
          <w:lang w:val="ru-RU"/>
        </w:rPr>
        <w:t>т также включать экологическую оценку (ОВОС или СЭО) и/или участие общественности и доступ к информации.</w:t>
      </w:r>
    </w:p>
    <w:p w14:paraId="32F12347" w14:textId="77777777" w:rsidR="00A51A88" w:rsidRDefault="00A51A88">
      <w:pPr>
        <w:rPr>
          <w:rFonts w:eastAsia="Calibri"/>
          <w:szCs w:val="20"/>
          <w:lang w:val="ru-RU"/>
        </w:rPr>
      </w:pPr>
      <w:r>
        <w:rPr>
          <w:rFonts w:eastAsia="Calibri"/>
          <w:szCs w:val="20"/>
          <w:lang w:val="ru-RU"/>
        </w:rPr>
        <w:br w:type="page"/>
      </w:r>
    </w:p>
    <w:p w14:paraId="594AAC39" w14:textId="77777777" w:rsidR="00372455" w:rsidRPr="00372455" w:rsidRDefault="00372455" w:rsidP="00A51A88">
      <w:pPr>
        <w:snapToGrid w:val="0"/>
        <w:spacing w:before="240" w:after="120"/>
        <w:ind w:left="357"/>
        <w:jc w:val="both"/>
        <w:rPr>
          <w:rFonts w:eastAsia="Calibri"/>
          <w:szCs w:val="20"/>
          <w:lang w:val="ru-RU"/>
        </w:rPr>
      </w:pPr>
      <w:bookmarkStart w:id="0" w:name="_GoBack"/>
      <w:bookmarkEnd w:id="0"/>
    </w:p>
    <w:p w14:paraId="53DF554B" w14:textId="77777777" w:rsidR="00DA0772" w:rsidRPr="00B54D03" w:rsidRDefault="00DA0772" w:rsidP="0084615A">
      <w:pPr>
        <w:rPr>
          <w:b/>
          <w:bCs/>
          <w:lang w:val="ru-RU"/>
        </w:rPr>
      </w:pPr>
    </w:p>
    <w:p w14:paraId="39D7EDD2" w14:textId="6760D443" w:rsidR="00DA0772" w:rsidRPr="00B1563B" w:rsidRDefault="00B1563B" w:rsidP="00DA0772">
      <w:pPr>
        <w:pStyle w:val="Title"/>
        <w:spacing w:after="120"/>
        <w:jc w:val="left"/>
        <w:rPr>
          <w:color w:val="4472C4" w:themeColor="accent1"/>
          <w:sz w:val="24"/>
          <w:szCs w:val="24"/>
          <w:lang w:val="ru-RU"/>
        </w:rPr>
      </w:pPr>
      <w:r>
        <w:rPr>
          <w:color w:val="4472C4" w:themeColor="accent1"/>
          <w:sz w:val="24"/>
          <w:szCs w:val="24"/>
          <w:lang w:val="ru-RU"/>
        </w:rPr>
        <w:t>КРИТЕРИИ</w:t>
      </w:r>
    </w:p>
    <w:p w14:paraId="11DABC57" w14:textId="4A6CF043" w:rsidR="00B1563B" w:rsidRPr="00B1563B" w:rsidRDefault="00B1563B" w:rsidP="00B1563B">
      <w:pPr>
        <w:snapToGrid w:val="0"/>
        <w:spacing w:after="120"/>
        <w:rPr>
          <w:lang w:val="ru-RU"/>
        </w:rPr>
      </w:pPr>
      <w:r w:rsidRPr="00B1563B">
        <w:rPr>
          <w:lang w:val="ru-RU"/>
        </w:rPr>
        <w:t xml:space="preserve">При отборе </w:t>
      </w:r>
      <w:r>
        <w:rPr>
          <w:lang w:val="ru-RU"/>
        </w:rPr>
        <w:t>практических примеров</w:t>
      </w:r>
      <w:r w:rsidRPr="00B1563B">
        <w:rPr>
          <w:lang w:val="ru-RU"/>
        </w:rPr>
        <w:t xml:space="preserve">, которые будут представлены в Информационном </w:t>
      </w:r>
      <w:r>
        <w:rPr>
          <w:lang w:val="ru-RU"/>
        </w:rPr>
        <w:t>репозитории</w:t>
      </w:r>
      <w:r w:rsidRPr="00B1563B">
        <w:rPr>
          <w:lang w:val="ru-RU"/>
        </w:rPr>
        <w:t xml:space="preserve">, ЕИБ и ЕЭК ООН учтут следующие критерии. </w:t>
      </w:r>
      <w:r>
        <w:rPr>
          <w:lang w:val="ru-RU"/>
        </w:rPr>
        <w:t>Практические примеры</w:t>
      </w:r>
      <w:r w:rsidRPr="00B1563B">
        <w:rPr>
          <w:lang w:val="ru-RU"/>
        </w:rPr>
        <w:t xml:space="preserve"> должны:</w:t>
      </w:r>
    </w:p>
    <w:p w14:paraId="0F78094F" w14:textId="0D8E3543" w:rsidR="00B1563B" w:rsidRPr="00B1563B" w:rsidRDefault="00B1563B" w:rsidP="00B1563B">
      <w:pPr>
        <w:pStyle w:val="ListParagraph"/>
        <w:numPr>
          <w:ilvl w:val="0"/>
          <w:numId w:val="5"/>
        </w:numPr>
        <w:rPr>
          <w:rFonts w:eastAsia="Calibri"/>
          <w:szCs w:val="20"/>
          <w:lang w:val="ru-RU"/>
        </w:rPr>
      </w:pPr>
      <w:r w:rsidRPr="00B1563B">
        <w:rPr>
          <w:rFonts w:eastAsia="Calibri"/>
          <w:szCs w:val="20"/>
          <w:lang w:val="ru-RU"/>
        </w:rPr>
        <w:t>Относиться к одной или нескольким темам/</w:t>
      </w:r>
      <w:r>
        <w:rPr>
          <w:rFonts w:eastAsia="Calibri"/>
          <w:szCs w:val="20"/>
          <w:lang w:val="ru-RU"/>
        </w:rPr>
        <w:t>дела</w:t>
      </w:r>
      <w:r w:rsidRPr="00B1563B">
        <w:rPr>
          <w:rFonts w:eastAsia="Calibri"/>
          <w:szCs w:val="20"/>
          <w:lang w:val="ru-RU"/>
        </w:rPr>
        <w:t>м, указанным выше,</w:t>
      </w:r>
    </w:p>
    <w:p w14:paraId="0B09DBEB" w14:textId="3D1331EB" w:rsidR="00B1563B" w:rsidRPr="00B1563B" w:rsidRDefault="00B1563B" w:rsidP="00B1563B">
      <w:pPr>
        <w:pStyle w:val="ListParagraph"/>
        <w:numPr>
          <w:ilvl w:val="0"/>
          <w:numId w:val="5"/>
        </w:numPr>
        <w:rPr>
          <w:rFonts w:eastAsia="Calibri"/>
          <w:szCs w:val="20"/>
          <w:lang w:val="ru-RU"/>
        </w:rPr>
      </w:pPr>
      <w:r>
        <w:rPr>
          <w:rFonts w:eastAsia="Calibri"/>
          <w:szCs w:val="20"/>
          <w:lang w:val="ru-RU"/>
        </w:rPr>
        <w:t xml:space="preserve">Произойти </w:t>
      </w:r>
      <w:r w:rsidRPr="00B1563B">
        <w:rPr>
          <w:rFonts w:eastAsia="Calibri"/>
          <w:szCs w:val="20"/>
          <w:lang w:val="ru-RU"/>
        </w:rPr>
        <w:t xml:space="preserve">в течение последних 10 лет (2010 - 2020 гг.). </w:t>
      </w:r>
    </w:p>
    <w:p w14:paraId="14466D09" w14:textId="7CE01493" w:rsidR="00B1563B" w:rsidRPr="00B1563B" w:rsidRDefault="00B1563B" w:rsidP="00B1563B">
      <w:pPr>
        <w:pStyle w:val="ListParagraph"/>
        <w:numPr>
          <w:ilvl w:val="0"/>
          <w:numId w:val="5"/>
        </w:numPr>
        <w:rPr>
          <w:rFonts w:eastAsia="Calibri"/>
          <w:szCs w:val="20"/>
          <w:lang w:val="ru-RU"/>
        </w:rPr>
      </w:pPr>
      <w:r w:rsidRPr="00B1563B">
        <w:rPr>
          <w:rFonts w:eastAsia="Calibri"/>
          <w:szCs w:val="20"/>
          <w:lang w:val="ru-RU"/>
        </w:rPr>
        <w:t xml:space="preserve">Где это уместно, </w:t>
      </w:r>
      <w:r>
        <w:rPr>
          <w:rFonts w:eastAsia="Calibri"/>
          <w:szCs w:val="20"/>
          <w:lang w:val="ru-RU"/>
        </w:rPr>
        <w:t>демонстрировать</w:t>
      </w:r>
      <w:r w:rsidRPr="00B1563B">
        <w:rPr>
          <w:rFonts w:eastAsia="Calibri"/>
          <w:szCs w:val="20"/>
          <w:lang w:val="ru-RU"/>
        </w:rPr>
        <w:t xml:space="preserve"> осуществление соответствующих </w:t>
      </w:r>
      <w:r>
        <w:rPr>
          <w:rFonts w:eastAsia="Calibri"/>
          <w:szCs w:val="20"/>
          <w:lang w:val="ru-RU"/>
        </w:rPr>
        <w:t>руководств</w:t>
      </w:r>
      <w:r w:rsidRPr="00B1563B">
        <w:rPr>
          <w:rFonts w:eastAsia="Calibri"/>
          <w:szCs w:val="20"/>
          <w:lang w:val="ru-RU"/>
        </w:rPr>
        <w:t>/конвенций, рамок или инструментов ЕЭК ООН, а также</w:t>
      </w:r>
    </w:p>
    <w:p w14:paraId="6CD1C19E" w14:textId="5EED884B" w:rsidR="00B1563B" w:rsidRDefault="00B1563B" w:rsidP="00B1563B">
      <w:pPr>
        <w:pStyle w:val="ListParagraph"/>
        <w:numPr>
          <w:ilvl w:val="0"/>
          <w:numId w:val="5"/>
        </w:numPr>
        <w:rPr>
          <w:rFonts w:eastAsia="Calibri"/>
          <w:szCs w:val="20"/>
          <w:lang w:val="ru-RU"/>
        </w:rPr>
      </w:pPr>
      <w:r w:rsidRPr="00B1563B">
        <w:rPr>
          <w:rFonts w:eastAsia="Calibri"/>
          <w:szCs w:val="20"/>
          <w:lang w:val="ru-RU"/>
        </w:rPr>
        <w:t>Продемонстрировать позитивные результаты в области устойчивого развития и уменьшения опасности бедствий в соответствии с Повесткой дня до 2030 года и ее:</w:t>
      </w:r>
    </w:p>
    <w:p w14:paraId="5A58D1D0" w14:textId="4EE889A4" w:rsidR="00B1563B" w:rsidRPr="00B1563B" w:rsidRDefault="00B1563B" w:rsidP="00B1563B">
      <w:pPr>
        <w:pStyle w:val="ListParagraph"/>
        <w:numPr>
          <w:ilvl w:val="1"/>
          <w:numId w:val="5"/>
        </w:numPr>
        <w:rPr>
          <w:lang w:val="ru-RU"/>
        </w:rPr>
      </w:pPr>
      <w:r w:rsidRPr="00B1563B">
        <w:rPr>
          <w:lang w:val="ru-RU"/>
        </w:rPr>
        <w:t>целями устойчивого развития (ЦУР) и/или</w:t>
      </w:r>
    </w:p>
    <w:p w14:paraId="5B4F3F49" w14:textId="1B219FA6" w:rsidR="00B1563B" w:rsidRPr="00B1563B" w:rsidRDefault="00B1563B" w:rsidP="00B1563B">
      <w:pPr>
        <w:pStyle w:val="ListParagraph"/>
        <w:numPr>
          <w:ilvl w:val="1"/>
          <w:numId w:val="5"/>
        </w:numPr>
        <w:rPr>
          <w:lang w:val="ru-RU"/>
        </w:rPr>
      </w:pPr>
      <w:r w:rsidRPr="00B1563B">
        <w:rPr>
          <w:rFonts w:eastAsia="Calibri"/>
          <w:szCs w:val="20"/>
          <w:lang w:val="ru-RU"/>
        </w:rPr>
        <w:t>Сендайск</w:t>
      </w:r>
      <w:r>
        <w:rPr>
          <w:rFonts w:eastAsia="Calibri"/>
          <w:szCs w:val="20"/>
          <w:lang w:val="ru-RU"/>
        </w:rPr>
        <w:t>ой</w:t>
      </w:r>
      <w:r w:rsidRPr="00B1563B">
        <w:rPr>
          <w:rFonts w:eastAsia="Calibri"/>
          <w:szCs w:val="20"/>
          <w:lang w:val="ru-RU"/>
        </w:rPr>
        <w:t xml:space="preserve"> рамочн</w:t>
      </w:r>
      <w:r>
        <w:rPr>
          <w:rFonts w:eastAsia="Calibri"/>
          <w:szCs w:val="20"/>
          <w:lang w:val="ru-RU"/>
        </w:rPr>
        <w:t>ой</w:t>
      </w:r>
      <w:r w:rsidRPr="00B1563B">
        <w:rPr>
          <w:rFonts w:eastAsia="Calibri"/>
          <w:szCs w:val="20"/>
          <w:lang w:val="ru-RU"/>
        </w:rPr>
        <w:t xml:space="preserve"> программ</w:t>
      </w:r>
      <w:r>
        <w:rPr>
          <w:rFonts w:eastAsia="Calibri"/>
          <w:szCs w:val="20"/>
          <w:lang w:val="ru-RU"/>
        </w:rPr>
        <w:t>ой</w:t>
      </w:r>
      <w:r w:rsidRPr="00B1563B">
        <w:rPr>
          <w:rFonts w:eastAsia="Calibri"/>
          <w:szCs w:val="20"/>
          <w:lang w:val="ru-RU"/>
        </w:rPr>
        <w:t xml:space="preserve"> по </w:t>
      </w:r>
      <w:r>
        <w:rPr>
          <w:rFonts w:eastAsia="Calibri"/>
          <w:szCs w:val="20"/>
          <w:lang w:val="ru-RU"/>
        </w:rPr>
        <w:t>снижению риска</w:t>
      </w:r>
      <w:r w:rsidRPr="00B1563B">
        <w:rPr>
          <w:rFonts w:eastAsia="Calibri"/>
          <w:szCs w:val="20"/>
          <w:lang w:val="ru-RU"/>
        </w:rPr>
        <w:t xml:space="preserve"> бедствий на 2015-2030 годы.</w:t>
      </w:r>
    </w:p>
    <w:p w14:paraId="1B19FB81" w14:textId="77777777" w:rsidR="00B1563B" w:rsidRPr="00B1563B" w:rsidRDefault="00B1563B" w:rsidP="00B1563B">
      <w:pPr>
        <w:pStyle w:val="ListParagraph"/>
        <w:ind w:left="1440"/>
        <w:rPr>
          <w:lang w:val="ru-RU"/>
        </w:rPr>
      </w:pPr>
    </w:p>
    <w:p w14:paraId="5A9B5018" w14:textId="17DF80FD" w:rsidR="00B1563B" w:rsidRPr="00B1563B" w:rsidRDefault="00B1563B" w:rsidP="00B1563B">
      <w:pPr>
        <w:snapToGrid w:val="0"/>
        <w:spacing w:after="120"/>
        <w:rPr>
          <w:lang w:val="ru-RU"/>
        </w:rPr>
      </w:pPr>
      <w:r w:rsidRPr="00B1563B">
        <w:rPr>
          <w:lang w:val="ru-RU"/>
        </w:rPr>
        <w:t xml:space="preserve">Пожалуйста, ознакомьтесь с приведенным ниже примером </w:t>
      </w:r>
      <w:r w:rsidR="007736EC">
        <w:rPr>
          <w:lang w:val="ru-RU"/>
        </w:rPr>
        <w:t>для</w:t>
      </w:r>
      <w:r w:rsidRPr="00B1563B">
        <w:rPr>
          <w:lang w:val="ru-RU"/>
        </w:rPr>
        <w:t xml:space="preserve"> руководства.</w:t>
      </w:r>
    </w:p>
    <w:p w14:paraId="17CC7B4D" w14:textId="015EA3B4" w:rsidR="00CC090F" w:rsidRPr="007736EC" w:rsidRDefault="00CC090F" w:rsidP="00CC090F">
      <w:pPr>
        <w:rPr>
          <w:lang w:val="ru-RU"/>
        </w:rPr>
      </w:pPr>
    </w:p>
    <w:p w14:paraId="33E54C0A" w14:textId="77777777" w:rsidR="00814013" w:rsidRPr="007736EC" w:rsidRDefault="00814013" w:rsidP="00C75048">
      <w:pPr>
        <w:rPr>
          <w:lang w:val="ru-RU"/>
        </w:rPr>
      </w:pPr>
    </w:p>
    <w:p w14:paraId="603B8CF1" w14:textId="0A5E8E19" w:rsidR="001A5959" w:rsidRPr="007736EC" w:rsidRDefault="001A5959" w:rsidP="00097211">
      <w:pPr>
        <w:jc w:val="center"/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7E027D" w14:textId="45325219" w:rsidR="008940FE" w:rsidRPr="007736EC" w:rsidRDefault="008940FE" w:rsidP="00097211">
      <w:pPr>
        <w:jc w:val="center"/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845702" w14:textId="0E0ABDF9" w:rsidR="008940FE" w:rsidRPr="007736EC" w:rsidRDefault="008940FE" w:rsidP="00097211">
      <w:pPr>
        <w:jc w:val="center"/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26AF8E" w14:textId="6029B9F8" w:rsidR="008940FE" w:rsidRPr="007736EC" w:rsidRDefault="008940FE" w:rsidP="00097211">
      <w:pPr>
        <w:jc w:val="center"/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218960" w14:textId="73F6611E" w:rsidR="00B1563B" w:rsidRPr="007736EC" w:rsidRDefault="00B1563B">
      <w:pPr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6EC"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70499BD6" w14:textId="70BB5A99" w:rsidR="008704CC" w:rsidRPr="00B54D03" w:rsidRDefault="0000652C" w:rsidP="00097211">
      <w:pPr>
        <w:jc w:val="center"/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4D03"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Пример передово</w:t>
      </w:r>
      <w:r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й</w:t>
      </w:r>
      <w:r w:rsidRPr="00B54D03"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практики</w:t>
      </w:r>
      <w:r w:rsidRPr="00B54D03"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/извлеченны</w:t>
      </w:r>
      <w:r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х</w:t>
      </w:r>
      <w:r w:rsidRPr="00B54D03"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урок</w:t>
      </w:r>
      <w:r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ов</w:t>
      </w:r>
    </w:p>
    <w:p w14:paraId="5180D363" w14:textId="77777777" w:rsidR="008704CC" w:rsidRPr="00B54D03" w:rsidRDefault="008704CC" w:rsidP="003C27CA">
      <w:pPr>
        <w:rPr>
          <w:lang w:val="ru-RU"/>
        </w:rPr>
      </w:pPr>
    </w:p>
    <w:p w14:paraId="19C13755" w14:textId="6EE4F853" w:rsidR="0000652C" w:rsidRPr="0000652C" w:rsidRDefault="0000652C" w:rsidP="003C27CA">
      <w:pPr>
        <w:rPr>
          <w:lang w:val="ru-RU"/>
        </w:rPr>
      </w:pPr>
      <w:r w:rsidRPr="0000652C">
        <w:rPr>
          <w:lang w:val="ru-RU"/>
        </w:rPr>
        <w:t>Ниже приведен пример того, как предполагается</w:t>
      </w:r>
      <w:r>
        <w:rPr>
          <w:lang w:val="ru-RU"/>
        </w:rPr>
        <w:t xml:space="preserve"> представить</w:t>
      </w:r>
      <w:r w:rsidRPr="0000652C">
        <w:rPr>
          <w:lang w:val="ru-RU"/>
        </w:rPr>
        <w:t xml:space="preserve"> </w:t>
      </w:r>
      <w:r>
        <w:rPr>
          <w:lang w:val="ru-RU"/>
        </w:rPr>
        <w:t>практические примеры</w:t>
      </w:r>
      <w:r w:rsidRPr="0000652C">
        <w:rPr>
          <w:lang w:val="ru-RU"/>
        </w:rPr>
        <w:t xml:space="preserve"> в Информационном </w:t>
      </w:r>
      <w:r>
        <w:rPr>
          <w:lang w:val="ru-RU"/>
        </w:rPr>
        <w:t>репозитории</w:t>
      </w:r>
      <w:r w:rsidRPr="0000652C">
        <w:rPr>
          <w:lang w:val="ru-RU"/>
        </w:rPr>
        <w:t xml:space="preserve">. Пожалуйста, обратите внимание, что категория и изображение будут выбраны ЕИБ и ЕЭК ООН на основе информации, которую </w:t>
      </w:r>
      <w:r w:rsidR="00BB2133">
        <w:rPr>
          <w:lang w:val="ru-RU"/>
        </w:rPr>
        <w:t>В</w:t>
      </w:r>
      <w:r w:rsidRPr="0000652C">
        <w:rPr>
          <w:lang w:val="ru-RU"/>
        </w:rPr>
        <w:t xml:space="preserve">аша страна/организация предоставит в заполненном </w:t>
      </w:r>
      <w:r w:rsidR="00BB2133">
        <w:rPr>
          <w:lang w:val="ru-RU"/>
        </w:rPr>
        <w:t>В</w:t>
      </w:r>
      <w:r w:rsidRPr="0000652C">
        <w:rPr>
          <w:lang w:val="ru-RU"/>
        </w:rPr>
        <w:t>опроснике.</w:t>
      </w:r>
    </w:p>
    <w:p w14:paraId="1B58BF0E" w14:textId="682F1FF3" w:rsidR="00DE07F8" w:rsidRPr="0000652C" w:rsidRDefault="00DE07F8" w:rsidP="003C27CA">
      <w:pPr>
        <w:rPr>
          <w:lang w:val="ru-RU"/>
        </w:rPr>
      </w:pPr>
    </w:p>
    <w:p w14:paraId="6A67D7B9" w14:textId="42092FE3" w:rsidR="00DE07F8" w:rsidRPr="00BB2133" w:rsidRDefault="00BB2133" w:rsidP="00E30318">
      <w:pPr>
        <w:snapToGrid w:val="0"/>
        <w:spacing w:after="120"/>
        <w:rPr>
          <w:rFonts w:ascii="Times New Roman" w:eastAsia="Times New Roman" w:hAnsi="Times New Roman" w:cs="Times New Roman"/>
          <w:sz w:val="30"/>
          <w:szCs w:val="30"/>
          <w:lang w:val="ru-RU" w:eastAsia="en-GB"/>
        </w:rPr>
      </w:pPr>
      <w:r w:rsidRPr="00BB2133">
        <w:rPr>
          <w:rFonts w:ascii="Optima LT Std Medium" w:eastAsia="Times New Roman" w:hAnsi="Optima LT Std Medium" w:cs="Times New Roman"/>
          <w:color w:val="195591"/>
          <w:kern w:val="36"/>
          <w:sz w:val="30"/>
          <w:szCs w:val="30"/>
          <w:lang w:val="ru-RU" w:eastAsia="en-GB"/>
        </w:rPr>
        <w:t>Планирование землепользования вокруг существующего опасного объекта, Сарпсборг.</w:t>
      </w:r>
      <w:r w:rsidR="008D3537" w:rsidRPr="00BB2133">
        <w:rPr>
          <w:rFonts w:ascii="Optima LT Std Medium" w:eastAsia="Times New Roman" w:hAnsi="Optima LT Std Medium" w:cs="Times New Roman"/>
          <w:color w:val="195591"/>
          <w:kern w:val="36"/>
          <w:sz w:val="30"/>
          <w:szCs w:val="30"/>
          <w:lang w:val="ru-RU" w:eastAsia="en-GB"/>
        </w:rPr>
        <w:t xml:space="preserve"> </w:t>
      </w:r>
      <w:hyperlink r:id="rId8" w:history="1"/>
    </w:p>
    <w:p w14:paraId="01D4A1BA" w14:textId="057A8A7B" w:rsidR="00DE07F8" w:rsidRPr="00BB2133" w:rsidRDefault="00000021" w:rsidP="002E6339">
      <w:pPr>
        <w:snapToGrid w:val="0"/>
        <w:spacing w:after="120"/>
        <w:rPr>
          <w:rFonts w:ascii="Times New Roman" w:eastAsia="Times New Roman" w:hAnsi="Times New Roman" w:cs="Times New Roman"/>
          <w:color w:val="195591"/>
          <w:lang w:val="ru-RU" w:eastAsia="en-GB"/>
        </w:rPr>
      </w:pPr>
      <w:r w:rsidRPr="001D1B1A">
        <w:rPr>
          <w:rFonts w:ascii="Times New Roman" w:eastAsia="Times New Roman" w:hAnsi="Times New Roman" w:cs="Times New Roman"/>
          <w:noProof/>
          <w:color w:val="195591"/>
          <w:lang w:eastAsia="en-GB"/>
        </w:rPr>
        <w:drawing>
          <wp:anchor distT="0" distB="0" distL="114300" distR="114300" simplePos="0" relativeHeight="251658240" behindDoc="1" locked="0" layoutInCell="1" allowOverlap="1" wp14:anchorId="672EACCA" wp14:editId="15B4FEF4">
            <wp:simplePos x="0" y="0"/>
            <wp:positionH relativeFrom="column">
              <wp:posOffset>35560</wp:posOffset>
            </wp:positionH>
            <wp:positionV relativeFrom="paragraph">
              <wp:posOffset>46484</wp:posOffset>
            </wp:positionV>
            <wp:extent cx="1443990" cy="1909445"/>
            <wp:effectExtent l="12700" t="12700" r="16510" b="8255"/>
            <wp:wrapTight wrapText="bothSides">
              <wp:wrapPolygon edited="0">
                <wp:start x="-190" y="-144"/>
                <wp:lineTo x="-190" y="21550"/>
                <wp:lineTo x="21657" y="21550"/>
                <wp:lineTo x="21657" y="-144"/>
                <wp:lineTo x="-190" y="-14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9094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133" w:rsidRPr="00BB2133">
        <w:rPr>
          <w:rFonts w:ascii="OpenSans-Bold" w:eastAsia="Times New Roman" w:hAnsi="OpenSans-Bold" w:cs="OpenSans-Bold"/>
          <w:b/>
          <w:bCs/>
          <w:lang w:val="ru-RU" w:eastAsia="en-GB"/>
        </w:rPr>
        <w:t>Подзаголовок</w:t>
      </w:r>
      <w:r w:rsidR="00DE07F8" w:rsidRPr="00BB2133">
        <w:rPr>
          <w:rFonts w:ascii="OpenSans-Bold" w:eastAsia="Times New Roman" w:hAnsi="OpenSans-Bold" w:cs="OpenSans-Bold"/>
          <w:b/>
          <w:bCs/>
          <w:lang w:val="ru-RU" w:eastAsia="en-GB"/>
        </w:rPr>
        <w:t>:</w:t>
      </w:r>
      <w:r w:rsidR="00FB5319" w:rsidRPr="00BB2133">
        <w:rPr>
          <w:rFonts w:ascii="OpenSans-Bold" w:eastAsia="Times New Roman" w:hAnsi="OpenSans-Bold" w:cs="OpenSans-Bold"/>
          <w:b/>
          <w:bCs/>
          <w:lang w:val="ru-RU" w:eastAsia="en-GB"/>
        </w:rPr>
        <w:t xml:space="preserve"> </w:t>
      </w:r>
      <w:r w:rsidR="00BB2133">
        <w:rPr>
          <w:rFonts w:ascii="Times New Roman" w:eastAsia="Times New Roman" w:hAnsi="Times New Roman" w:cs="Times New Roman"/>
          <w:color w:val="195591"/>
          <w:lang w:val="ru-RU" w:eastAsia="en-GB"/>
        </w:rPr>
        <w:t>И</w:t>
      </w:r>
      <w:r w:rsidR="00BB2133" w:rsidRPr="00BB2133">
        <w:rPr>
          <w:rFonts w:ascii="Times New Roman" w:eastAsia="Times New Roman" w:hAnsi="Times New Roman" w:cs="Times New Roman"/>
          <w:color w:val="195591"/>
          <w:lang w:val="ru-RU" w:eastAsia="en-GB"/>
        </w:rPr>
        <w:t>нформирование общественности о рисках и координация между местным планировщиком, национальным органом власти и оператором</w:t>
      </w:r>
    </w:p>
    <w:p w14:paraId="0E43CA37" w14:textId="09B82197" w:rsidR="00B623C0" w:rsidRPr="00BB2133" w:rsidRDefault="00BB2133" w:rsidP="00034232">
      <w:pPr>
        <w:snapToGrid w:val="0"/>
        <w:spacing w:after="120"/>
        <w:rPr>
          <w:rFonts w:ascii="OpenSans-Bold" w:eastAsia="Times New Roman" w:hAnsi="OpenSans-Bold" w:cs="OpenSans-Bold"/>
          <w:b/>
          <w:bCs/>
          <w:lang w:val="ru-RU" w:eastAsia="en-GB"/>
        </w:rPr>
      </w:pPr>
      <w:r>
        <w:rPr>
          <w:rFonts w:ascii="OpenSans-Bold" w:eastAsia="Times New Roman" w:hAnsi="OpenSans-Bold" w:cs="OpenSans-Bold"/>
          <w:b/>
          <w:bCs/>
          <w:lang w:val="ru-RU" w:eastAsia="en-GB"/>
        </w:rPr>
        <w:t>Страна</w:t>
      </w:r>
      <w:r w:rsidR="00B623C0" w:rsidRPr="00BB2133">
        <w:rPr>
          <w:rFonts w:ascii="OpenSans-Bold" w:eastAsia="Times New Roman" w:hAnsi="OpenSans-Bold" w:cs="OpenSans-Bold"/>
          <w:b/>
          <w:bCs/>
          <w:lang w:val="ru-RU" w:eastAsia="en-GB"/>
        </w:rPr>
        <w:t xml:space="preserve">: </w:t>
      </w:r>
      <w:r>
        <w:rPr>
          <w:rFonts w:ascii="Times New Roman" w:eastAsia="Times New Roman" w:hAnsi="Times New Roman" w:cs="Times New Roman"/>
          <w:color w:val="195591"/>
          <w:lang w:val="ru-RU" w:eastAsia="en-GB"/>
        </w:rPr>
        <w:t>Норвегия</w:t>
      </w:r>
    </w:p>
    <w:p w14:paraId="7A4A8A4B" w14:textId="25970880" w:rsidR="00034232" w:rsidRPr="00BB2133" w:rsidRDefault="00BB2133" w:rsidP="00034232">
      <w:pPr>
        <w:snapToGrid w:val="0"/>
        <w:spacing w:after="120"/>
        <w:rPr>
          <w:rFonts w:ascii="Times New Roman" w:eastAsia="Times New Roman" w:hAnsi="Times New Roman" w:cs="Times New Roman"/>
          <w:color w:val="195591"/>
          <w:lang w:val="ru-RU" w:eastAsia="en-GB"/>
        </w:rPr>
      </w:pPr>
      <w:r>
        <w:rPr>
          <w:rFonts w:ascii="OpenSans-Bold" w:eastAsia="Times New Roman" w:hAnsi="OpenSans-Bold" w:cs="OpenSans-Bold"/>
          <w:b/>
          <w:bCs/>
          <w:lang w:val="ru-RU" w:eastAsia="en-GB"/>
        </w:rPr>
        <w:t>Дата</w:t>
      </w:r>
      <w:r w:rsidR="00034232" w:rsidRPr="00BB2133">
        <w:rPr>
          <w:rFonts w:ascii="OpenSans-Bold" w:eastAsia="Times New Roman" w:hAnsi="OpenSans-Bold" w:cs="OpenSans-Bold"/>
          <w:b/>
          <w:bCs/>
          <w:lang w:val="ru-RU" w:eastAsia="en-GB"/>
        </w:rPr>
        <w:t xml:space="preserve">: </w:t>
      </w:r>
      <w:r w:rsidR="00034232" w:rsidRPr="00BB2133">
        <w:rPr>
          <w:rFonts w:ascii="Times New Roman" w:eastAsia="Times New Roman" w:hAnsi="Times New Roman" w:cs="Times New Roman"/>
          <w:color w:val="195591"/>
          <w:lang w:val="ru-RU" w:eastAsia="en-GB"/>
        </w:rPr>
        <w:t>201</w:t>
      </w:r>
      <w:r w:rsidR="00A127A4" w:rsidRPr="00BB2133">
        <w:rPr>
          <w:rFonts w:ascii="Times New Roman" w:eastAsia="Times New Roman" w:hAnsi="Times New Roman" w:cs="Times New Roman"/>
          <w:color w:val="195591"/>
          <w:lang w:val="ru-RU" w:eastAsia="en-GB"/>
        </w:rPr>
        <w:t>6</w:t>
      </w:r>
    </w:p>
    <w:p w14:paraId="4BDD6B3E" w14:textId="7694F24E" w:rsidR="00D55EAA" w:rsidRPr="00B54D03" w:rsidRDefault="00BB2133" w:rsidP="00034232">
      <w:pPr>
        <w:snapToGrid w:val="0"/>
        <w:spacing w:after="120"/>
        <w:rPr>
          <w:rFonts w:ascii="OpenSans-Bold" w:eastAsia="Times New Roman" w:hAnsi="OpenSans-Bold" w:cs="OpenSans-Bold"/>
          <w:b/>
          <w:bCs/>
          <w:lang w:val="ru-RU" w:eastAsia="en-GB"/>
        </w:rPr>
      </w:pPr>
      <w:r>
        <w:rPr>
          <w:rFonts w:ascii="OpenSans-Bold" w:eastAsia="Times New Roman" w:hAnsi="OpenSans-Bold" w:cs="OpenSans-Bold"/>
          <w:b/>
          <w:bCs/>
          <w:lang w:val="ru-RU" w:eastAsia="en-GB"/>
        </w:rPr>
        <w:t>Категория</w:t>
      </w:r>
      <w:r w:rsidR="00D55EAA" w:rsidRPr="00B54D03">
        <w:rPr>
          <w:rFonts w:ascii="OpenSans-Bold" w:eastAsia="Times New Roman" w:hAnsi="OpenSans-Bold" w:cs="OpenSans-Bold"/>
          <w:b/>
          <w:bCs/>
          <w:lang w:val="ru-RU" w:eastAsia="en-GB"/>
        </w:rPr>
        <w:t xml:space="preserve">: </w:t>
      </w:r>
      <w:r>
        <w:rPr>
          <w:rFonts w:ascii="Times New Roman" w:eastAsia="Times New Roman" w:hAnsi="Times New Roman" w:cs="Times New Roman"/>
          <w:color w:val="195591"/>
          <w:lang w:val="ru-RU" w:eastAsia="en-GB"/>
        </w:rPr>
        <w:t>Планы</w:t>
      </w:r>
      <w:r w:rsidR="00D55EAA" w:rsidRPr="00B54D03">
        <w:rPr>
          <w:rFonts w:ascii="Times New Roman" w:eastAsia="Times New Roman" w:hAnsi="Times New Roman" w:cs="Times New Roman"/>
          <w:color w:val="195591"/>
          <w:lang w:val="ru-RU" w:eastAsia="en-GB"/>
        </w:rPr>
        <w:t xml:space="preserve">, </w:t>
      </w:r>
      <w:r>
        <w:rPr>
          <w:rFonts w:ascii="Times New Roman" w:eastAsia="Times New Roman" w:hAnsi="Times New Roman" w:cs="Times New Roman"/>
          <w:color w:val="195591"/>
          <w:lang w:val="ru-RU" w:eastAsia="en-GB"/>
        </w:rPr>
        <w:t>Политики</w:t>
      </w:r>
      <w:r w:rsidR="002A2673" w:rsidRPr="00B54D03">
        <w:rPr>
          <w:rFonts w:ascii="Times New Roman" w:eastAsia="Times New Roman" w:hAnsi="Times New Roman" w:cs="Times New Roman"/>
          <w:color w:val="195591"/>
          <w:lang w:val="ru-RU" w:eastAsia="en-GB"/>
        </w:rPr>
        <w:t xml:space="preserve">, </w:t>
      </w:r>
      <w:r>
        <w:rPr>
          <w:rFonts w:ascii="Times New Roman" w:eastAsia="Times New Roman" w:hAnsi="Times New Roman" w:cs="Times New Roman"/>
          <w:color w:val="195591"/>
          <w:lang w:val="ru-RU" w:eastAsia="en-GB"/>
        </w:rPr>
        <w:t>Меры</w:t>
      </w:r>
    </w:p>
    <w:p w14:paraId="38B01377" w14:textId="155FA15F" w:rsidR="00FB5319" w:rsidRPr="00BB2133" w:rsidRDefault="00BB2133" w:rsidP="001319ED">
      <w:pPr>
        <w:snapToGrid w:val="0"/>
        <w:spacing w:after="120"/>
        <w:rPr>
          <w:rFonts w:ascii="OpenSans-Bold" w:eastAsia="Times New Roman" w:hAnsi="OpenSans-Bold" w:cs="OpenSans-Bold"/>
          <w:b/>
          <w:bCs/>
          <w:lang w:val="ru-RU" w:eastAsia="en-GB"/>
        </w:rPr>
      </w:pPr>
      <w:r>
        <w:rPr>
          <w:rFonts w:ascii="OpenSans-Bold" w:eastAsia="Times New Roman" w:hAnsi="OpenSans-Bold" w:cs="OpenSans-Bold"/>
          <w:b/>
          <w:bCs/>
          <w:lang w:val="ru-RU" w:eastAsia="en-GB"/>
        </w:rPr>
        <w:t>Ярлыки</w:t>
      </w:r>
      <w:r w:rsidR="00FB5319" w:rsidRPr="00BB2133">
        <w:rPr>
          <w:rFonts w:ascii="OpenSans-Bold" w:eastAsia="Times New Roman" w:hAnsi="OpenSans-Bold" w:cs="OpenSans-Bold"/>
          <w:b/>
          <w:bCs/>
          <w:lang w:val="ru-RU" w:eastAsia="en-GB"/>
        </w:rPr>
        <w:t xml:space="preserve">: </w:t>
      </w:r>
      <w:r w:rsidRPr="00BB2133">
        <w:rPr>
          <w:rFonts w:ascii="Times New Roman" w:eastAsia="Times New Roman" w:hAnsi="Times New Roman" w:cs="Times New Roman"/>
          <w:color w:val="195591"/>
          <w:lang w:val="ru-RU" w:eastAsia="en-GB"/>
        </w:rPr>
        <w:t>Планирование землепользования</w:t>
      </w:r>
      <w:r w:rsidR="00FB5319" w:rsidRPr="00BB2133">
        <w:rPr>
          <w:rFonts w:ascii="Times New Roman" w:eastAsia="Times New Roman" w:hAnsi="Times New Roman" w:cs="Times New Roman"/>
          <w:color w:val="195591"/>
          <w:lang w:val="ru-RU" w:eastAsia="en-GB"/>
        </w:rPr>
        <w:t xml:space="preserve">, </w:t>
      </w:r>
      <w:r w:rsidRPr="00BB2133">
        <w:rPr>
          <w:rFonts w:ascii="Times New Roman" w:eastAsia="Times New Roman" w:hAnsi="Times New Roman" w:cs="Times New Roman"/>
          <w:color w:val="195591"/>
          <w:lang w:val="ru-RU" w:eastAsia="en-GB"/>
        </w:rPr>
        <w:t>Промышленная безопасность</w:t>
      </w:r>
      <w:r w:rsidR="00FB5319" w:rsidRPr="00BB2133">
        <w:rPr>
          <w:rFonts w:ascii="Times New Roman" w:eastAsia="Times New Roman" w:hAnsi="Times New Roman" w:cs="Times New Roman"/>
          <w:color w:val="195591"/>
          <w:lang w:val="ru-RU" w:eastAsia="en-GB"/>
        </w:rPr>
        <w:t xml:space="preserve">, </w:t>
      </w:r>
      <w:r w:rsidRPr="00BB2133">
        <w:rPr>
          <w:rFonts w:ascii="Times New Roman" w:eastAsia="Times New Roman" w:hAnsi="Times New Roman" w:cs="Times New Roman"/>
          <w:color w:val="195591"/>
          <w:lang w:val="ru-RU" w:eastAsia="en-GB"/>
        </w:rPr>
        <w:t>Участие общественности</w:t>
      </w:r>
      <w:r w:rsidR="00000021" w:rsidRPr="00BB2133">
        <w:rPr>
          <w:rFonts w:ascii="Times New Roman" w:eastAsia="Times New Roman" w:hAnsi="Times New Roman" w:cs="Times New Roman"/>
          <w:color w:val="195591"/>
          <w:lang w:val="ru-RU" w:eastAsia="en-GB"/>
        </w:rPr>
        <w:t>,</w:t>
      </w:r>
      <w:r w:rsidR="00FB5319" w:rsidRPr="00BB2133">
        <w:rPr>
          <w:rFonts w:ascii="Times New Roman" w:eastAsia="Times New Roman" w:hAnsi="Times New Roman" w:cs="Times New Roman"/>
          <w:color w:val="195591"/>
          <w:lang w:val="ru-RU" w:eastAsia="en-GB"/>
        </w:rPr>
        <w:t xml:space="preserve"> </w:t>
      </w:r>
      <w:r w:rsidRPr="00BB2133">
        <w:rPr>
          <w:rFonts w:ascii="Times New Roman" w:eastAsia="Times New Roman" w:hAnsi="Times New Roman" w:cs="Times New Roman"/>
          <w:color w:val="195591"/>
          <w:lang w:val="ru-RU" w:eastAsia="en-GB"/>
        </w:rPr>
        <w:t>Предоставление информации общественности</w:t>
      </w:r>
      <w:r w:rsidR="00FB5319" w:rsidRPr="00BB2133">
        <w:rPr>
          <w:rFonts w:ascii="Times New Roman" w:eastAsia="Times New Roman" w:hAnsi="Times New Roman" w:cs="Times New Roman"/>
          <w:color w:val="195591"/>
          <w:lang w:val="ru-RU" w:eastAsia="en-GB"/>
        </w:rPr>
        <w:t xml:space="preserve"> </w:t>
      </w:r>
      <w:r w:rsidR="008A4398" w:rsidRPr="00BB2133">
        <w:rPr>
          <w:rFonts w:ascii="Times New Roman" w:eastAsia="Times New Roman" w:hAnsi="Times New Roman" w:cs="Times New Roman"/>
          <w:color w:val="195591"/>
          <w:lang w:val="ru-RU" w:eastAsia="en-GB"/>
        </w:rPr>
        <w:t xml:space="preserve"> </w:t>
      </w:r>
    </w:p>
    <w:p w14:paraId="44FC919B" w14:textId="0D014CE3" w:rsidR="00BB2133" w:rsidRPr="00BB2133" w:rsidRDefault="00BB2133" w:rsidP="00BB2133">
      <w:pPr>
        <w:snapToGrid w:val="0"/>
        <w:spacing w:after="120"/>
        <w:rPr>
          <w:rFonts w:ascii="Times New Roman" w:eastAsia="Times New Roman" w:hAnsi="Times New Roman" w:cs="Times New Roman"/>
          <w:color w:val="195591"/>
          <w:lang w:val="ru-RU" w:eastAsia="en-GB"/>
        </w:rPr>
      </w:pPr>
      <w:r>
        <w:rPr>
          <w:rFonts w:ascii="OpenSans-Bold" w:eastAsia="Times New Roman" w:hAnsi="OpenSans-Bold" w:cs="OpenSans-Bold"/>
          <w:b/>
          <w:bCs/>
          <w:lang w:val="ru-RU" w:eastAsia="en-GB"/>
        </w:rPr>
        <w:t>В</w:t>
      </w:r>
      <w:r w:rsidRPr="00BB2133">
        <w:rPr>
          <w:rFonts w:ascii="OpenSans-Bold" w:eastAsia="Times New Roman" w:hAnsi="OpenSans-Bold" w:cs="OpenSans-Bold"/>
          <w:b/>
          <w:bCs/>
          <w:lang w:val="ru-RU" w:eastAsia="en-GB"/>
        </w:rPr>
        <w:t>овлеченн</w:t>
      </w:r>
      <w:r>
        <w:rPr>
          <w:rFonts w:ascii="OpenSans-Bold" w:eastAsia="Times New Roman" w:hAnsi="OpenSans-Bold" w:cs="OpenSans-Bold"/>
          <w:b/>
          <w:bCs/>
          <w:lang w:val="ru-RU" w:eastAsia="en-GB"/>
        </w:rPr>
        <w:t>ая</w:t>
      </w:r>
      <w:r w:rsidRPr="00BB2133">
        <w:rPr>
          <w:rFonts w:ascii="OpenSans-Bold" w:eastAsia="Times New Roman" w:hAnsi="OpenSans-Bold" w:cs="OpenSans-Bold"/>
          <w:b/>
          <w:bCs/>
          <w:lang w:val="ru-RU" w:eastAsia="en-GB"/>
        </w:rPr>
        <w:t>(ы</w:t>
      </w:r>
      <w:r>
        <w:rPr>
          <w:rFonts w:ascii="OpenSans-Bold" w:eastAsia="Times New Roman" w:hAnsi="OpenSans-Bold" w:cs="OpenSans-Bold"/>
          <w:b/>
          <w:bCs/>
          <w:lang w:val="ru-RU" w:eastAsia="en-GB"/>
        </w:rPr>
        <w:t>е</w:t>
      </w:r>
      <w:r w:rsidRPr="00BB2133">
        <w:rPr>
          <w:rFonts w:ascii="OpenSans-Bold" w:eastAsia="Times New Roman" w:hAnsi="OpenSans-Bold" w:cs="OpenSans-Bold"/>
          <w:b/>
          <w:bCs/>
          <w:lang w:val="ru-RU" w:eastAsia="en-GB"/>
        </w:rPr>
        <w:t>) организаци</w:t>
      </w:r>
      <w:r>
        <w:rPr>
          <w:rFonts w:ascii="OpenSans-Bold" w:eastAsia="Times New Roman" w:hAnsi="OpenSans-Bold" w:cs="OpenSans-Bold"/>
          <w:b/>
          <w:bCs/>
          <w:lang w:val="ru-RU" w:eastAsia="en-GB"/>
        </w:rPr>
        <w:t>я</w:t>
      </w:r>
      <w:r w:rsidRPr="00BB2133">
        <w:rPr>
          <w:rFonts w:ascii="OpenSans-Bold" w:eastAsia="Times New Roman" w:hAnsi="OpenSans-Bold" w:cs="OpenSans-Bold"/>
          <w:b/>
          <w:bCs/>
          <w:lang w:val="ru-RU" w:eastAsia="en-GB"/>
        </w:rPr>
        <w:t>(</w:t>
      </w:r>
      <w:r>
        <w:rPr>
          <w:rFonts w:ascii="OpenSans-Bold" w:eastAsia="Times New Roman" w:hAnsi="OpenSans-Bold" w:cs="OpenSans-Bold"/>
          <w:b/>
          <w:bCs/>
          <w:lang w:val="ru-RU" w:eastAsia="en-GB"/>
        </w:rPr>
        <w:t>и</w:t>
      </w:r>
      <w:r w:rsidRPr="00BB2133">
        <w:rPr>
          <w:rFonts w:ascii="OpenSans-Bold" w:eastAsia="Times New Roman" w:hAnsi="OpenSans-Bold" w:cs="OpenSans-Bold"/>
          <w:b/>
          <w:bCs/>
          <w:lang w:val="ru-RU" w:eastAsia="en-GB"/>
        </w:rPr>
        <w:t>)</w:t>
      </w:r>
      <w:r w:rsidR="00FB5319" w:rsidRPr="00BB2133">
        <w:rPr>
          <w:rFonts w:ascii="OpenSans-Bold" w:eastAsia="Times New Roman" w:hAnsi="OpenSans-Bold" w:cs="OpenSans-Bold"/>
          <w:b/>
          <w:bCs/>
          <w:lang w:val="ru-RU" w:eastAsia="en-GB"/>
        </w:rPr>
        <w:t xml:space="preserve">: </w:t>
      </w:r>
      <w:r w:rsidRPr="00BB2133">
        <w:rPr>
          <w:rFonts w:ascii="Times New Roman" w:eastAsia="Times New Roman" w:hAnsi="Times New Roman" w:cs="Times New Roman"/>
          <w:color w:val="195591"/>
          <w:lang w:val="ru-RU" w:eastAsia="en-GB"/>
        </w:rPr>
        <w:t xml:space="preserve">Боррегаард </w:t>
      </w:r>
      <w:r>
        <w:rPr>
          <w:rFonts w:ascii="Times New Roman" w:eastAsia="Times New Roman" w:hAnsi="Times New Roman" w:cs="Times New Roman"/>
          <w:color w:val="195591"/>
          <w:lang w:val="ru-RU" w:eastAsia="en-GB"/>
        </w:rPr>
        <w:t>(</w:t>
      </w:r>
      <w:r w:rsidRPr="00BB2133">
        <w:rPr>
          <w:rFonts w:ascii="Times New Roman" w:eastAsia="Times New Roman" w:hAnsi="Times New Roman" w:cs="Times New Roman"/>
          <w:color w:val="195591"/>
          <w:lang w:val="en-AU" w:eastAsia="en-GB"/>
        </w:rPr>
        <w:t>Borregaard</w:t>
      </w:r>
      <w:r>
        <w:rPr>
          <w:rFonts w:ascii="Times New Roman" w:eastAsia="Times New Roman" w:hAnsi="Times New Roman" w:cs="Times New Roman"/>
          <w:color w:val="195591"/>
          <w:lang w:val="ru-RU" w:eastAsia="en-GB"/>
        </w:rPr>
        <w:t xml:space="preserve">) </w:t>
      </w:r>
      <w:r w:rsidRPr="00BB2133">
        <w:rPr>
          <w:rFonts w:ascii="Times New Roman" w:eastAsia="Times New Roman" w:hAnsi="Times New Roman" w:cs="Times New Roman"/>
          <w:color w:val="195591"/>
          <w:lang w:val="ru-RU" w:eastAsia="en-GB"/>
        </w:rPr>
        <w:t xml:space="preserve">и Норвежское управление гражданской обороны </w:t>
      </w:r>
    </w:p>
    <w:p w14:paraId="0BBBD44B" w14:textId="3C8B3EFF" w:rsidR="00E11144" w:rsidRPr="00263E89" w:rsidRDefault="00BB2133" w:rsidP="00BB2133">
      <w:pPr>
        <w:snapToGrid w:val="0"/>
        <w:spacing w:after="120"/>
        <w:rPr>
          <w:lang w:val="ru-RU"/>
        </w:rPr>
      </w:pPr>
      <w:r>
        <w:rPr>
          <w:b/>
          <w:bCs/>
          <w:lang w:val="ru-RU"/>
        </w:rPr>
        <w:t>Р</w:t>
      </w:r>
      <w:r w:rsidRPr="00635D2C">
        <w:rPr>
          <w:b/>
          <w:bCs/>
          <w:lang w:val="ru-RU"/>
        </w:rPr>
        <w:t>езюме</w:t>
      </w:r>
      <w:r w:rsidR="00E11144" w:rsidRPr="00263E89">
        <w:rPr>
          <w:rFonts w:ascii="OpenSans-Bold" w:eastAsia="Times New Roman" w:hAnsi="OpenSans-Bold" w:cs="OpenSans-Bold"/>
          <w:b/>
          <w:bCs/>
          <w:lang w:val="ru-RU" w:eastAsia="en-GB"/>
        </w:rPr>
        <w:t xml:space="preserve">: </w:t>
      </w:r>
      <w:hyperlink r:id="rId10" w:history="1">
        <w:r w:rsidR="00E11144" w:rsidRPr="00B623C0">
          <w:rPr>
            <w:rFonts w:ascii="Times New Roman" w:eastAsia="Times New Roman" w:hAnsi="Times New Roman" w:cs="Times New Roman"/>
            <w:vanish/>
            <w:color w:val="195591"/>
            <w:sz w:val="22"/>
            <w:szCs w:val="22"/>
            <w:lang w:eastAsia="en-GB"/>
          </w:rPr>
          <w:t>See</w:t>
        </w:r>
        <w:r w:rsidR="00E11144" w:rsidRPr="00263E89">
          <w:rPr>
            <w:rFonts w:ascii="Times New Roman" w:eastAsia="Times New Roman" w:hAnsi="Times New Roman" w:cs="Times New Roman"/>
            <w:vanish/>
            <w:color w:val="195591"/>
            <w:sz w:val="22"/>
            <w:szCs w:val="22"/>
            <w:lang w:val="ru-RU" w:eastAsia="en-GB"/>
          </w:rPr>
          <w:t xml:space="preserve"> </w:t>
        </w:r>
        <w:r w:rsidR="00E11144" w:rsidRPr="00B623C0">
          <w:rPr>
            <w:rFonts w:ascii="Times New Roman" w:eastAsia="Times New Roman" w:hAnsi="Times New Roman" w:cs="Times New Roman"/>
            <w:vanish/>
            <w:color w:val="195591"/>
            <w:sz w:val="22"/>
            <w:szCs w:val="22"/>
            <w:lang w:eastAsia="en-GB"/>
          </w:rPr>
          <w:t>all</w:t>
        </w:r>
        <w:r w:rsidR="00E11144" w:rsidRPr="00263E89">
          <w:rPr>
            <w:rFonts w:ascii="Times New Roman" w:eastAsia="Times New Roman" w:hAnsi="Times New Roman" w:cs="Times New Roman"/>
            <w:vanish/>
            <w:color w:val="195591"/>
            <w:sz w:val="22"/>
            <w:szCs w:val="22"/>
            <w:lang w:val="ru-RU" w:eastAsia="en-GB"/>
          </w:rPr>
          <w:t xml:space="preserve"> </w:t>
        </w:r>
        <w:r w:rsidR="00E11144" w:rsidRPr="00B623C0">
          <w:rPr>
            <w:rFonts w:ascii="Times New Roman" w:eastAsia="Times New Roman" w:hAnsi="Times New Roman" w:cs="Times New Roman"/>
            <w:vanish/>
            <w:color w:val="195591"/>
            <w:sz w:val="22"/>
            <w:szCs w:val="22"/>
            <w:lang w:eastAsia="en-GB"/>
          </w:rPr>
          <w:t>articles</w:t>
        </w:r>
        <w:r w:rsidR="00E11144" w:rsidRPr="00263E89">
          <w:rPr>
            <w:rFonts w:ascii="Times New Roman" w:eastAsia="Times New Roman" w:hAnsi="Times New Roman" w:cs="Times New Roman"/>
            <w:vanish/>
            <w:color w:val="195591"/>
            <w:sz w:val="22"/>
            <w:szCs w:val="22"/>
            <w:lang w:val="ru-RU" w:eastAsia="en-GB"/>
          </w:rPr>
          <w:t xml:space="preserve"> </w:t>
        </w:r>
        <w:r w:rsidR="00E11144" w:rsidRPr="00B623C0">
          <w:rPr>
            <w:rFonts w:ascii="Times New Roman" w:eastAsia="Times New Roman" w:hAnsi="Times New Roman" w:cs="Times New Roman"/>
            <w:vanish/>
            <w:color w:val="195591"/>
            <w:sz w:val="22"/>
            <w:szCs w:val="22"/>
            <w:lang w:eastAsia="en-GB"/>
          </w:rPr>
          <w:t>of</w:t>
        </w:r>
        <w:r w:rsidR="00E11144" w:rsidRPr="00263E89">
          <w:rPr>
            <w:rFonts w:ascii="Times New Roman" w:eastAsia="Times New Roman" w:hAnsi="Times New Roman" w:cs="Times New Roman"/>
            <w:vanish/>
            <w:color w:val="195591"/>
            <w:sz w:val="22"/>
            <w:szCs w:val="22"/>
            <w:lang w:val="ru-RU" w:eastAsia="en-GB"/>
          </w:rPr>
          <w:t xml:space="preserve"> </w:t>
        </w:r>
        <w:r w:rsidR="00E11144" w:rsidRPr="00B623C0">
          <w:rPr>
            <w:rFonts w:ascii="Times New Roman" w:eastAsia="Times New Roman" w:hAnsi="Times New Roman" w:cs="Times New Roman"/>
            <w:vanish/>
            <w:color w:val="195591"/>
            <w:sz w:val="22"/>
            <w:szCs w:val="22"/>
            <w:lang w:eastAsia="en-GB"/>
          </w:rPr>
          <w:t>this</w:t>
        </w:r>
        <w:r w:rsidR="00E11144" w:rsidRPr="00263E89">
          <w:rPr>
            <w:rFonts w:ascii="Times New Roman" w:eastAsia="Times New Roman" w:hAnsi="Times New Roman" w:cs="Times New Roman"/>
            <w:vanish/>
            <w:color w:val="195591"/>
            <w:sz w:val="22"/>
            <w:szCs w:val="22"/>
            <w:lang w:val="ru-RU" w:eastAsia="en-GB"/>
          </w:rPr>
          <w:t xml:space="preserve"> </w:t>
        </w:r>
        <w:r w:rsidR="00E11144" w:rsidRPr="00B623C0">
          <w:rPr>
            <w:rFonts w:ascii="Times New Roman" w:eastAsia="Times New Roman" w:hAnsi="Times New Roman" w:cs="Times New Roman"/>
            <w:vanish/>
            <w:color w:val="195591"/>
            <w:sz w:val="22"/>
            <w:szCs w:val="22"/>
            <w:lang w:eastAsia="en-GB"/>
          </w:rPr>
          <w:t>issue</w:t>
        </w:r>
      </w:hyperlink>
    </w:p>
    <w:p w14:paraId="607F8F50" w14:textId="6639A2AB" w:rsidR="00BB2133" w:rsidRPr="00BB2133" w:rsidRDefault="00BB2133" w:rsidP="00E11144">
      <w:pPr>
        <w:jc w:val="both"/>
        <w:rPr>
          <w:rFonts w:ascii="Times New Roman" w:eastAsia="Times New Roman" w:hAnsi="Times New Roman" w:cs="Times New Roman"/>
          <w:color w:val="195591"/>
          <w:lang w:val="ru-RU" w:eastAsia="en-GB"/>
        </w:rPr>
      </w:pPr>
      <w:r w:rsidRPr="00BB2133">
        <w:rPr>
          <w:rFonts w:ascii="Times New Roman" w:eastAsia="Times New Roman" w:hAnsi="Times New Roman" w:cs="Times New Roman"/>
          <w:color w:val="195591"/>
          <w:lang w:val="ru-RU" w:eastAsia="en-GB"/>
        </w:rPr>
        <w:t xml:space="preserve">В 2016 году местное правительство предложило пересмотреть план землепользования для города Сарпсборга в Норвегии. Пересмотр включал предложения по новому городскому развитию и уплотнению существующих жилых районов (от малоэтажного жилья до многоквартирных домов) с целью размещения роста населения города на 40% в течение следующего десятилетия. Серьезная проблема, с которой они столкнулись, </w:t>
      </w:r>
      <w:r>
        <w:rPr>
          <w:rFonts w:ascii="Times New Roman" w:eastAsia="Times New Roman" w:hAnsi="Times New Roman" w:cs="Times New Roman"/>
          <w:color w:val="195591"/>
          <w:lang w:val="ru-RU" w:eastAsia="en-GB"/>
        </w:rPr>
        <w:t xml:space="preserve">была </w:t>
      </w:r>
      <w:r w:rsidRPr="00BB2133">
        <w:rPr>
          <w:rFonts w:ascii="Times New Roman" w:eastAsia="Times New Roman" w:hAnsi="Times New Roman" w:cs="Times New Roman"/>
          <w:color w:val="195591"/>
          <w:lang w:val="ru-RU" w:eastAsia="en-GB"/>
        </w:rPr>
        <w:t xml:space="preserve">связана с существующим опасным объектом, расположенным на территории города, - целлюлозным заводом </w:t>
      </w:r>
      <w:r w:rsidRPr="00BB2133">
        <w:rPr>
          <w:rFonts w:ascii="Times New Roman" w:eastAsia="Times New Roman" w:hAnsi="Times New Roman" w:cs="Times New Roman"/>
          <w:color w:val="195591"/>
          <w:lang w:val="en-AU" w:eastAsia="en-GB"/>
        </w:rPr>
        <w:t>Borregaard</w:t>
      </w:r>
      <w:r w:rsidRPr="00BB2133">
        <w:rPr>
          <w:rFonts w:ascii="Times New Roman" w:eastAsia="Times New Roman" w:hAnsi="Times New Roman" w:cs="Times New Roman"/>
          <w:color w:val="195591"/>
          <w:lang w:val="ru-RU" w:eastAsia="en-GB"/>
        </w:rPr>
        <w:t>, на котором используется большое количество диоксида серы. Если</w:t>
      </w:r>
      <w:r>
        <w:rPr>
          <w:rFonts w:ascii="Times New Roman" w:eastAsia="Times New Roman" w:hAnsi="Times New Roman" w:cs="Times New Roman"/>
          <w:color w:val="195591"/>
          <w:lang w:val="ru-RU" w:eastAsia="en-GB"/>
        </w:rPr>
        <w:t xml:space="preserve"> бы</w:t>
      </w:r>
      <w:r w:rsidRPr="00BB2133">
        <w:rPr>
          <w:rFonts w:ascii="Times New Roman" w:eastAsia="Times New Roman" w:hAnsi="Times New Roman" w:cs="Times New Roman"/>
          <w:color w:val="195591"/>
          <w:lang w:val="ru-RU" w:eastAsia="en-GB"/>
        </w:rPr>
        <w:t xml:space="preserve"> произо</w:t>
      </w:r>
      <w:r>
        <w:rPr>
          <w:rFonts w:ascii="Times New Roman" w:eastAsia="Times New Roman" w:hAnsi="Times New Roman" w:cs="Times New Roman"/>
          <w:color w:val="195591"/>
          <w:lang w:val="ru-RU" w:eastAsia="en-GB"/>
        </w:rPr>
        <w:t>шла</w:t>
      </w:r>
      <w:r w:rsidRPr="00BB2133">
        <w:rPr>
          <w:rFonts w:ascii="Times New Roman" w:eastAsia="Times New Roman" w:hAnsi="Times New Roman" w:cs="Times New Roman"/>
          <w:color w:val="195591"/>
          <w:lang w:val="ru-RU" w:eastAsia="en-GB"/>
        </w:rPr>
        <w:t xml:space="preserve"> авария, токсичный газ мо</w:t>
      </w:r>
      <w:r>
        <w:rPr>
          <w:rFonts w:ascii="Times New Roman" w:eastAsia="Times New Roman" w:hAnsi="Times New Roman" w:cs="Times New Roman"/>
          <w:color w:val="195591"/>
          <w:lang w:val="ru-RU" w:eastAsia="en-GB"/>
        </w:rPr>
        <w:t>г бы</w:t>
      </w:r>
      <w:r w:rsidRPr="00BB2133">
        <w:rPr>
          <w:rFonts w:ascii="Times New Roman" w:eastAsia="Times New Roman" w:hAnsi="Times New Roman" w:cs="Times New Roman"/>
          <w:color w:val="195591"/>
          <w:lang w:val="ru-RU" w:eastAsia="en-GB"/>
        </w:rPr>
        <w:t xml:space="preserve"> оказать значительное воздействие на здоровье населения близлежащих городских районов. Поэтому было принято решение о введении новых зон рассмотрения в существующих жилых массивах и вовлечении в этот процесс населения. В Норвегии имеется ряд нормативных актов, обеспечивающих учет вопросов безопасности населения вокруг опасных промышленных объектов, включая Закон о планировании и строительстве и Закон о предотвращении пожаров и взрывов. Эти два закона являются правовой основой национальной политики в области размещения опасных объектов, созданной в соответствии со статьей 7 Конвенции ЕЭК ООН о промышленных авариях, касающейся принятия решений о размещении. Город Сарпсборг </w:t>
      </w:r>
      <w:r w:rsidR="007736EC">
        <w:rPr>
          <w:rFonts w:ascii="Times New Roman" w:eastAsia="Times New Roman" w:hAnsi="Times New Roman" w:cs="Times New Roman"/>
          <w:color w:val="195591"/>
          <w:lang w:val="ru-RU" w:eastAsia="en-GB"/>
        </w:rPr>
        <w:t>стремился</w:t>
      </w:r>
      <w:r w:rsidRPr="00BB2133">
        <w:rPr>
          <w:rFonts w:ascii="Times New Roman" w:eastAsia="Times New Roman" w:hAnsi="Times New Roman" w:cs="Times New Roman"/>
          <w:color w:val="195591"/>
          <w:lang w:val="ru-RU" w:eastAsia="en-GB"/>
        </w:rPr>
        <w:t xml:space="preserve"> укреп</w:t>
      </w:r>
      <w:r w:rsidR="007736EC">
        <w:rPr>
          <w:rFonts w:ascii="Times New Roman" w:eastAsia="Times New Roman" w:hAnsi="Times New Roman" w:cs="Times New Roman"/>
          <w:color w:val="195591"/>
          <w:lang w:val="ru-RU" w:eastAsia="en-GB"/>
        </w:rPr>
        <w:t>ить</w:t>
      </w:r>
      <w:r w:rsidRPr="00BB2133">
        <w:rPr>
          <w:rFonts w:ascii="Times New Roman" w:eastAsia="Times New Roman" w:hAnsi="Times New Roman" w:cs="Times New Roman"/>
          <w:color w:val="195591"/>
          <w:lang w:val="ru-RU" w:eastAsia="en-GB"/>
        </w:rPr>
        <w:t xml:space="preserve"> свои процедур</w:t>
      </w:r>
      <w:r w:rsidR="007736EC">
        <w:rPr>
          <w:rFonts w:ascii="Times New Roman" w:eastAsia="Times New Roman" w:hAnsi="Times New Roman" w:cs="Times New Roman"/>
          <w:color w:val="195591"/>
          <w:lang w:val="ru-RU" w:eastAsia="en-GB"/>
        </w:rPr>
        <w:t>ы</w:t>
      </w:r>
      <w:r w:rsidRPr="00BB2133">
        <w:rPr>
          <w:rFonts w:ascii="Times New Roman" w:eastAsia="Times New Roman" w:hAnsi="Times New Roman" w:cs="Times New Roman"/>
          <w:color w:val="195591"/>
          <w:lang w:val="ru-RU" w:eastAsia="en-GB"/>
        </w:rPr>
        <w:t xml:space="preserve"> планирования путем активного вовлечения общественности и других заинтересованных сторон в этот процесс, </w:t>
      </w:r>
      <w:r w:rsidR="007736EC">
        <w:rPr>
          <w:rFonts w:ascii="Times New Roman" w:eastAsia="Times New Roman" w:hAnsi="Times New Roman" w:cs="Times New Roman"/>
          <w:color w:val="195591"/>
          <w:lang w:val="ru-RU" w:eastAsia="en-GB"/>
        </w:rPr>
        <w:t xml:space="preserve">путем </w:t>
      </w:r>
      <w:r w:rsidRPr="00BB2133">
        <w:rPr>
          <w:rFonts w:ascii="Times New Roman" w:eastAsia="Times New Roman" w:hAnsi="Times New Roman" w:cs="Times New Roman"/>
          <w:color w:val="195591"/>
          <w:lang w:val="ru-RU" w:eastAsia="en-GB"/>
        </w:rPr>
        <w:t>своевременного предоставления четкой информации, а также заслушивания мнений общественности и реагирования на них.</w:t>
      </w:r>
    </w:p>
    <w:p w14:paraId="12613DD2" w14:textId="4E1A48B6" w:rsidR="007736EC" w:rsidRPr="007736EC" w:rsidRDefault="007736EC" w:rsidP="00E11144">
      <w:pPr>
        <w:jc w:val="both"/>
        <w:rPr>
          <w:rFonts w:ascii="Times New Roman" w:eastAsia="Times New Roman" w:hAnsi="Times New Roman" w:cs="Times New Roman"/>
          <w:color w:val="195591"/>
          <w:lang w:val="ru-RU" w:eastAsia="en-GB"/>
        </w:rPr>
      </w:pPr>
      <w:r w:rsidRPr="007736EC">
        <w:rPr>
          <w:rFonts w:ascii="Times New Roman" w:eastAsia="Times New Roman" w:hAnsi="Times New Roman" w:cs="Times New Roman"/>
          <w:color w:val="195591"/>
          <w:lang w:val="ru-RU" w:eastAsia="en-GB"/>
        </w:rPr>
        <w:t xml:space="preserve">Основные извлеченные уроки: В данном случае было признано, что длительный и прозрачный процесс планирования и участия общественности привел к положительным результатам в отношениях между представителями общественности, заинтересованными сторонами, промышленными операторами, разработчиками и правительством. В процессе </w:t>
      </w:r>
      <w:r w:rsidRPr="007736EC">
        <w:rPr>
          <w:rFonts w:ascii="Times New Roman" w:eastAsia="Times New Roman" w:hAnsi="Times New Roman" w:cs="Times New Roman"/>
          <w:color w:val="195591"/>
          <w:lang w:val="ru-RU" w:eastAsia="en-GB"/>
        </w:rPr>
        <w:lastRenderedPageBreak/>
        <w:t>планирования представители общественности города Сарпсборга активно участвовали в определении преимуществ и недостатков проекта плана землепользования и предлагаемых работ</w:t>
      </w:r>
      <w:r>
        <w:rPr>
          <w:rFonts w:ascii="Times New Roman" w:eastAsia="Times New Roman" w:hAnsi="Times New Roman" w:cs="Times New Roman"/>
          <w:color w:val="195591"/>
          <w:lang w:val="ru-RU" w:eastAsia="en-GB"/>
        </w:rPr>
        <w:t xml:space="preserve"> по </w:t>
      </w:r>
      <w:r w:rsidRPr="007736EC">
        <w:rPr>
          <w:rFonts w:ascii="Times New Roman" w:eastAsia="Times New Roman" w:hAnsi="Times New Roman" w:cs="Times New Roman"/>
          <w:color w:val="195591"/>
          <w:lang w:val="ru-RU" w:eastAsia="en-GB"/>
        </w:rPr>
        <w:t xml:space="preserve">городскому развитию, а также играли активную роль в обеспечении более безопасной окружающей среды вблизи опасного промышленного объекта. Этот процесс и вклад общественности имели решающее значение для достижения устойчивого управления землепользованием в долгосрочной перспективе в соответствии с </w:t>
      </w:r>
      <w:r>
        <w:rPr>
          <w:rFonts w:ascii="Times New Roman" w:eastAsia="Times New Roman" w:hAnsi="Times New Roman" w:cs="Times New Roman"/>
          <w:color w:val="195591"/>
          <w:lang w:val="ru-RU" w:eastAsia="en-GB"/>
        </w:rPr>
        <w:t>ЦУР</w:t>
      </w:r>
      <w:r w:rsidRPr="007736EC">
        <w:rPr>
          <w:rFonts w:ascii="Times New Roman" w:eastAsia="Times New Roman" w:hAnsi="Times New Roman" w:cs="Times New Roman"/>
          <w:color w:val="195591"/>
          <w:lang w:val="ru-RU" w:eastAsia="en-GB"/>
        </w:rPr>
        <w:t xml:space="preserve"> 3, 11 и 16, Сендайской рамочной программой по снижению риска бедствий и соответствующими </w:t>
      </w:r>
      <w:r>
        <w:rPr>
          <w:rFonts w:ascii="Times New Roman" w:eastAsia="Times New Roman" w:hAnsi="Times New Roman" w:cs="Times New Roman"/>
          <w:color w:val="195591"/>
          <w:lang w:val="ru-RU" w:eastAsia="en-GB"/>
        </w:rPr>
        <w:t>инструментами</w:t>
      </w:r>
      <w:r w:rsidRPr="007736EC">
        <w:rPr>
          <w:rFonts w:ascii="Times New Roman" w:eastAsia="Times New Roman" w:hAnsi="Times New Roman" w:cs="Times New Roman"/>
          <w:color w:val="195591"/>
          <w:lang w:val="ru-RU" w:eastAsia="en-GB"/>
        </w:rPr>
        <w:t xml:space="preserve"> ЕЭК ООН. </w:t>
      </w:r>
    </w:p>
    <w:p w14:paraId="5C75C837" w14:textId="25FE4DAC" w:rsidR="00E11144" w:rsidRPr="00B54D03" w:rsidRDefault="00E11144" w:rsidP="00E11144">
      <w:pPr>
        <w:jc w:val="both"/>
        <w:rPr>
          <w:rFonts w:ascii="Times New Roman" w:eastAsia="Times New Roman" w:hAnsi="Times New Roman" w:cs="Times New Roman"/>
          <w:color w:val="195591"/>
          <w:lang w:val="ru-RU" w:eastAsia="en-GB"/>
        </w:rPr>
      </w:pPr>
    </w:p>
    <w:p w14:paraId="27F6834C" w14:textId="77777777" w:rsidR="007736EC" w:rsidRPr="00B54D03" w:rsidRDefault="007736EC" w:rsidP="00E11144">
      <w:pPr>
        <w:jc w:val="both"/>
        <w:rPr>
          <w:rFonts w:ascii="Times New Roman" w:eastAsia="Times New Roman" w:hAnsi="Times New Roman" w:cs="Times New Roman"/>
          <w:color w:val="195591"/>
          <w:lang w:val="ru-RU" w:eastAsia="en-GB"/>
        </w:rPr>
      </w:pPr>
    </w:p>
    <w:p w14:paraId="7913C47B" w14:textId="708173D7" w:rsidR="00B52960" w:rsidRPr="00B54D03" w:rsidRDefault="007736EC" w:rsidP="006C1996">
      <w:pPr>
        <w:snapToGrid w:val="0"/>
        <w:rPr>
          <w:rFonts w:ascii="OpenSans-Bold" w:eastAsia="Times New Roman" w:hAnsi="OpenSans-Bold" w:cs="OpenSans-Bold"/>
          <w:b/>
          <w:bCs/>
          <w:lang w:val="ru-RU" w:eastAsia="en-GB"/>
        </w:rPr>
      </w:pPr>
      <w:r w:rsidRPr="007736EC">
        <w:rPr>
          <w:rFonts w:ascii="OpenSans-Bold" w:eastAsia="Times New Roman" w:hAnsi="OpenSans-Bold" w:cs="OpenSans-Bold"/>
          <w:b/>
          <w:bCs/>
          <w:lang w:val="ru-RU" w:eastAsia="en-GB"/>
        </w:rPr>
        <w:t>Веб</w:t>
      </w:r>
      <w:r w:rsidRPr="00B54D03">
        <w:rPr>
          <w:rFonts w:ascii="OpenSans-Bold" w:eastAsia="Times New Roman" w:hAnsi="OpenSans-Bold" w:cs="OpenSans-Bold"/>
          <w:b/>
          <w:bCs/>
          <w:lang w:val="ru-RU" w:eastAsia="en-GB"/>
        </w:rPr>
        <w:t>-</w:t>
      </w:r>
      <w:r w:rsidRPr="007736EC">
        <w:rPr>
          <w:rFonts w:ascii="OpenSans-Bold" w:eastAsia="Times New Roman" w:hAnsi="OpenSans-Bold" w:cs="OpenSans-Bold"/>
          <w:b/>
          <w:bCs/>
          <w:lang w:val="ru-RU" w:eastAsia="en-GB"/>
        </w:rPr>
        <w:t>ссылки</w:t>
      </w:r>
      <w:r w:rsidR="00E11144" w:rsidRPr="00B54D03">
        <w:rPr>
          <w:rFonts w:ascii="OpenSans-Bold" w:eastAsia="Times New Roman" w:hAnsi="OpenSans-Bold" w:cs="OpenSans-Bold"/>
          <w:b/>
          <w:bCs/>
          <w:lang w:val="ru-RU" w:eastAsia="en-GB"/>
        </w:rPr>
        <w:t xml:space="preserve">: </w:t>
      </w:r>
      <w:hyperlink r:id="rId11" w:history="1">
        <w:r w:rsidRPr="007736EC">
          <w:rPr>
            <w:rStyle w:val="Hyperlink"/>
            <w:rFonts w:ascii="Times New Roman" w:eastAsia="Times New Roman" w:hAnsi="Times New Roman" w:cs="Times New Roman"/>
            <w:lang w:val="ru-RU" w:eastAsia="en-GB"/>
          </w:rPr>
          <w:t>Презентация</w:t>
        </w:r>
        <w:r w:rsidRPr="00B54D03">
          <w:rPr>
            <w:rStyle w:val="Hyperlink"/>
            <w:rFonts w:ascii="Times New Roman" w:eastAsia="Times New Roman" w:hAnsi="Times New Roman" w:cs="Times New Roman"/>
            <w:lang w:val="ru-RU" w:eastAsia="en-GB"/>
          </w:rPr>
          <w:t xml:space="preserve"> </w:t>
        </w:r>
        <w:r w:rsidRPr="007736EC">
          <w:rPr>
            <w:rStyle w:val="Hyperlink"/>
            <w:rFonts w:ascii="Times New Roman" w:eastAsia="Times New Roman" w:hAnsi="Times New Roman" w:cs="Times New Roman"/>
            <w:lang w:val="ru-RU" w:eastAsia="en-GB"/>
          </w:rPr>
          <w:t>Директората</w:t>
        </w:r>
      </w:hyperlink>
      <w:r w:rsidRPr="00B54D03">
        <w:rPr>
          <w:rFonts w:ascii="Times New Roman" w:eastAsia="Times New Roman" w:hAnsi="Times New Roman" w:cs="Times New Roman"/>
          <w:color w:val="195591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color w:val="195591"/>
          <w:lang w:val="ru-RU" w:eastAsia="en-GB"/>
        </w:rPr>
        <w:t>Норвегии</w:t>
      </w:r>
      <w:r w:rsidRPr="00B54D03">
        <w:rPr>
          <w:rFonts w:ascii="Times New Roman" w:eastAsia="Times New Roman" w:hAnsi="Times New Roman" w:cs="Times New Roman"/>
          <w:color w:val="195591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color w:val="195591"/>
          <w:lang w:val="ru-RU" w:eastAsia="en-GB"/>
        </w:rPr>
        <w:t>на</w:t>
      </w:r>
      <w:r w:rsidRPr="00B54D03">
        <w:rPr>
          <w:rFonts w:ascii="Times New Roman" w:eastAsia="Times New Roman" w:hAnsi="Times New Roman" w:cs="Times New Roman"/>
          <w:color w:val="195591"/>
          <w:lang w:val="ru-RU" w:eastAsia="en-GB"/>
        </w:rPr>
        <w:t xml:space="preserve"> </w:t>
      </w:r>
      <w:hyperlink r:id="rId12" w:history="1">
        <w:r w:rsidRPr="007736EC">
          <w:rPr>
            <w:rStyle w:val="Hyperlink"/>
            <w:rFonts w:ascii="Times New Roman" w:eastAsia="Times New Roman" w:hAnsi="Times New Roman" w:cs="Times New Roman"/>
            <w:lang w:val="ru-RU" w:eastAsia="en-GB"/>
          </w:rPr>
          <w:t>Семинаре</w:t>
        </w:r>
        <w:r w:rsidRPr="00B54D03">
          <w:rPr>
            <w:rStyle w:val="Hyperlink"/>
            <w:rFonts w:ascii="Times New Roman" w:eastAsia="Times New Roman" w:hAnsi="Times New Roman" w:cs="Times New Roman"/>
            <w:lang w:val="ru-RU" w:eastAsia="en-GB"/>
          </w:rPr>
          <w:t xml:space="preserve"> </w:t>
        </w:r>
        <w:r w:rsidRPr="007736EC">
          <w:rPr>
            <w:rStyle w:val="Hyperlink"/>
            <w:rFonts w:ascii="Times New Roman" w:eastAsia="Times New Roman" w:hAnsi="Times New Roman" w:cs="Times New Roman"/>
            <w:lang w:val="ru-RU" w:eastAsia="en-GB"/>
          </w:rPr>
          <w:t>ЕЭК</w:t>
        </w:r>
        <w:r w:rsidRPr="00B54D03">
          <w:rPr>
            <w:rStyle w:val="Hyperlink"/>
            <w:rFonts w:ascii="Times New Roman" w:eastAsia="Times New Roman" w:hAnsi="Times New Roman" w:cs="Times New Roman"/>
            <w:lang w:val="ru-RU" w:eastAsia="en-GB"/>
          </w:rPr>
          <w:t xml:space="preserve"> </w:t>
        </w:r>
        <w:r w:rsidRPr="007736EC">
          <w:rPr>
            <w:rStyle w:val="Hyperlink"/>
            <w:rFonts w:ascii="Times New Roman" w:eastAsia="Times New Roman" w:hAnsi="Times New Roman" w:cs="Times New Roman"/>
            <w:lang w:val="ru-RU" w:eastAsia="en-GB"/>
          </w:rPr>
          <w:t>ООН</w:t>
        </w:r>
        <w:r w:rsidRPr="00B54D03">
          <w:rPr>
            <w:rStyle w:val="Hyperlink"/>
            <w:rFonts w:ascii="Times New Roman" w:eastAsia="Times New Roman" w:hAnsi="Times New Roman" w:cs="Times New Roman"/>
            <w:lang w:val="ru-RU" w:eastAsia="en-GB"/>
          </w:rPr>
          <w:t xml:space="preserve"> </w:t>
        </w:r>
        <w:r w:rsidRPr="007736EC">
          <w:rPr>
            <w:rStyle w:val="Hyperlink"/>
            <w:rFonts w:ascii="Times New Roman" w:eastAsia="Times New Roman" w:hAnsi="Times New Roman" w:cs="Times New Roman"/>
            <w:lang w:val="ru-RU" w:eastAsia="en-GB"/>
          </w:rPr>
          <w:t>по</w:t>
        </w:r>
        <w:r w:rsidRPr="00B54D03">
          <w:rPr>
            <w:rStyle w:val="Hyperlink"/>
            <w:rFonts w:ascii="Times New Roman" w:eastAsia="Times New Roman" w:hAnsi="Times New Roman" w:cs="Times New Roman"/>
            <w:lang w:val="ru-RU" w:eastAsia="en-GB"/>
          </w:rPr>
          <w:t xml:space="preserve"> </w:t>
        </w:r>
        <w:r w:rsidRPr="007736EC">
          <w:rPr>
            <w:rStyle w:val="Hyperlink"/>
            <w:rFonts w:ascii="Times New Roman" w:eastAsia="Times New Roman" w:hAnsi="Times New Roman" w:cs="Times New Roman"/>
            <w:lang w:val="ru-RU" w:eastAsia="en-GB"/>
          </w:rPr>
          <w:t>планированию</w:t>
        </w:r>
        <w:r w:rsidRPr="00B54D03">
          <w:rPr>
            <w:rStyle w:val="Hyperlink"/>
            <w:rFonts w:ascii="Times New Roman" w:eastAsia="Times New Roman" w:hAnsi="Times New Roman" w:cs="Times New Roman"/>
            <w:lang w:val="ru-RU" w:eastAsia="en-GB"/>
          </w:rPr>
          <w:t xml:space="preserve"> </w:t>
        </w:r>
        <w:r w:rsidRPr="007736EC">
          <w:rPr>
            <w:rStyle w:val="Hyperlink"/>
            <w:rFonts w:ascii="Times New Roman" w:eastAsia="Times New Roman" w:hAnsi="Times New Roman" w:cs="Times New Roman"/>
            <w:lang w:val="ru-RU" w:eastAsia="en-GB"/>
          </w:rPr>
          <w:t>землепользования</w:t>
        </w:r>
        <w:r w:rsidRPr="00B54D03">
          <w:rPr>
            <w:rStyle w:val="Hyperlink"/>
            <w:rFonts w:ascii="Times New Roman" w:eastAsia="Times New Roman" w:hAnsi="Times New Roman" w:cs="Times New Roman"/>
            <w:lang w:val="ru-RU" w:eastAsia="en-GB"/>
          </w:rPr>
          <w:t xml:space="preserve"> </w:t>
        </w:r>
        <w:r w:rsidRPr="007736EC">
          <w:rPr>
            <w:rStyle w:val="Hyperlink"/>
            <w:rFonts w:ascii="Times New Roman" w:eastAsia="Times New Roman" w:hAnsi="Times New Roman" w:cs="Times New Roman"/>
            <w:lang w:val="ru-RU" w:eastAsia="en-GB"/>
          </w:rPr>
          <w:t>и</w:t>
        </w:r>
        <w:r w:rsidRPr="00B54D03">
          <w:rPr>
            <w:rStyle w:val="Hyperlink"/>
            <w:rFonts w:ascii="Times New Roman" w:eastAsia="Times New Roman" w:hAnsi="Times New Roman" w:cs="Times New Roman"/>
            <w:lang w:val="ru-RU" w:eastAsia="en-GB"/>
          </w:rPr>
          <w:t xml:space="preserve"> </w:t>
        </w:r>
        <w:r w:rsidRPr="007736EC">
          <w:rPr>
            <w:rStyle w:val="Hyperlink"/>
            <w:rFonts w:ascii="Times New Roman" w:eastAsia="Times New Roman" w:hAnsi="Times New Roman" w:cs="Times New Roman"/>
            <w:lang w:val="ru-RU" w:eastAsia="en-GB"/>
          </w:rPr>
          <w:t>промышленной</w:t>
        </w:r>
        <w:r w:rsidRPr="00B54D03">
          <w:rPr>
            <w:rStyle w:val="Hyperlink"/>
            <w:rFonts w:ascii="Times New Roman" w:eastAsia="Times New Roman" w:hAnsi="Times New Roman" w:cs="Times New Roman"/>
            <w:lang w:val="ru-RU" w:eastAsia="en-GB"/>
          </w:rPr>
          <w:t xml:space="preserve"> </w:t>
        </w:r>
        <w:r w:rsidRPr="007736EC">
          <w:rPr>
            <w:rStyle w:val="Hyperlink"/>
            <w:rFonts w:ascii="Times New Roman" w:eastAsia="Times New Roman" w:hAnsi="Times New Roman" w:cs="Times New Roman"/>
            <w:lang w:val="ru-RU" w:eastAsia="en-GB"/>
          </w:rPr>
          <w:t>безопасности</w:t>
        </w:r>
      </w:hyperlink>
      <w:r w:rsidRPr="00B54D03">
        <w:rPr>
          <w:rFonts w:ascii="Times New Roman" w:eastAsia="Times New Roman" w:hAnsi="Times New Roman" w:cs="Times New Roman"/>
          <w:color w:val="195591"/>
          <w:lang w:val="ru-RU" w:eastAsia="en-GB"/>
        </w:rPr>
        <w:t xml:space="preserve">, Мехелен, Бельгия, 2018 год </w:t>
      </w:r>
    </w:p>
    <w:sectPr w:rsidR="00B52960" w:rsidRPr="00B54D03" w:rsidSect="00970375">
      <w:headerReference w:type="default" r:id="rId13"/>
      <w:pgSz w:w="11900" w:h="16840"/>
      <w:pgMar w:top="1622" w:right="1246" w:bottom="107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8A44F" w14:textId="77777777" w:rsidR="001F34CA" w:rsidRDefault="001F34CA" w:rsidP="00DA0C09">
      <w:r>
        <w:separator/>
      </w:r>
    </w:p>
  </w:endnote>
  <w:endnote w:type="continuationSeparator" w:id="0">
    <w:p w14:paraId="443E1AF9" w14:textId="77777777" w:rsidR="001F34CA" w:rsidRDefault="001F34CA" w:rsidP="00DA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tima LT Std Medium">
    <w:altName w:val="Calibri"/>
    <w:charset w:val="00"/>
    <w:family w:val="auto"/>
    <w:pitch w:val="variable"/>
    <w:sig w:usb0="80000067" w:usb1="00000000" w:usb2="00000000" w:usb3="00000000" w:csb0="00000001" w:csb1="00000000"/>
  </w:font>
  <w:font w:name="OpenSans-Bold">
    <w:altName w:val="Calibr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E5117" w14:textId="77777777" w:rsidR="001F34CA" w:rsidRDefault="001F34CA" w:rsidP="00DA0C09">
      <w:r>
        <w:separator/>
      </w:r>
    </w:p>
  </w:footnote>
  <w:footnote w:type="continuationSeparator" w:id="0">
    <w:p w14:paraId="030D81F1" w14:textId="77777777" w:rsidR="001F34CA" w:rsidRDefault="001F34CA" w:rsidP="00DA0C09">
      <w:r>
        <w:continuationSeparator/>
      </w:r>
    </w:p>
  </w:footnote>
  <w:footnote w:id="1">
    <w:p w14:paraId="0B89997B" w14:textId="77777777" w:rsidR="002D0B7A" w:rsidRPr="002D0B7A" w:rsidRDefault="002D0B7A" w:rsidP="002D0B7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D0B7A">
        <w:rPr>
          <w:lang w:val="ru-RU"/>
        </w:rPr>
        <w:t xml:space="preserve"> </w:t>
      </w:r>
      <w:r w:rsidRPr="00B54D03">
        <w:rPr>
          <w:lang w:val="ru-RU"/>
        </w:rPr>
        <w:t>Проекты, которые относятся к предложениям по развитию (или изменениям к ним) на конкретном объекте, например, решения о том, давать или не давать разрешение на развитие опасного промышленного/химического объекта в определенном месте</w:t>
      </w:r>
    </w:p>
  </w:footnote>
  <w:footnote w:id="2">
    <w:p w14:paraId="5D13A8F9" w14:textId="2946BE44" w:rsidR="00A77FFD" w:rsidRPr="00A77FFD" w:rsidRDefault="00A77FF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77FFD">
        <w:rPr>
          <w:lang w:val="ru-RU"/>
        </w:rPr>
        <w:t xml:space="preserve"> Конвенция о трансграничном воздействии промышленных аварий определяет "опасную деятельность" как "любую деятельность, в </w:t>
      </w:r>
      <w:r>
        <w:rPr>
          <w:lang w:val="ru-RU"/>
        </w:rPr>
        <w:t xml:space="preserve">ходе </w:t>
      </w:r>
      <w:r w:rsidRPr="00A77FFD">
        <w:rPr>
          <w:lang w:val="ru-RU"/>
        </w:rPr>
        <w:t xml:space="preserve">которой одно или </w:t>
      </w:r>
      <w:r>
        <w:rPr>
          <w:lang w:val="ru-RU"/>
        </w:rPr>
        <w:t>более чем одно</w:t>
      </w:r>
      <w:r w:rsidRPr="00A77FFD">
        <w:rPr>
          <w:lang w:val="ru-RU"/>
        </w:rPr>
        <w:t xml:space="preserve"> опасн</w:t>
      </w:r>
      <w:r>
        <w:rPr>
          <w:lang w:val="ru-RU"/>
        </w:rPr>
        <w:t>ое</w:t>
      </w:r>
      <w:r w:rsidRPr="00A77FFD">
        <w:rPr>
          <w:lang w:val="ru-RU"/>
        </w:rPr>
        <w:t xml:space="preserve"> веществ</w:t>
      </w:r>
      <w:r>
        <w:rPr>
          <w:lang w:val="ru-RU"/>
        </w:rPr>
        <w:t>о</w:t>
      </w:r>
      <w:r w:rsidRPr="00A77FFD">
        <w:rPr>
          <w:lang w:val="ru-RU"/>
        </w:rPr>
        <w:t xml:space="preserve"> присутствуют или мо</w:t>
      </w:r>
      <w:r>
        <w:rPr>
          <w:lang w:val="ru-RU"/>
        </w:rPr>
        <w:t>же</w:t>
      </w:r>
      <w:r w:rsidRPr="00A77FFD">
        <w:rPr>
          <w:lang w:val="ru-RU"/>
        </w:rPr>
        <w:t>т присутствовать в количествах</w:t>
      </w:r>
      <w:r>
        <w:rPr>
          <w:lang w:val="ru-RU"/>
        </w:rPr>
        <w:t xml:space="preserve"> равных</w:t>
      </w:r>
      <w:r w:rsidRPr="00A77FFD">
        <w:rPr>
          <w:lang w:val="ru-RU"/>
        </w:rPr>
        <w:t xml:space="preserve"> или превышающих </w:t>
      </w:r>
      <w:r>
        <w:rPr>
          <w:lang w:val="ru-RU"/>
        </w:rPr>
        <w:t>предельные</w:t>
      </w:r>
      <w:r w:rsidRPr="00A77FFD">
        <w:rPr>
          <w:lang w:val="ru-RU"/>
        </w:rPr>
        <w:t xml:space="preserve"> количества, перечисленные в приложении </w:t>
      </w:r>
      <w:r w:rsidRPr="00A77FFD">
        <w:t>I</w:t>
      </w:r>
      <w:r w:rsidRPr="00A77FFD">
        <w:rPr>
          <w:lang w:val="ru-RU"/>
        </w:rPr>
        <w:t xml:space="preserve"> к настоящей Конвенции, и которая способна </w:t>
      </w:r>
      <w:r>
        <w:rPr>
          <w:lang w:val="ru-RU"/>
        </w:rPr>
        <w:t>привести к</w:t>
      </w:r>
      <w:r w:rsidRPr="00A77FFD">
        <w:rPr>
          <w:lang w:val="ru-RU"/>
        </w:rPr>
        <w:t xml:space="preserve"> трансгранично</w:t>
      </w:r>
      <w:r>
        <w:rPr>
          <w:lang w:val="ru-RU"/>
        </w:rPr>
        <w:t xml:space="preserve">му </w:t>
      </w:r>
      <w:r w:rsidRPr="00A77FFD">
        <w:rPr>
          <w:lang w:val="ru-RU"/>
        </w:rPr>
        <w:t>воздействи</w:t>
      </w:r>
      <w:r>
        <w:rPr>
          <w:lang w:val="ru-RU"/>
        </w:rPr>
        <w:t>ю</w:t>
      </w:r>
      <w:r w:rsidRPr="00A77FFD">
        <w:rPr>
          <w:lang w:val="ru-RU"/>
        </w:rPr>
        <w:t>". Промышленные/химические объекты, включенные в эт</w:t>
      </w:r>
      <w:r>
        <w:rPr>
          <w:lang w:val="ru-RU"/>
        </w:rPr>
        <w:t>от репозиторий</w:t>
      </w:r>
      <w:r w:rsidRPr="00A77FFD">
        <w:rPr>
          <w:lang w:val="ru-RU"/>
        </w:rPr>
        <w:t>, могут соответствовать этой опасной деятельности, в то время как они могут также охватывать другие химические/промышленные объекты.</w:t>
      </w:r>
    </w:p>
  </w:footnote>
  <w:footnote w:id="3">
    <w:p w14:paraId="71073D15" w14:textId="2DF93411" w:rsidR="00372455" w:rsidRPr="00B54D03" w:rsidRDefault="00777EC8" w:rsidP="00777EC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1563B">
        <w:rPr>
          <w:lang w:val="ru-RU"/>
        </w:rPr>
        <w:t xml:space="preserve"> </w:t>
      </w:r>
      <w:r w:rsidR="00372455">
        <w:rPr>
          <w:lang w:val="ru-RU"/>
        </w:rPr>
        <w:t>т.</w:t>
      </w:r>
      <w:r w:rsidR="00372455" w:rsidRPr="00372455">
        <w:rPr>
          <w:lang w:val="ru-RU"/>
        </w:rPr>
        <w:t>е</w:t>
      </w:r>
      <w:r w:rsidR="00372455">
        <w:rPr>
          <w:lang w:val="ru-RU"/>
        </w:rPr>
        <w:t>.</w:t>
      </w:r>
      <w:r w:rsidR="00372455" w:rsidRPr="00372455">
        <w:rPr>
          <w:lang w:val="ru-RU"/>
        </w:rPr>
        <w:t xml:space="preserve"> Конвенция о трансграничном воздействии промышленных аварий (Конвенция о промышленных авариях), </w:t>
      </w:r>
      <w:r w:rsidR="00372455">
        <w:rPr>
          <w:lang w:val="ru-RU"/>
        </w:rPr>
        <w:t>инструменты</w:t>
      </w:r>
      <w:r w:rsidR="00372455" w:rsidRPr="00372455">
        <w:rPr>
          <w:lang w:val="ru-RU"/>
        </w:rPr>
        <w:t xml:space="preserve">, принятые Комитетом по городскому развитию, жилищному хозяйству и землепользованию (такие, как Женевская хартия ООН по устойчивому жилищному хозяйству и </w:t>
      </w:r>
      <w:r w:rsidR="00B1563B" w:rsidRPr="00635D2C">
        <w:rPr>
          <w:lang w:val="ru-RU"/>
        </w:rPr>
        <w:t>Женевск</w:t>
      </w:r>
      <w:r w:rsidR="00B1563B">
        <w:rPr>
          <w:lang w:val="ru-RU"/>
        </w:rPr>
        <w:t xml:space="preserve">ое заявление </w:t>
      </w:r>
      <w:r w:rsidR="00B1563B" w:rsidRPr="00635D2C">
        <w:rPr>
          <w:lang w:val="ru-RU"/>
        </w:rPr>
        <w:t xml:space="preserve">министров </w:t>
      </w:r>
      <w:r w:rsidR="00B1563B">
        <w:rPr>
          <w:lang w:val="ru-RU"/>
        </w:rPr>
        <w:t>по</w:t>
      </w:r>
      <w:r w:rsidR="00B1563B" w:rsidRPr="00635D2C">
        <w:rPr>
          <w:lang w:val="ru-RU"/>
        </w:rPr>
        <w:t xml:space="preserve"> устойчивом</w:t>
      </w:r>
      <w:r w:rsidR="00B1563B">
        <w:rPr>
          <w:lang w:val="ru-RU"/>
        </w:rPr>
        <w:t>у</w:t>
      </w:r>
      <w:r w:rsidR="00B1563B" w:rsidRPr="00635D2C">
        <w:rPr>
          <w:lang w:val="ru-RU"/>
        </w:rPr>
        <w:t xml:space="preserve"> жилищном</w:t>
      </w:r>
      <w:r w:rsidR="00B1563B">
        <w:rPr>
          <w:lang w:val="ru-RU"/>
        </w:rPr>
        <w:t>у</w:t>
      </w:r>
      <w:r w:rsidR="00B1563B" w:rsidRPr="00635D2C">
        <w:rPr>
          <w:lang w:val="ru-RU"/>
        </w:rPr>
        <w:t xml:space="preserve"> хозяйств</w:t>
      </w:r>
      <w:r w:rsidR="00B1563B">
        <w:rPr>
          <w:lang w:val="ru-RU"/>
        </w:rPr>
        <w:t>у</w:t>
      </w:r>
      <w:r w:rsidR="00B1563B" w:rsidRPr="00635D2C">
        <w:rPr>
          <w:lang w:val="ru-RU"/>
        </w:rPr>
        <w:t xml:space="preserve"> и городском</w:t>
      </w:r>
      <w:r w:rsidR="00B1563B">
        <w:rPr>
          <w:lang w:val="ru-RU"/>
        </w:rPr>
        <w:t>у</w:t>
      </w:r>
      <w:r w:rsidR="00B1563B" w:rsidRPr="00635D2C">
        <w:rPr>
          <w:lang w:val="ru-RU"/>
        </w:rPr>
        <w:t xml:space="preserve"> развити</w:t>
      </w:r>
      <w:r w:rsidR="00B1563B">
        <w:rPr>
          <w:lang w:val="ru-RU"/>
        </w:rPr>
        <w:t>ю</w:t>
      </w:r>
      <w:r w:rsidR="00372455" w:rsidRPr="00372455">
        <w:rPr>
          <w:lang w:val="ru-RU"/>
        </w:rPr>
        <w:t>), Конвенция об оценке окружающей среды в трансграничном контексте (Конвенция Эспо), Протокол по стратегической экологической оценке (Протокол по СЭО) и Конвенция о доступе к информации, участии общественности в процессе принятия решений и доступе к правосудию по вопросам, касающимся окружающей среды (Орхусская конвенция), и ее Протокол о регистрах выбросов и переноса загрязнителей (Протокол о РВПЗ).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6CB29" w14:textId="18932873" w:rsidR="00105003" w:rsidRDefault="00105003">
    <w:pPr>
      <w:pStyle w:val="Header"/>
    </w:pPr>
    <w:r w:rsidRPr="00105003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D85F91C" wp14:editId="6977ECC2">
          <wp:simplePos x="0" y="0"/>
          <wp:positionH relativeFrom="column">
            <wp:posOffset>3740785</wp:posOffset>
          </wp:positionH>
          <wp:positionV relativeFrom="paragraph">
            <wp:posOffset>45085</wp:posOffset>
          </wp:positionV>
          <wp:extent cx="1286510" cy="384175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5003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9DA9612" wp14:editId="585FACE0">
          <wp:simplePos x="0" y="0"/>
          <wp:positionH relativeFrom="column">
            <wp:posOffset>771525</wp:posOffset>
          </wp:positionH>
          <wp:positionV relativeFrom="paragraph">
            <wp:posOffset>-635</wp:posOffset>
          </wp:positionV>
          <wp:extent cx="1257935" cy="560705"/>
          <wp:effectExtent l="0" t="0" r="0" b="0"/>
          <wp:wrapNone/>
          <wp:docPr id="9" name="Picture 8" descr="Image result for european investment bank logo">
            <a:extLst xmlns:a="http://schemas.openxmlformats.org/drawingml/2006/main">
              <a:ext uri="{FF2B5EF4-FFF2-40B4-BE49-F238E27FC236}">
                <a16:creationId xmlns:a16="http://schemas.microsoft.com/office/drawing/2014/main" id="{B51957E6-6263-4A42-91B1-D9AF28685E8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Image result for european investment bank logo">
                    <a:extLst>
                      <a:ext uri="{FF2B5EF4-FFF2-40B4-BE49-F238E27FC236}">
                        <a16:creationId xmlns:a16="http://schemas.microsoft.com/office/drawing/2014/main" id="{B51957E6-6263-4A42-91B1-D9AF28685E8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213D"/>
    <w:multiLevelType w:val="hybridMultilevel"/>
    <w:tmpl w:val="C5B64F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43EE2"/>
    <w:multiLevelType w:val="hybridMultilevel"/>
    <w:tmpl w:val="3668B2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50574C"/>
    <w:multiLevelType w:val="hybridMultilevel"/>
    <w:tmpl w:val="A2FC0DA4"/>
    <w:lvl w:ilvl="0" w:tplc="24B6CF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ACAA6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C65E3"/>
    <w:multiLevelType w:val="hybridMultilevel"/>
    <w:tmpl w:val="768A2F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31CB7FC">
      <w:numFmt w:val="bullet"/>
      <w:lvlText w:val="-"/>
      <w:lvlJc w:val="left"/>
      <w:pPr>
        <w:ind w:left="2560" w:hanging="400"/>
      </w:pPr>
      <w:rPr>
        <w:rFonts w:ascii="Calibri" w:eastAsia="Calibri" w:hAnsi="Calibri" w:cstheme="minorBidi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822FFA"/>
    <w:multiLevelType w:val="hybridMultilevel"/>
    <w:tmpl w:val="A24010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367DFA"/>
    <w:multiLevelType w:val="hybridMultilevel"/>
    <w:tmpl w:val="8ECE1434"/>
    <w:lvl w:ilvl="0" w:tplc="230E2368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8799A"/>
    <w:multiLevelType w:val="hybridMultilevel"/>
    <w:tmpl w:val="CF2C7B1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7A085750"/>
    <w:multiLevelType w:val="hybridMultilevel"/>
    <w:tmpl w:val="5C86E9E8"/>
    <w:lvl w:ilvl="0" w:tplc="115422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F5C"/>
    <w:rsid w:val="00000021"/>
    <w:rsid w:val="00005261"/>
    <w:rsid w:val="0000652C"/>
    <w:rsid w:val="000116CC"/>
    <w:rsid w:val="00013843"/>
    <w:rsid w:val="00024AD5"/>
    <w:rsid w:val="00027384"/>
    <w:rsid w:val="00034232"/>
    <w:rsid w:val="000414DE"/>
    <w:rsid w:val="00042F28"/>
    <w:rsid w:val="000456C1"/>
    <w:rsid w:val="00056830"/>
    <w:rsid w:val="000600E6"/>
    <w:rsid w:val="00060DD4"/>
    <w:rsid w:val="00071579"/>
    <w:rsid w:val="00071F0F"/>
    <w:rsid w:val="00075BA5"/>
    <w:rsid w:val="00075F6F"/>
    <w:rsid w:val="00076127"/>
    <w:rsid w:val="0009192B"/>
    <w:rsid w:val="00097211"/>
    <w:rsid w:val="000A69CD"/>
    <w:rsid w:val="000B6294"/>
    <w:rsid w:val="000E507F"/>
    <w:rsid w:val="000E64C8"/>
    <w:rsid w:val="000F06F9"/>
    <w:rsid w:val="000F4038"/>
    <w:rsid w:val="0010248E"/>
    <w:rsid w:val="0010498A"/>
    <w:rsid w:val="00105003"/>
    <w:rsid w:val="00110C3F"/>
    <w:rsid w:val="001319ED"/>
    <w:rsid w:val="0015692F"/>
    <w:rsid w:val="00167D3E"/>
    <w:rsid w:val="0017297A"/>
    <w:rsid w:val="001A5959"/>
    <w:rsid w:val="001C5044"/>
    <w:rsid w:val="001D1B1A"/>
    <w:rsid w:val="001D60E7"/>
    <w:rsid w:val="001E2D87"/>
    <w:rsid w:val="001F34CA"/>
    <w:rsid w:val="00203D79"/>
    <w:rsid w:val="002436B6"/>
    <w:rsid w:val="00247807"/>
    <w:rsid w:val="00263021"/>
    <w:rsid w:val="00263E89"/>
    <w:rsid w:val="00291D7F"/>
    <w:rsid w:val="002972DD"/>
    <w:rsid w:val="002A0BF8"/>
    <w:rsid w:val="002A2673"/>
    <w:rsid w:val="002B6D7D"/>
    <w:rsid w:val="002C0466"/>
    <w:rsid w:val="002D0B7A"/>
    <w:rsid w:val="002E1653"/>
    <w:rsid w:val="002E29C9"/>
    <w:rsid w:val="002E6339"/>
    <w:rsid w:val="002F6991"/>
    <w:rsid w:val="00303353"/>
    <w:rsid w:val="003036C4"/>
    <w:rsid w:val="00304505"/>
    <w:rsid w:val="003104D8"/>
    <w:rsid w:val="00315CD0"/>
    <w:rsid w:val="00317E7D"/>
    <w:rsid w:val="00331CFD"/>
    <w:rsid w:val="00332EDC"/>
    <w:rsid w:val="00342292"/>
    <w:rsid w:val="0036199C"/>
    <w:rsid w:val="00366166"/>
    <w:rsid w:val="003662EB"/>
    <w:rsid w:val="0037083A"/>
    <w:rsid w:val="003711A5"/>
    <w:rsid w:val="00372455"/>
    <w:rsid w:val="00372C8C"/>
    <w:rsid w:val="00372F60"/>
    <w:rsid w:val="00373B78"/>
    <w:rsid w:val="003923EE"/>
    <w:rsid w:val="00396033"/>
    <w:rsid w:val="003A06CF"/>
    <w:rsid w:val="003C27CA"/>
    <w:rsid w:val="003C2BDE"/>
    <w:rsid w:val="003C4044"/>
    <w:rsid w:val="003D33FF"/>
    <w:rsid w:val="003E78C3"/>
    <w:rsid w:val="003F0588"/>
    <w:rsid w:val="004133B2"/>
    <w:rsid w:val="0041345A"/>
    <w:rsid w:val="00425397"/>
    <w:rsid w:val="00431526"/>
    <w:rsid w:val="0043375C"/>
    <w:rsid w:val="00435A6D"/>
    <w:rsid w:val="004516C4"/>
    <w:rsid w:val="004811B0"/>
    <w:rsid w:val="00495E87"/>
    <w:rsid w:val="004A3BC8"/>
    <w:rsid w:val="004B7258"/>
    <w:rsid w:val="004C05ED"/>
    <w:rsid w:val="004E20A6"/>
    <w:rsid w:val="004E45CF"/>
    <w:rsid w:val="004F79D4"/>
    <w:rsid w:val="00504F24"/>
    <w:rsid w:val="00523650"/>
    <w:rsid w:val="00531E37"/>
    <w:rsid w:val="00545F54"/>
    <w:rsid w:val="0055022E"/>
    <w:rsid w:val="00584CEC"/>
    <w:rsid w:val="00594909"/>
    <w:rsid w:val="00597414"/>
    <w:rsid w:val="005B6C61"/>
    <w:rsid w:val="005F2311"/>
    <w:rsid w:val="005F2A94"/>
    <w:rsid w:val="0061186F"/>
    <w:rsid w:val="0061310C"/>
    <w:rsid w:val="00613521"/>
    <w:rsid w:val="006167E1"/>
    <w:rsid w:val="00640F25"/>
    <w:rsid w:val="00645E6B"/>
    <w:rsid w:val="006472F5"/>
    <w:rsid w:val="006915C7"/>
    <w:rsid w:val="006A6E69"/>
    <w:rsid w:val="006B2108"/>
    <w:rsid w:val="006C08A5"/>
    <w:rsid w:val="006C1996"/>
    <w:rsid w:val="006F7D9D"/>
    <w:rsid w:val="007736EC"/>
    <w:rsid w:val="00773F06"/>
    <w:rsid w:val="00777EC8"/>
    <w:rsid w:val="00780A5F"/>
    <w:rsid w:val="0078228E"/>
    <w:rsid w:val="00782F80"/>
    <w:rsid w:val="007842CA"/>
    <w:rsid w:val="00787F01"/>
    <w:rsid w:val="007A660D"/>
    <w:rsid w:val="007E14E1"/>
    <w:rsid w:val="007E4B7E"/>
    <w:rsid w:val="00814013"/>
    <w:rsid w:val="00826006"/>
    <w:rsid w:val="008274AA"/>
    <w:rsid w:val="008321C5"/>
    <w:rsid w:val="00832F1A"/>
    <w:rsid w:val="00833C66"/>
    <w:rsid w:val="00843A2C"/>
    <w:rsid w:val="0084615A"/>
    <w:rsid w:val="00846EC8"/>
    <w:rsid w:val="00847DAD"/>
    <w:rsid w:val="0086353A"/>
    <w:rsid w:val="008704CC"/>
    <w:rsid w:val="008715DE"/>
    <w:rsid w:val="008940FE"/>
    <w:rsid w:val="008954D5"/>
    <w:rsid w:val="008A29FF"/>
    <w:rsid w:val="008A4398"/>
    <w:rsid w:val="008B21CA"/>
    <w:rsid w:val="008B32CC"/>
    <w:rsid w:val="008C30A1"/>
    <w:rsid w:val="008D3537"/>
    <w:rsid w:val="008E59EF"/>
    <w:rsid w:val="008F67A8"/>
    <w:rsid w:val="00900C03"/>
    <w:rsid w:val="00907D25"/>
    <w:rsid w:val="00924E35"/>
    <w:rsid w:val="0096411C"/>
    <w:rsid w:val="00970375"/>
    <w:rsid w:val="00973140"/>
    <w:rsid w:val="009741BD"/>
    <w:rsid w:val="0098261B"/>
    <w:rsid w:val="00990BB1"/>
    <w:rsid w:val="00991E0E"/>
    <w:rsid w:val="009A0021"/>
    <w:rsid w:val="009A18AB"/>
    <w:rsid w:val="009C3391"/>
    <w:rsid w:val="009C36EB"/>
    <w:rsid w:val="009C425A"/>
    <w:rsid w:val="009C7188"/>
    <w:rsid w:val="009D6EA2"/>
    <w:rsid w:val="009E126D"/>
    <w:rsid w:val="009E3C8A"/>
    <w:rsid w:val="009E7701"/>
    <w:rsid w:val="009F058B"/>
    <w:rsid w:val="009F3ECB"/>
    <w:rsid w:val="00A10052"/>
    <w:rsid w:val="00A127A4"/>
    <w:rsid w:val="00A13882"/>
    <w:rsid w:val="00A26728"/>
    <w:rsid w:val="00A43B29"/>
    <w:rsid w:val="00A51A88"/>
    <w:rsid w:val="00A56F4B"/>
    <w:rsid w:val="00A5780D"/>
    <w:rsid w:val="00A61A6E"/>
    <w:rsid w:val="00A77FFD"/>
    <w:rsid w:val="00A83182"/>
    <w:rsid w:val="00A92A9F"/>
    <w:rsid w:val="00AB7624"/>
    <w:rsid w:val="00AC242B"/>
    <w:rsid w:val="00AD1FB9"/>
    <w:rsid w:val="00AE7EE1"/>
    <w:rsid w:val="00AF70BF"/>
    <w:rsid w:val="00B114E3"/>
    <w:rsid w:val="00B1563B"/>
    <w:rsid w:val="00B33F5C"/>
    <w:rsid w:val="00B43A8F"/>
    <w:rsid w:val="00B516EE"/>
    <w:rsid w:val="00B52960"/>
    <w:rsid w:val="00B5387E"/>
    <w:rsid w:val="00B54D03"/>
    <w:rsid w:val="00B55640"/>
    <w:rsid w:val="00B556F2"/>
    <w:rsid w:val="00B623C0"/>
    <w:rsid w:val="00B70ACF"/>
    <w:rsid w:val="00B80DDF"/>
    <w:rsid w:val="00B854CD"/>
    <w:rsid w:val="00B95B44"/>
    <w:rsid w:val="00B96DF9"/>
    <w:rsid w:val="00B97585"/>
    <w:rsid w:val="00BA07FB"/>
    <w:rsid w:val="00BB2133"/>
    <w:rsid w:val="00BC5276"/>
    <w:rsid w:val="00BD0A8B"/>
    <w:rsid w:val="00BD465B"/>
    <w:rsid w:val="00BF4A3B"/>
    <w:rsid w:val="00BF5AE5"/>
    <w:rsid w:val="00C02BA7"/>
    <w:rsid w:val="00C04230"/>
    <w:rsid w:val="00C06627"/>
    <w:rsid w:val="00C23304"/>
    <w:rsid w:val="00C2558C"/>
    <w:rsid w:val="00C25D5D"/>
    <w:rsid w:val="00C47344"/>
    <w:rsid w:val="00C53822"/>
    <w:rsid w:val="00C576D8"/>
    <w:rsid w:val="00C57F6F"/>
    <w:rsid w:val="00C72799"/>
    <w:rsid w:val="00C75048"/>
    <w:rsid w:val="00C85D72"/>
    <w:rsid w:val="00C94965"/>
    <w:rsid w:val="00CA3829"/>
    <w:rsid w:val="00CA5CCB"/>
    <w:rsid w:val="00CB5876"/>
    <w:rsid w:val="00CB5993"/>
    <w:rsid w:val="00CC090F"/>
    <w:rsid w:val="00CC642B"/>
    <w:rsid w:val="00CD2D16"/>
    <w:rsid w:val="00CD7857"/>
    <w:rsid w:val="00CE1FB5"/>
    <w:rsid w:val="00CE53F2"/>
    <w:rsid w:val="00CE74C5"/>
    <w:rsid w:val="00D05E00"/>
    <w:rsid w:val="00D10850"/>
    <w:rsid w:val="00D11CDC"/>
    <w:rsid w:val="00D13EF9"/>
    <w:rsid w:val="00D307B0"/>
    <w:rsid w:val="00D361C9"/>
    <w:rsid w:val="00D36411"/>
    <w:rsid w:val="00D4503D"/>
    <w:rsid w:val="00D53536"/>
    <w:rsid w:val="00D535EE"/>
    <w:rsid w:val="00D55EAA"/>
    <w:rsid w:val="00D623DC"/>
    <w:rsid w:val="00D80F7D"/>
    <w:rsid w:val="00D82EAB"/>
    <w:rsid w:val="00D964EE"/>
    <w:rsid w:val="00DA0772"/>
    <w:rsid w:val="00DA0C09"/>
    <w:rsid w:val="00DA7D1F"/>
    <w:rsid w:val="00DB2C61"/>
    <w:rsid w:val="00DB48B0"/>
    <w:rsid w:val="00DB4D76"/>
    <w:rsid w:val="00DE07F8"/>
    <w:rsid w:val="00DE2FE9"/>
    <w:rsid w:val="00DE3CE0"/>
    <w:rsid w:val="00DE72F8"/>
    <w:rsid w:val="00DF30E9"/>
    <w:rsid w:val="00DF5782"/>
    <w:rsid w:val="00E02411"/>
    <w:rsid w:val="00E11144"/>
    <w:rsid w:val="00E25A0A"/>
    <w:rsid w:val="00E25B8E"/>
    <w:rsid w:val="00E30318"/>
    <w:rsid w:val="00E331FB"/>
    <w:rsid w:val="00E80E03"/>
    <w:rsid w:val="00E810DB"/>
    <w:rsid w:val="00EF35B1"/>
    <w:rsid w:val="00F1038C"/>
    <w:rsid w:val="00F104D9"/>
    <w:rsid w:val="00F168C3"/>
    <w:rsid w:val="00F3127A"/>
    <w:rsid w:val="00F35F3A"/>
    <w:rsid w:val="00F40246"/>
    <w:rsid w:val="00F50DFC"/>
    <w:rsid w:val="00F51D9C"/>
    <w:rsid w:val="00F53578"/>
    <w:rsid w:val="00F56042"/>
    <w:rsid w:val="00F642C3"/>
    <w:rsid w:val="00F65ECF"/>
    <w:rsid w:val="00F67C79"/>
    <w:rsid w:val="00F74CFC"/>
    <w:rsid w:val="00F876EB"/>
    <w:rsid w:val="00F929FD"/>
    <w:rsid w:val="00F959E2"/>
    <w:rsid w:val="00F96214"/>
    <w:rsid w:val="00F96ACD"/>
    <w:rsid w:val="00FA4457"/>
    <w:rsid w:val="00FB4C64"/>
    <w:rsid w:val="00FB5319"/>
    <w:rsid w:val="00FD74D9"/>
    <w:rsid w:val="00FF0FF2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B6E48"/>
  <w15:chartTrackingRefBased/>
  <w15:docId w15:val="{566DE44D-E9C9-6F43-B237-D259D257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07F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F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5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92A9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A0C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0C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0C0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E07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DE07F8"/>
    <w:rPr>
      <w:color w:val="0000FF"/>
      <w:u w:val="single"/>
    </w:rPr>
  </w:style>
  <w:style w:type="character" w:customStyle="1" w:styleId="metadato">
    <w:name w:val="metadato"/>
    <w:basedOn w:val="DefaultParagraphFont"/>
    <w:rsid w:val="00DE07F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74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050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003"/>
  </w:style>
  <w:style w:type="paragraph" w:styleId="Footer">
    <w:name w:val="footer"/>
    <w:basedOn w:val="Normal"/>
    <w:link w:val="FooterChar"/>
    <w:uiPriority w:val="99"/>
    <w:unhideWhenUsed/>
    <w:rsid w:val="001050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003"/>
  </w:style>
  <w:style w:type="paragraph" w:styleId="Title">
    <w:name w:val="Title"/>
    <w:basedOn w:val="Normal"/>
    <w:next w:val="Normal"/>
    <w:link w:val="TitleChar"/>
    <w:uiPriority w:val="10"/>
    <w:qFormat/>
    <w:rsid w:val="00DA0772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DA077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  <w:lang w:val="en-GB" w:eastAsia="zh-CN"/>
    </w:rPr>
  </w:style>
  <w:style w:type="paragraph" w:styleId="Revision">
    <w:name w:val="Revision"/>
    <w:hidden/>
    <w:uiPriority w:val="99"/>
    <w:semiHidden/>
    <w:rsid w:val="009741BD"/>
  </w:style>
  <w:style w:type="character" w:styleId="CommentReference">
    <w:name w:val="annotation reference"/>
    <w:basedOn w:val="DefaultParagraphFont"/>
    <w:uiPriority w:val="99"/>
    <w:semiHidden/>
    <w:unhideWhenUsed/>
    <w:rsid w:val="00CE1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F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F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FB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C7188"/>
    <w:rPr>
      <w:color w:val="954F72" w:themeColor="followedHyperlink"/>
      <w:u w:val="single"/>
    </w:rPr>
  </w:style>
  <w:style w:type="paragraph" w:customStyle="1" w:styleId="Default">
    <w:name w:val="Default"/>
    <w:rsid w:val="00D361C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73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9559">
          <w:marLeft w:val="0"/>
          <w:marRight w:val="2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1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F2F2F2"/>
            <w:right w:val="none" w:sz="0" w:space="0" w:color="auto"/>
          </w:divBdr>
        </w:div>
      </w:divsChild>
    </w:div>
    <w:div w:id="1851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sitorio.cepal.org/bitstream/handle/11362/10559/58095113I_en.pdf?sequence=1&amp;isAllowed=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ece.org/environmental-policy/conventions/industrial-accidents/meetings-and-events/industrial-accidents/workshops/2018/seminar-on-land-use-planning-and-industrial-safety/doc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ece.org/fileadmin/DAM/env/documents/2018/TEIA/Seminar_on_LuP_and_Ind_Safety__16-17_May_2018/presentation/Session_2_-_Pres_4_-_J_Roed_DSB_NORWAY-_planning_around_Borregard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positorio.cepal.org/discover?filtertype_0=unsymbol&amp;filter_relational_operator_0=equals&amp;filter_0=LC/G.1916-P&amp;filtertype_3=biblevel&amp;filter_relational_operator_3=equals&amp;filter_3=Secci%C3%B3n%20o%20Parte%20de%20un%20Documento&amp;filtertype_4=doctype&amp;filter_relational_operator_4=equals&amp;filter_4=Revistas&amp;filtertype_5=language&amp;filter_relational_operator_5=equals&amp;filter_5=en&amp;submit_apply_filter=Aplicar+filtro&amp;query=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B53646-8295-4E4A-AAE9-6088DC5F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 Wardle</dc:creator>
  <cp:keywords/>
  <dc:description/>
  <cp:lastModifiedBy>Zhanara Kubler</cp:lastModifiedBy>
  <cp:revision>5</cp:revision>
  <dcterms:created xsi:type="dcterms:W3CDTF">2020-07-21T07:10:00Z</dcterms:created>
  <dcterms:modified xsi:type="dcterms:W3CDTF">2020-07-27T13:04:00Z</dcterms:modified>
</cp:coreProperties>
</file>