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2DE8FA3" w14:textId="77777777" w:rsidTr="00295CCA">
        <w:trPr>
          <w:trHeight w:hRule="exact" w:val="851"/>
        </w:trPr>
        <w:tc>
          <w:tcPr>
            <w:tcW w:w="1276" w:type="dxa"/>
            <w:tcBorders>
              <w:bottom w:val="single" w:sz="4" w:space="0" w:color="auto"/>
            </w:tcBorders>
          </w:tcPr>
          <w:p w14:paraId="297615E7" w14:textId="77777777" w:rsidR="001433FD" w:rsidRPr="00DB58B5" w:rsidRDefault="001433FD" w:rsidP="004625FA">
            <w:bookmarkStart w:id="0" w:name="_GoBack"/>
            <w:bookmarkEnd w:id="0"/>
          </w:p>
        </w:tc>
        <w:tc>
          <w:tcPr>
            <w:tcW w:w="2268" w:type="dxa"/>
            <w:tcBorders>
              <w:bottom w:val="single" w:sz="4" w:space="0" w:color="auto"/>
            </w:tcBorders>
            <w:vAlign w:val="bottom"/>
          </w:tcPr>
          <w:p w14:paraId="32331875"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D3E1CAA" w14:textId="77777777" w:rsidR="001433FD" w:rsidRPr="00DB58B5" w:rsidRDefault="004625FA" w:rsidP="004625FA">
            <w:pPr>
              <w:jc w:val="right"/>
            </w:pPr>
            <w:r w:rsidRPr="004625FA">
              <w:rPr>
                <w:sz w:val="40"/>
              </w:rPr>
              <w:t>ECE</w:t>
            </w:r>
            <w:r>
              <w:t>/CP.TEIA/2020/9</w:t>
            </w:r>
          </w:p>
        </w:tc>
      </w:tr>
      <w:tr w:rsidR="001433FD" w:rsidRPr="00DB58B5" w14:paraId="3A226FF0" w14:textId="77777777" w:rsidTr="00295CCA">
        <w:trPr>
          <w:trHeight w:hRule="exact" w:val="2835"/>
        </w:trPr>
        <w:tc>
          <w:tcPr>
            <w:tcW w:w="1276" w:type="dxa"/>
            <w:tcBorders>
              <w:top w:val="single" w:sz="4" w:space="0" w:color="auto"/>
              <w:bottom w:val="single" w:sz="12" w:space="0" w:color="auto"/>
            </w:tcBorders>
          </w:tcPr>
          <w:p w14:paraId="2F3906A8" w14:textId="77777777" w:rsidR="001433FD" w:rsidRPr="00DB58B5" w:rsidRDefault="001433FD" w:rsidP="00295CCA">
            <w:pPr>
              <w:spacing w:before="120"/>
              <w:jc w:val="center"/>
            </w:pPr>
            <w:r>
              <w:rPr>
                <w:noProof/>
                <w:lang w:eastAsia="fr-CH"/>
              </w:rPr>
              <w:drawing>
                <wp:inline distT="0" distB="0" distL="0" distR="0" wp14:anchorId="37E89416" wp14:editId="7085D11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1157A"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F61CDE0" w14:textId="77777777" w:rsidR="001433FD" w:rsidRDefault="004625FA" w:rsidP="00295CCA">
            <w:pPr>
              <w:spacing w:before="240"/>
            </w:pPr>
            <w:r>
              <w:t xml:space="preserve">Distr. </w:t>
            </w:r>
            <w:proofErr w:type="gramStart"/>
            <w:r>
              <w:t>générale</w:t>
            </w:r>
            <w:proofErr w:type="gramEnd"/>
          </w:p>
          <w:p w14:paraId="2623DB13" w14:textId="77777777" w:rsidR="004625FA" w:rsidRDefault="004625FA" w:rsidP="004625FA">
            <w:pPr>
              <w:spacing w:line="240" w:lineRule="exact"/>
            </w:pPr>
            <w:r>
              <w:t>25 septembre 2020</w:t>
            </w:r>
          </w:p>
          <w:p w14:paraId="4898336E" w14:textId="77777777" w:rsidR="004625FA" w:rsidRDefault="004625FA" w:rsidP="004625FA">
            <w:pPr>
              <w:spacing w:line="240" w:lineRule="exact"/>
            </w:pPr>
            <w:r>
              <w:t>Français</w:t>
            </w:r>
          </w:p>
          <w:p w14:paraId="11F9E066" w14:textId="77777777" w:rsidR="004625FA" w:rsidRPr="00DB58B5" w:rsidRDefault="004625FA" w:rsidP="004625FA">
            <w:pPr>
              <w:spacing w:line="240" w:lineRule="exact"/>
            </w:pPr>
            <w:r>
              <w:t>Original</w:t>
            </w:r>
            <w:r w:rsidR="00EC4649">
              <w:t> </w:t>
            </w:r>
            <w:r>
              <w:t>: anglais</w:t>
            </w:r>
          </w:p>
        </w:tc>
      </w:tr>
    </w:tbl>
    <w:p w14:paraId="562D1D95" w14:textId="77777777" w:rsidR="005316B0" w:rsidRPr="000312C0" w:rsidRDefault="005316B0" w:rsidP="005316B0">
      <w:pPr>
        <w:spacing w:before="120"/>
        <w:rPr>
          <w:b/>
          <w:sz w:val="28"/>
          <w:szCs w:val="28"/>
        </w:rPr>
      </w:pPr>
      <w:r w:rsidRPr="000312C0">
        <w:rPr>
          <w:b/>
          <w:sz w:val="28"/>
          <w:szCs w:val="28"/>
        </w:rPr>
        <w:t>Commission économique pour l’Europe</w:t>
      </w:r>
    </w:p>
    <w:p w14:paraId="1BD4BD57" w14:textId="77777777" w:rsidR="00C02224" w:rsidRPr="005417E7" w:rsidRDefault="00C02224" w:rsidP="00C02224">
      <w:pPr>
        <w:spacing w:before="100"/>
        <w:rPr>
          <w:sz w:val="24"/>
          <w:szCs w:val="24"/>
        </w:rPr>
      </w:pPr>
      <w:r w:rsidRPr="005417E7">
        <w:rPr>
          <w:sz w:val="24"/>
          <w:szCs w:val="24"/>
        </w:rPr>
        <w:t xml:space="preserve">Conférence des Parties à la Convention sur les effets </w:t>
      </w:r>
      <w:r>
        <w:rPr>
          <w:sz w:val="24"/>
          <w:szCs w:val="24"/>
        </w:rPr>
        <w:br/>
      </w:r>
      <w:r w:rsidRPr="005417E7">
        <w:rPr>
          <w:sz w:val="24"/>
          <w:szCs w:val="24"/>
        </w:rPr>
        <w:t>transfrontières des accidents industriels</w:t>
      </w:r>
    </w:p>
    <w:p w14:paraId="4B706EC6" w14:textId="77777777" w:rsidR="00C02224" w:rsidRPr="005417E7" w:rsidRDefault="00C02224" w:rsidP="00C02224">
      <w:pPr>
        <w:spacing w:before="120"/>
        <w:rPr>
          <w:b/>
        </w:rPr>
      </w:pPr>
      <w:r w:rsidRPr="005417E7">
        <w:rPr>
          <w:b/>
          <w:bCs/>
        </w:rPr>
        <w:t>Onzième réunion</w:t>
      </w:r>
    </w:p>
    <w:p w14:paraId="3356764D" w14:textId="77777777" w:rsidR="00C02224" w:rsidRPr="005417E7" w:rsidRDefault="00C02224" w:rsidP="00C02224">
      <w:r w:rsidRPr="005417E7">
        <w:t>Genève, 7-9 décembre 2020</w:t>
      </w:r>
    </w:p>
    <w:p w14:paraId="17052FAF" w14:textId="77777777" w:rsidR="00C02224" w:rsidRPr="005417E7" w:rsidRDefault="00C02224" w:rsidP="00C02224">
      <w:r w:rsidRPr="005417E7">
        <w:t>Point 6 de l’ordre du jour provisoire</w:t>
      </w:r>
    </w:p>
    <w:p w14:paraId="3D02F988" w14:textId="77777777" w:rsidR="00C02224" w:rsidRPr="005417E7" w:rsidRDefault="00C02224" w:rsidP="00C02224">
      <w:pPr>
        <w:rPr>
          <w:b/>
        </w:rPr>
      </w:pPr>
      <w:r w:rsidRPr="005417E7">
        <w:rPr>
          <w:b/>
          <w:bCs/>
        </w:rPr>
        <w:t xml:space="preserve">Plan d’action pour l’application de la Convention </w:t>
      </w:r>
      <w:r w:rsidRPr="005417E7">
        <w:rPr>
          <w:b/>
          <w:bCs/>
        </w:rPr>
        <w:br/>
      </w:r>
      <w:proofErr w:type="gramStart"/>
      <w:r w:rsidRPr="005417E7">
        <w:rPr>
          <w:b/>
          <w:bCs/>
        </w:rPr>
        <w:t>pendant</w:t>
      </w:r>
      <w:proofErr w:type="gramEnd"/>
      <w:r w:rsidRPr="005417E7">
        <w:rPr>
          <w:b/>
          <w:bCs/>
        </w:rPr>
        <w:t xml:space="preserve"> la période biennale 2021-2022 </w:t>
      </w:r>
      <w:r w:rsidRPr="005417E7">
        <w:rPr>
          <w:b/>
          <w:bCs/>
        </w:rPr>
        <w:br/>
        <w:t>et financement de celui-ci</w:t>
      </w:r>
    </w:p>
    <w:p w14:paraId="362BAFA6" w14:textId="77777777" w:rsidR="00C02224" w:rsidRPr="005417E7" w:rsidRDefault="00C02224" w:rsidP="00C02224">
      <w:pPr>
        <w:pStyle w:val="HChG"/>
      </w:pPr>
      <w:r w:rsidRPr="005417E7">
        <w:tab/>
      </w:r>
      <w:r w:rsidRPr="005417E7">
        <w:tab/>
        <w:t>Priorités, plan de travail et ressources pour l’application de la Convention pendant la période 2021-2022</w:t>
      </w:r>
    </w:p>
    <w:p w14:paraId="44FE3398" w14:textId="77777777" w:rsidR="00C02224" w:rsidRDefault="00C02224" w:rsidP="00C02224">
      <w:pPr>
        <w:pStyle w:val="H1G"/>
      </w:pPr>
      <w:r w:rsidRPr="005417E7">
        <w:tab/>
      </w:r>
      <w:r w:rsidRPr="005417E7">
        <w:tab/>
        <w:t>Proposition adressée par le Bureau à la Conférence des Parties, établie en coopération avec le secrétariat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37"/>
      </w:tblGrid>
      <w:tr w:rsidR="00C02224" w:rsidRPr="005417E7" w14:paraId="24436336" w14:textId="77777777" w:rsidTr="00106A16">
        <w:trPr>
          <w:jc w:val="center"/>
        </w:trPr>
        <w:tc>
          <w:tcPr>
            <w:tcW w:w="9637" w:type="dxa"/>
            <w:shd w:val="clear" w:color="auto" w:fill="auto"/>
          </w:tcPr>
          <w:p w14:paraId="670E2236" w14:textId="77777777" w:rsidR="00C02224" w:rsidRPr="005417E7" w:rsidRDefault="00C02224" w:rsidP="003854BA">
            <w:pPr>
              <w:spacing w:before="240" w:after="120"/>
              <w:ind w:left="255"/>
              <w:rPr>
                <w:sz w:val="24"/>
              </w:rPr>
            </w:pPr>
            <w:r w:rsidRPr="003854BA">
              <w:rPr>
                <w:i/>
                <w:sz w:val="24"/>
              </w:rPr>
              <w:t>Résumé</w:t>
            </w:r>
          </w:p>
        </w:tc>
      </w:tr>
      <w:tr w:rsidR="00C02224" w:rsidRPr="005417E7" w14:paraId="1FDC4C14" w14:textId="77777777" w:rsidTr="00106A16">
        <w:trPr>
          <w:jc w:val="center"/>
        </w:trPr>
        <w:tc>
          <w:tcPr>
            <w:tcW w:w="9637" w:type="dxa"/>
            <w:shd w:val="clear" w:color="auto" w:fill="auto"/>
          </w:tcPr>
          <w:p w14:paraId="4841D02E" w14:textId="77777777" w:rsidR="00C02224" w:rsidRPr="005417E7" w:rsidRDefault="00C02224" w:rsidP="00106A16">
            <w:pPr>
              <w:pStyle w:val="SingleTxtG"/>
              <w:ind w:firstLine="567"/>
            </w:pPr>
            <w:r w:rsidRPr="005417E7">
              <w:t>Le présent document contient la proposition du Bureau, établie sur la base d’un projet élaboré par le secrétariat, concernant les activités à mener au titre de la Convention sur les effets transfrontières des accidents industriels pendant la période biennale 2021-2022 (le plan de travail) et les ressources nécessaires pour exécuter ces</w:t>
            </w:r>
            <w:r w:rsidR="005F138B">
              <w:t> </w:t>
            </w:r>
            <w:r w:rsidRPr="005417E7">
              <w:t>activités.</w:t>
            </w:r>
          </w:p>
        </w:tc>
      </w:tr>
      <w:tr w:rsidR="00C02224" w:rsidRPr="005417E7" w14:paraId="24EBAC31" w14:textId="77777777" w:rsidTr="00106A16">
        <w:trPr>
          <w:jc w:val="center"/>
        </w:trPr>
        <w:tc>
          <w:tcPr>
            <w:tcW w:w="9637" w:type="dxa"/>
            <w:shd w:val="clear" w:color="auto" w:fill="auto"/>
          </w:tcPr>
          <w:p w14:paraId="615F6D29" w14:textId="77777777" w:rsidR="00C02224" w:rsidRPr="005417E7" w:rsidRDefault="00C02224" w:rsidP="00106A16">
            <w:pPr>
              <w:pStyle w:val="SingleTxtG"/>
              <w:ind w:firstLine="567"/>
            </w:pPr>
            <w:r w:rsidRPr="005417E7">
              <w:t xml:space="preserve">Comme </w:t>
            </w:r>
            <w:proofErr w:type="gramStart"/>
            <w:r w:rsidRPr="005417E7">
              <w:t>suite à</w:t>
            </w:r>
            <w:proofErr w:type="gramEnd"/>
            <w:r w:rsidRPr="005417E7">
              <w:t xml:space="preserve"> la demande formulée par la Conférence des Parties à la Convention à sa dixième réunion (ECE/CP.TEIA/38, par.</w:t>
            </w:r>
            <w:r w:rsidR="00EC4649">
              <w:t> </w:t>
            </w:r>
            <w:r w:rsidRPr="005417E7">
              <w:t>51</w:t>
            </w:r>
            <w:r w:rsidR="00EC4649">
              <w:t> </w:t>
            </w:r>
            <w:r w:rsidRPr="005417E7">
              <w:t>g)), cette proposition est soumise à la Conférence des Parties pour qu’elle l’examine et y apporte toutes modifications nécessaires.</w:t>
            </w:r>
          </w:p>
        </w:tc>
      </w:tr>
      <w:tr w:rsidR="00C02224" w:rsidRPr="005417E7" w14:paraId="3C2F67A3" w14:textId="77777777" w:rsidTr="00106A16">
        <w:trPr>
          <w:jc w:val="center"/>
        </w:trPr>
        <w:tc>
          <w:tcPr>
            <w:tcW w:w="9637" w:type="dxa"/>
            <w:shd w:val="clear" w:color="auto" w:fill="auto"/>
          </w:tcPr>
          <w:p w14:paraId="003995AB" w14:textId="4700E9E7" w:rsidR="00C02224" w:rsidRPr="005417E7" w:rsidRDefault="00C02224" w:rsidP="00106A16">
            <w:pPr>
              <w:pStyle w:val="SingleTxtG"/>
              <w:ind w:firstLine="567"/>
            </w:pPr>
            <w:r w:rsidRPr="005417E7">
              <w:t>Les Parties sont invitées à communiquer à la Présidente et au secrétariat, par courrier électronique (</w:t>
            </w:r>
            <w:hyperlink r:id="rId8" w:history="1">
              <w:r w:rsidRPr="00082F63">
                <w:rPr>
                  <w:rStyle w:val="Hyperlink"/>
                </w:rPr>
                <w:t>ece-teia.conv@un.org</w:t>
              </w:r>
            </w:hyperlink>
            <w:r w:rsidRPr="005417E7">
              <w:t>), des informations sur leurs annonces de contributions et les éléments du plan de travail pour lesquels elles proposent de jouer un rôle de chef de file, ainsi que toute autre observation sur le projet de plan de travail, au plus tard quatre semaines avant la réunion, c’est-à-dire pour le 9</w:t>
            </w:r>
            <w:r w:rsidR="00082F63">
              <w:t> </w:t>
            </w:r>
            <w:r w:rsidRPr="005417E7">
              <w:t>novembre 2020. L’objectif est de faciliter la présentation, pendant la réunion, d’une version actualisée du projet de plan de travail, dans laquelle les modifications proposées par les Parties apparaîtront clairement, puis l’adoption de la version finale du plan de travail, précisant les ressources nécessaires à sa mise en œuvre.</w:t>
            </w:r>
          </w:p>
        </w:tc>
      </w:tr>
      <w:tr w:rsidR="00C02224" w:rsidRPr="005417E7" w14:paraId="15BD8D4F" w14:textId="77777777" w:rsidTr="00106A16">
        <w:trPr>
          <w:jc w:val="center"/>
        </w:trPr>
        <w:tc>
          <w:tcPr>
            <w:tcW w:w="9637" w:type="dxa"/>
            <w:shd w:val="clear" w:color="auto" w:fill="auto"/>
          </w:tcPr>
          <w:p w14:paraId="01A799A2" w14:textId="77777777" w:rsidR="00C02224" w:rsidRPr="005417E7" w:rsidRDefault="00C02224" w:rsidP="00106A16">
            <w:pPr>
              <w:pStyle w:val="SingleTxtG"/>
              <w:ind w:firstLine="567"/>
            </w:pPr>
            <w:r w:rsidRPr="005417E7">
              <w:t>La Conférence des Parties sera invitée à examiner la proposition, à y apporter les modifications qui s’imposent et à adopter le plan de travail pour la période biennale 2021-2022.</w:t>
            </w:r>
          </w:p>
        </w:tc>
      </w:tr>
      <w:tr w:rsidR="00C02224" w:rsidRPr="005417E7" w14:paraId="4CB9FA48" w14:textId="77777777" w:rsidTr="00106A16">
        <w:trPr>
          <w:jc w:val="center"/>
        </w:trPr>
        <w:tc>
          <w:tcPr>
            <w:tcW w:w="9637" w:type="dxa"/>
            <w:shd w:val="clear" w:color="auto" w:fill="auto"/>
          </w:tcPr>
          <w:p w14:paraId="23E2BEAF" w14:textId="77777777" w:rsidR="00C02224" w:rsidRPr="005417E7" w:rsidRDefault="00C02224" w:rsidP="00106A16"/>
        </w:tc>
      </w:tr>
    </w:tbl>
    <w:p w14:paraId="0582E592" w14:textId="77777777" w:rsidR="00C02224" w:rsidRPr="005417E7" w:rsidRDefault="00C02224" w:rsidP="00C02224">
      <w:pPr>
        <w:pStyle w:val="SingleTxtG"/>
      </w:pPr>
      <w:r w:rsidRPr="008D581D">
        <w:br w:type="page"/>
      </w:r>
      <w:r w:rsidRPr="005417E7">
        <w:lastRenderedPageBreak/>
        <w:t>1.</w:t>
      </w:r>
      <w:r w:rsidRPr="005417E7">
        <w:tab/>
        <w:t>Le Bureau de la Conférence des Parties à la Convention sur les effets transfrontières des accidents industriels a élaboré, en coopération avec le secrétariat de la Convention, le présent document, dans lequel sont énoncées les activités qu’il est proposé de mener au titre de la Convention pour la période 2021-2022 (le plan de travail) et les ressources nécessaires pour les exécuter. Le plan de travail a été établi sur la base des éléments suivants : stratégie à long terme pour la Convention jusqu’à 2030 (ECE/CP.TEIA/38/Add.1) ; résultats des réunions tenues et des activités menées dans le cadre de la Convention ; démarche stratégique suivie au titre du Programme d’aide et de coopération (dénommé auparavant «</w:t>
      </w:r>
      <w:r>
        <w:t> </w:t>
      </w:r>
      <w:r w:rsidRPr="005417E7">
        <w:t>Programme d’aide</w:t>
      </w:r>
      <w:r>
        <w:t> </w:t>
      </w:r>
      <w:r w:rsidRPr="005417E7">
        <w:t>», et renommé ainsi dans la stratégie à long terme) ; besoins exprimés par les pays bénéficiaires ; propositions que les donateurs et les bénéficiaires ont adressées au Bureau, au Groupe de travail de l’application et au secrétariat ; besoins prioritaires recensés par le Groupe de travail de l’application dans le cadre de l’examen des rapports sur l’application et de l’élaboration d’un rapport de synthèse sur l’application de la Convention (ECE/CP.TEIA/2020/5), ainsi que par le Bureau ; suggestions formulées par le secrétariat et appuyées par le Bureau.</w:t>
      </w:r>
    </w:p>
    <w:p w14:paraId="09ADCE5C" w14:textId="77777777" w:rsidR="00C02224" w:rsidRPr="005417E7" w:rsidRDefault="00C02224" w:rsidP="00C02224">
      <w:pPr>
        <w:pStyle w:val="SingleTxtG"/>
      </w:pPr>
      <w:r w:rsidRPr="005417E7">
        <w:t>2.</w:t>
      </w:r>
      <w:r w:rsidRPr="005417E7">
        <w:tab/>
        <w:t>Le plan de travail inclut à la fois les activités dont l’exécution et le suivi doivent se poursuivre et celles qui sont liées à la mise en œuvre de la stratégie à long terme. Il englobe également celles que le Bureau considère nécessaires afin de conserver à la Convention une visibilité élevée en vue d’améliorer la sécurité industrielle dans la région de la Commission économique pour l’Europe (CEE), compte tenu de l’objectif consistant à accroître sensiblement la sécurité industrielle et à réduire notablement les risques de catastrophe technologique d’ici à 2030 grâce à l’application intégrale de la Convention, afin de conférer à celle-ci une large reconnaissance en tant qu’instrument juridique relatif à la réduction des risques de catastrophe technologique dans le contexte du Cadre de Sendai pour la réduction des risques de catastrophe (2015-2030), et afin d’accroître la contribution de la Convention à la réalisation des objectifs de développement durable, notamment des cibles 3.9, 3.d, 6.3, 9.1, 9.4, 11.b, 12.4 et 13.1</w:t>
      </w:r>
      <w:r w:rsidRPr="005417E7">
        <w:rPr>
          <w:rStyle w:val="FootnoteReference"/>
        </w:rPr>
        <w:footnoteReference w:id="2"/>
      </w:r>
      <w:r w:rsidRPr="005417E7">
        <w:t>.</w:t>
      </w:r>
    </w:p>
    <w:p w14:paraId="6BD25B5D" w14:textId="77777777" w:rsidR="00C02224" w:rsidRPr="005417E7" w:rsidRDefault="00C02224" w:rsidP="00C02224">
      <w:pPr>
        <w:pStyle w:val="SingleTxtG"/>
        <w:rPr>
          <w:spacing w:val="-1"/>
        </w:rPr>
      </w:pPr>
      <w:r w:rsidRPr="005417E7">
        <w:rPr>
          <w:spacing w:val="-1"/>
        </w:rPr>
        <w:t>3.</w:t>
      </w:r>
      <w:r w:rsidRPr="005417E7">
        <w:rPr>
          <w:spacing w:val="-1"/>
        </w:rPr>
        <w:tab/>
        <w:t>Le plan de travail prévoit aussi des éléments visant à tirer parti au maximum des synergies avec d’autres accords multilatéraux de la CEE relatifs à l’environnement − par exemple, la Convention sur la protection et l’utilisation des cours d’eau transfrontières et des lacs internationaux (Convention sur l’eau), la Convention sur l’évaluation de l’impact sur l’environnement dans un contexte transfrontière (Convention d’Espoo) et la Convention sur l’accès à l’information, la participation du public au processus décisionnel et l’accès à la justice en matière d’environnement (Convention d’Aarhus) − et avec d’autres activités menées par la CEE, notamment celles qui concernent le développement urbain, le logement et l’aménagement du territoire. Il est en outre prévu de préserver et de renforcer les synergies créées avec d’autres organisations travaillant dans le domaine de la sécurité industrielle.</w:t>
      </w:r>
    </w:p>
    <w:p w14:paraId="0007E49E" w14:textId="77777777" w:rsidR="00C02224" w:rsidRPr="005417E7" w:rsidRDefault="00C02224" w:rsidP="00C02224">
      <w:pPr>
        <w:pStyle w:val="SingleTxtG"/>
      </w:pPr>
      <w:r w:rsidRPr="005417E7">
        <w:t>4.</w:t>
      </w:r>
      <w:r w:rsidRPr="005417E7">
        <w:tab/>
        <w:t xml:space="preserve">Étant donné que l’exécution des activités inscrites dans le plan de travail exige des ressources extrabudgétaires, les Parties, les autres États membres de la CEE et les parties prenantes intéressées sont invités à appuyer les activités qui seront menées au titre de la Convention en 2021-2022 en contribuant au fonds d’affectation spéciale de la Convention, en finançant directement des activités et en apportant des contributions en nature. Dans le cadre du mécanisme financier durable, il est prévu que les Parties annoncent ou indiquent, </w:t>
      </w:r>
      <w:r w:rsidRPr="005417E7">
        <w:lastRenderedPageBreak/>
        <w:t>avant l’adoption du plan de travail biennal, le montant ou la valeur des contributions volontaires annuelles, financières ou en nature, qu’elles s’engagent à fournir et jouent un rôle actif dans la mobilisation de contributions supplémentaires (ECE/CP.TEIA/24, annexe</w:t>
      </w:r>
      <w:r>
        <w:t> </w:t>
      </w:r>
      <w:r w:rsidRPr="005417E7">
        <w:t>I, par.</w:t>
      </w:r>
      <w:r>
        <w:t> </w:t>
      </w:r>
      <w:r w:rsidRPr="005417E7">
        <w:t>24</w:t>
      </w:r>
      <w:r>
        <w:t> </w:t>
      </w:r>
      <w:r w:rsidRPr="005417E7">
        <w:t>a)</w:t>
      </w:r>
      <w:r>
        <w:t> </w:t>
      </w:r>
      <w:r w:rsidRPr="005417E7">
        <w:t>i) et ii)). Les Parties sont également invitées à montrer la voie en soutenant les différentes activités sur le plan opérationnel en qualité de pays, organes ou organisations chefs de file ou d’appui.</w:t>
      </w:r>
    </w:p>
    <w:p w14:paraId="49DA2F2E" w14:textId="77777777" w:rsidR="00C02224" w:rsidRPr="005417E7" w:rsidRDefault="00C02224" w:rsidP="00C02224">
      <w:pPr>
        <w:pStyle w:val="SingleTxtG"/>
      </w:pPr>
      <w:r w:rsidRPr="005417E7">
        <w:t>5.</w:t>
      </w:r>
      <w:r w:rsidRPr="005417E7">
        <w:tab/>
        <w:t>À sa dixième réunion, la Conférence des Parties a adopté la décision 2018/2 sur les moyens de favoriser la mise en place du mécanisme financier durable au titre de la Convention (ECE/CP.TEIA/38/Add.1), dans laquelle elle a :</w:t>
      </w:r>
    </w:p>
    <w:p w14:paraId="5250D0E0" w14:textId="77777777" w:rsidR="00C02224" w:rsidRPr="005417E7" w:rsidRDefault="00C02224" w:rsidP="00C02224">
      <w:pPr>
        <w:pStyle w:val="SingleTxtG"/>
        <w:ind w:firstLine="567"/>
      </w:pPr>
      <w:r w:rsidRPr="005417E7">
        <w:t>a)</w:t>
      </w:r>
      <w:r w:rsidRPr="005417E7">
        <w:tab/>
        <w:t>Exhorté toutes les Parties à contribuer au financement durable des activités et à partager la charge financière de manière équitable et proportionnée ;</w:t>
      </w:r>
    </w:p>
    <w:p w14:paraId="016A0EB3" w14:textId="77777777" w:rsidR="00C02224" w:rsidRPr="005417E7" w:rsidRDefault="00C02224" w:rsidP="00C02224">
      <w:pPr>
        <w:pStyle w:val="SingleTxtG"/>
        <w:ind w:firstLine="567"/>
      </w:pPr>
      <w:r w:rsidRPr="005417E7">
        <w:t>b)</w:t>
      </w:r>
      <w:r w:rsidRPr="005417E7">
        <w:tab/>
        <w:t>Encouragé les Parties à envisager de faire des annonces de contributions prévisibles et, de préférence, pluriannuelles et renouvelables, avant l’adoption des plans de travail biennaux, pendant ou avant les réunions de la Conférence des Parties, conformément au mécanisme financier durable.</w:t>
      </w:r>
    </w:p>
    <w:p w14:paraId="5CC29D07" w14:textId="77777777" w:rsidR="00C02224" w:rsidRPr="005417E7" w:rsidRDefault="00C02224" w:rsidP="00C02224">
      <w:pPr>
        <w:pStyle w:val="SingleTxtG"/>
      </w:pPr>
      <w:r w:rsidRPr="005417E7">
        <w:t>6.</w:t>
      </w:r>
      <w:r w:rsidRPr="005417E7">
        <w:tab/>
        <w:t>Dans le projet de plan de travail, les noms de quelques-uns des chefs de file potentiels sont cités, parfois entre crochets ; les noms des pays chefs de file et des pays d’appui seront indiqués dans le plan de travail définitif. Les autres pays souhaitant jouer un rôle de chef de file sont invités à se mettre en rapport avec le secrétariat avant la onzième réunion de la Conférence des Parties.</w:t>
      </w:r>
    </w:p>
    <w:p w14:paraId="310EF1A2" w14:textId="77777777" w:rsidR="00C02224" w:rsidRPr="005417E7" w:rsidRDefault="00C02224" w:rsidP="00C02224">
      <w:pPr>
        <w:pStyle w:val="SingleTxtG"/>
        <w:keepNext/>
      </w:pPr>
      <w:r w:rsidRPr="005417E7">
        <w:t>7.</w:t>
      </w:r>
      <w:r w:rsidRPr="005417E7">
        <w:tab/>
        <w:t>Le plan de travail se divise en deux parties, la première étant consacrée aux activités de base, indispensables au fonctionnement de la Convention, et la seconde aux autres activités. Ainsi qu’en a convenu le Bureau de la Convention, les activités de base sont les suivantes :</w:t>
      </w:r>
    </w:p>
    <w:p w14:paraId="25589BDC" w14:textId="77777777" w:rsidR="00C02224" w:rsidRPr="005417E7" w:rsidRDefault="00C02224" w:rsidP="00C02224">
      <w:pPr>
        <w:pStyle w:val="SingleTxtG"/>
        <w:ind w:firstLine="567"/>
      </w:pPr>
      <w:r w:rsidRPr="005417E7">
        <w:t>a)</w:t>
      </w:r>
      <w:r w:rsidRPr="005417E7">
        <w:tab/>
        <w:t>Organisation et préparation des réunions des Parties, y compris le service des réunions du Bureau et des organes subsidiaires et les contributions de fond à ces réunions ;</w:t>
      </w:r>
    </w:p>
    <w:p w14:paraId="53600FC0" w14:textId="77777777" w:rsidR="00C02224" w:rsidRPr="005417E7" w:rsidRDefault="00C02224" w:rsidP="00C02224">
      <w:pPr>
        <w:pStyle w:val="SingleTxtG"/>
        <w:ind w:firstLine="567"/>
      </w:pPr>
      <w:r w:rsidRPr="005417E7">
        <w:t>b)</w:t>
      </w:r>
      <w:r w:rsidRPr="005417E7">
        <w:tab/>
        <w:t>Élaboration de documents et d’autres produits et facilitation de la participation aux réunions (vols, dispositions relatives aux voyages et indemnités de subsistance) ;</w:t>
      </w:r>
    </w:p>
    <w:p w14:paraId="274927DF" w14:textId="77777777" w:rsidR="00C02224" w:rsidRPr="005417E7" w:rsidRDefault="00C02224" w:rsidP="00C02224">
      <w:pPr>
        <w:pStyle w:val="SingleTxtG"/>
        <w:ind w:firstLine="567"/>
      </w:pPr>
      <w:r w:rsidRPr="005417E7">
        <w:t>c)</w:t>
      </w:r>
      <w:r w:rsidRPr="005417E7">
        <w:tab/>
        <w:t>Partage d’informations, liaison et communication, notamment avec les Parties, les États membres, d’autres accords multilatéraux relatifs à l’environnement et les comités de la CEE, ainsi que les organisations internationales concernées ;</w:t>
      </w:r>
    </w:p>
    <w:p w14:paraId="3C8B57CD" w14:textId="77777777" w:rsidR="00C02224" w:rsidRPr="005417E7" w:rsidRDefault="00C02224" w:rsidP="00C02224">
      <w:pPr>
        <w:pStyle w:val="SingleTxtG"/>
        <w:ind w:firstLine="567"/>
      </w:pPr>
      <w:r w:rsidRPr="005417E7">
        <w:t>d)</w:t>
      </w:r>
      <w:r w:rsidRPr="005417E7">
        <w:tab/>
        <w:t>Facilitation de l’application de la Convention (élaboration d’orientations, coordination, partenariats et partage de bonnes pratiques) ;</w:t>
      </w:r>
    </w:p>
    <w:p w14:paraId="48B41961" w14:textId="77777777" w:rsidR="00C02224" w:rsidRPr="005417E7" w:rsidRDefault="00C02224" w:rsidP="00C02224">
      <w:pPr>
        <w:pStyle w:val="SingleTxtG"/>
        <w:ind w:firstLine="567"/>
      </w:pPr>
      <w:r w:rsidRPr="005417E7">
        <w:t>e)</w:t>
      </w:r>
      <w:r w:rsidRPr="005417E7">
        <w:tab/>
        <w:t>Gestion générale du programme, y compris en ce qui concerne les ressources humaines et les questions financières, et communication d’informations à ce sujet aux États membres dans le cadre de l’ONU.</w:t>
      </w:r>
    </w:p>
    <w:p w14:paraId="403E8A23" w14:textId="77777777" w:rsidR="00C02224" w:rsidRPr="005417E7" w:rsidRDefault="00C02224" w:rsidP="00C02224">
      <w:pPr>
        <w:pStyle w:val="SingleTxtG"/>
        <w:keepNext/>
      </w:pPr>
      <w:r w:rsidRPr="005417E7">
        <w:t>8.</w:t>
      </w:r>
      <w:r w:rsidRPr="005417E7">
        <w:tab/>
        <w:t>Les autres activités sont notamment les suivantes :</w:t>
      </w:r>
    </w:p>
    <w:p w14:paraId="3A4629C5" w14:textId="77777777" w:rsidR="00C02224" w:rsidRPr="005417E7" w:rsidRDefault="00C02224" w:rsidP="00C02224">
      <w:pPr>
        <w:pStyle w:val="SingleTxtG"/>
        <w:ind w:firstLine="567"/>
      </w:pPr>
      <w:r w:rsidRPr="005417E7">
        <w:t>a)</w:t>
      </w:r>
      <w:r w:rsidRPr="005417E7">
        <w:tab/>
        <w:t>Renforcement des capacités sur le terrain et assistance technique, y compris dans le cadre du Programme d’aide et de coopération ;</w:t>
      </w:r>
    </w:p>
    <w:p w14:paraId="30BD483A" w14:textId="77777777" w:rsidR="00C02224" w:rsidRPr="005417E7" w:rsidRDefault="00C02224" w:rsidP="00C02224">
      <w:pPr>
        <w:pStyle w:val="SingleTxtG"/>
        <w:ind w:firstLine="567"/>
      </w:pPr>
      <w:r w:rsidRPr="005417E7">
        <w:t>b)</w:t>
      </w:r>
      <w:r w:rsidRPr="005417E7">
        <w:tab/>
        <w:t>Communication d’informations aux donateurs qui financent des activités d’assistance ;</w:t>
      </w:r>
    </w:p>
    <w:p w14:paraId="6888B4DB" w14:textId="77777777" w:rsidR="00C02224" w:rsidRPr="005417E7" w:rsidRDefault="00C02224" w:rsidP="00C02224">
      <w:pPr>
        <w:pStyle w:val="SingleTxtG"/>
        <w:ind w:firstLine="567"/>
      </w:pPr>
      <w:r w:rsidRPr="005417E7">
        <w:t>c)</w:t>
      </w:r>
      <w:r w:rsidRPr="005417E7">
        <w:tab/>
        <w:t>Appui au Système de notification des accidents industriels de la CEE ;</w:t>
      </w:r>
    </w:p>
    <w:p w14:paraId="5F8F22F4" w14:textId="77777777" w:rsidR="00C02224" w:rsidRPr="005417E7" w:rsidRDefault="00C02224" w:rsidP="00C02224">
      <w:pPr>
        <w:pStyle w:val="SingleTxtG"/>
        <w:ind w:firstLine="567"/>
      </w:pPr>
      <w:r w:rsidRPr="005417E7">
        <w:t>d)</w:t>
      </w:r>
      <w:r w:rsidRPr="005417E7">
        <w:tab/>
        <w:t>Activités de sensibilisation et de communication menées en dehors de la région de la CEE ;</w:t>
      </w:r>
    </w:p>
    <w:p w14:paraId="113CCBFA" w14:textId="77777777" w:rsidR="00C02224" w:rsidRPr="005417E7" w:rsidRDefault="00C02224" w:rsidP="00C02224">
      <w:pPr>
        <w:pStyle w:val="SingleTxtG"/>
        <w:ind w:firstLine="567"/>
      </w:pPr>
      <w:r w:rsidRPr="005417E7">
        <w:t>e)</w:t>
      </w:r>
      <w:r w:rsidRPr="005417E7">
        <w:tab/>
        <w:t>Toutes autres activités que les Parties décideront de mener.</w:t>
      </w:r>
    </w:p>
    <w:p w14:paraId="6469E76C" w14:textId="77777777" w:rsidR="00C02224" w:rsidRPr="005417E7" w:rsidRDefault="00C02224" w:rsidP="00C02224">
      <w:pPr>
        <w:pStyle w:val="SingleTxtG"/>
      </w:pPr>
      <w:r w:rsidRPr="005417E7">
        <w:t>9.</w:t>
      </w:r>
      <w:r w:rsidRPr="005417E7">
        <w:tab/>
        <w:t xml:space="preserve">Le tableau 1 présente le plan de travail pour 2021-2022 et les ressources nécessaires à son exécution. Y sont indiquées les activités auxquelles des fonds devraient être affectés pendant la période biennale, compte tenu des contributions annoncées par les Parties à la onzième réunion de la Conférence des Parties et des autres contributions, financières et en nature, qui n’ont pas encore été confirmées. Le tableau 2 donne le détail des ressources </w:t>
      </w:r>
      <w:r w:rsidRPr="005417E7">
        <w:lastRenderedPageBreak/>
        <w:t>totales prévues pour la période biennale, y compris les dépenses relatives au personnel de secrétariat (non prises en compte dans le tableau 1). Le tableau 3 indique les activités pour lesquelles, au moment de l’établissement du présent document, il n’y a pas encore de pays chefs de file ou les ressources correspondantes n’ont pas été trouvées. Des ressources supplémentaires (autres que celles figurant dans le tableau 2) pour la période précédant la douzième réunion de la Conférence des Parties seront nécessaires pour l’exécution des activités figurant dans le tableau 3. Si les engagements correspondants sont pris et que des pays se proposent comme chefs de file avant la tenue de la onzième réunion, les activités en question pourront être transférées au tableau 2 dans la version définitive du plan de travail qui sera adoptée par la Conférence des Parties.</w:t>
      </w:r>
    </w:p>
    <w:p w14:paraId="4DDFFD84" w14:textId="77777777" w:rsidR="00C02224" w:rsidRPr="005417E7" w:rsidRDefault="00C02224" w:rsidP="00C02224">
      <w:pPr>
        <w:pStyle w:val="Heading1"/>
        <w:ind w:left="0"/>
        <w:rPr>
          <w:b/>
          <w:bCs/>
        </w:rPr>
      </w:pPr>
      <w:r w:rsidRPr="005417E7">
        <w:t>Tableau</w:t>
      </w:r>
      <w:r w:rsidRPr="005417E7">
        <w:rPr>
          <w:bCs/>
        </w:rPr>
        <w:t xml:space="preserve"> 1</w:t>
      </w:r>
    </w:p>
    <w:p w14:paraId="250D7E48" w14:textId="77777777" w:rsidR="00C02224" w:rsidRDefault="00C02224" w:rsidP="00C02224">
      <w:pPr>
        <w:pStyle w:val="SingleTxtG"/>
        <w:keepNext/>
        <w:ind w:left="0"/>
        <w:jc w:val="left"/>
        <w:rPr>
          <w:b/>
          <w:bCs/>
        </w:rPr>
      </w:pPr>
      <w:bookmarkStart w:id="1" w:name="_Hlk45803260"/>
      <w:r w:rsidRPr="005417E7">
        <w:rPr>
          <w:b/>
          <w:bCs/>
        </w:rPr>
        <w:t>Plan de travail et ressources nécessaires pour 2021-2022</w:t>
      </w:r>
    </w:p>
    <w:tbl>
      <w:tblPr>
        <w:tblW w:w="9637" w:type="dxa"/>
        <w:tblLayout w:type="fixed"/>
        <w:tblCellMar>
          <w:left w:w="0" w:type="dxa"/>
          <w:right w:w="0" w:type="dxa"/>
        </w:tblCellMar>
        <w:tblLook w:val="01E0" w:firstRow="1" w:lastRow="1" w:firstColumn="1" w:lastColumn="1" w:noHBand="0" w:noVBand="0"/>
      </w:tblPr>
      <w:tblGrid>
        <w:gridCol w:w="1555"/>
        <w:gridCol w:w="4331"/>
        <w:gridCol w:w="1190"/>
        <w:gridCol w:w="1266"/>
        <w:gridCol w:w="1295"/>
      </w:tblGrid>
      <w:tr w:rsidR="00C02224" w:rsidRPr="006F3599" w14:paraId="4316ED07" w14:textId="77777777" w:rsidTr="000F7509">
        <w:trPr>
          <w:cantSplit/>
          <w:tblHeader/>
        </w:trPr>
        <w:tc>
          <w:tcPr>
            <w:tcW w:w="1555" w:type="dxa"/>
            <w:vMerge w:val="restart"/>
            <w:tcBorders>
              <w:top w:val="single" w:sz="4" w:space="0" w:color="auto"/>
              <w:bottom w:val="single" w:sz="12" w:space="0" w:color="auto"/>
            </w:tcBorders>
            <w:shd w:val="clear" w:color="auto" w:fill="auto"/>
            <w:vAlign w:val="bottom"/>
          </w:tcPr>
          <w:p w14:paraId="11B25505" w14:textId="77777777" w:rsidR="00C02224" w:rsidRPr="006F3599" w:rsidRDefault="00C02224" w:rsidP="00106A16">
            <w:pPr>
              <w:suppressAutoHyphens w:val="0"/>
              <w:spacing w:before="80" w:after="80" w:line="200" w:lineRule="exact"/>
              <w:rPr>
                <w:i/>
                <w:iCs/>
                <w:sz w:val="16"/>
              </w:rPr>
            </w:pPr>
            <w:r w:rsidRPr="006F3599">
              <w:rPr>
                <w:i/>
                <w:iCs/>
                <w:sz w:val="16"/>
              </w:rPr>
              <w:t>Domaine</w:t>
            </w:r>
          </w:p>
        </w:tc>
        <w:tc>
          <w:tcPr>
            <w:tcW w:w="4331" w:type="dxa"/>
            <w:vMerge w:val="restart"/>
            <w:tcBorders>
              <w:top w:val="single" w:sz="4" w:space="0" w:color="auto"/>
              <w:bottom w:val="single" w:sz="12" w:space="0" w:color="auto"/>
            </w:tcBorders>
            <w:shd w:val="clear" w:color="auto" w:fill="auto"/>
            <w:vAlign w:val="bottom"/>
          </w:tcPr>
          <w:p w14:paraId="01745186" w14:textId="77777777" w:rsidR="00C02224" w:rsidRPr="006F3599" w:rsidRDefault="00C02224" w:rsidP="00046DCD">
            <w:pPr>
              <w:suppressAutoHyphens w:val="0"/>
              <w:spacing w:before="80" w:after="80" w:line="200" w:lineRule="exact"/>
              <w:ind w:left="57"/>
              <w:rPr>
                <w:i/>
                <w:iCs/>
                <w:sz w:val="16"/>
              </w:rPr>
            </w:pPr>
            <w:r w:rsidRPr="006F3599">
              <w:rPr>
                <w:i/>
                <w:iCs/>
                <w:sz w:val="16"/>
              </w:rPr>
              <w:t>Activités et pays, organes ou organisations chefs de file/d’appui</w:t>
            </w:r>
          </w:p>
        </w:tc>
        <w:tc>
          <w:tcPr>
            <w:tcW w:w="1190" w:type="dxa"/>
            <w:vMerge w:val="restart"/>
            <w:tcBorders>
              <w:top w:val="single" w:sz="4" w:space="0" w:color="auto"/>
              <w:bottom w:val="single" w:sz="12" w:space="0" w:color="auto"/>
            </w:tcBorders>
            <w:shd w:val="clear" w:color="auto" w:fill="auto"/>
            <w:vAlign w:val="bottom"/>
          </w:tcPr>
          <w:p w14:paraId="666837B3" w14:textId="77777777" w:rsidR="00C02224" w:rsidRPr="006F3599" w:rsidRDefault="00C02224" w:rsidP="00AC3C80">
            <w:pPr>
              <w:suppressAutoHyphens w:val="0"/>
              <w:spacing w:before="80" w:after="80" w:line="200" w:lineRule="exact"/>
              <w:ind w:right="57"/>
              <w:jc w:val="right"/>
              <w:rPr>
                <w:i/>
                <w:iCs/>
                <w:sz w:val="16"/>
              </w:rPr>
            </w:pPr>
            <w:r w:rsidRPr="006F3599">
              <w:rPr>
                <w:i/>
                <w:iCs/>
                <w:sz w:val="16"/>
              </w:rPr>
              <w:t>Ressources financières extrabudgétaires (en espèces et en</w:t>
            </w:r>
            <w:r w:rsidR="000F7509" w:rsidRPr="006F3599">
              <w:rPr>
                <w:i/>
                <w:iCs/>
                <w:sz w:val="16"/>
              </w:rPr>
              <w:t> </w:t>
            </w:r>
            <w:r w:rsidRPr="006F3599">
              <w:rPr>
                <w:i/>
                <w:iCs/>
                <w:sz w:val="16"/>
              </w:rPr>
              <w:t>nature, en</w:t>
            </w:r>
            <w:r w:rsidR="000F7509" w:rsidRPr="006F3599">
              <w:rPr>
                <w:i/>
                <w:iCs/>
                <w:sz w:val="16"/>
              </w:rPr>
              <w:t> </w:t>
            </w:r>
            <w:r w:rsidRPr="006F3599">
              <w:rPr>
                <w:i/>
                <w:iCs/>
                <w:sz w:val="16"/>
              </w:rPr>
              <w:t>dollars É.-U.)</w:t>
            </w:r>
          </w:p>
        </w:tc>
        <w:tc>
          <w:tcPr>
            <w:tcW w:w="2561" w:type="dxa"/>
            <w:gridSpan w:val="2"/>
            <w:tcBorders>
              <w:top w:val="single" w:sz="4" w:space="0" w:color="auto"/>
              <w:bottom w:val="single" w:sz="4" w:space="0" w:color="auto"/>
            </w:tcBorders>
            <w:shd w:val="clear" w:color="auto" w:fill="auto"/>
            <w:vAlign w:val="bottom"/>
          </w:tcPr>
          <w:p w14:paraId="472DCCCF" w14:textId="77777777" w:rsidR="00C02224" w:rsidRPr="006F3599" w:rsidRDefault="00C02224" w:rsidP="000F7509">
            <w:pPr>
              <w:suppressAutoHyphens w:val="0"/>
              <w:spacing w:before="80" w:after="80" w:line="200" w:lineRule="exact"/>
              <w:jc w:val="center"/>
              <w:rPr>
                <w:i/>
                <w:iCs/>
                <w:sz w:val="16"/>
              </w:rPr>
            </w:pPr>
            <w:r w:rsidRPr="006F3599">
              <w:rPr>
                <w:i/>
                <w:iCs/>
                <w:sz w:val="16"/>
              </w:rPr>
              <w:t>Ressources humaines financées par le</w:t>
            </w:r>
            <w:r w:rsidR="000F7509" w:rsidRPr="006F3599">
              <w:rPr>
                <w:i/>
                <w:iCs/>
                <w:sz w:val="16"/>
              </w:rPr>
              <w:t> </w:t>
            </w:r>
            <w:r w:rsidRPr="006F3599">
              <w:rPr>
                <w:i/>
                <w:iCs/>
                <w:sz w:val="16"/>
              </w:rPr>
              <w:t>budget ordinaire ou des fonds extrabudgétaires (en mois de travail d’administrateur (P) et d’agent des services généraux (G) du secrétariat)</w:t>
            </w:r>
          </w:p>
        </w:tc>
      </w:tr>
      <w:tr w:rsidR="00C02224" w:rsidRPr="006F3599" w14:paraId="4F59B93B" w14:textId="77777777" w:rsidTr="000F7509">
        <w:trPr>
          <w:cantSplit/>
          <w:tblHeader/>
        </w:trPr>
        <w:tc>
          <w:tcPr>
            <w:tcW w:w="1555" w:type="dxa"/>
            <w:vMerge/>
            <w:tcBorders>
              <w:bottom w:val="single" w:sz="12" w:space="0" w:color="auto"/>
            </w:tcBorders>
            <w:shd w:val="clear" w:color="auto" w:fill="auto"/>
            <w:vAlign w:val="bottom"/>
          </w:tcPr>
          <w:p w14:paraId="618FF87D" w14:textId="77777777" w:rsidR="00C02224" w:rsidRPr="006F3599" w:rsidRDefault="00C02224" w:rsidP="00106A16">
            <w:pPr>
              <w:suppressAutoHyphens w:val="0"/>
              <w:spacing w:before="40" w:after="40" w:line="220" w:lineRule="exact"/>
              <w:rPr>
                <w:i/>
                <w:iCs/>
                <w:sz w:val="18"/>
              </w:rPr>
            </w:pPr>
          </w:p>
        </w:tc>
        <w:tc>
          <w:tcPr>
            <w:tcW w:w="4331" w:type="dxa"/>
            <w:vMerge/>
            <w:tcBorders>
              <w:bottom w:val="single" w:sz="12" w:space="0" w:color="auto"/>
            </w:tcBorders>
            <w:shd w:val="clear" w:color="auto" w:fill="auto"/>
          </w:tcPr>
          <w:p w14:paraId="6B3CB02B" w14:textId="77777777" w:rsidR="00C02224" w:rsidRPr="006F3599" w:rsidRDefault="00C02224" w:rsidP="00046DCD">
            <w:pPr>
              <w:suppressAutoHyphens w:val="0"/>
              <w:spacing w:before="40" w:after="40" w:line="220" w:lineRule="exact"/>
              <w:ind w:left="57"/>
              <w:rPr>
                <w:i/>
                <w:iCs/>
                <w:sz w:val="18"/>
              </w:rPr>
            </w:pPr>
          </w:p>
        </w:tc>
        <w:tc>
          <w:tcPr>
            <w:tcW w:w="1190" w:type="dxa"/>
            <w:vMerge/>
            <w:tcBorders>
              <w:bottom w:val="single" w:sz="12" w:space="0" w:color="auto"/>
            </w:tcBorders>
            <w:shd w:val="clear" w:color="auto" w:fill="auto"/>
            <w:vAlign w:val="bottom"/>
          </w:tcPr>
          <w:p w14:paraId="123F5CE2" w14:textId="77777777" w:rsidR="00C02224" w:rsidRPr="006F3599" w:rsidRDefault="00C02224" w:rsidP="00AC3C80">
            <w:pPr>
              <w:suppressAutoHyphens w:val="0"/>
              <w:spacing w:before="40" w:after="40" w:line="220" w:lineRule="exact"/>
              <w:ind w:right="57"/>
              <w:jc w:val="right"/>
              <w:rPr>
                <w:i/>
                <w:iCs/>
                <w:sz w:val="18"/>
              </w:rPr>
            </w:pPr>
          </w:p>
        </w:tc>
        <w:tc>
          <w:tcPr>
            <w:tcW w:w="1266" w:type="dxa"/>
            <w:tcBorders>
              <w:top w:val="single" w:sz="4" w:space="0" w:color="auto"/>
              <w:bottom w:val="single" w:sz="12" w:space="0" w:color="auto"/>
            </w:tcBorders>
            <w:shd w:val="clear" w:color="auto" w:fill="auto"/>
            <w:vAlign w:val="bottom"/>
          </w:tcPr>
          <w:p w14:paraId="23DAF5F0" w14:textId="77777777" w:rsidR="00C02224" w:rsidRPr="006F3599" w:rsidRDefault="00C02224" w:rsidP="000F7509">
            <w:pPr>
              <w:suppressAutoHyphens w:val="0"/>
              <w:spacing w:before="80" w:after="80" w:line="200" w:lineRule="exact"/>
              <w:jc w:val="right"/>
              <w:rPr>
                <w:i/>
                <w:iCs/>
                <w:sz w:val="16"/>
              </w:rPr>
            </w:pPr>
            <w:r w:rsidRPr="006F3599">
              <w:rPr>
                <w:i/>
                <w:iCs/>
                <w:sz w:val="16"/>
              </w:rPr>
              <w:t>P</w:t>
            </w:r>
          </w:p>
        </w:tc>
        <w:tc>
          <w:tcPr>
            <w:tcW w:w="1295" w:type="dxa"/>
            <w:tcBorders>
              <w:top w:val="single" w:sz="4" w:space="0" w:color="auto"/>
              <w:bottom w:val="single" w:sz="12" w:space="0" w:color="auto"/>
            </w:tcBorders>
            <w:shd w:val="clear" w:color="auto" w:fill="auto"/>
            <w:vAlign w:val="bottom"/>
          </w:tcPr>
          <w:p w14:paraId="2219B5A1" w14:textId="77777777" w:rsidR="00C02224" w:rsidRPr="006F3599" w:rsidRDefault="00C02224" w:rsidP="000F7509">
            <w:pPr>
              <w:suppressAutoHyphens w:val="0"/>
              <w:spacing w:before="80" w:after="80" w:line="200" w:lineRule="exact"/>
              <w:jc w:val="right"/>
              <w:rPr>
                <w:i/>
                <w:iCs/>
                <w:sz w:val="16"/>
              </w:rPr>
            </w:pPr>
            <w:r w:rsidRPr="006F3599">
              <w:rPr>
                <w:i/>
                <w:iCs/>
                <w:sz w:val="16"/>
              </w:rPr>
              <w:t>G</w:t>
            </w:r>
          </w:p>
        </w:tc>
      </w:tr>
      <w:tr w:rsidR="00C02224" w:rsidRPr="005417E7" w14:paraId="3A8E10E4" w14:textId="77777777" w:rsidTr="000F7509">
        <w:trPr>
          <w:cantSplit/>
        </w:trPr>
        <w:tc>
          <w:tcPr>
            <w:tcW w:w="9637" w:type="dxa"/>
            <w:gridSpan w:val="5"/>
            <w:shd w:val="clear" w:color="auto" w:fill="auto"/>
          </w:tcPr>
          <w:p w14:paraId="4023DACF" w14:textId="77777777" w:rsidR="00C02224" w:rsidRPr="005417E7" w:rsidRDefault="00C02224" w:rsidP="00BD4260">
            <w:pPr>
              <w:tabs>
                <w:tab w:val="left" w:pos="284"/>
              </w:tabs>
              <w:suppressAutoHyphens w:val="0"/>
              <w:spacing w:before="40" w:after="40" w:line="220" w:lineRule="exact"/>
              <w:ind w:left="284" w:right="57" w:hanging="284"/>
              <w:rPr>
                <w:sz w:val="18"/>
                <w:szCs w:val="16"/>
              </w:rPr>
            </w:pPr>
            <w:r w:rsidRPr="005417E7">
              <w:rPr>
                <w:b/>
                <w:bCs/>
                <w:sz w:val="18"/>
                <w:szCs w:val="16"/>
              </w:rPr>
              <w:t>I.</w:t>
            </w:r>
            <w:r w:rsidRPr="005417E7">
              <w:rPr>
                <w:sz w:val="18"/>
                <w:szCs w:val="16"/>
              </w:rPr>
              <w:tab/>
            </w:r>
            <w:r w:rsidRPr="005417E7">
              <w:rPr>
                <w:b/>
                <w:bCs/>
                <w:sz w:val="18"/>
                <w:szCs w:val="16"/>
              </w:rPr>
              <w:t xml:space="preserve">Activités de base, notamment celles qui visent à mettre en œuvre la stratégie </w:t>
            </w:r>
            <w:r w:rsidR="000D6813">
              <w:rPr>
                <w:b/>
                <w:bCs/>
                <w:sz w:val="18"/>
                <w:szCs w:val="16"/>
              </w:rPr>
              <w:br/>
            </w:r>
            <w:r w:rsidRPr="005417E7">
              <w:rPr>
                <w:b/>
                <w:bCs/>
                <w:sz w:val="18"/>
                <w:szCs w:val="16"/>
              </w:rPr>
              <w:t>à long terme pour la Convention jusqu’à</w:t>
            </w:r>
            <w:r w:rsidR="00AC3C80">
              <w:rPr>
                <w:b/>
                <w:bCs/>
                <w:sz w:val="18"/>
                <w:szCs w:val="16"/>
              </w:rPr>
              <w:t xml:space="preserve"> </w:t>
            </w:r>
            <w:r w:rsidRPr="005417E7">
              <w:rPr>
                <w:b/>
                <w:bCs/>
                <w:sz w:val="18"/>
                <w:szCs w:val="16"/>
              </w:rPr>
              <w:t>2030 (autres que les activités d’assistance)</w:t>
            </w:r>
          </w:p>
        </w:tc>
      </w:tr>
      <w:tr w:rsidR="00C02224" w:rsidRPr="005417E7" w14:paraId="30E561DC" w14:textId="77777777" w:rsidTr="000F7509">
        <w:trPr>
          <w:cantSplit/>
        </w:trPr>
        <w:tc>
          <w:tcPr>
            <w:tcW w:w="1555" w:type="dxa"/>
            <w:vMerge w:val="restart"/>
            <w:shd w:val="clear" w:color="auto" w:fill="auto"/>
          </w:tcPr>
          <w:p w14:paraId="772ABE8F" w14:textId="77777777" w:rsidR="00C02224" w:rsidRPr="006F3599" w:rsidRDefault="00C02224" w:rsidP="00106A16">
            <w:pPr>
              <w:suppressAutoHyphens w:val="0"/>
              <w:spacing w:before="40" w:after="40" w:line="220" w:lineRule="exact"/>
              <w:rPr>
                <w:i/>
                <w:iCs/>
                <w:sz w:val="18"/>
                <w:szCs w:val="16"/>
              </w:rPr>
            </w:pPr>
            <w:r w:rsidRPr="006F3599">
              <w:rPr>
                <w:i/>
                <w:iCs/>
                <w:sz w:val="18"/>
                <w:szCs w:val="16"/>
              </w:rPr>
              <w:t>Activités de communication et</w:t>
            </w:r>
            <w:r w:rsidR="000F7509" w:rsidRPr="006F3599">
              <w:rPr>
                <w:i/>
                <w:iCs/>
                <w:sz w:val="18"/>
                <w:szCs w:val="16"/>
              </w:rPr>
              <w:t> </w:t>
            </w:r>
            <w:r w:rsidRPr="006F3599">
              <w:rPr>
                <w:i/>
                <w:iCs/>
                <w:sz w:val="18"/>
                <w:szCs w:val="16"/>
              </w:rPr>
              <w:t>de</w:t>
            </w:r>
            <w:r w:rsidR="000F7509" w:rsidRPr="006F3599">
              <w:rPr>
                <w:i/>
                <w:iCs/>
                <w:sz w:val="18"/>
                <w:szCs w:val="16"/>
              </w:rPr>
              <w:t> </w:t>
            </w:r>
            <w:r w:rsidRPr="006F3599">
              <w:rPr>
                <w:i/>
                <w:iCs/>
                <w:sz w:val="18"/>
                <w:szCs w:val="16"/>
              </w:rPr>
              <w:t>sensibilisation et partenariats stratégiques</w:t>
            </w:r>
          </w:p>
        </w:tc>
        <w:tc>
          <w:tcPr>
            <w:tcW w:w="4331" w:type="dxa"/>
            <w:shd w:val="clear" w:color="auto" w:fill="auto"/>
          </w:tcPr>
          <w:p w14:paraId="3DDD7BF2"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Communication ciblée (lettres d’information, communiqués de presse, dépliants, cartes postales, site Web, médias sociaux, promotion de brochures et d’une formation en ligne sur les accidents industriels et participation à des réunions et instances internationales et régionales)</w:t>
            </w:r>
          </w:p>
        </w:tc>
        <w:tc>
          <w:tcPr>
            <w:tcW w:w="1190" w:type="dxa"/>
            <w:shd w:val="clear" w:color="auto" w:fill="auto"/>
          </w:tcPr>
          <w:p w14:paraId="74E8C076"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15 000</w:t>
            </w:r>
          </w:p>
        </w:tc>
        <w:tc>
          <w:tcPr>
            <w:tcW w:w="1266" w:type="dxa"/>
            <w:shd w:val="clear" w:color="auto" w:fill="auto"/>
          </w:tcPr>
          <w:p w14:paraId="202C6EFF"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3</w:t>
            </w:r>
          </w:p>
        </w:tc>
        <w:tc>
          <w:tcPr>
            <w:tcW w:w="1295" w:type="dxa"/>
            <w:shd w:val="clear" w:color="auto" w:fill="auto"/>
          </w:tcPr>
          <w:p w14:paraId="63AAF77D"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1,5</w:t>
            </w:r>
          </w:p>
        </w:tc>
      </w:tr>
      <w:tr w:rsidR="00C02224" w:rsidRPr="005417E7" w14:paraId="70B842CA" w14:textId="77777777" w:rsidTr="000F7509">
        <w:trPr>
          <w:cantSplit/>
        </w:trPr>
        <w:tc>
          <w:tcPr>
            <w:tcW w:w="1555" w:type="dxa"/>
            <w:vMerge/>
            <w:shd w:val="clear" w:color="auto" w:fill="auto"/>
          </w:tcPr>
          <w:p w14:paraId="6AE7FA87"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6083036E"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Visites de travail et missions de haut niveau dans les États parties</w:t>
            </w:r>
          </w:p>
        </w:tc>
        <w:tc>
          <w:tcPr>
            <w:tcW w:w="1190" w:type="dxa"/>
            <w:shd w:val="clear" w:color="auto" w:fill="auto"/>
          </w:tcPr>
          <w:p w14:paraId="1D276C81"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9 000</w:t>
            </w:r>
          </w:p>
        </w:tc>
        <w:tc>
          <w:tcPr>
            <w:tcW w:w="1266" w:type="dxa"/>
            <w:shd w:val="clear" w:color="auto" w:fill="auto"/>
          </w:tcPr>
          <w:p w14:paraId="0C7A46AA"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1</w:t>
            </w:r>
          </w:p>
        </w:tc>
        <w:tc>
          <w:tcPr>
            <w:tcW w:w="1295" w:type="dxa"/>
            <w:shd w:val="clear" w:color="auto" w:fill="auto"/>
          </w:tcPr>
          <w:p w14:paraId="49F5AB45"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 xml:space="preserve">0,25 </w:t>
            </w:r>
          </w:p>
        </w:tc>
      </w:tr>
      <w:tr w:rsidR="00C02224" w:rsidRPr="005417E7" w14:paraId="35B8E93F" w14:textId="77777777" w:rsidTr="000F7509">
        <w:trPr>
          <w:cantSplit/>
        </w:trPr>
        <w:tc>
          <w:tcPr>
            <w:tcW w:w="1555" w:type="dxa"/>
            <w:vMerge/>
            <w:shd w:val="clear" w:color="auto" w:fill="auto"/>
          </w:tcPr>
          <w:p w14:paraId="67E73F95"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2D7F2F3E"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Visites de travail auprès d’autres parties prenantes</w:t>
            </w:r>
          </w:p>
        </w:tc>
        <w:tc>
          <w:tcPr>
            <w:tcW w:w="1190" w:type="dxa"/>
            <w:shd w:val="clear" w:color="auto" w:fill="auto"/>
          </w:tcPr>
          <w:p w14:paraId="03441786"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6 000</w:t>
            </w:r>
          </w:p>
        </w:tc>
        <w:tc>
          <w:tcPr>
            <w:tcW w:w="1266" w:type="dxa"/>
            <w:shd w:val="clear" w:color="auto" w:fill="auto"/>
          </w:tcPr>
          <w:p w14:paraId="6647136B"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1</w:t>
            </w:r>
          </w:p>
        </w:tc>
        <w:tc>
          <w:tcPr>
            <w:tcW w:w="1295" w:type="dxa"/>
            <w:shd w:val="clear" w:color="auto" w:fill="auto"/>
          </w:tcPr>
          <w:p w14:paraId="4FC0E25D" w14:textId="77777777" w:rsidR="00C02224" w:rsidRPr="005417E7" w:rsidRDefault="00C02224" w:rsidP="000F7509">
            <w:pPr>
              <w:suppressAutoHyphens w:val="0"/>
              <w:spacing w:before="40" w:after="40" w:line="220" w:lineRule="exact"/>
              <w:jc w:val="right"/>
              <w:rPr>
                <w:sz w:val="18"/>
                <w:szCs w:val="16"/>
              </w:rPr>
            </w:pPr>
            <w:r w:rsidRPr="005417E7">
              <w:rPr>
                <w:sz w:val="18"/>
                <w:szCs w:val="16"/>
              </w:rPr>
              <w:t>0,25</w:t>
            </w:r>
          </w:p>
        </w:tc>
      </w:tr>
      <w:tr w:rsidR="00C02224" w:rsidRPr="005417E7" w14:paraId="75078E74" w14:textId="77777777" w:rsidTr="000F7509">
        <w:trPr>
          <w:cantSplit/>
        </w:trPr>
        <w:tc>
          <w:tcPr>
            <w:tcW w:w="1555" w:type="dxa"/>
            <w:shd w:val="clear" w:color="auto" w:fill="auto"/>
          </w:tcPr>
          <w:p w14:paraId="11D8D91A"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470D6B4C"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Réunions avec les organisations partenaires aux fins de la coordination des activités communes (réunions de coordination interinstitutions, notamment)</w:t>
            </w:r>
          </w:p>
        </w:tc>
        <w:tc>
          <w:tcPr>
            <w:tcW w:w="1190" w:type="dxa"/>
            <w:shd w:val="clear" w:color="auto" w:fill="auto"/>
          </w:tcPr>
          <w:p w14:paraId="68DA2CEE"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10 000</w:t>
            </w:r>
          </w:p>
        </w:tc>
        <w:tc>
          <w:tcPr>
            <w:tcW w:w="1266" w:type="dxa"/>
            <w:shd w:val="clear" w:color="auto" w:fill="auto"/>
          </w:tcPr>
          <w:p w14:paraId="14FA9D00" w14:textId="77777777" w:rsidR="00C02224" w:rsidRPr="005417E7" w:rsidRDefault="00C02224" w:rsidP="000F7509">
            <w:pPr>
              <w:suppressAutoHyphens w:val="0"/>
              <w:spacing w:before="40" w:after="40" w:line="220" w:lineRule="exact"/>
              <w:jc w:val="right"/>
              <w:rPr>
                <w:sz w:val="18"/>
                <w:szCs w:val="16"/>
              </w:rPr>
            </w:pPr>
          </w:p>
        </w:tc>
        <w:tc>
          <w:tcPr>
            <w:tcW w:w="1295" w:type="dxa"/>
            <w:shd w:val="clear" w:color="auto" w:fill="auto"/>
          </w:tcPr>
          <w:p w14:paraId="6D65CA1C" w14:textId="77777777" w:rsidR="00C02224" w:rsidRPr="005417E7" w:rsidRDefault="00C02224" w:rsidP="000F7509">
            <w:pPr>
              <w:suppressAutoHyphens w:val="0"/>
              <w:spacing w:before="40" w:after="40" w:line="220" w:lineRule="exact"/>
              <w:jc w:val="right"/>
              <w:rPr>
                <w:sz w:val="18"/>
                <w:szCs w:val="16"/>
              </w:rPr>
            </w:pPr>
          </w:p>
        </w:tc>
      </w:tr>
      <w:tr w:rsidR="000F7509" w:rsidRPr="005417E7" w14:paraId="633810C9" w14:textId="77777777" w:rsidTr="000F7509">
        <w:trPr>
          <w:cantSplit/>
        </w:trPr>
        <w:tc>
          <w:tcPr>
            <w:tcW w:w="1555" w:type="dxa"/>
            <w:shd w:val="clear" w:color="auto" w:fill="auto"/>
          </w:tcPr>
          <w:p w14:paraId="3DF0E2C4" w14:textId="77777777" w:rsidR="000F7509" w:rsidRPr="005417E7" w:rsidRDefault="000F7509" w:rsidP="00106A16">
            <w:pPr>
              <w:suppressAutoHyphens w:val="0"/>
              <w:spacing w:before="40" w:after="40" w:line="220" w:lineRule="exact"/>
              <w:rPr>
                <w:sz w:val="18"/>
                <w:szCs w:val="16"/>
              </w:rPr>
            </w:pPr>
          </w:p>
        </w:tc>
        <w:tc>
          <w:tcPr>
            <w:tcW w:w="4331" w:type="dxa"/>
            <w:shd w:val="clear" w:color="auto" w:fill="auto"/>
          </w:tcPr>
          <w:p w14:paraId="5D383EF6" w14:textId="77777777" w:rsidR="000F7509" w:rsidRPr="005417E7" w:rsidRDefault="000F7509" w:rsidP="00046DCD">
            <w:pPr>
              <w:suppressAutoHyphens w:val="0"/>
              <w:spacing w:before="40" w:after="40" w:line="220" w:lineRule="exact"/>
              <w:ind w:left="57"/>
              <w:rPr>
                <w:sz w:val="18"/>
                <w:szCs w:val="16"/>
              </w:rPr>
            </w:pPr>
            <w:r w:rsidRPr="005417E7">
              <w:rPr>
                <w:sz w:val="18"/>
                <w:szCs w:val="16"/>
              </w:rPr>
              <w:t>Réunions de donateurs et visites bilatérales</w:t>
            </w:r>
          </w:p>
        </w:tc>
        <w:tc>
          <w:tcPr>
            <w:tcW w:w="1190" w:type="dxa"/>
            <w:shd w:val="clear" w:color="auto" w:fill="auto"/>
          </w:tcPr>
          <w:p w14:paraId="51D44154" w14:textId="77777777" w:rsidR="000F7509" w:rsidRPr="005417E7" w:rsidRDefault="000F7509" w:rsidP="00AC3C80">
            <w:pPr>
              <w:suppressAutoHyphens w:val="0"/>
              <w:spacing w:before="40" w:after="40" w:line="220" w:lineRule="exact"/>
              <w:ind w:right="57"/>
              <w:jc w:val="right"/>
              <w:rPr>
                <w:sz w:val="18"/>
                <w:szCs w:val="16"/>
              </w:rPr>
            </w:pPr>
            <w:r>
              <w:rPr>
                <w:sz w:val="18"/>
                <w:szCs w:val="16"/>
              </w:rPr>
              <w:t>5 000</w:t>
            </w:r>
          </w:p>
        </w:tc>
        <w:tc>
          <w:tcPr>
            <w:tcW w:w="1266" w:type="dxa"/>
            <w:shd w:val="clear" w:color="auto" w:fill="auto"/>
          </w:tcPr>
          <w:p w14:paraId="56DB04D0" w14:textId="77777777" w:rsidR="000F7509" w:rsidRPr="005417E7" w:rsidRDefault="000F7509" w:rsidP="000F7509">
            <w:pPr>
              <w:suppressAutoHyphens w:val="0"/>
              <w:spacing w:before="40" w:after="40" w:line="220" w:lineRule="exact"/>
              <w:jc w:val="right"/>
              <w:rPr>
                <w:sz w:val="18"/>
                <w:szCs w:val="16"/>
              </w:rPr>
            </w:pPr>
            <w:r>
              <w:rPr>
                <w:sz w:val="18"/>
                <w:szCs w:val="16"/>
              </w:rPr>
              <w:t>2</w:t>
            </w:r>
          </w:p>
        </w:tc>
        <w:tc>
          <w:tcPr>
            <w:tcW w:w="1295" w:type="dxa"/>
            <w:shd w:val="clear" w:color="auto" w:fill="auto"/>
          </w:tcPr>
          <w:p w14:paraId="2B547C7A" w14:textId="77777777" w:rsidR="000F7509" w:rsidRPr="005417E7" w:rsidRDefault="000F7509" w:rsidP="000F7509">
            <w:pPr>
              <w:suppressAutoHyphens w:val="0"/>
              <w:spacing w:before="40" w:after="40" w:line="220" w:lineRule="exact"/>
              <w:jc w:val="right"/>
              <w:rPr>
                <w:sz w:val="18"/>
                <w:szCs w:val="16"/>
              </w:rPr>
            </w:pPr>
            <w:r>
              <w:rPr>
                <w:sz w:val="18"/>
                <w:szCs w:val="16"/>
              </w:rPr>
              <w:t>0,5</w:t>
            </w:r>
          </w:p>
        </w:tc>
      </w:tr>
      <w:tr w:rsidR="000F7509" w:rsidRPr="005417E7" w14:paraId="34A3EDE8" w14:textId="77777777" w:rsidTr="000F7509">
        <w:trPr>
          <w:cantSplit/>
        </w:trPr>
        <w:tc>
          <w:tcPr>
            <w:tcW w:w="1555" w:type="dxa"/>
            <w:tcBorders>
              <w:bottom w:val="single" w:sz="4" w:space="0" w:color="auto"/>
            </w:tcBorders>
            <w:shd w:val="clear" w:color="auto" w:fill="auto"/>
          </w:tcPr>
          <w:p w14:paraId="78E8DF42" w14:textId="77777777" w:rsidR="000F7509" w:rsidRPr="005417E7" w:rsidRDefault="000F7509" w:rsidP="00106A16">
            <w:pPr>
              <w:suppressAutoHyphens w:val="0"/>
              <w:spacing w:before="40" w:after="40" w:line="220" w:lineRule="exact"/>
              <w:rPr>
                <w:sz w:val="18"/>
                <w:szCs w:val="16"/>
              </w:rPr>
            </w:pPr>
          </w:p>
        </w:tc>
        <w:tc>
          <w:tcPr>
            <w:tcW w:w="4331" w:type="dxa"/>
            <w:tcBorders>
              <w:bottom w:val="single" w:sz="4" w:space="0" w:color="auto"/>
            </w:tcBorders>
            <w:shd w:val="clear" w:color="auto" w:fill="auto"/>
          </w:tcPr>
          <w:p w14:paraId="18C9EAEE" w14:textId="77777777" w:rsidR="000F7509" w:rsidRPr="005417E7" w:rsidRDefault="000F7509" w:rsidP="00DC302B">
            <w:pPr>
              <w:suppressAutoHyphens w:val="0"/>
              <w:spacing w:before="40" w:after="80" w:line="220" w:lineRule="exact"/>
              <w:ind w:left="57"/>
              <w:rPr>
                <w:sz w:val="18"/>
                <w:szCs w:val="16"/>
              </w:rPr>
            </w:pPr>
            <w:r w:rsidRPr="000F7509">
              <w:rPr>
                <w:i/>
                <w:iCs/>
                <w:sz w:val="18"/>
                <w:szCs w:val="16"/>
              </w:rPr>
              <w:t>Organe d’appui</w:t>
            </w:r>
            <w:r w:rsidRPr="005417E7">
              <w:rPr>
                <w:sz w:val="18"/>
                <w:szCs w:val="16"/>
              </w:rPr>
              <w:t> : Bureau</w:t>
            </w:r>
          </w:p>
        </w:tc>
        <w:tc>
          <w:tcPr>
            <w:tcW w:w="1190" w:type="dxa"/>
            <w:tcBorders>
              <w:bottom w:val="single" w:sz="4" w:space="0" w:color="auto"/>
            </w:tcBorders>
            <w:shd w:val="clear" w:color="auto" w:fill="auto"/>
          </w:tcPr>
          <w:p w14:paraId="15465AFF" w14:textId="77777777" w:rsidR="000F7509" w:rsidRPr="005417E7" w:rsidRDefault="000F7509" w:rsidP="00AC3C80">
            <w:pPr>
              <w:suppressAutoHyphens w:val="0"/>
              <w:spacing w:before="40" w:after="40" w:line="220" w:lineRule="exact"/>
              <w:ind w:right="57"/>
              <w:jc w:val="right"/>
              <w:rPr>
                <w:sz w:val="18"/>
                <w:szCs w:val="16"/>
              </w:rPr>
            </w:pPr>
          </w:p>
        </w:tc>
        <w:tc>
          <w:tcPr>
            <w:tcW w:w="1266" w:type="dxa"/>
            <w:tcBorders>
              <w:bottom w:val="single" w:sz="4" w:space="0" w:color="auto"/>
            </w:tcBorders>
            <w:shd w:val="clear" w:color="auto" w:fill="auto"/>
          </w:tcPr>
          <w:p w14:paraId="471D9465" w14:textId="77777777" w:rsidR="000F7509" w:rsidRPr="005417E7" w:rsidRDefault="000F7509" w:rsidP="000F7509">
            <w:pPr>
              <w:suppressAutoHyphens w:val="0"/>
              <w:spacing w:before="40" w:after="40" w:line="220" w:lineRule="exact"/>
              <w:jc w:val="right"/>
              <w:rPr>
                <w:sz w:val="18"/>
                <w:szCs w:val="16"/>
              </w:rPr>
            </w:pPr>
            <w:r>
              <w:rPr>
                <w:sz w:val="18"/>
                <w:szCs w:val="16"/>
              </w:rPr>
              <w:t>1</w:t>
            </w:r>
          </w:p>
        </w:tc>
        <w:tc>
          <w:tcPr>
            <w:tcW w:w="1295" w:type="dxa"/>
            <w:tcBorders>
              <w:bottom w:val="single" w:sz="4" w:space="0" w:color="auto"/>
            </w:tcBorders>
            <w:shd w:val="clear" w:color="auto" w:fill="auto"/>
          </w:tcPr>
          <w:p w14:paraId="54D2C387" w14:textId="77777777" w:rsidR="000F7509" w:rsidRPr="005417E7" w:rsidRDefault="000F7509" w:rsidP="000F7509">
            <w:pPr>
              <w:suppressAutoHyphens w:val="0"/>
              <w:spacing w:before="40" w:after="40" w:line="220" w:lineRule="exact"/>
              <w:jc w:val="right"/>
              <w:rPr>
                <w:sz w:val="18"/>
                <w:szCs w:val="16"/>
              </w:rPr>
            </w:pPr>
            <w:r>
              <w:rPr>
                <w:sz w:val="18"/>
                <w:szCs w:val="16"/>
              </w:rPr>
              <w:t>0,5</w:t>
            </w:r>
          </w:p>
        </w:tc>
      </w:tr>
      <w:tr w:rsidR="00C02224" w:rsidRPr="000F7509" w14:paraId="1F16F57D" w14:textId="77777777" w:rsidTr="000F7509">
        <w:trPr>
          <w:cantSplit/>
        </w:trPr>
        <w:tc>
          <w:tcPr>
            <w:tcW w:w="1555" w:type="dxa"/>
            <w:tcBorders>
              <w:top w:val="single" w:sz="4" w:space="0" w:color="auto"/>
              <w:bottom w:val="single" w:sz="4" w:space="0" w:color="auto"/>
            </w:tcBorders>
            <w:shd w:val="clear" w:color="auto" w:fill="auto"/>
          </w:tcPr>
          <w:p w14:paraId="0FEAAB49" w14:textId="77777777" w:rsidR="00C02224" w:rsidRPr="000F7509" w:rsidRDefault="00C02224" w:rsidP="000F7509">
            <w:pPr>
              <w:suppressAutoHyphens w:val="0"/>
              <w:spacing w:before="80" w:after="80" w:line="220" w:lineRule="exact"/>
              <w:ind w:left="283"/>
              <w:rPr>
                <w:b/>
                <w:sz w:val="18"/>
                <w:szCs w:val="16"/>
              </w:rPr>
            </w:pPr>
            <w:r w:rsidRPr="000F7509">
              <w:rPr>
                <w:b/>
                <w:bCs/>
                <w:sz w:val="18"/>
                <w:szCs w:val="16"/>
              </w:rPr>
              <w:t>Total partiel</w:t>
            </w:r>
          </w:p>
        </w:tc>
        <w:tc>
          <w:tcPr>
            <w:tcW w:w="4331" w:type="dxa"/>
            <w:tcBorders>
              <w:top w:val="single" w:sz="4" w:space="0" w:color="auto"/>
              <w:bottom w:val="single" w:sz="4" w:space="0" w:color="auto"/>
            </w:tcBorders>
            <w:shd w:val="clear" w:color="auto" w:fill="auto"/>
          </w:tcPr>
          <w:p w14:paraId="38B9C65E" w14:textId="77777777" w:rsidR="00C02224" w:rsidRPr="000F7509"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49FBDC7D" w14:textId="77777777" w:rsidR="00C02224" w:rsidRPr="000F7509" w:rsidRDefault="00C02224" w:rsidP="00AC3C80">
            <w:pPr>
              <w:suppressAutoHyphens w:val="0"/>
              <w:spacing w:before="80" w:after="80" w:line="220" w:lineRule="exact"/>
              <w:ind w:right="57"/>
              <w:jc w:val="right"/>
              <w:rPr>
                <w:b/>
                <w:sz w:val="18"/>
                <w:szCs w:val="16"/>
              </w:rPr>
            </w:pPr>
            <w:r w:rsidRPr="000F7509">
              <w:rPr>
                <w:b/>
                <w:bCs/>
                <w:sz w:val="18"/>
                <w:szCs w:val="16"/>
              </w:rPr>
              <w:t>45 000</w:t>
            </w:r>
          </w:p>
        </w:tc>
        <w:tc>
          <w:tcPr>
            <w:tcW w:w="1266" w:type="dxa"/>
            <w:tcBorders>
              <w:top w:val="single" w:sz="4" w:space="0" w:color="auto"/>
              <w:bottom w:val="single" w:sz="4" w:space="0" w:color="auto"/>
            </w:tcBorders>
            <w:shd w:val="clear" w:color="auto" w:fill="auto"/>
            <w:vAlign w:val="bottom"/>
          </w:tcPr>
          <w:p w14:paraId="5E46872B" w14:textId="77777777" w:rsidR="00C02224" w:rsidRPr="000F7509" w:rsidRDefault="00C02224" w:rsidP="000F7509">
            <w:pPr>
              <w:suppressAutoHyphens w:val="0"/>
              <w:spacing w:before="80" w:after="80" w:line="220" w:lineRule="exact"/>
              <w:jc w:val="right"/>
              <w:rPr>
                <w:b/>
                <w:sz w:val="18"/>
                <w:szCs w:val="16"/>
              </w:rPr>
            </w:pPr>
            <w:r w:rsidRPr="000F7509">
              <w:rPr>
                <w:b/>
                <w:bCs/>
                <w:sz w:val="18"/>
                <w:szCs w:val="16"/>
              </w:rPr>
              <w:t>8</w:t>
            </w:r>
          </w:p>
        </w:tc>
        <w:tc>
          <w:tcPr>
            <w:tcW w:w="1295" w:type="dxa"/>
            <w:tcBorders>
              <w:top w:val="single" w:sz="4" w:space="0" w:color="auto"/>
              <w:bottom w:val="single" w:sz="4" w:space="0" w:color="auto"/>
            </w:tcBorders>
            <w:shd w:val="clear" w:color="auto" w:fill="auto"/>
            <w:vAlign w:val="bottom"/>
          </w:tcPr>
          <w:p w14:paraId="52BC5BB4" w14:textId="77777777" w:rsidR="00C02224" w:rsidRPr="000F7509" w:rsidRDefault="00C02224" w:rsidP="000F7509">
            <w:pPr>
              <w:suppressAutoHyphens w:val="0"/>
              <w:spacing w:before="80" w:after="80" w:line="220" w:lineRule="exact"/>
              <w:jc w:val="right"/>
              <w:rPr>
                <w:b/>
                <w:sz w:val="18"/>
                <w:szCs w:val="16"/>
              </w:rPr>
            </w:pPr>
            <w:r w:rsidRPr="000F7509">
              <w:rPr>
                <w:b/>
                <w:bCs/>
                <w:sz w:val="18"/>
                <w:szCs w:val="16"/>
              </w:rPr>
              <w:t>3</w:t>
            </w:r>
          </w:p>
        </w:tc>
      </w:tr>
      <w:tr w:rsidR="006F3599" w:rsidRPr="005417E7" w14:paraId="61DD8A7B" w14:textId="77777777" w:rsidTr="006F3599">
        <w:trPr>
          <w:cantSplit/>
        </w:trPr>
        <w:tc>
          <w:tcPr>
            <w:tcW w:w="1555" w:type="dxa"/>
            <w:vMerge w:val="restart"/>
            <w:tcBorders>
              <w:top w:val="single" w:sz="4" w:space="0" w:color="auto"/>
            </w:tcBorders>
            <w:shd w:val="clear" w:color="auto" w:fill="auto"/>
          </w:tcPr>
          <w:p w14:paraId="4ED481DE" w14:textId="77777777" w:rsidR="006F3599" w:rsidRPr="006F3599" w:rsidRDefault="006F3599" w:rsidP="006F3599">
            <w:pPr>
              <w:suppressAutoHyphens w:val="0"/>
              <w:spacing w:before="40" w:after="40" w:line="220" w:lineRule="exact"/>
              <w:rPr>
                <w:i/>
                <w:iCs/>
                <w:sz w:val="18"/>
                <w:szCs w:val="16"/>
              </w:rPr>
            </w:pPr>
            <w:r w:rsidRPr="006F3599">
              <w:rPr>
                <w:i/>
                <w:iCs/>
                <w:sz w:val="18"/>
                <w:szCs w:val="16"/>
              </w:rPr>
              <w:t>Facilitation de l’application</w:t>
            </w:r>
          </w:p>
          <w:p w14:paraId="49870A19" w14:textId="77777777" w:rsidR="006F3599" w:rsidRPr="005417E7" w:rsidRDefault="006F3599" w:rsidP="00106A16">
            <w:pPr>
              <w:spacing w:before="40" w:after="40" w:line="220" w:lineRule="exact"/>
              <w:rPr>
                <w:sz w:val="18"/>
                <w:szCs w:val="16"/>
              </w:rPr>
            </w:pPr>
            <w:r w:rsidRPr="005417E7">
              <w:rPr>
                <w:sz w:val="18"/>
                <w:szCs w:val="16"/>
              </w:rPr>
              <w:t>− Évaluation des</w:t>
            </w:r>
            <w:r w:rsidR="00AC3C80">
              <w:rPr>
                <w:sz w:val="18"/>
                <w:szCs w:val="16"/>
              </w:rPr>
              <w:t> </w:t>
            </w:r>
            <w:r w:rsidRPr="005417E7">
              <w:rPr>
                <w:sz w:val="18"/>
                <w:szCs w:val="16"/>
              </w:rPr>
              <w:t>risques</w:t>
            </w:r>
          </w:p>
        </w:tc>
        <w:tc>
          <w:tcPr>
            <w:tcW w:w="4331" w:type="dxa"/>
            <w:tcBorders>
              <w:top w:val="single" w:sz="4" w:space="0" w:color="auto"/>
            </w:tcBorders>
            <w:shd w:val="clear" w:color="auto" w:fill="auto"/>
          </w:tcPr>
          <w:p w14:paraId="5C9B42DD" w14:textId="77777777" w:rsidR="006F3599" w:rsidRPr="005417E7" w:rsidRDefault="006F3599" w:rsidP="00046DCD">
            <w:pPr>
              <w:suppressAutoHyphens w:val="0"/>
              <w:spacing w:before="40" w:after="40" w:line="220" w:lineRule="exact"/>
              <w:ind w:left="57"/>
              <w:rPr>
                <w:sz w:val="18"/>
                <w:szCs w:val="16"/>
              </w:rPr>
            </w:pPr>
            <w:r w:rsidRPr="005417E7">
              <w:rPr>
                <w:sz w:val="18"/>
                <w:szCs w:val="16"/>
              </w:rPr>
              <w:t>Réalisation d’une étude sur les méthodes d’évaluation des risques</w:t>
            </w:r>
          </w:p>
        </w:tc>
        <w:tc>
          <w:tcPr>
            <w:tcW w:w="1190" w:type="dxa"/>
            <w:tcBorders>
              <w:top w:val="single" w:sz="4" w:space="0" w:color="auto"/>
            </w:tcBorders>
            <w:shd w:val="clear" w:color="auto" w:fill="auto"/>
          </w:tcPr>
          <w:p w14:paraId="4B60F3B3" w14:textId="77777777" w:rsidR="006F3599" w:rsidRPr="005417E7" w:rsidRDefault="006F3599" w:rsidP="00AC3C80">
            <w:pPr>
              <w:suppressAutoHyphens w:val="0"/>
              <w:spacing w:before="40" w:after="40" w:line="220" w:lineRule="exact"/>
              <w:ind w:right="57"/>
              <w:jc w:val="right"/>
              <w:rPr>
                <w:sz w:val="18"/>
                <w:szCs w:val="16"/>
              </w:rPr>
            </w:pPr>
            <w:r w:rsidRPr="005417E7">
              <w:rPr>
                <w:sz w:val="18"/>
                <w:szCs w:val="16"/>
              </w:rPr>
              <w:t>25 000</w:t>
            </w:r>
          </w:p>
        </w:tc>
        <w:tc>
          <w:tcPr>
            <w:tcW w:w="1266" w:type="dxa"/>
            <w:tcBorders>
              <w:top w:val="single" w:sz="4" w:space="0" w:color="auto"/>
            </w:tcBorders>
            <w:shd w:val="clear" w:color="auto" w:fill="auto"/>
          </w:tcPr>
          <w:p w14:paraId="6171E494" w14:textId="77777777" w:rsidR="006F3599" w:rsidRPr="005417E7" w:rsidRDefault="006F3599" w:rsidP="006F3599">
            <w:pPr>
              <w:suppressAutoHyphens w:val="0"/>
              <w:spacing w:before="40" w:after="40" w:line="220" w:lineRule="exact"/>
              <w:jc w:val="right"/>
              <w:rPr>
                <w:sz w:val="18"/>
                <w:szCs w:val="16"/>
              </w:rPr>
            </w:pPr>
            <w:r w:rsidRPr="005417E7">
              <w:rPr>
                <w:sz w:val="18"/>
                <w:szCs w:val="16"/>
              </w:rPr>
              <w:t>4</w:t>
            </w:r>
          </w:p>
        </w:tc>
        <w:tc>
          <w:tcPr>
            <w:tcW w:w="1295" w:type="dxa"/>
            <w:tcBorders>
              <w:top w:val="single" w:sz="4" w:space="0" w:color="auto"/>
            </w:tcBorders>
            <w:shd w:val="clear" w:color="auto" w:fill="auto"/>
          </w:tcPr>
          <w:p w14:paraId="695AF7B3" w14:textId="77777777" w:rsidR="006F3599" w:rsidRPr="005417E7" w:rsidRDefault="006F3599" w:rsidP="006F3599">
            <w:pPr>
              <w:suppressAutoHyphens w:val="0"/>
              <w:spacing w:before="40" w:after="40" w:line="220" w:lineRule="exact"/>
              <w:jc w:val="right"/>
              <w:rPr>
                <w:sz w:val="18"/>
                <w:szCs w:val="16"/>
              </w:rPr>
            </w:pPr>
            <w:r w:rsidRPr="005417E7">
              <w:rPr>
                <w:sz w:val="18"/>
                <w:szCs w:val="16"/>
              </w:rPr>
              <w:t>1,5</w:t>
            </w:r>
          </w:p>
        </w:tc>
      </w:tr>
      <w:tr w:rsidR="006F3599" w:rsidRPr="005417E7" w14:paraId="792C2810" w14:textId="77777777" w:rsidTr="006F3599">
        <w:trPr>
          <w:cantSplit/>
        </w:trPr>
        <w:tc>
          <w:tcPr>
            <w:tcW w:w="1555" w:type="dxa"/>
            <w:vMerge/>
            <w:shd w:val="clear" w:color="auto" w:fill="auto"/>
          </w:tcPr>
          <w:p w14:paraId="0B168593" w14:textId="77777777" w:rsidR="006F3599" w:rsidRPr="005417E7" w:rsidRDefault="006F3599" w:rsidP="00106A16">
            <w:pPr>
              <w:suppressAutoHyphens w:val="0"/>
              <w:spacing w:before="40" w:after="40" w:line="220" w:lineRule="exact"/>
              <w:rPr>
                <w:sz w:val="18"/>
                <w:szCs w:val="16"/>
              </w:rPr>
            </w:pPr>
          </w:p>
        </w:tc>
        <w:tc>
          <w:tcPr>
            <w:tcW w:w="4331" w:type="dxa"/>
            <w:shd w:val="clear" w:color="auto" w:fill="auto"/>
          </w:tcPr>
          <w:p w14:paraId="7A0F19A9" w14:textId="77777777" w:rsidR="006F3599" w:rsidRPr="005417E7" w:rsidRDefault="006F3599" w:rsidP="00DC302B">
            <w:pPr>
              <w:suppressAutoHyphens w:val="0"/>
              <w:spacing w:before="40" w:after="80" w:line="220" w:lineRule="exact"/>
              <w:ind w:left="57"/>
              <w:rPr>
                <w:sz w:val="18"/>
                <w:szCs w:val="16"/>
              </w:rPr>
            </w:pPr>
            <w:r w:rsidRPr="000F7509">
              <w:rPr>
                <w:i/>
                <w:iCs/>
                <w:sz w:val="18"/>
                <w:szCs w:val="16"/>
              </w:rPr>
              <w:t>Pays chefs de file/d’appui</w:t>
            </w:r>
            <w:r w:rsidRPr="005417E7">
              <w:rPr>
                <w:sz w:val="18"/>
                <w:szCs w:val="16"/>
              </w:rPr>
              <w:t> : Suisse, avec l’aide des membres du Groupe restreint de l’évaluation des risques, à</w:t>
            </w:r>
            <w:r w:rsidR="00AC3C80">
              <w:rPr>
                <w:sz w:val="18"/>
                <w:szCs w:val="16"/>
              </w:rPr>
              <w:t> </w:t>
            </w:r>
            <w:r w:rsidRPr="005417E7">
              <w:rPr>
                <w:sz w:val="18"/>
                <w:szCs w:val="16"/>
              </w:rPr>
              <w:t>savoir l’Autriche, le Bélarus, la Lettonie, la Serbie et la</w:t>
            </w:r>
            <w:r w:rsidR="00AC3C80">
              <w:rPr>
                <w:sz w:val="18"/>
                <w:szCs w:val="16"/>
              </w:rPr>
              <w:t> </w:t>
            </w:r>
            <w:r w:rsidRPr="005417E7">
              <w:rPr>
                <w:sz w:val="18"/>
                <w:szCs w:val="16"/>
              </w:rPr>
              <w:t>Slovénie</w:t>
            </w:r>
          </w:p>
        </w:tc>
        <w:tc>
          <w:tcPr>
            <w:tcW w:w="1190" w:type="dxa"/>
            <w:shd w:val="clear" w:color="auto" w:fill="auto"/>
          </w:tcPr>
          <w:p w14:paraId="3058709E" w14:textId="77777777" w:rsidR="006F3599" w:rsidRPr="005417E7" w:rsidRDefault="006F3599" w:rsidP="00AC3C80">
            <w:pPr>
              <w:suppressAutoHyphens w:val="0"/>
              <w:spacing w:before="40" w:after="40" w:line="220" w:lineRule="exact"/>
              <w:ind w:right="57"/>
              <w:jc w:val="right"/>
              <w:rPr>
                <w:sz w:val="18"/>
                <w:szCs w:val="16"/>
              </w:rPr>
            </w:pPr>
          </w:p>
        </w:tc>
        <w:tc>
          <w:tcPr>
            <w:tcW w:w="1266" w:type="dxa"/>
            <w:shd w:val="clear" w:color="auto" w:fill="auto"/>
          </w:tcPr>
          <w:p w14:paraId="4BE51991" w14:textId="77777777" w:rsidR="006F3599" w:rsidRPr="005417E7" w:rsidRDefault="006F3599" w:rsidP="006F3599">
            <w:pPr>
              <w:suppressAutoHyphens w:val="0"/>
              <w:spacing w:before="40" w:after="40" w:line="220" w:lineRule="exact"/>
              <w:jc w:val="right"/>
              <w:rPr>
                <w:sz w:val="18"/>
                <w:szCs w:val="16"/>
              </w:rPr>
            </w:pPr>
          </w:p>
        </w:tc>
        <w:tc>
          <w:tcPr>
            <w:tcW w:w="1295" w:type="dxa"/>
            <w:shd w:val="clear" w:color="auto" w:fill="auto"/>
          </w:tcPr>
          <w:p w14:paraId="2F12A40C" w14:textId="77777777" w:rsidR="006F3599" w:rsidRPr="005417E7" w:rsidRDefault="006F3599" w:rsidP="006F3599">
            <w:pPr>
              <w:suppressAutoHyphens w:val="0"/>
              <w:spacing w:before="40" w:after="40" w:line="220" w:lineRule="exact"/>
              <w:jc w:val="right"/>
              <w:rPr>
                <w:sz w:val="18"/>
                <w:szCs w:val="16"/>
              </w:rPr>
            </w:pPr>
          </w:p>
        </w:tc>
      </w:tr>
      <w:tr w:rsidR="00C02224" w:rsidRPr="005417E7" w14:paraId="775261B7" w14:textId="77777777" w:rsidTr="006F3599">
        <w:trPr>
          <w:cantSplit/>
        </w:trPr>
        <w:tc>
          <w:tcPr>
            <w:tcW w:w="1555" w:type="dxa"/>
            <w:shd w:val="clear" w:color="auto" w:fill="auto"/>
          </w:tcPr>
          <w:p w14:paraId="2E09E77F" w14:textId="77777777" w:rsidR="00C02224" w:rsidRPr="005417E7" w:rsidRDefault="006F3599" w:rsidP="00106A16">
            <w:pPr>
              <w:suppressAutoHyphens w:val="0"/>
              <w:spacing w:before="40" w:after="40" w:line="220" w:lineRule="exact"/>
              <w:rPr>
                <w:sz w:val="18"/>
                <w:szCs w:val="16"/>
              </w:rPr>
            </w:pPr>
            <w:r w:rsidRPr="005417E7">
              <w:rPr>
                <w:sz w:val="18"/>
                <w:szCs w:val="16"/>
              </w:rPr>
              <w:t>− Objectifs de développement durable/Cadre d’action de Sendai pour la réduction des</w:t>
            </w:r>
            <w:r w:rsidR="00AC3C80">
              <w:rPr>
                <w:sz w:val="18"/>
                <w:szCs w:val="16"/>
              </w:rPr>
              <w:t> </w:t>
            </w:r>
            <w:r w:rsidRPr="005417E7">
              <w:rPr>
                <w:sz w:val="18"/>
                <w:szCs w:val="16"/>
              </w:rPr>
              <w:t>risques de catastrophe</w:t>
            </w:r>
          </w:p>
        </w:tc>
        <w:tc>
          <w:tcPr>
            <w:tcW w:w="4331" w:type="dxa"/>
            <w:shd w:val="clear" w:color="auto" w:fill="auto"/>
          </w:tcPr>
          <w:p w14:paraId="4D02CC60" w14:textId="77777777" w:rsidR="00C02224" w:rsidRPr="00AC3C80" w:rsidRDefault="00C02224" w:rsidP="00046DCD">
            <w:pPr>
              <w:suppressAutoHyphens w:val="0"/>
              <w:spacing w:before="40" w:after="40" w:line="220" w:lineRule="exact"/>
              <w:ind w:left="57"/>
              <w:rPr>
                <w:spacing w:val="-1"/>
                <w:sz w:val="18"/>
                <w:szCs w:val="16"/>
              </w:rPr>
            </w:pPr>
            <w:r w:rsidRPr="00AC3C80">
              <w:rPr>
                <w:spacing w:val="-1"/>
                <w:sz w:val="18"/>
                <w:szCs w:val="16"/>
              </w:rPr>
              <w:t>Appui à la mise en œuvre par les pays du Programme de développement durable à l’horizon 2030, y compris des objectifs de développement durable, et du Cadre de Sendai, l’accent étant mis sur la prévention et la préparation en matière d’accidents industriels (participation à l’élaboration des rapports pertinents sur les objectifs, à l’établissement du bilan mondial sur la réduction des risques de catastrophe et à des réunions et ateliers)</w:t>
            </w:r>
          </w:p>
        </w:tc>
        <w:tc>
          <w:tcPr>
            <w:tcW w:w="1190" w:type="dxa"/>
            <w:shd w:val="clear" w:color="auto" w:fill="auto"/>
          </w:tcPr>
          <w:p w14:paraId="7F676586"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25 000</w:t>
            </w:r>
          </w:p>
        </w:tc>
        <w:tc>
          <w:tcPr>
            <w:tcW w:w="1266" w:type="dxa"/>
            <w:shd w:val="clear" w:color="auto" w:fill="auto"/>
          </w:tcPr>
          <w:p w14:paraId="3CAEC00A"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3</w:t>
            </w:r>
          </w:p>
        </w:tc>
        <w:tc>
          <w:tcPr>
            <w:tcW w:w="1295" w:type="dxa"/>
            <w:shd w:val="clear" w:color="auto" w:fill="auto"/>
          </w:tcPr>
          <w:p w14:paraId="170A0AF0"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0,5</w:t>
            </w:r>
          </w:p>
        </w:tc>
      </w:tr>
      <w:tr w:rsidR="00C02224" w:rsidRPr="005417E7" w14:paraId="1DE0679F" w14:textId="77777777" w:rsidTr="006F3599">
        <w:trPr>
          <w:cantSplit/>
        </w:trPr>
        <w:tc>
          <w:tcPr>
            <w:tcW w:w="1555" w:type="dxa"/>
            <w:shd w:val="clear" w:color="auto" w:fill="auto"/>
          </w:tcPr>
          <w:p w14:paraId="2E7BA317" w14:textId="77777777" w:rsidR="00C02224" w:rsidRPr="005417E7" w:rsidRDefault="006F3599" w:rsidP="00106A16">
            <w:pPr>
              <w:suppressAutoHyphens w:val="0"/>
              <w:spacing w:before="40" w:after="40" w:line="220" w:lineRule="exact"/>
              <w:rPr>
                <w:sz w:val="18"/>
                <w:szCs w:val="16"/>
              </w:rPr>
            </w:pPr>
            <w:r w:rsidRPr="005417E7">
              <w:rPr>
                <w:sz w:val="18"/>
                <w:szCs w:val="16"/>
              </w:rPr>
              <w:lastRenderedPageBreak/>
              <w:t xml:space="preserve">– Gestion des risques d’accident </w:t>
            </w:r>
            <w:proofErr w:type="spellStart"/>
            <w:r w:rsidRPr="005417E7">
              <w:rPr>
                <w:sz w:val="18"/>
                <w:szCs w:val="16"/>
              </w:rPr>
              <w:t>NaTech</w:t>
            </w:r>
            <w:proofErr w:type="spellEnd"/>
          </w:p>
        </w:tc>
        <w:tc>
          <w:tcPr>
            <w:tcW w:w="4331" w:type="dxa"/>
            <w:shd w:val="clear" w:color="auto" w:fill="auto"/>
          </w:tcPr>
          <w:p w14:paraId="582C7BB3" w14:textId="77777777" w:rsidR="00C02224" w:rsidRPr="005417E7" w:rsidRDefault="00C02224" w:rsidP="00046DCD">
            <w:pPr>
              <w:suppressAutoHyphens w:val="0"/>
              <w:spacing w:before="40" w:after="40" w:line="220" w:lineRule="exact"/>
              <w:ind w:left="57"/>
              <w:rPr>
                <w:sz w:val="18"/>
                <w:szCs w:val="16"/>
                <w:lang w:eastAsia="fr-CH"/>
              </w:rPr>
            </w:pPr>
            <w:r w:rsidRPr="005417E7">
              <w:rPr>
                <w:sz w:val="18"/>
                <w:szCs w:val="16"/>
              </w:rPr>
              <w:t xml:space="preserve">Projet NATECH-III : élaboration d’une brochure et d’orientations sur la gestion des risques d’accident </w:t>
            </w:r>
            <w:proofErr w:type="spellStart"/>
            <w:r w:rsidRPr="005417E7">
              <w:rPr>
                <w:sz w:val="18"/>
                <w:szCs w:val="16"/>
              </w:rPr>
              <w:t>NaTech</w:t>
            </w:r>
            <w:proofErr w:type="spellEnd"/>
            <w:r w:rsidRPr="005417E7">
              <w:rPr>
                <w:sz w:val="18"/>
                <w:szCs w:val="16"/>
              </w:rPr>
              <w:t xml:space="preserve">, sous la direction de l’OCDE et de l’Allemagne, et en partenariat avec le Groupe conjoint PNUE/OCHA sur l’environnement, le Centre commun de recherche de l’Union européenne et d’autres pays membres du groupe directeur chargé de donner de la visibilité au rôle que joue la Convention dans le domaine des accidents </w:t>
            </w:r>
            <w:proofErr w:type="spellStart"/>
            <w:r w:rsidRPr="005417E7">
              <w:rPr>
                <w:sz w:val="18"/>
                <w:szCs w:val="16"/>
              </w:rPr>
              <w:t>NaTech</w:t>
            </w:r>
            <w:proofErr w:type="spellEnd"/>
            <w:r w:rsidRPr="005417E7">
              <w:rPr>
                <w:sz w:val="18"/>
                <w:szCs w:val="16"/>
              </w:rPr>
              <w:t> ; [échange de données d’expérience et de bonnes pratiques dans le cadre d’un séminaire organisé en coopération avec les organisations partenaires]</w:t>
            </w:r>
            <w:r w:rsidRPr="00AC3C80">
              <w:rPr>
                <w:i/>
                <w:iCs/>
                <w:sz w:val="18"/>
                <w:szCs w:val="16"/>
                <w:vertAlign w:val="superscript"/>
              </w:rPr>
              <w:t>a</w:t>
            </w:r>
          </w:p>
        </w:tc>
        <w:tc>
          <w:tcPr>
            <w:tcW w:w="1190" w:type="dxa"/>
            <w:shd w:val="clear" w:color="auto" w:fill="auto"/>
          </w:tcPr>
          <w:p w14:paraId="3D9273C5"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50 000</w:t>
            </w:r>
          </w:p>
        </w:tc>
        <w:tc>
          <w:tcPr>
            <w:tcW w:w="1266" w:type="dxa"/>
            <w:shd w:val="clear" w:color="auto" w:fill="auto"/>
          </w:tcPr>
          <w:p w14:paraId="36701C11"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6</w:t>
            </w:r>
          </w:p>
        </w:tc>
        <w:tc>
          <w:tcPr>
            <w:tcW w:w="1295" w:type="dxa"/>
            <w:shd w:val="clear" w:color="auto" w:fill="auto"/>
          </w:tcPr>
          <w:p w14:paraId="05F1874E"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2</w:t>
            </w:r>
          </w:p>
        </w:tc>
      </w:tr>
      <w:tr w:rsidR="00C02224" w:rsidRPr="005417E7" w14:paraId="1B0ECBBC" w14:textId="77777777" w:rsidTr="006F3599">
        <w:trPr>
          <w:cantSplit/>
        </w:trPr>
        <w:tc>
          <w:tcPr>
            <w:tcW w:w="1555" w:type="dxa"/>
            <w:shd w:val="clear" w:color="auto" w:fill="auto"/>
          </w:tcPr>
          <w:p w14:paraId="44F3FFA6" w14:textId="77777777" w:rsidR="00C02224" w:rsidRPr="005417E7" w:rsidRDefault="006F3599" w:rsidP="00106A16">
            <w:pPr>
              <w:suppressAutoHyphens w:val="0"/>
              <w:spacing w:before="40" w:after="40" w:line="220" w:lineRule="exact"/>
              <w:rPr>
                <w:sz w:val="18"/>
                <w:szCs w:val="16"/>
              </w:rPr>
            </w:pPr>
            <w:r w:rsidRPr="005417E7">
              <w:rPr>
                <w:sz w:val="18"/>
                <w:szCs w:val="16"/>
              </w:rPr>
              <w:t>− Aménagement du</w:t>
            </w:r>
            <w:r w:rsidR="00AC3C80">
              <w:rPr>
                <w:sz w:val="18"/>
                <w:szCs w:val="16"/>
              </w:rPr>
              <w:t> </w:t>
            </w:r>
            <w:r w:rsidRPr="005417E7">
              <w:rPr>
                <w:sz w:val="18"/>
                <w:szCs w:val="16"/>
              </w:rPr>
              <w:t>territoire et sécurité industrielle</w:t>
            </w:r>
          </w:p>
        </w:tc>
        <w:tc>
          <w:tcPr>
            <w:tcW w:w="4331" w:type="dxa"/>
            <w:shd w:val="clear" w:color="auto" w:fill="auto"/>
          </w:tcPr>
          <w:p w14:paraId="5FA368AE"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 xml:space="preserve">Activités consécutives à l’échange d’informations sur l’aménagement du territoire et la sécurité industrielle (séminaires et ateliers organisés entre 2016 et 2022) : diffusion des résultats ; gestion et mise à jour du recueil des bonnes pratiques et des enseignements tirés de l’expérience ; promotion de la coordination de la gouvernance et des politiques entre disciplines connexes, en coopération avec le Comité du développement urbain, du logement et de l’aménagement du territoire de la CEE, la Convention d’Aarhus, ainsi que la Convention d’Espoo et son </w:t>
            </w:r>
            <w:r w:rsidR="00AC3C80" w:rsidRPr="005417E7">
              <w:rPr>
                <w:sz w:val="18"/>
                <w:szCs w:val="16"/>
              </w:rPr>
              <w:t xml:space="preserve">Protocole </w:t>
            </w:r>
            <w:r w:rsidRPr="005417E7">
              <w:rPr>
                <w:sz w:val="18"/>
                <w:szCs w:val="16"/>
              </w:rPr>
              <w:t>relatif à l’évaluation stratégique environnementale]</w:t>
            </w:r>
          </w:p>
        </w:tc>
        <w:tc>
          <w:tcPr>
            <w:tcW w:w="1190" w:type="dxa"/>
            <w:shd w:val="clear" w:color="auto" w:fill="auto"/>
          </w:tcPr>
          <w:p w14:paraId="1AF3D233"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w:t>
            </w:r>
          </w:p>
        </w:tc>
        <w:tc>
          <w:tcPr>
            <w:tcW w:w="1266" w:type="dxa"/>
            <w:shd w:val="clear" w:color="auto" w:fill="auto"/>
          </w:tcPr>
          <w:p w14:paraId="16D3B317"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2</w:t>
            </w:r>
          </w:p>
        </w:tc>
        <w:tc>
          <w:tcPr>
            <w:tcW w:w="1295" w:type="dxa"/>
            <w:shd w:val="clear" w:color="auto" w:fill="auto"/>
          </w:tcPr>
          <w:p w14:paraId="528A348C"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2</w:t>
            </w:r>
          </w:p>
        </w:tc>
      </w:tr>
      <w:tr w:rsidR="00106A16" w:rsidRPr="005417E7" w14:paraId="7DEA28F4" w14:textId="77777777" w:rsidTr="006F3599">
        <w:trPr>
          <w:cantSplit/>
        </w:trPr>
        <w:tc>
          <w:tcPr>
            <w:tcW w:w="1555" w:type="dxa"/>
            <w:vMerge w:val="restart"/>
            <w:shd w:val="clear" w:color="auto" w:fill="auto"/>
          </w:tcPr>
          <w:p w14:paraId="21AA9BDA" w14:textId="77777777" w:rsidR="00106A16" w:rsidRPr="005417E7" w:rsidRDefault="00106A16" w:rsidP="006F3599">
            <w:pPr>
              <w:suppressAutoHyphens w:val="0"/>
              <w:spacing w:before="40" w:after="40" w:line="220" w:lineRule="exact"/>
              <w:rPr>
                <w:sz w:val="18"/>
                <w:szCs w:val="16"/>
              </w:rPr>
            </w:pPr>
            <w:r w:rsidRPr="005417E7">
              <w:rPr>
                <w:sz w:val="18"/>
                <w:szCs w:val="16"/>
              </w:rPr>
              <w:t>– Données d’expérience et bonnes pratiques sur</w:t>
            </w:r>
            <w:r>
              <w:rPr>
                <w:sz w:val="18"/>
                <w:szCs w:val="16"/>
              </w:rPr>
              <w:t> </w:t>
            </w:r>
            <w:r w:rsidRPr="005417E7">
              <w:rPr>
                <w:sz w:val="18"/>
                <w:szCs w:val="16"/>
              </w:rPr>
              <w:t>l’application de</w:t>
            </w:r>
            <w:r>
              <w:rPr>
                <w:sz w:val="18"/>
                <w:szCs w:val="16"/>
              </w:rPr>
              <w:t> </w:t>
            </w:r>
            <w:r w:rsidRPr="005417E7">
              <w:rPr>
                <w:sz w:val="18"/>
                <w:szCs w:val="16"/>
              </w:rPr>
              <w:t>la Convention</w:t>
            </w:r>
          </w:p>
        </w:tc>
        <w:tc>
          <w:tcPr>
            <w:tcW w:w="4331" w:type="dxa"/>
            <w:shd w:val="clear" w:color="auto" w:fill="auto"/>
          </w:tcPr>
          <w:p w14:paraId="2929C8A6" w14:textId="77777777" w:rsidR="00106A16" w:rsidRPr="005417E7" w:rsidRDefault="00106A16" w:rsidP="00046DCD">
            <w:pPr>
              <w:suppressAutoHyphens w:val="0"/>
              <w:spacing w:before="40" w:after="40" w:line="220" w:lineRule="exact"/>
              <w:ind w:left="57"/>
              <w:rPr>
                <w:sz w:val="18"/>
                <w:szCs w:val="16"/>
              </w:rPr>
            </w:pPr>
            <w:r w:rsidRPr="005417E7">
              <w:rPr>
                <w:sz w:val="18"/>
                <w:szCs w:val="16"/>
              </w:rPr>
              <w:t>Partage de données d’expérience et de bonnes pratiques sur l’application de la Convention, notamment de bonnes pratiques présentées dans les rapports nationaux sur l’application</w:t>
            </w:r>
          </w:p>
        </w:tc>
        <w:tc>
          <w:tcPr>
            <w:tcW w:w="1190" w:type="dxa"/>
            <w:shd w:val="clear" w:color="auto" w:fill="auto"/>
          </w:tcPr>
          <w:p w14:paraId="43034299" w14:textId="77777777" w:rsidR="00106A16" w:rsidRPr="005417E7" w:rsidRDefault="00106A16" w:rsidP="00AC3C80">
            <w:pPr>
              <w:suppressAutoHyphens w:val="0"/>
              <w:spacing w:before="40" w:after="40" w:line="220" w:lineRule="exact"/>
              <w:ind w:right="57"/>
              <w:jc w:val="right"/>
              <w:rPr>
                <w:sz w:val="18"/>
                <w:szCs w:val="16"/>
              </w:rPr>
            </w:pPr>
            <w:r w:rsidRPr="005417E7">
              <w:rPr>
                <w:sz w:val="18"/>
                <w:szCs w:val="16"/>
              </w:rPr>
              <w:t>35 000</w:t>
            </w:r>
          </w:p>
        </w:tc>
        <w:tc>
          <w:tcPr>
            <w:tcW w:w="1266" w:type="dxa"/>
            <w:shd w:val="clear" w:color="auto" w:fill="auto"/>
          </w:tcPr>
          <w:p w14:paraId="6F1ECD8F" w14:textId="77777777" w:rsidR="00106A16" w:rsidRPr="005417E7" w:rsidRDefault="00106A16" w:rsidP="006F3599">
            <w:pPr>
              <w:suppressAutoHyphens w:val="0"/>
              <w:spacing w:before="40" w:after="40" w:line="220" w:lineRule="exact"/>
              <w:jc w:val="right"/>
              <w:rPr>
                <w:sz w:val="18"/>
                <w:szCs w:val="16"/>
              </w:rPr>
            </w:pPr>
            <w:r w:rsidRPr="005417E7">
              <w:rPr>
                <w:sz w:val="18"/>
                <w:szCs w:val="16"/>
              </w:rPr>
              <w:t>3</w:t>
            </w:r>
          </w:p>
        </w:tc>
        <w:tc>
          <w:tcPr>
            <w:tcW w:w="1295" w:type="dxa"/>
            <w:shd w:val="clear" w:color="auto" w:fill="auto"/>
          </w:tcPr>
          <w:p w14:paraId="0BC0C8F5" w14:textId="77777777" w:rsidR="00106A16" w:rsidRPr="005417E7" w:rsidRDefault="00106A16" w:rsidP="006F3599">
            <w:pPr>
              <w:suppressAutoHyphens w:val="0"/>
              <w:spacing w:before="40" w:after="40" w:line="220" w:lineRule="exact"/>
              <w:jc w:val="right"/>
              <w:rPr>
                <w:sz w:val="18"/>
                <w:szCs w:val="16"/>
              </w:rPr>
            </w:pPr>
            <w:r w:rsidRPr="005417E7">
              <w:rPr>
                <w:sz w:val="18"/>
                <w:szCs w:val="16"/>
              </w:rPr>
              <w:t>2</w:t>
            </w:r>
          </w:p>
        </w:tc>
      </w:tr>
      <w:tr w:rsidR="00106A16" w:rsidRPr="005417E7" w14:paraId="6AB9771D" w14:textId="77777777" w:rsidTr="006F3599">
        <w:trPr>
          <w:cantSplit/>
        </w:trPr>
        <w:tc>
          <w:tcPr>
            <w:tcW w:w="1555" w:type="dxa"/>
            <w:vMerge/>
            <w:shd w:val="clear" w:color="auto" w:fill="auto"/>
          </w:tcPr>
          <w:p w14:paraId="1B32238F" w14:textId="77777777" w:rsidR="00106A16" w:rsidRPr="005417E7" w:rsidRDefault="00106A16" w:rsidP="006F3599">
            <w:pPr>
              <w:suppressAutoHyphens w:val="0"/>
              <w:spacing w:before="40" w:after="40" w:line="220" w:lineRule="exact"/>
              <w:rPr>
                <w:sz w:val="18"/>
                <w:szCs w:val="16"/>
              </w:rPr>
            </w:pPr>
          </w:p>
        </w:tc>
        <w:tc>
          <w:tcPr>
            <w:tcW w:w="4331" w:type="dxa"/>
            <w:shd w:val="clear" w:color="auto" w:fill="auto"/>
          </w:tcPr>
          <w:p w14:paraId="6D8AF5CB" w14:textId="77777777" w:rsidR="00106A16" w:rsidRPr="005417E7" w:rsidRDefault="00106A16" w:rsidP="00DC302B">
            <w:pPr>
              <w:suppressAutoHyphens w:val="0"/>
              <w:spacing w:before="40" w:after="80" w:line="220" w:lineRule="exact"/>
              <w:ind w:left="57"/>
              <w:rPr>
                <w:sz w:val="18"/>
                <w:szCs w:val="16"/>
              </w:rPr>
            </w:pPr>
            <w:r w:rsidRPr="006F3599">
              <w:rPr>
                <w:i/>
                <w:iCs/>
                <w:sz w:val="18"/>
                <w:szCs w:val="16"/>
              </w:rPr>
              <w:t>Partie chef de file</w:t>
            </w:r>
            <w:r w:rsidRPr="005417E7">
              <w:rPr>
                <w:sz w:val="18"/>
                <w:szCs w:val="16"/>
              </w:rPr>
              <w:t> : à confirmer, avec le soutien du Groupe de travail de l’</w:t>
            </w:r>
            <w:proofErr w:type="spellStart"/>
            <w:r w:rsidRPr="005417E7">
              <w:rPr>
                <w:sz w:val="18"/>
                <w:szCs w:val="16"/>
              </w:rPr>
              <w:t>application</w:t>
            </w:r>
            <w:r w:rsidRPr="006F3599">
              <w:rPr>
                <w:i/>
                <w:iCs/>
                <w:sz w:val="18"/>
                <w:szCs w:val="16"/>
                <w:vertAlign w:val="superscript"/>
              </w:rPr>
              <w:t>a</w:t>
            </w:r>
            <w:proofErr w:type="spellEnd"/>
          </w:p>
        </w:tc>
        <w:tc>
          <w:tcPr>
            <w:tcW w:w="1190" w:type="dxa"/>
            <w:shd w:val="clear" w:color="auto" w:fill="auto"/>
          </w:tcPr>
          <w:p w14:paraId="07046C94" w14:textId="77777777" w:rsidR="00106A16" w:rsidRPr="005417E7" w:rsidRDefault="00106A16" w:rsidP="00AC3C80">
            <w:pPr>
              <w:suppressAutoHyphens w:val="0"/>
              <w:spacing w:before="40" w:after="40" w:line="220" w:lineRule="exact"/>
              <w:ind w:right="57"/>
              <w:jc w:val="right"/>
              <w:rPr>
                <w:sz w:val="18"/>
                <w:szCs w:val="16"/>
              </w:rPr>
            </w:pPr>
          </w:p>
        </w:tc>
        <w:tc>
          <w:tcPr>
            <w:tcW w:w="1266" w:type="dxa"/>
            <w:shd w:val="clear" w:color="auto" w:fill="auto"/>
          </w:tcPr>
          <w:p w14:paraId="4FC618BF" w14:textId="77777777" w:rsidR="00106A16" w:rsidRPr="005417E7" w:rsidRDefault="00106A16" w:rsidP="006F3599">
            <w:pPr>
              <w:suppressAutoHyphens w:val="0"/>
              <w:spacing w:before="40" w:after="40" w:line="220" w:lineRule="exact"/>
              <w:jc w:val="right"/>
              <w:rPr>
                <w:sz w:val="18"/>
                <w:szCs w:val="16"/>
              </w:rPr>
            </w:pPr>
          </w:p>
        </w:tc>
        <w:tc>
          <w:tcPr>
            <w:tcW w:w="1295" w:type="dxa"/>
            <w:shd w:val="clear" w:color="auto" w:fill="auto"/>
          </w:tcPr>
          <w:p w14:paraId="7DB02CF4" w14:textId="77777777" w:rsidR="00106A16" w:rsidRPr="005417E7" w:rsidRDefault="00106A16" w:rsidP="006F3599">
            <w:pPr>
              <w:suppressAutoHyphens w:val="0"/>
              <w:spacing w:before="40" w:after="40" w:line="220" w:lineRule="exact"/>
              <w:jc w:val="right"/>
              <w:rPr>
                <w:sz w:val="18"/>
                <w:szCs w:val="16"/>
              </w:rPr>
            </w:pPr>
          </w:p>
        </w:tc>
      </w:tr>
      <w:tr w:rsidR="00C02224" w:rsidRPr="005417E7" w14:paraId="6FC44957" w14:textId="77777777" w:rsidTr="00AC3C80">
        <w:trPr>
          <w:cantSplit/>
        </w:trPr>
        <w:tc>
          <w:tcPr>
            <w:tcW w:w="1555" w:type="dxa"/>
            <w:shd w:val="clear" w:color="auto" w:fill="auto"/>
          </w:tcPr>
          <w:p w14:paraId="681B71B8" w14:textId="77777777" w:rsidR="00C02224" w:rsidRPr="005417E7" w:rsidRDefault="00C02224" w:rsidP="00106A16">
            <w:pPr>
              <w:suppressAutoHyphens w:val="0"/>
              <w:spacing w:before="40" w:after="40" w:line="220" w:lineRule="exact"/>
              <w:rPr>
                <w:sz w:val="18"/>
                <w:szCs w:val="16"/>
              </w:rPr>
            </w:pPr>
            <w:r w:rsidRPr="005417E7">
              <w:rPr>
                <w:sz w:val="18"/>
                <w:szCs w:val="16"/>
              </w:rPr>
              <w:t>– Prévention de</w:t>
            </w:r>
            <w:r w:rsidR="00AC3C80">
              <w:rPr>
                <w:sz w:val="18"/>
                <w:szCs w:val="16"/>
              </w:rPr>
              <w:t> </w:t>
            </w:r>
            <w:r w:rsidRPr="005417E7">
              <w:rPr>
                <w:sz w:val="18"/>
                <w:szCs w:val="16"/>
              </w:rPr>
              <w:t>la</w:t>
            </w:r>
            <w:r w:rsidR="00AC3C80">
              <w:rPr>
                <w:sz w:val="18"/>
                <w:szCs w:val="16"/>
              </w:rPr>
              <w:t> </w:t>
            </w:r>
            <w:r w:rsidRPr="005417E7">
              <w:rPr>
                <w:sz w:val="18"/>
                <w:szCs w:val="16"/>
              </w:rPr>
              <w:t xml:space="preserve">pollution accidentelle </w:t>
            </w:r>
            <w:r w:rsidR="00AC3C80">
              <w:rPr>
                <w:sz w:val="18"/>
                <w:szCs w:val="16"/>
              </w:rPr>
              <w:br/>
            </w:r>
            <w:r w:rsidRPr="005417E7">
              <w:rPr>
                <w:sz w:val="18"/>
                <w:szCs w:val="16"/>
              </w:rPr>
              <w:t>des eaux</w:t>
            </w:r>
          </w:p>
        </w:tc>
        <w:tc>
          <w:tcPr>
            <w:tcW w:w="4331" w:type="dxa"/>
            <w:shd w:val="clear" w:color="auto" w:fill="auto"/>
          </w:tcPr>
          <w:p w14:paraId="7FE6860B"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Activités consécutives au séminaire sur la planification des interventions d’urgence organisé en 2019 ; renforcement de la coopération avec les commissions de bassins hydrographiques</w:t>
            </w:r>
          </w:p>
        </w:tc>
        <w:tc>
          <w:tcPr>
            <w:tcW w:w="1190" w:type="dxa"/>
            <w:shd w:val="clear" w:color="auto" w:fill="auto"/>
          </w:tcPr>
          <w:p w14:paraId="49B14AE8"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12 000</w:t>
            </w:r>
          </w:p>
        </w:tc>
        <w:tc>
          <w:tcPr>
            <w:tcW w:w="1266" w:type="dxa"/>
            <w:shd w:val="clear" w:color="auto" w:fill="auto"/>
          </w:tcPr>
          <w:p w14:paraId="31938A50" w14:textId="77777777" w:rsidR="00C02224" w:rsidRPr="005417E7" w:rsidRDefault="00C02224" w:rsidP="00AC3C80">
            <w:pPr>
              <w:suppressAutoHyphens w:val="0"/>
              <w:spacing w:before="40" w:after="40" w:line="220" w:lineRule="exact"/>
              <w:jc w:val="right"/>
              <w:rPr>
                <w:sz w:val="18"/>
                <w:szCs w:val="16"/>
              </w:rPr>
            </w:pPr>
            <w:r w:rsidRPr="005417E7">
              <w:rPr>
                <w:sz w:val="18"/>
                <w:szCs w:val="16"/>
              </w:rPr>
              <w:t>1</w:t>
            </w:r>
          </w:p>
        </w:tc>
        <w:tc>
          <w:tcPr>
            <w:tcW w:w="1295" w:type="dxa"/>
            <w:shd w:val="clear" w:color="auto" w:fill="auto"/>
          </w:tcPr>
          <w:p w14:paraId="042DE559" w14:textId="77777777" w:rsidR="00C02224" w:rsidRPr="005417E7" w:rsidRDefault="00C02224" w:rsidP="00AC3C80">
            <w:pPr>
              <w:suppressAutoHyphens w:val="0"/>
              <w:spacing w:before="40" w:after="40" w:line="220" w:lineRule="exact"/>
              <w:jc w:val="right"/>
              <w:rPr>
                <w:sz w:val="18"/>
                <w:szCs w:val="16"/>
              </w:rPr>
            </w:pPr>
            <w:r w:rsidRPr="005417E7">
              <w:rPr>
                <w:sz w:val="18"/>
                <w:szCs w:val="16"/>
              </w:rPr>
              <w:t>0,25</w:t>
            </w:r>
          </w:p>
        </w:tc>
      </w:tr>
      <w:tr w:rsidR="006F3599" w:rsidRPr="005417E7" w14:paraId="29994815" w14:textId="77777777" w:rsidTr="00AC3C80">
        <w:trPr>
          <w:cantSplit/>
        </w:trPr>
        <w:tc>
          <w:tcPr>
            <w:tcW w:w="1555" w:type="dxa"/>
            <w:shd w:val="clear" w:color="auto" w:fill="auto"/>
          </w:tcPr>
          <w:p w14:paraId="583E8FC8" w14:textId="77777777" w:rsidR="006F3599" w:rsidRPr="005417E7" w:rsidRDefault="006F3599" w:rsidP="00106A16">
            <w:pPr>
              <w:suppressAutoHyphens w:val="0"/>
              <w:spacing w:before="40" w:after="40" w:line="220" w:lineRule="exact"/>
              <w:rPr>
                <w:sz w:val="18"/>
                <w:szCs w:val="16"/>
              </w:rPr>
            </w:pPr>
          </w:p>
        </w:tc>
        <w:tc>
          <w:tcPr>
            <w:tcW w:w="4331" w:type="dxa"/>
            <w:shd w:val="clear" w:color="auto" w:fill="auto"/>
          </w:tcPr>
          <w:p w14:paraId="731ECB30" w14:textId="77777777" w:rsidR="006F3599" w:rsidRPr="005417E7" w:rsidRDefault="006F3599" w:rsidP="00DC302B">
            <w:pPr>
              <w:suppressAutoHyphens w:val="0"/>
              <w:spacing w:before="40" w:after="80" w:line="220" w:lineRule="exact"/>
              <w:ind w:left="57"/>
              <w:rPr>
                <w:sz w:val="18"/>
                <w:szCs w:val="16"/>
              </w:rPr>
            </w:pPr>
            <w:r w:rsidRPr="006F3599">
              <w:rPr>
                <w:i/>
                <w:iCs/>
                <w:sz w:val="18"/>
                <w:szCs w:val="16"/>
              </w:rPr>
              <w:t>Parties chefs de file/d’appui</w:t>
            </w:r>
            <w:r w:rsidRPr="005417E7">
              <w:rPr>
                <w:sz w:val="18"/>
                <w:szCs w:val="16"/>
              </w:rPr>
              <w:t> : Hongrie [et Allemagne], avec l’appui du Groupe spécial mixte d’experts de l’eau et des accidents industriels, et en coopération avec la Convention sur l’eau</w:t>
            </w:r>
          </w:p>
        </w:tc>
        <w:tc>
          <w:tcPr>
            <w:tcW w:w="1190" w:type="dxa"/>
            <w:shd w:val="clear" w:color="auto" w:fill="auto"/>
          </w:tcPr>
          <w:p w14:paraId="7F65E0FA" w14:textId="77777777" w:rsidR="006F3599" w:rsidRPr="005417E7" w:rsidRDefault="006F3599" w:rsidP="00AC3C80">
            <w:pPr>
              <w:suppressAutoHyphens w:val="0"/>
              <w:spacing w:before="40" w:after="40" w:line="220" w:lineRule="exact"/>
              <w:ind w:right="57"/>
              <w:jc w:val="right"/>
              <w:rPr>
                <w:sz w:val="18"/>
                <w:szCs w:val="16"/>
              </w:rPr>
            </w:pPr>
          </w:p>
        </w:tc>
        <w:tc>
          <w:tcPr>
            <w:tcW w:w="1266" w:type="dxa"/>
            <w:shd w:val="clear" w:color="auto" w:fill="auto"/>
          </w:tcPr>
          <w:p w14:paraId="0274D06F" w14:textId="77777777" w:rsidR="006F3599" w:rsidRPr="005417E7" w:rsidRDefault="006F3599" w:rsidP="00AC3C80">
            <w:pPr>
              <w:suppressAutoHyphens w:val="0"/>
              <w:spacing w:before="40" w:after="40" w:line="220" w:lineRule="exact"/>
              <w:jc w:val="right"/>
              <w:rPr>
                <w:sz w:val="18"/>
                <w:szCs w:val="16"/>
              </w:rPr>
            </w:pPr>
          </w:p>
        </w:tc>
        <w:tc>
          <w:tcPr>
            <w:tcW w:w="1295" w:type="dxa"/>
            <w:shd w:val="clear" w:color="auto" w:fill="auto"/>
          </w:tcPr>
          <w:p w14:paraId="566CDE4E" w14:textId="77777777" w:rsidR="006F3599" w:rsidRPr="005417E7" w:rsidRDefault="006F3599" w:rsidP="00AC3C80">
            <w:pPr>
              <w:suppressAutoHyphens w:val="0"/>
              <w:spacing w:before="40" w:after="40" w:line="220" w:lineRule="exact"/>
              <w:jc w:val="right"/>
              <w:rPr>
                <w:sz w:val="18"/>
                <w:szCs w:val="16"/>
              </w:rPr>
            </w:pPr>
          </w:p>
        </w:tc>
      </w:tr>
      <w:tr w:rsidR="006F3599" w:rsidRPr="005417E7" w14:paraId="4B1E0A22" w14:textId="77777777" w:rsidTr="00AC3C80">
        <w:trPr>
          <w:cantSplit/>
        </w:trPr>
        <w:tc>
          <w:tcPr>
            <w:tcW w:w="1555" w:type="dxa"/>
            <w:shd w:val="clear" w:color="auto" w:fill="auto"/>
          </w:tcPr>
          <w:p w14:paraId="786F0DC4" w14:textId="77777777" w:rsidR="006F3599" w:rsidRPr="005417E7" w:rsidRDefault="006F3599" w:rsidP="00106A16">
            <w:pPr>
              <w:suppressAutoHyphens w:val="0"/>
              <w:spacing w:before="40" w:after="40" w:line="220" w:lineRule="exact"/>
              <w:rPr>
                <w:sz w:val="18"/>
                <w:szCs w:val="16"/>
              </w:rPr>
            </w:pPr>
          </w:p>
        </w:tc>
        <w:tc>
          <w:tcPr>
            <w:tcW w:w="4331" w:type="dxa"/>
            <w:shd w:val="clear" w:color="auto" w:fill="auto"/>
          </w:tcPr>
          <w:p w14:paraId="577004A0" w14:textId="77777777" w:rsidR="006F3599" w:rsidRPr="005417E7" w:rsidRDefault="006F3599" w:rsidP="00046DCD">
            <w:pPr>
              <w:suppressAutoHyphens w:val="0"/>
              <w:spacing w:before="40" w:after="40" w:line="220" w:lineRule="exact"/>
              <w:ind w:left="57"/>
              <w:rPr>
                <w:sz w:val="18"/>
                <w:szCs w:val="16"/>
              </w:rPr>
            </w:pPr>
            <w:r w:rsidRPr="005417E7">
              <w:rPr>
                <w:sz w:val="18"/>
                <w:szCs w:val="16"/>
              </w:rPr>
              <w:t>Promotion et traduction dans les langues nationales des orientations et des bonnes pratiques élaborées par le Groupe spécial mixte d’experts</w:t>
            </w:r>
          </w:p>
        </w:tc>
        <w:tc>
          <w:tcPr>
            <w:tcW w:w="1190" w:type="dxa"/>
            <w:shd w:val="clear" w:color="auto" w:fill="auto"/>
          </w:tcPr>
          <w:p w14:paraId="7F6E41AB" w14:textId="77777777" w:rsidR="006F3599" w:rsidRPr="005417E7" w:rsidRDefault="006F3599" w:rsidP="00AC3C80">
            <w:pPr>
              <w:suppressAutoHyphens w:val="0"/>
              <w:spacing w:before="40" w:after="40" w:line="220" w:lineRule="exact"/>
              <w:ind w:right="57"/>
              <w:jc w:val="right"/>
              <w:rPr>
                <w:sz w:val="18"/>
                <w:szCs w:val="16"/>
              </w:rPr>
            </w:pPr>
            <w:r w:rsidRPr="005417E7">
              <w:rPr>
                <w:sz w:val="18"/>
                <w:szCs w:val="16"/>
              </w:rPr>
              <w:t>4 000</w:t>
            </w:r>
          </w:p>
        </w:tc>
        <w:tc>
          <w:tcPr>
            <w:tcW w:w="1266" w:type="dxa"/>
            <w:shd w:val="clear" w:color="auto" w:fill="auto"/>
          </w:tcPr>
          <w:p w14:paraId="43DA2B44" w14:textId="77777777" w:rsidR="006F3599" w:rsidRPr="005417E7" w:rsidRDefault="006F3599" w:rsidP="00AC3C80">
            <w:pPr>
              <w:suppressAutoHyphens w:val="0"/>
              <w:spacing w:before="40" w:after="40" w:line="220" w:lineRule="exact"/>
              <w:jc w:val="right"/>
              <w:rPr>
                <w:sz w:val="18"/>
                <w:szCs w:val="16"/>
              </w:rPr>
            </w:pPr>
            <w:r>
              <w:rPr>
                <w:sz w:val="18"/>
                <w:szCs w:val="16"/>
              </w:rPr>
              <w:t>0,5</w:t>
            </w:r>
          </w:p>
        </w:tc>
        <w:tc>
          <w:tcPr>
            <w:tcW w:w="1295" w:type="dxa"/>
            <w:shd w:val="clear" w:color="auto" w:fill="auto"/>
          </w:tcPr>
          <w:p w14:paraId="23BAAA25" w14:textId="77777777" w:rsidR="006F3599" w:rsidRPr="005417E7" w:rsidRDefault="006F3599" w:rsidP="00AC3C80">
            <w:pPr>
              <w:suppressAutoHyphens w:val="0"/>
              <w:spacing w:before="40" w:after="40" w:line="220" w:lineRule="exact"/>
              <w:jc w:val="right"/>
              <w:rPr>
                <w:sz w:val="18"/>
                <w:szCs w:val="16"/>
              </w:rPr>
            </w:pPr>
            <w:r w:rsidRPr="005417E7">
              <w:rPr>
                <w:sz w:val="18"/>
                <w:szCs w:val="16"/>
              </w:rPr>
              <w:t>0,25</w:t>
            </w:r>
          </w:p>
        </w:tc>
      </w:tr>
      <w:tr w:rsidR="006F3599" w:rsidRPr="005417E7" w14:paraId="438F6231" w14:textId="77777777" w:rsidTr="00AC3C80">
        <w:trPr>
          <w:cantSplit/>
        </w:trPr>
        <w:tc>
          <w:tcPr>
            <w:tcW w:w="1555" w:type="dxa"/>
            <w:tcBorders>
              <w:bottom w:val="single" w:sz="4" w:space="0" w:color="auto"/>
            </w:tcBorders>
            <w:shd w:val="clear" w:color="auto" w:fill="auto"/>
          </w:tcPr>
          <w:p w14:paraId="5A779922" w14:textId="77777777" w:rsidR="006F3599" w:rsidRPr="005417E7" w:rsidRDefault="006F3599" w:rsidP="00106A16">
            <w:pPr>
              <w:suppressAutoHyphens w:val="0"/>
              <w:spacing w:before="40" w:after="40" w:line="220" w:lineRule="exact"/>
              <w:rPr>
                <w:sz w:val="18"/>
                <w:szCs w:val="16"/>
              </w:rPr>
            </w:pPr>
          </w:p>
        </w:tc>
        <w:tc>
          <w:tcPr>
            <w:tcW w:w="4331" w:type="dxa"/>
            <w:tcBorders>
              <w:bottom w:val="single" w:sz="4" w:space="0" w:color="auto"/>
            </w:tcBorders>
            <w:shd w:val="clear" w:color="auto" w:fill="auto"/>
          </w:tcPr>
          <w:p w14:paraId="393AA4F0" w14:textId="77777777" w:rsidR="006F3599" w:rsidRPr="005417E7" w:rsidRDefault="006F3599" w:rsidP="00DC302B">
            <w:pPr>
              <w:suppressAutoHyphens w:val="0"/>
              <w:spacing w:before="40" w:after="80" w:line="220" w:lineRule="exact"/>
              <w:ind w:left="57"/>
              <w:rPr>
                <w:sz w:val="18"/>
                <w:szCs w:val="16"/>
              </w:rPr>
            </w:pPr>
            <w:r w:rsidRPr="006F3599">
              <w:rPr>
                <w:i/>
                <w:iCs/>
                <w:sz w:val="18"/>
                <w:szCs w:val="16"/>
              </w:rPr>
              <w:t>Parties/organisations chefs de file/d’appui</w:t>
            </w:r>
            <w:r w:rsidRPr="005417E7">
              <w:rPr>
                <w:sz w:val="18"/>
                <w:szCs w:val="16"/>
              </w:rPr>
              <w:t> : République de Moldova, Roumanie [et Tchéquie] pour les activités relatives à la rétention et à la gestion des eaux d’extinction d’incendie, [et Allemagne pour les activités relatives à la méthode de la liste de contrôle des installations de gestion des résidus], en coopération avec des commissions de bassins hydrographiques, notamment la Commission internationale pour la protection du Danube, et avec la Convention sur l’eau, par l’intermédiaire du Groupe spécial mixte d’experts</w:t>
            </w:r>
          </w:p>
        </w:tc>
        <w:tc>
          <w:tcPr>
            <w:tcW w:w="1190" w:type="dxa"/>
            <w:tcBorders>
              <w:bottom w:val="single" w:sz="4" w:space="0" w:color="auto"/>
            </w:tcBorders>
            <w:shd w:val="clear" w:color="auto" w:fill="auto"/>
          </w:tcPr>
          <w:p w14:paraId="19D66122" w14:textId="77777777" w:rsidR="006F3599" w:rsidRPr="005417E7" w:rsidRDefault="006F3599" w:rsidP="00AC3C80">
            <w:pPr>
              <w:suppressAutoHyphens w:val="0"/>
              <w:spacing w:before="40" w:after="40" w:line="220" w:lineRule="exact"/>
              <w:ind w:right="57"/>
              <w:jc w:val="right"/>
              <w:rPr>
                <w:sz w:val="18"/>
                <w:szCs w:val="16"/>
              </w:rPr>
            </w:pPr>
          </w:p>
        </w:tc>
        <w:tc>
          <w:tcPr>
            <w:tcW w:w="1266" w:type="dxa"/>
            <w:tcBorders>
              <w:bottom w:val="single" w:sz="4" w:space="0" w:color="auto"/>
            </w:tcBorders>
            <w:shd w:val="clear" w:color="auto" w:fill="auto"/>
          </w:tcPr>
          <w:p w14:paraId="505915F0" w14:textId="77777777" w:rsidR="006F3599" w:rsidRPr="005417E7" w:rsidRDefault="006F3599" w:rsidP="00AC3C80">
            <w:pPr>
              <w:suppressAutoHyphens w:val="0"/>
              <w:spacing w:before="40" w:after="40" w:line="220" w:lineRule="exact"/>
              <w:jc w:val="right"/>
              <w:rPr>
                <w:sz w:val="18"/>
                <w:szCs w:val="16"/>
              </w:rPr>
            </w:pPr>
          </w:p>
        </w:tc>
        <w:tc>
          <w:tcPr>
            <w:tcW w:w="1295" w:type="dxa"/>
            <w:tcBorders>
              <w:bottom w:val="single" w:sz="4" w:space="0" w:color="auto"/>
            </w:tcBorders>
            <w:shd w:val="clear" w:color="auto" w:fill="auto"/>
          </w:tcPr>
          <w:p w14:paraId="04AB880F" w14:textId="77777777" w:rsidR="006F3599" w:rsidRPr="005417E7" w:rsidRDefault="006F3599" w:rsidP="00AC3C80">
            <w:pPr>
              <w:suppressAutoHyphens w:val="0"/>
              <w:spacing w:before="40" w:after="40" w:line="220" w:lineRule="exact"/>
              <w:jc w:val="right"/>
              <w:rPr>
                <w:sz w:val="18"/>
                <w:szCs w:val="16"/>
              </w:rPr>
            </w:pPr>
          </w:p>
        </w:tc>
      </w:tr>
      <w:tr w:rsidR="00C02224" w:rsidRPr="006F3599" w14:paraId="6F933289" w14:textId="77777777" w:rsidTr="006F3599">
        <w:trPr>
          <w:cantSplit/>
        </w:trPr>
        <w:tc>
          <w:tcPr>
            <w:tcW w:w="1555" w:type="dxa"/>
            <w:tcBorders>
              <w:top w:val="single" w:sz="4" w:space="0" w:color="auto"/>
              <w:bottom w:val="single" w:sz="4" w:space="0" w:color="auto"/>
            </w:tcBorders>
            <w:shd w:val="clear" w:color="auto" w:fill="auto"/>
          </w:tcPr>
          <w:p w14:paraId="6EB6DB39" w14:textId="77777777" w:rsidR="00C02224" w:rsidRPr="006F3599" w:rsidRDefault="00C02224" w:rsidP="006F3599">
            <w:pPr>
              <w:suppressAutoHyphens w:val="0"/>
              <w:spacing w:before="80" w:after="80" w:line="220" w:lineRule="exact"/>
              <w:ind w:left="283"/>
              <w:rPr>
                <w:b/>
                <w:sz w:val="18"/>
                <w:szCs w:val="16"/>
              </w:rPr>
            </w:pPr>
            <w:r w:rsidRPr="006F3599">
              <w:rPr>
                <w:b/>
                <w:bCs/>
                <w:sz w:val="18"/>
                <w:szCs w:val="16"/>
              </w:rPr>
              <w:t>Total partiel</w:t>
            </w:r>
          </w:p>
        </w:tc>
        <w:tc>
          <w:tcPr>
            <w:tcW w:w="4331" w:type="dxa"/>
            <w:tcBorders>
              <w:top w:val="single" w:sz="4" w:space="0" w:color="auto"/>
              <w:bottom w:val="single" w:sz="4" w:space="0" w:color="auto"/>
            </w:tcBorders>
            <w:shd w:val="clear" w:color="auto" w:fill="auto"/>
          </w:tcPr>
          <w:p w14:paraId="78050959" w14:textId="77777777" w:rsidR="00C02224" w:rsidRPr="006F3599"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74448E0B" w14:textId="77777777" w:rsidR="00C02224" w:rsidRPr="006F3599" w:rsidRDefault="00C02224" w:rsidP="00AC3C80">
            <w:pPr>
              <w:suppressAutoHyphens w:val="0"/>
              <w:spacing w:before="80" w:after="80" w:line="220" w:lineRule="exact"/>
              <w:ind w:right="57"/>
              <w:jc w:val="right"/>
              <w:rPr>
                <w:b/>
                <w:sz w:val="18"/>
                <w:szCs w:val="16"/>
              </w:rPr>
            </w:pPr>
            <w:r w:rsidRPr="006F3599">
              <w:rPr>
                <w:b/>
                <w:bCs/>
                <w:sz w:val="18"/>
                <w:szCs w:val="16"/>
              </w:rPr>
              <w:t>151 000</w:t>
            </w:r>
          </w:p>
        </w:tc>
        <w:tc>
          <w:tcPr>
            <w:tcW w:w="1266" w:type="dxa"/>
            <w:tcBorders>
              <w:top w:val="single" w:sz="4" w:space="0" w:color="auto"/>
              <w:bottom w:val="single" w:sz="4" w:space="0" w:color="auto"/>
            </w:tcBorders>
            <w:shd w:val="clear" w:color="auto" w:fill="auto"/>
            <w:vAlign w:val="bottom"/>
          </w:tcPr>
          <w:p w14:paraId="050A3FCD" w14:textId="77777777" w:rsidR="00C02224" w:rsidRPr="006F3599" w:rsidRDefault="00C02224" w:rsidP="006F3599">
            <w:pPr>
              <w:suppressAutoHyphens w:val="0"/>
              <w:spacing w:before="80" w:after="80" w:line="220" w:lineRule="exact"/>
              <w:jc w:val="right"/>
              <w:rPr>
                <w:b/>
                <w:sz w:val="18"/>
                <w:szCs w:val="16"/>
              </w:rPr>
            </w:pPr>
            <w:r w:rsidRPr="006F3599">
              <w:rPr>
                <w:b/>
                <w:sz w:val="18"/>
                <w:szCs w:val="16"/>
              </w:rPr>
              <w:t>19,5</w:t>
            </w:r>
          </w:p>
        </w:tc>
        <w:tc>
          <w:tcPr>
            <w:tcW w:w="1295" w:type="dxa"/>
            <w:tcBorders>
              <w:top w:val="single" w:sz="4" w:space="0" w:color="auto"/>
              <w:bottom w:val="single" w:sz="4" w:space="0" w:color="auto"/>
            </w:tcBorders>
            <w:shd w:val="clear" w:color="auto" w:fill="auto"/>
            <w:vAlign w:val="bottom"/>
          </w:tcPr>
          <w:p w14:paraId="753E3C10" w14:textId="77777777" w:rsidR="00C02224" w:rsidRPr="006F3599" w:rsidRDefault="00C02224" w:rsidP="006F3599">
            <w:pPr>
              <w:suppressAutoHyphens w:val="0"/>
              <w:spacing w:before="80" w:after="80" w:line="220" w:lineRule="exact"/>
              <w:jc w:val="right"/>
              <w:rPr>
                <w:b/>
                <w:sz w:val="18"/>
                <w:szCs w:val="16"/>
              </w:rPr>
            </w:pPr>
            <w:r w:rsidRPr="006F3599">
              <w:rPr>
                <w:b/>
                <w:sz w:val="18"/>
                <w:szCs w:val="16"/>
              </w:rPr>
              <w:t>8,50</w:t>
            </w:r>
          </w:p>
        </w:tc>
      </w:tr>
      <w:tr w:rsidR="00C02224" w:rsidRPr="005417E7" w14:paraId="4E35191A" w14:textId="77777777" w:rsidTr="006F3599">
        <w:trPr>
          <w:cantSplit/>
        </w:trPr>
        <w:tc>
          <w:tcPr>
            <w:tcW w:w="1555" w:type="dxa"/>
            <w:vMerge w:val="restart"/>
            <w:tcBorders>
              <w:top w:val="single" w:sz="4" w:space="0" w:color="auto"/>
            </w:tcBorders>
            <w:shd w:val="clear" w:color="auto" w:fill="auto"/>
          </w:tcPr>
          <w:p w14:paraId="7D06B45E" w14:textId="77777777" w:rsidR="00C02224" w:rsidRPr="006F3599" w:rsidRDefault="00C02224" w:rsidP="000D6813">
            <w:pPr>
              <w:keepNext/>
              <w:suppressAutoHyphens w:val="0"/>
              <w:spacing w:before="40" w:after="40" w:line="220" w:lineRule="exact"/>
              <w:rPr>
                <w:i/>
                <w:iCs/>
                <w:spacing w:val="-2"/>
                <w:sz w:val="17"/>
                <w:szCs w:val="17"/>
              </w:rPr>
            </w:pPr>
            <w:r w:rsidRPr="006F3599">
              <w:rPr>
                <w:i/>
                <w:iCs/>
                <w:spacing w:val="-2"/>
                <w:sz w:val="17"/>
                <w:szCs w:val="17"/>
              </w:rPr>
              <w:lastRenderedPageBreak/>
              <w:t xml:space="preserve">Service d’organes intergouvernementaux et d’organes </w:t>
            </w:r>
            <w:r w:rsidR="000D6813">
              <w:rPr>
                <w:i/>
                <w:iCs/>
                <w:spacing w:val="-2"/>
                <w:sz w:val="17"/>
                <w:szCs w:val="17"/>
              </w:rPr>
              <w:br/>
            </w:r>
            <w:r w:rsidRPr="006F3599">
              <w:rPr>
                <w:i/>
                <w:iCs/>
                <w:spacing w:val="-2"/>
                <w:sz w:val="17"/>
                <w:szCs w:val="17"/>
              </w:rPr>
              <w:t>d’</w:t>
            </w:r>
            <w:proofErr w:type="spellStart"/>
            <w:r w:rsidRPr="006F3599">
              <w:rPr>
                <w:i/>
                <w:iCs/>
                <w:spacing w:val="-2"/>
                <w:sz w:val="17"/>
                <w:szCs w:val="17"/>
              </w:rPr>
              <w:t>experts</w:t>
            </w:r>
            <w:r w:rsidRPr="006F3599">
              <w:rPr>
                <w:spacing w:val="-2"/>
                <w:sz w:val="17"/>
                <w:szCs w:val="17"/>
                <w:vertAlign w:val="superscript"/>
              </w:rPr>
              <w:t>b</w:t>
            </w:r>
            <w:proofErr w:type="spellEnd"/>
          </w:p>
        </w:tc>
        <w:tc>
          <w:tcPr>
            <w:tcW w:w="4331" w:type="dxa"/>
            <w:tcBorders>
              <w:top w:val="single" w:sz="4" w:space="0" w:color="auto"/>
            </w:tcBorders>
            <w:shd w:val="clear" w:color="auto" w:fill="auto"/>
          </w:tcPr>
          <w:p w14:paraId="05426B12" w14:textId="77777777" w:rsidR="00C02224" w:rsidRPr="005417E7" w:rsidRDefault="00C02224" w:rsidP="00046DCD">
            <w:pPr>
              <w:keepNext/>
              <w:suppressAutoHyphens w:val="0"/>
              <w:spacing w:before="40" w:after="40" w:line="220" w:lineRule="exact"/>
              <w:ind w:left="57"/>
              <w:rPr>
                <w:sz w:val="18"/>
                <w:szCs w:val="16"/>
              </w:rPr>
            </w:pPr>
            <w:r w:rsidRPr="005417E7">
              <w:rPr>
                <w:sz w:val="18"/>
                <w:szCs w:val="16"/>
              </w:rPr>
              <w:t>Douzième réunion de la Conférence des Parties</w:t>
            </w:r>
          </w:p>
        </w:tc>
        <w:tc>
          <w:tcPr>
            <w:tcW w:w="1190" w:type="dxa"/>
            <w:tcBorders>
              <w:top w:val="single" w:sz="4" w:space="0" w:color="auto"/>
            </w:tcBorders>
            <w:shd w:val="clear" w:color="auto" w:fill="auto"/>
          </w:tcPr>
          <w:p w14:paraId="60123AD3" w14:textId="77777777" w:rsidR="00C02224" w:rsidRPr="005417E7" w:rsidRDefault="00C02224" w:rsidP="00AC3C80">
            <w:pPr>
              <w:keepNext/>
              <w:suppressAutoHyphens w:val="0"/>
              <w:spacing w:before="40" w:after="40" w:line="220" w:lineRule="exact"/>
              <w:ind w:right="57"/>
              <w:jc w:val="right"/>
              <w:rPr>
                <w:sz w:val="18"/>
                <w:szCs w:val="16"/>
              </w:rPr>
            </w:pPr>
            <w:r w:rsidRPr="005417E7">
              <w:rPr>
                <w:sz w:val="18"/>
                <w:szCs w:val="16"/>
              </w:rPr>
              <w:t>90 000</w:t>
            </w:r>
          </w:p>
        </w:tc>
        <w:tc>
          <w:tcPr>
            <w:tcW w:w="1266" w:type="dxa"/>
            <w:tcBorders>
              <w:top w:val="single" w:sz="4" w:space="0" w:color="auto"/>
            </w:tcBorders>
            <w:shd w:val="clear" w:color="auto" w:fill="auto"/>
          </w:tcPr>
          <w:p w14:paraId="36678DB7" w14:textId="77777777" w:rsidR="00C02224" w:rsidRPr="005417E7" w:rsidRDefault="00C02224" w:rsidP="000D6813">
            <w:pPr>
              <w:keepNext/>
              <w:suppressAutoHyphens w:val="0"/>
              <w:spacing w:before="40" w:after="40" w:line="220" w:lineRule="exact"/>
              <w:jc w:val="right"/>
              <w:rPr>
                <w:sz w:val="18"/>
                <w:szCs w:val="16"/>
              </w:rPr>
            </w:pPr>
            <w:r w:rsidRPr="005417E7">
              <w:rPr>
                <w:sz w:val="18"/>
                <w:szCs w:val="16"/>
              </w:rPr>
              <w:t>4</w:t>
            </w:r>
          </w:p>
        </w:tc>
        <w:tc>
          <w:tcPr>
            <w:tcW w:w="1295" w:type="dxa"/>
            <w:tcBorders>
              <w:top w:val="single" w:sz="4" w:space="0" w:color="auto"/>
            </w:tcBorders>
            <w:shd w:val="clear" w:color="auto" w:fill="auto"/>
          </w:tcPr>
          <w:p w14:paraId="3DB46FE2" w14:textId="77777777" w:rsidR="00C02224" w:rsidRPr="005417E7" w:rsidRDefault="00C02224" w:rsidP="000D6813">
            <w:pPr>
              <w:keepNext/>
              <w:suppressAutoHyphens w:val="0"/>
              <w:spacing w:before="40" w:after="40" w:line="220" w:lineRule="exact"/>
              <w:jc w:val="right"/>
              <w:rPr>
                <w:sz w:val="18"/>
                <w:szCs w:val="16"/>
              </w:rPr>
            </w:pPr>
            <w:r w:rsidRPr="005417E7">
              <w:rPr>
                <w:sz w:val="18"/>
                <w:szCs w:val="16"/>
              </w:rPr>
              <w:t>4</w:t>
            </w:r>
          </w:p>
        </w:tc>
      </w:tr>
      <w:tr w:rsidR="006F3599" w:rsidRPr="005417E7" w14:paraId="016BC6FA" w14:textId="77777777" w:rsidTr="006F3599">
        <w:trPr>
          <w:cantSplit/>
        </w:trPr>
        <w:tc>
          <w:tcPr>
            <w:tcW w:w="1555" w:type="dxa"/>
            <w:vMerge/>
            <w:tcBorders>
              <w:top w:val="single" w:sz="4" w:space="0" w:color="auto"/>
            </w:tcBorders>
            <w:shd w:val="clear" w:color="auto" w:fill="auto"/>
          </w:tcPr>
          <w:p w14:paraId="6610D8C7" w14:textId="77777777" w:rsidR="006F3599" w:rsidRPr="006F3599" w:rsidRDefault="006F3599" w:rsidP="000D6813">
            <w:pPr>
              <w:keepNext/>
              <w:suppressAutoHyphens w:val="0"/>
              <w:spacing w:before="40" w:after="40" w:line="220" w:lineRule="exact"/>
              <w:rPr>
                <w:i/>
                <w:iCs/>
                <w:spacing w:val="-2"/>
                <w:sz w:val="17"/>
                <w:szCs w:val="17"/>
              </w:rPr>
            </w:pPr>
          </w:p>
        </w:tc>
        <w:tc>
          <w:tcPr>
            <w:tcW w:w="4331" w:type="dxa"/>
            <w:shd w:val="clear" w:color="auto" w:fill="auto"/>
          </w:tcPr>
          <w:p w14:paraId="2F593E6F" w14:textId="77777777" w:rsidR="006F3599" w:rsidRPr="005417E7" w:rsidRDefault="006F3599" w:rsidP="00046DCD">
            <w:pPr>
              <w:keepNext/>
              <w:suppressAutoHyphens w:val="0"/>
              <w:spacing w:before="40" w:after="40" w:line="220" w:lineRule="exact"/>
              <w:ind w:left="57"/>
              <w:rPr>
                <w:sz w:val="18"/>
                <w:szCs w:val="16"/>
              </w:rPr>
            </w:pPr>
            <w:r w:rsidRPr="005417E7">
              <w:rPr>
                <w:sz w:val="18"/>
                <w:szCs w:val="16"/>
              </w:rPr>
              <w:t>Réunions du Bureau (nombre estimé : 4)</w:t>
            </w:r>
          </w:p>
        </w:tc>
        <w:tc>
          <w:tcPr>
            <w:tcW w:w="1190" w:type="dxa"/>
            <w:shd w:val="clear" w:color="auto" w:fill="auto"/>
          </w:tcPr>
          <w:p w14:paraId="0DBCF0A2" w14:textId="77777777" w:rsidR="006F3599" w:rsidRPr="005417E7" w:rsidRDefault="006F3599" w:rsidP="00AC3C80">
            <w:pPr>
              <w:keepNext/>
              <w:suppressAutoHyphens w:val="0"/>
              <w:spacing w:before="40" w:after="40" w:line="220" w:lineRule="exact"/>
              <w:ind w:right="57"/>
              <w:jc w:val="right"/>
              <w:rPr>
                <w:sz w:val="18"/>
                <w:szCs w:val="16"/>
              </w:rPr>
            </w:pPr>
            <w:r>
              <w:rPr>
                <w:sz w:val="18"/>
                <w:szCs w:val="16"/>
              </w:rPr>
              <w:t>44 000</w:t>
            </w:r>
          </w:p>
        </w:tc>
        <w:tc>
          <w:tcPr>
            <w:tcW w:w="1266" w:type="dxa"/>
            <w:shd w:val="clear" w:color="auto" w:fill="auto"/>
          </w:tcPr>
          <w:p w14:paraId="24683532" w14:textId="77777777" w:rsidR="006F3599" w:rsidRPr="005417E7" w:rsidRDefault="006F3599" w:rsidP="000D6813">
            <w:pPr>
              <w:keepNext/>
              <w:suppressAutoHyphens w:val="0"/>
              <w:spacing w:before="40" w:after="40" w:line="220" w:lineRule="exact"/>
              <w:jc w:val="right"/>
              <w:rPr>
                <w:sz w:val="18"/>
                <w:szCs w:val="16"/>
              </w:rPr>
            </w:pPr>
            <w:r>
              <w:rPr>
                <w:sz w:val="18"/>
                <w:szCs w:val="16"/>
              </w:rPr>
              <w:t>8</w:t>
            </w:r>
          </w:p>
        </w:tc>
        <w:tc>
          <w:tcPr>
            <w:tcW w:w="1295" w:type="dxa"/>
            <w:shd w:val="clear" w:color="auto" w:fill="auto"/>
          </w:tcPr>
          <w:p w14:paraId="4CCD776F" w14:textId="77777777" w:rsidR="006F3599" w:rsidRPr="005417E7" w:rsidRDefault="006F3599" w:rsidP="000D6813">
            <w:pPr>
              <w:keepNext/>
              <w:suppressAutoHyphens w:val="0"/>
              <w:spacing w:before="40" w:after="40" w:line="220" w:lineRule="exact"/>
              <w:jc w:val="right"/>
              <w:rPr>
                <w:sz w:val="18"/>
                <w:szCs w:val="16"/>
              </w:rPr>
            </w:pPr>
            <w:r>
              <w:rPr>
                <w:sz w:val="18"/>
                <w:szCs w:val="16"/>
              </w:rPr>
              <w:t>2</w:t>
            </w:r>
          </w:p>
        </w:tc>
      </w:tr>
      <w:tr w:rsidR="006F3599" w:rsidRPr="005417E7" w14:paraId="587BB802" w14:textId="77777777" w:rsidTr="006F3599">
        <w:trPr>
          <w:cantSplit/>
        </w:trPr>
        <w:tc>
          <w:tcPr>
            <w:tcW w:w="1555" w:type="dxa"/>
            <w:vMerge/>
            <w:tcBorders>
              <w:top w:val="single" w:sz="4" w:space="0" w:color="auto"/>
            </w:tcBorders>
            <w:shd w:val="clear" w:color="auto" w:fill="auto"/>
          </w:tcPr>
          <w:p w14:paraId="1EBD1CA5" w14:textId="77777777" w:rsidR="006F3599" w:rsidRPr="006F3599" w:rsidRDefault="006F3599" w:rsidP="000D6813">
            <w:pPr>
              <w:keepNext/>
              <w:suppressAutoHyphens w:val="0"/>
              <w:spacing w:before="40" w:after="40" w:line="220" w:lineRule="exact"/>
              <w:rPr>
                <w:i/>
                <w:iCs/>
                <w:spacing w:val="-2"/>
                <w:sz w:val="17"/>
                <w:szCs w:val="17"/>
              </w:rPr>
            </w:pPr>
          </w:p>
        </w:tc>
        <w:tc>
          <w:tcPr>
            <w:tcW w:w="4331" w:type="dxa"/>
            <w:shd w:val="clear" w:color="auto" w:fill="auto"/>
          </w:tcPr>
          <w:p w14:paraId="5800A5C8" w14:textId="77777777" w:rsidR="006F3599" w:rsidRPr="005417E7" w:rsidRDefault="006F3599" w:rsidP="00046DCD">
            <w:pPr>
              <w:keepNext/>
              <w:suppressAutoHyphens w:val="0"/>
              <w:spacing w:before="40" w:after="40" w:line="220" w:lineRule="exact"/>
              <w:ind w:left="57"/>
              <w:rPr>
                <w:sz w:val="18"/>
                <w:szCs w:val="16"/>
              </w:rPr>
            </w:pPr>
            <w:r w:rsidRPr="005417E7">
              <w:rPr>
                <w:sz w:val="18"/>
                <w:szCs w:val="16"/>
              </w:rPr>
              <w:t>Réunions du Groupe de travail de l’application (nombre estimé : 4)</w:t>
            </w:r>
          </w:p>
        </w:tc>
        <w:tc>
          <w:tcPr>
            <w:tcW w:w="1190" w:type="dxa"/>
            <w:shd w:val="clear" w:color="auto" w:fill="auto"/>
          </w:tcPr>
          <w:p w14:paraId="2BE4C5B5" w14:textId="77777777" w:rsidR="006F3599" w:rsidRPr="005417E7" w:rsidRDefault="006F3599" w:rsidP="00AC3C80">
            <w:pPr>
              <w:keepNext/>
              <w:suppressAutoHyphens w:val="0"/>
              <w:spacing w:before="40" w:after="40" w:line="220" w:lineRule="exact"/>
              <w:ind w:right="57"/>
              <w:jc w:val="right"/>
              <w:rPr>
                <w:sz w:val="18"/>
                <w:szCs w:val="16"/>
              </w:rPr>
            </w:pPr>
            <w:r>
              <w:rPr>
                <w:sz w:val="18"/>
                <w:szCs w:val="16"/>
              </w:rPr>
              <w:t>38 000</w:t>
            </w:r>
          </w:p>
        </w:tc>
        <w:tc>
          <w:tcPr>
            <w:tcW w:w="1266" w:type="dxa"/>
            <w:shd w:val="clear" w:color="auto" w:fill="auto"/>
          </w:tcPr>
          <w:p w14:paraId="02817D09" w14:textId="77777777" w:rsidR="006F3599" w:rsidRPr="005417E7" w:rsidRDefault="006F3599" w:rsidP="000D6813">
            <w:pPr>
              <w:keepNext/>
              <w:suppressAutoHyphens w:val="0"/>
              <w:spacing w:before="40" w:after="40" w:line="220" w:lineRule="exact"/>
              <w:jc w:val="right"/>
              <w:rPr>
                <w:sz w:val="18"/>
                <w:szCs w:val="16"/>
              </w:rPr>
            </w:pPr>
            <w:r>
              <w:rPr>
                <w:sz w:val="18"/>
                <w:szCs w:val="16"/>
              </w:rPr>
              <w:t>8</w:t>
            </w:r>
          </w:p>
        </w:tc>
        <w:tc>
          <w:tcPr>
            <w:tcW w:w="1295" w:type="dxa"/>
            <w:shd w:val="clear" w:color="auto" w:fill="auto"/>
          </w:tcPr>
          <w:p w14:paraId="3CA6724D" w14:textId="77777777" w:rsidR="006F3599" w:rsidRPr="005417E7" w:rsidRDefault="006F3599" w:rsidP="000D6813">
            <w:pPr>
              <w:keepNext/>
              <w:suppressAutoHyphens w:val="0"/>
              <w:spacing w:before="40" w:after="40" w:line="220" w:lineRule="exact"/>
              <w:jc w:val="right"/>
              <w:rPr>
                <w:sz w:val="18"/>
                <w:szCs w:val="16"/>
              </w:rPr>
            </w:pPr>
            <w:r>
              <w:rPr>
                <w:sz w:val="18"/>
                <w:szCs w:val="16"/>
              </w:rPr>
              <w:t>4</w:t>
            </w:r>
          </w:p>
        </w:tc>
      </w:tr>
      <w:tr w:rsidR="006F3599" w:rsidRPr="005417E7" w14:paraId="7E3EF0E3" w14:textId="77777777" w:rsidTr="006F3599">
        <w:trPr>
          <w:cantSplit/>
        </w:trPr>
        <w:tc>
          <w:tcPr>
            <w:tcW w:w="1555" w:type="dxa"/>
            <w:vMerge/>
            <w:shd w:val="clear" w:color="auto" w:fill="auto"/>
          </w:tcPr>
          <w:p w14:paraId="1D4F12E0" w14:textId="77777777" w:rsidR="006F3599" w:rsidRPr="006F3599" w:rsidRDefault="006F3599" w:rsidP="00106A16">
            <w:pPr>
              <w:suppressAutoHyphens w:val="0"/>
              <w:spacing w:before="40" w:after="40" w:line="220" w:lineRule="exact"/>
              <w:rPr>
                <w:i/>
                <w:iCs/>
                <w:spacing w:val="-2"/>
                <w:sz w:val="17"/>
                <w:szCs w:val="17"/>
              </w:rPr>
            </w:pPr>
          </w:p>
        </w:tc>
        <w:tc>
          <w:tcPr>
            <w:tcW w:w="4331" w:type="dxa"/>
            <w:shd w:val="clear" w:color="auto" w:fill="auto"/>
          </w:tcPr>
          <w:p w14:paraId="7D93CF4C" w14:textId="77777777" w:rsidR="006F3599" w:rsidRPr="005417E7" w:rsidRDefault="006F3599" w:rsidP="00046DCD">
            <w:pPr>
              <w:suppressAutoHyphens w:val="0"/>
              <w:spacing w:before="40" w:after="40" w:line="220" w:lineRule="exact"/>
              <w:ind w:left="57"/>
              <w:rPr>
                <w:sz w:val="18"/>
                <w:szCs w:val="16"/>
              </w:rPr>
            </w:pPr>
            <w:r w:rsidRPr="005417E7">
              <w:rPr>
                <w:sz w:val="18"/>
                <w:szCs w:val="16"/>
              </w:rPr>
              <w:t>Réunions du Groupe de travail du développement de la Convention (aucune réunion prévue pour la période considérée)</w:t>
            </w:r>
          </w:p>
        </w:tc>
        <w:tc>
          <w:tcPr>
            <w:tcW w:w="1190" w:type="dxa"/>
            <w:shd w:val="clear" w:color="auto" w:fill="auto"/>
          </w:tcPr>
          <w:p w14:paraId="2A849218" w14:textId="77777777" w:rsidR="006F3599" w:rsidRPr="005417E7" w:rsidRDefault="006F3599" w:rsidP="00AC3C80">
            <w:pPr>
              <w:suppressAutoHyphens w:val="0"/>
              <w:spacing w:before="40" w:after="40" w:line="220" w:lineRule="exact"/>
              <w:ind w:right="57"/>
              <w:jc w:val="right"/>
              <w:rPr>
                <w:sz w:val="18"/>
                <w:szCs w:val="16"/>
              </w:rPr>
            </w:pPr>
            <w:r>
              <w:rPr>
                <w:sz w:val="18"/>
                <w:szCs w:val="16"/>
              </w:rPr>
              <w:t>-</w:t>
            </w:r>
          </w:p>
        </w:tc>
        <w:tc>
          <w:tcPr>
            <w:tcW w:w="1266" w:type="dxa"/>
            <w:shd w:val="clear" w:color="auto" w:fill="auto"/>
          </w:tcPr>
          <w:p w14:paraId="3AE56362" w14:textId="77777777" w:rsidR="006F3599" w:rsidRPr="005417E7" w:rsidRDefault="006F3599" w:rsidP="006F3599">
            <w:pPr>
              <w:suppressAutoHyphens w:val="0"/>
              <w:spacing w:before="40" w:after="40" w:line="220" w:lineRule="exact"/>
              <w:jc w:val="right"/>
              <w:rPr>
                <w:sz w:val="18"/>
                <w:szCs w:val="16"/>
              </w:rPr>
            </w:pPr>
            <w:r>
              <w:rPr>
                <w:sz w:val="18"/>
                <w:szCs w:val="16"/>
              </w:rPr>
              <w:t>-</w:t>
            </w:r>
          </w:p>
        </w:tc>
        <w:tc>
          <w:tcPr>
            <w:tcW w:w="1295" w:type="dxa"/>
            <w:shd w:val="clear" w:color="auto" w:fill="auto"/>
          </w:tcPr>
          <w:p w14:paraId="0D227714" w14:textId="77777777" w:rsidR="006F3599" w:rsidRPr="005417E7" w:rsidRDefault="006F3599" w:rsidP="006F3599">
            <w:pPr>
              <w:suppressAutoHyphens w:val="0"/>
              <w:spacing w:before="40" w:after="40" w:line="220" w:lineRule="exact"/>
              <w:jc w:val="right"/>
              <w:rPr>
                <w:sz w:val="18"/>
                <w:szCs w:val="16"/>
              </w:rPr>
            </w:pPr>
            <w:r>
              <w:rPr>
                <w:sz w:val="18"/>
                <w:szCs w:val="16"/>
              </w:rPr>
              <w:t>-</w:t>
            </w:r>
          </w:p>
        </w:tc>
      </w:tr>
      <w:tr w:rsidR="00C02224" w:rsidRPr="005417E7" w14:paraId="3E40264A" w14:textId="77777777" w:rsidTr="000D6813">
        <w:trPr>
          <w:cantSplit/>
        </w:trPr>
        <w:tc>
          <w:tcPr>
            <w:tcW w:w="1555" w:type="dxa"/>
            <w:vMerge/>
            <w:tcBorders>
              <w:bottom w:val="single" w:sz="4" w:space="0" w:color="auto"/>
            </w:tcBorders>
            <w:shd w:val="clear" w:color="auto" w:fill="auto"/>
          </w:tcPr>
          <w:p w14:paraId="4FAC1E43" w14:textId="77777777" w:rsidR="00C02224" w:rsidRPr="005417E7" w:rsidRDefault="00C02224" w:rsidP="00106A16">
            <w:pPr>
              <w:suppressAutoHyphens w:val="0"/>
              <w:spacing w:before="40" w:after="40" w:line="220" w:lineRule="exact"/>
              <w:rPr>
                <w:sz w:val="18"/>
                <w:szCs w:val="16"/>
              </w:rPr>
            </w:pPr>
          </w:p>
        </w:tc>
        <w:tc>
          <w:tcPr>
            <w:tcW w:w="4331" w:type="dxa"/>
            <w:tcBorders>
              <w:bottom w:val="single" w:sz="4" w:space="0" w:color="auto"/>
            </w:tcBorders>
            <w:shd w:val="clear" w:color="auto" w:fill="auto"/>
          </w:tcPr>
          <w:p w14:paraId="1911DC77"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Réunions du Groupe spécial mixte d’experts de l’eau et des accidents industriels (nombre estimé : 1)</w:t>
            </w:r>
          </w:p>
        </w:tc>
        <w:tc>
          <w:tcPr>
            <w:tcW w:w="1190" w:type="dxa"/>
            <w:tcBorders>
              <w:bottom w:val="single" w:sz="4" w:space="0" w:color="auto"/>
            </w:tcBorders>
            <w:shd w:val="clear" w:color="auto" w:fill="auto"/>
          </w:tcPr>
          <w:p w14:paraId="5D4378D3"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15 000</w:t>
            </w:r>
          </w:p>
        </w:tc>
        <w:tc>
          <w:tcPr>
            <w:tcW w:w="1266" w:type="dxa"/>
            <w:tcBorders>
              <w:bottom w:val="single" w:sz="4" w:space="0" w:color="auto"/>
            </w:tcBorders>
            <w:shd w:val="clear" w:color="auto" w:fill="auto"/>
          </w:tcPr>
          <w:p w14:paraId="007F2E51"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1</w:t>
            </w:r>
          </w:p>
        </w:tc>
        <w:tc>
          <w:tcPr>
            <w:tcW w:w="1295" w:type="dxa"/>
            <w:tcBorders>
              <w:bottom w:val="single" w:sz="4" w:space="0" w:color="auto"/>
            </w:tcBorders>
            <w:shd w:val="clear" w:color="auto" w:fill="auto"/>
          </w:tcPr>
          <w:p w14:paraId="2A208FFA" w14:textId="77777777" w:rsidR="00C02224" w:rsidRPr="005417E7" w:rsidRDefault="00C02224" w:rsidP="006F3599">
            <w:pPr>
              <w:suppressAutoHyphens w:val="0"/>
              <w:spacing w:before="40" w:after="40" w:line="220" w:lineRule="exact"/>
              <w:jc w:val="right"/>
              <w:rPr>
                <w:sz w:val="18"/>
                <w:szCs w:val="16"/>
              </w:rPr>
            </w:pPr>
            <w:r w:rsidRPr="005417E7">
              <w:rPr>
                <w:sz w:val="18"/>
                <w:szCs w:val="16"/>
              </w:rPr>
              <w:t>0,25</w:t>
            </w:r>
          </w:p>
        </w:tc>
      </w:tr>
      <w:tr w:rsidR="00C02224" w:rsidRPr="006F3599" w14:paraId="381A69A8" w14:textId="77777777" w:rsidTr="000D6813">
        <w:trPr>
          <w:cantSplit/>
        </w:trPr>
        <w:tc>
          <w:tcPr>
            <w:tcW w:w="1555" w:type="dxa"/>
            <w:tcBorders>
              <w:top w:val="single" w:sz="4" w:space="0" w:color="auto"/>
              <w:bottom w:val="single" w:sz="4" w:space="0" w:color="auto"/>
            </w:tcBorders>
            <w:shd w:val="clear" w:color="auto" w:fill="auto"/>
          </w:tcPr>
          <w:p w14:paraId="3E09BA44" w14:textId="77777777" w:rsidR="00C02224" w:rsidRPr="006F3599" w:rsidRDefault="00C02224" w:rsidP="006F3599">
            <w:pPr>
              <w:suppressAutoHyphens w:val="0"/>
              <w:spacing w:before="80" w:after="80" w:line="220" w:lineRule="exact"/>
              <w:ind w:left="283"/>
              <w:rPr>
                <w:b/>
                <w:sz w:val="18"/>
                <w:szCs w:val="16"/>
              </w:rPr>
            </w:pPr>
            <w:bookmarkStart w:id="2" w:name="_Hlk45805867"/>
            <w:r w:rsidRPr="006F3599">
              <w:rPr>
                <w:b/>
                <w:bCs/>
                <w:sz w:val="18"/>
                <w:szCs w:val="16"/>
              </w:rPr>
              <w:t>Total partiel</w:t>
            </w:r>
          </w:p>
        </w:tc>
        <w:tc>
          <w:tcPr>
            <w:tcW w:w="4331" w:type="dxa"/>
            <w:tcBorders>
              <w:top w:val="single" w:sz="4" w:space="0" w:color="auto"/>
              <w:bottom w:val="single" w:sz="4" w:space="0" w:color="auto"/>
            </w:tcBorders>
            <w:shd w:val="clear" w:color="auto" w:fill="auto"/>
          </w:tcPr>
          <w:p w14:paraId="163B888A" w14:textId="77777777" w:rsidR="00C02224" w:rsidRPr="006F3599"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04F1D4B4" w14:textId="77777777" w:rsidR="00C02224" w:rsidRPr="006F3599" w:rsidRDefault="00C02224" w:rsidP="00AC3C80">
            <w:pPr>
              <w:suppressAutoHyphens w:val="0"/>
              <w:spacing w:before="80" w:after="80" w:line="220" w:lineRule="exact"/>
              <w:ind w:right="57"/>
              <w:jc w:val="right"/>
              <w:rPr>
                <w:b/>
                <w:sz w:val="18"/>
                <w:szCs w:val="16"/>
              </w:rPr>
            </w:pPr>
            <w:r w:rsidRPr="006F3599">
              <w:rPr>
                <w:b/>
                <w:bCs/>
                <w:sz w:val="18"/>
                <w:szCs w:val="16"/>
              </w:rPr>
              <w:t>187 000</w:t>
            </w:r>
          </w:p>
        </w:tc>
        <w:tc>
          <w:tcPr>
            <w:tcW w:w="1266" w:type="dxa"/>
            <w:tcBorders>
              <w:top w:val="single" w:sz="4" w:space="0" w:color="auto"/>
              <w:bottom w:val="single" w:sz="4" w:space="0" w:color="auto"/>
            </w:tcBorders>
            <w:shd w:val="clear" w:color="auto" w:fill="auto"/>
            <w:vAlign w:val="bottom"/>
          </w:tcPr>
          <w:p w14:paraId="4C79A434" w14:textId="77777777" w:rsidR="00C02224" w:rsidRPr="006F3599" w:rsidRDefault="00C02224" w:rsidP="006F3599">
            <w:pPr>
              <w:suppressAutoHyphens w:val="0"/>
              <w:spacing w:before="80" w:after="80" w:line="220" w:lineRule="exact"/>
              <w:jc w:val="right"/>
              <w:rPr>
                <w:b/>
                <w:sz w:val="18"/>
                <w:szCs w:val="16"/>
              </w:rPr>
            </w:pPr>
            <w:r w:rsidRPr="006F3599">
              <w:rPr>
                <w:b/>
                <w:bCs/>
                <w:sz w:val="18"/>
                <w:szCs w:val="16"/>
              </w:rPr>
              <w:t>21</w:t>
            </w:r>
          </w:p>
        </w:tc>
        <w:tc>
          <w:tcPr>
            <w:tcW w:w="1295" w:type="dxa"/>
            <w:tcBorders>
              <w:top w:val="single" w:sz="4" w:space="0" w:color="auto"/>
              <w:bottom w:val="single" w:sz="4" w:space="0" w:color="auto"/>
            </w:tcBorders>
            <w:shd w:val="clear" w:color="auto" w:fill="auto"/>
            <w:vAlign w:val="bottom"/>
          </w:tcPr>
          <w:p w14:paraId="719D3C2C" w14:textId="77777777" w:rsidR="00C02224" w:rsidRPr="006F3599" w:rsidRDefault="00C02224" w:rsidP="006F3599">
            <w:pPr>
              <w:suppressAutoHyphens w:val="0"/>
              <w:spacing w:before="80" w:after="80" w:line="220" w:lineRule="exact"/>
              <w:jc w:val="right"/>
              <w:rPr>
                <w:b/>
                <w:sz w:val="18"/>
                <w:szCs w:val="16"/>
              </w:rPr>
            </w:pPr>
            <w:r w:rsidRPr="006F3599">
              <w:rPr>
                <w:b/>
                <w:sz w:val="18"/>
                <w:szCs w:val="16"/>
              </w:rPr>
              <w:t>10,25</w:t>
            </w:r>
          </w:p>
        </w:tc>
      </w:tr>
      <w:bookmarkEnd w:id="2"/>
      <w:tr w:rsidR="00C02224" w:rsidRPr="005417E7" w14:paraId="7FD08360" w14:textId="77777777" w:rsidTr="000D6813">
        <w:trPr>
          <w:cantSplit/>
        </w:trPr>
        <w:tc>
          <w:tcPr>
            <w:tcW w:w="1555" w:type="dxa"/>
            <w:tcBorders>
              <w:top w:val="single" w:sz="4" w:space="0" w:color="auto"/>
              <w:bottom w:val="single" w:sz="4" w:space="0" w:color="auto"/>
            </w:tcBorders>
            <w:shd w:val="clear" w:color="auto" w:fill="auto"/>
          </w:tcPr>
          <w:p w14:paraId="68542DAB" w14:textId="77777777" w:rsidR="00C02224" w:rsidRPr="000D6813" w:rsidRDefault="00C02224" w:rsidP="00106A16">
            <w:pPr>
              <w:suppressAutoHyphens w:val="0"/>
              <w:spacing w:before="40" w:after="40" w:line="220" w:lineRule="exact"/>
              <w:rPr>
                <w:i/>
                <w:iCs/>
                <w:sz w:val="18"/>
                <w:szCs w:val="16"/>
              </w:rPr>
            </w:pPr>
            <w:r w:rsidRPr="000D6813">
              <w:rPr>
                <w:i/>
                <w:iCs/>
                <w:sz w:val="18"/>
                <w:szCs w:val="16"/>
              </w:rPr>
              <w:t>Gestion générale des</w:t>
            </w:r>
            <w:r w:rsidR="000D6813">
              <w:rPr>
                <w:i/>
                <w:iCs/>
                <w:sz w:val="18"/>
                <w:szCs w:val="16"/>
              </w:rPr>
              <w:t> </w:t>
            </w:r>
            <w:r w:rsidRPr="000D6813">
              <w:rPr>
                <w:i/>
                <w:iCs/>
                <w:sz w:val="18"/>
                <w:szCs w:val="16"/>
              </w:rPr>
              <w:t>programmes</w:t>
            </w:r>
          </w:p>
        </w:tc>
        <w:tc>
          <w:tcPr>
            <w:tcW w:w="4331" w:type="dxa"/>
            <w:tcBorders>
              <w:top w:val="single" w:sz="4" w:space="0" w:color="auto"/>
              <w:bottom w:val="single" w:sz="4" w:space="0" w:color="auto"/>
            </w:tcBorders>
            <w:shd w:val="clear" w:color="auto" w:fill="auto"/>
          </w:tcPr>
          <w:p w14:paraId="0068D895"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Autres activités de secrétariat (gestion des ressources humaines et financières et autres activités de gestion, tâches administratives nécessaires au bon fonctionnement du groupe de la sécurité industrielle de la CEE et établissement de rapports sur des questions techniques et administratives dans le cadre du secrétariat de la CEE)</w:t>
            </w:r>
          </w:p>
        </w:tc>
        <w:tc>
          <w:tcPr>
            <w:tcW w:w="1190" w:type="dxa"/>
            <w:tcBorders>
              <w:top w:val="single" w:sz="4" w:space="0" w:color="auto"/>
              <w:bottom w:val="single" w:sz="4" w:space="0" w:color="auto"/>
            </w:tcBorders>
            <w:shd w:val="clear" w:color="auto" w:fill="auto"/>
          </w:tcPr>
          <w:p w14:paraId="51498F57"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w:t>
            </w:r>
          </w:p>
        </w:tc>
        <w:tc>
          <w:tcPr>
            <w:tcW w:w="1266" w:type="dxa"/>
            <w:tcBorders>
              <w:top w:val="single" w:sz="4" w:space="0" w:color="auto"/>
              <w:bottom w:val="single" w:sz="4" w:space="0" w:color="auto"/>
            </w:tcBorders>
            <w:shd w:val="clear" w:color="auto" w:fill="auto"/>
          </w:tcPr>
          <w:p w14:paraId="0E0CD3D4"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4</w:t>
            </w:r>
          </w:p>
        </w:tc>
        <w:tc>
          <w:tcPr>
            <w:tcW w:w="1295" w:type="dxa"/>
            <w:tcBorders>
              <w:top w:val="single" w:sz="4" w:space="0" w:color="auto"/>
              <w:bottom w:val="single" w:sz="4" w:space="0" w:color="auto"/>
            </w:tcBorders>
            <w:shd w:val="clear" w:color="auto" w:fill="auto"/>
          </w:tcPr>
          <w:p w14:paraId="1D271800"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1</w:t>
            </w:r>
          </w:p>
        </w:tc>
      </w:tr>
      <w:tr w:rsidR="000D6813" w:rsidRPr="000D6813" w14:paraId="75AB4000" w14:textId="77777777" w:rsidTr="00046DCD">
        <w:trPr>
          <w:cantSplit/>
        </w:trPr>
        <w:tc>
          <w:tcPr>
            <w:tcW w:w="1555" w:type="dxa"/>
            <w:tcBorders>
              <w:top w:val="single" w:sz="4" w:space="0" w:color="auto"/>
              <w:bottom w:val="single" w:sz="4" w:space="0" w:color="auto"/>
            </w:tcBorders>
            <w:shd w:val="clear" w:color="auto" w:fill="auto"/>
          </w:tcPr>
          <w:p w14:paraId="7D4CEFBC" w14:textId="77777777" w:rsidR="00C02224" w:rsidRPr="000D6813" w:rsidRDefault="00C02224" w:rsidP="000D6813">
            <w:pPr>
              <w:suppressAutoHyphens w:val="0"/>
              <w:spacing w:before="80" w:after="80" w:line="220" w:lineRule="exact"/>
              <w:ind w:left="283"/>
              <w:rPr>
                <w:b/>
                <w:sz w:val="18"/>
                <w:szCs w:val="16"/>
              </w:rPr>
            </w:pPr>
            <w:r w:rsidRPr="000D6813">
              <w:rPr>
                <w:b/>
                <w:bCs/>
                <w:sz w:val="18"/>
                <w:szCs w:val="16"/>
              </w:rPr>
              <w:t>Total partiel</w:t>
            </w:r>
          </w:p>
        </w:tc>
        <w:tc>
          <w:tcPr>
            <w:tcW w:w="4331" w:type="dxa"/>
            <w:tcBorders>
              <w:top w:val="single" w:sz="4" w:space="0" w:color="auto"/>
              <w:bottom w:val="single" w:sz="4" w:space="0" w:color="auto"/>
            </w:tcBorders>
            <w:shd w:val="clear" w:color="auto" w:fill="auto"/>
          </w:tcPr>
          <w:p w14:paraId="0B95F4DD" w14:textId="77777777" w:rsidR="00C02224" w:rsidRPr="000D6813"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12DF759D" w14:textId="77777777" w:rsidR="00C02224" w:rsidRPr="000D6813" w:rsidRDefault="00C02224" w:rsidP="00AC3C80">
            <w:pPr>
              <w:suppressAutoHyphens w:val="0"/>
              <w:spacing w:before="80" w:after="80" w:line="220" w:lineRule="exact"/>
              <w:ind w:right="57"/>
              <w:jc w:val="right"/>
              <w:rPr>
                <w:b/>
                <w:sz w:val="18"/>
                <w:szCs w:val="16"/>
              </w:rPr>
            </w:pPr>
            <w:r w:rsidRPr="000D6813">
              <w:rPr>
                <w:b/>
                <w:sz w:val="18"/>
                <w:szCs w:val="16"/>
              </w:rPr>
              <w:t>-</w:t>
            </w:r>
          </w:p>
        </w:tc>
        <w:tc>
          <w:tcPr>
            <w:tcW w:w="1266" w:type="dxa"/>
            <w:tcBorders>
              <w:top w:val="single" w:sz="4" w:space="0" w:color="auto"/>
              <w:bottom w:val="single" w:sz="4" w:space="0" w:color="auto"/>
            </w:tcBorders>
            <w:shd w:val="clear" w:color="auto" w:fill="auto"/>
            <w:vAlign w:val="bottom"/>
          </w:tcPr>
          <w:p w14:paraId="21AFCBC6" w14:textId="77777777" w:rsidR="00C02224" w:rsidRPr="000D6813" w:rsidRDefault="00C02224" w:rsidP="000D6813">
            <w:pPr>
              <w:suppressAutoHyphens w:val="0"/>
              <w:spacing w:before="80" w:after="80" w:line="220" w:lineRule="exact"/>
              <w:jc w:val="right"/>
              <w:rPr>
                <w:b/>
                <w:sz w:val="18"/>
                <w:szCs w:val="16"/>
              </w:rPr>
            </w:pPr>
            <w:r w:rsidRPr="000D6813">
              <w:rPr>
                <w:b/>
                <w:bCs/>
                <w:sz w:val="18"/>
                <w:szCs w:val="16"/>
              </w:rPr>
              <w:t>4</w:t>
            </w:r>
          </w:p>
        </w:tc>
        <w:tc>
          <w:tcPr>
            <w:tcW w:w="1295" w:type="dxa"/>
            <w:tcBorders>
              <w:top w:val="single" w:sz="4" w:space="0" w:color="auto"/>
              <w:bottom w:val="single" w:sz="4" w:space="0" w:color="auto"/>
            </w:tcBorders>
            <w:shd w:val="clear" w:color="auto" w:fill="auto"/>
            <w:vAlign w:val="bottom"/>
          </w:tcPr>
          <w:p w14:paraId="70292632" w14:textId="77777777" w:rsidR="00C02224" w:rsidRPr="000D6813" w:rsidRDefault="00C02224" w:rsidP="000D6813">
            <w:pPr>
              <w:suppressAutoHyphens w:val="0"/>
              <w:spacing w:before="80" w:after="80" w:line="220" w:lineRule="exact"/>
              <w:jc w:val="right"/>
              <w:rPr>
                <w:b/>
                <w:sz w:val="18"/>
                <w:szCs w:val="16"/>
              </w:rPr>
            </w:pPr>
            <w:r w:rsidRPr="000D6813">
              <w:rPr>
                <w:b/>
                <w:bCs/>
                <w:sz w:val="18"/>
                <w:szCs w:val="16"/>
              </w:rPr>
              <w:t>1</w:t>
            </w:r>
          </w:p>
        </w:tc>
      </w:tr>
      <w:tr w:rsidR="00C02224" w:rsidRPr="00046DCD" w14:paraId="45954F26" w14:textId="77777777" w:rsidTr="00046DCD">
        <w:trPr>
          <w:cantSplit/>
        </w:trPr>
        <w:tc>
          <w:tcPr>
            <w:tcW w:w="5886" w:type="dxa"/>
            <w:gridSpan w:val="2"/>
            <w:tcBorders>
              <w:top w:val="single" w:sz="4" w:space="0" w:color="auto"/>
              <w:bottom w:val="single" w:sz="4" w:space="0" w:color="auto"/>
            </w:tcBorders>
            <w:shd w:val="clear" w:color="auto" w:fill="auto"/>
          </w:tcPr>
          <w:p w14:paraId="45C3394F" w14:textId="77777777" w:rsidR="00C02224" w:rsidRPr="00046DCD" w:rsidRDefault="00C02224" w:rsidP="00046DCD">
            <w:pPr>
              <w:suppressAutoHyphens w:val="0"/>
              <w:spacing w:before="80" w:after="80" w:line="220" w:lineRule="exact"/>
              <w:ind w:left="283"/>
              <w:rPr>
                <w:b/>
                <w:sz w:val="18"/>
                <w:szCs w:val="16"/>
              </w:rPr>
            </w:pPr>
            <w:r w:rsidRPr="00046DCD">
              <w:rPr>
                <w:b/>
                <w:bCs/>
                <w:sz w:val="18"/>
                <w:szCs w:val="16"/>
              </w:rPr>
              <w:t>Total de la section I</w:t>
            </w:r>
          </w:p>
        </w:tc>
        <w:tc>
          <w:tcPr>
            <w:tcW w:w="1190" w:type="dxa"/>
            <w:tcBorders>
              <w:top w:val="single" w:sz="4" w:space="0" w:color="auto"/>
              <w:bottom w:val="single" w:sz="4" w:space="0" w:color="auto"/>
            </w:tcBorders>
            <w:shd w:val="clear" w:color="auto" w:fill="auto"/>
            <w:vAlign w:val="bottom"/>
          </w:tcPr>
          <w:p w14:paraId="6D7A6888" w14:textId="77777777" w:rsidR="00C02224" w:rsidRPr="00046DCD" w:rsidRDefault="00C02224" w:rsidP="00AC3C80">
            <w:pPr>
              <w:suppressAutoHyphens w:val="0"/>
              <w:spacing w:before="80" w:after="80" w:line="220" w:lineRule="exact"/>
              <w:ind w:right="57"/>
              <w:jc w:val="right"/>
              <w:rPr>
                <w:b/>
                <w:sz w:val="18"/>
                <w:szCs w:val="16"/>
              </w:rPr>
            </w:pPr>
            <w:r w:rsidRPr="00046DCD">
              <w:rPr>
                <w:b/>
                <w:bCs/>
                <w:sz w:val="18"/>
                <w:szCs w:val="16"/>
              </w:rPr>
              <w:t>383 000</w:t>
            </w:r>
          </w:p>
        </w:tc>
        <w:tc>
          <w:tcPr>
            <w:tcW w:w="1266" w:type="dxa"/>
            <w:tcBorders>
              <w:top w:val="single" w:sz="4" w:space="0" w:color="auto"/>
              <w:bottom w:val="single" w:sz="4" w:space="0" w:color="auto"/>
            </w:tcBorders>
            <w:shd w:val="clear" w:color="auto" w:fill="auto"/>
            <w:vAlign w:val="bottom"/>
          </w:tcPr>
          <w:p w14:paraId="0C092BA3" w14:textId="77777777" w:rsidR="00C02224" w:rsidRPr="00046DCD" w:rsidRDefault="00C02224" w:rsidP="00046DCD">
            <w:pPr>
              <w:suppressAutoHyphens w:val="0"/>
              <w:spacing w:before="80" w:after="80" w:line="220" w:lineRule="exact"/>
              <w:jc w:val="right"/>
              <w:rPr>
                <w:b/>
                <w:sz w:val="18"/>
                <w:szCs w:val="16"/>
              </w:rPr>
            </w:pPr>
            <w:r w:rsidRPr="00046DCD">
              <w:rPr>
                <w:b/>
                <w:sz w:val="18"/>
                <w:szCs w:val="16"/>
              </w:rPr>
              <w:t>52,5</w:t>
            </w:r>
          </w:p>
        </w:tc>
        <w:tc>
          <w:tcPr>
            <w:tcW w:w="1295" w:type="dxa"/>
            <w:tcBorders>
              <w:top w:val="single" w:sz="4" w:space="0" w:color="auto"/>
              <w:bottom w:val="single" w:sz="4" w:space="0" w:color="auto"/>
            </w:tcBorders>
            <w:shd w:val="clear" w:color="auto" w:fill="auto"/>
            <w:vAlign w:val="bottom"/>
          </w:tcPr>
          <w:p w14:paraId="56DBB400" w14:textId="77777777" w:rsidR="00C02224" w:rsidRPr="00046DCD" w:rsidRDefault="00C02224" w:rsidP="00046DCD">
            <w:pPr>
              <w:suppressAutoHyphens w:val="0"/>
              <w:spacing w:before="80" w:after="80" w:line="220" w:lineRule="exact"/>
              <w:jc w:val="right"/>
              <w:rPr>
                <w:b/>
                <w:sz w:val="18"/>
                <w:szCs w:val="16"/>
              </w:rPr>
            </w:pPr>
            <w:r w:rsidRPr="00046DCD">
              <w:rPr>
                <w:b/>
                <w:sz w:val="18"/>
                <w:szCs w:val="16"/>
              </w:rPr>
              <w:t>22,75</w:t>
            </w:r>
          </w:p>
        </w:tc>
      </w:tr>
      <w:tr w:rsidR="00C02224" w:rsidRPr="000D6813" w14:paraId="7E9C626C" w14:textId="77777777" w:rsidTr="00046DCD">
        <w:trPr>
          <w:cantSplit/>
        </w:trPr>
        <w:tc>
          <w:tcPr>
            <w:tcW w:w="9637" w:type="dxa"/>
            <w:gridSpan w:val="5"/>
            <w:tcBorders>
              <w:top w:val="single" w:sz="4" w:space="0" w:color="auto"/>
            </w:tcBorders>
            <w:shd w:val="clear" w:color="auto" w:fill="auto"/>
          </w:tcPr>
          <w:p w14:paraId="0C0A34E8" w14:textId="77777777" w:rsidR="00C02224" w:rsidRPr="000D6813" w:rsidRDefault="00C02224" w:rsidP="00BD4260">
            <w:pPr>
              <w:tabs>
                <w:tab w:val="left" w:pos="284"/>
              </w:tabs>
              <w:suppressAutoHyphens w:val="0"/>
              <w:spacing w:before="40" w:after="40" w:line="220" w:lineRule="exact"/>
              <w:ind w:left="284" w:right="57" w:hanging="284"/>
              <w:rPr>
                <w:b/>
                <w:bCs/>
                <w:sz w:val="18"/>
                <w:szCs w:val="16"/>
              </w:rPr>
            </w:pPr>
            <w:r w:rsidRPr="000D6813">
              <w:rPr>
                <w:b/>
                <w:bCs/>
                <w:sz w:val="18"/>
                <w:szCs w:val="16"/>
              </w:rPr>
              <w:t>II.</w:t>
            </w:r>
            <w:r w:rsidRPr="000D6813">
              <w:rPr>
                <w:b/>
                <w:bCs/>
                <w:sz w:val="18"/>
                <w:szCs w:val="16"/>
              </w:rPr>
              <w:tab/>
              <w:t xml:space="preserve">Autres activités, y compris les activités d’assistance aux pays du Caucase, </w:t>
            </w:r>
            <w:r w:rsidR="000D6813">
              <w:rPr>
                <w:b/>
                <w:bCs/>
                <w:sz w:val="18"/>
                <w:szCs w:val="16"/>
              </w:rPr>
              <w:br/>
            </w:r>
            <w:r w:rsidRPr="000D6813">
              <w:rPr>
                <w:b/>
                <w:bCs/>
                <w:sz w:val="18"/>
                <w:szCs w:val="16"/>
              </w:rPr>
              <w:t>d’Asie centrale et d’Europe orientale et du Sud-Est</w:t>
            </w:r>
          </w:p>
        </w:tc>
      </w:tr>
      <w:tr w:rsidR="00C02224" w:rsidRPr="005417E7" w14:paraId="2847434F" w14:textId="77777777" w:rsidTr="000D6813">
        <w:trPr>
          <w:cantSplit/>
        </w:trPr>
        <w:tc>
          <w:tcPr>
            <w:tcW w:w="1555" w:type="dxa"/>
            <w:vMerge w:val="restart"/>
            <w:shd w:val="clear" w:color="auto" w:fill="auto"/>
          </w:tcPr>
          <w:p w14:paraId="5078C7A3" w14:textId="77777777" w:rsidR="00C02224" w:rsidRPr="005417E7" w:rsidRDefault="00C02224" w:rsidP="00106A16">
            <w:pPr>
              <w:suppressAutoHyphens w:val="0"/>
              <w:spacing w:before="40" w:after="40" w:line="220" w:lineRule="exact"/>
              <w:rPr>
                <w:sz w:val="18"/>
                <w:szCs w:val="16"/>
              </w:rPr>
            </w:pPr>
            <w:r w:rsidRPr="000D6813">
              <w:rPr>
                <w:i/>
                <w:iCs/>
                <w:sz w:val="18"/>
                <w:szCs w:val="16"/>
              </w:rPr>
              <w:t>Programme d’aide et</w:t>
            </w:r>
            <w:r w:rsidR="00AC3C80">
              <w:rPr>
                <w:i/>
                <w:iCs/>
                <w:sz w:val="18"/>
                <w:szCs w:val="16"/>
              </w:rPr>
              <w:t> </w:t>
            </w:r>
            <w:r w:rsidRPr="000D6813">
              <w:rPr>
                <w:i/>
                <w:iCs/>
                <w:sz w:val="18"/>
                <w:szCs w:val="16"/>
              </w:rPr>
              <w:t xml:space="preserve">de </w:t>
            </w:r>
            <w:proofErr w:type="spellStart"/>
            <w:r w:rsidRPr="000D6813">
              <w:rPr>
                <w:i/>
                <w:iCs/>
                <w:sz w:val="18"/>
                <w:szCs w:val="16"/>
              </w:rPr>
              <w:t>coopération</w:t>
            </w:r>
            <w:r w:rsidRPr="005417E7">
              <w:rPr>
                <w:sz w:val="18"/>
                <w:szCs w:val="16"/>
                <w:vertAlign w:val="superscript"/>
              </w:rPr>
              <w:t>c</w:t>
            </w:r>
            <w:proofErr w:type="spellEnd"/>
          </w:p>
        </w:tc>
        <w:tc>
          <w:tcPr>
            <w:tcW w:w="4331" w:type="dxa"/>
            <w:shd w:val="clear" w:color="auto" w:fill="auto"/>
          </w:tcPr>
          <w:p w14:paraId="448FA28A"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Appui à l’application de la démarche stratégique par des réunions d’experts et des réunions de haut niveau tenues aux échelons national et sous-régional et appui à l’établissement d’autoévaluations et de plans d’action [en Azerbaïdjan, en Bosnie-Herzégovine, au Monténégro, en Ukraine et dans d’autres pays, à déterminer] (estimation basée sur trois activités menées au niveau des pays)</w:t>
            </w:r>
          </w:p>
        </w:tc>
        <w:tc>
          <w:tcPr>
            <w:tcW w:w="1190" w:type="dxa"/>
            <w:shd w:val="clear" w:color="auto" w:fill="auto"/>
          </w:tcPr>
          <w:p w14:paraId="555B584E"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 xml:space="preserve">90 000 </w:t>
            </w:r>
          </w:p>
        </w:tc>
        <w:tc>
          <w:tcPr>
            <w:tcW w:w="1266" w:type="dxa"/>
            <w:shd w:val="clear" w:color="auto" w:fill="auto"/>
          </w:tcPr>
          <w:p w14:paraId="2C578FD0"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7,5</w:t>
            </w:r>
          </w:p>
        </w:tc>
        <w:tc>
          <w:tcPr>
            <w:tcW w:w="1295" w:type="dxa"/>
            <w:shd w:val="clear" w:color="auto" w:fill="auto"/>
          </w:tcPr>
          <w:p w14:paraId="3634F27C"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3</w:t>
            </w:r>
          </w:p>
        </w:tc>
      </w:tr>
      <w:tr w:rsidR="000D6813" w:rsidRPr="005417E7" w14:paraId="2D99F9EE" w14:textId="77777777" w:rsidTr="000D6813">
        <w:trPr>
          <w:cantSplit/>
        </w:trPr>
        <w:tc>
          <w:tcPr>
            <w:tcW w:w="1555" w:type="dxa"/>
            <w:vMerge/>
            <w:shd w:val="clear" w:color="auto" w:fill="auto"/>
          </w:tcPr>
          <w:p w14:paraId="50EDF362"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539ECD98"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 chefs de file/d’appui</w:t>
            </w:r>
            <w:r w:rsidRPr="005417E7">
              <w:rPr>
                <w:sz w:val="18"/>
                <w:szCs w:val="16"/>
              </w:rPr>
              <w:t> : [Azerbaïdjan, Bosnie-Herzégovine, Monténégro, Ukraine et éventuellement d’autres pays bénéficiant du Programme d’aide et de coopération, à déterminer], avec le soutien financier du Programme d’aide et de coopération</w:t>
            </w:r>
          </w:p>
        </w:tc>
        <w:tc>
          <w:tcPr>
            <w:tcW w:w="1190" w:type="dxa"/>
            <w:shd w:val="clear" w:color="auto" w:fill="auto"/>
          </w:tcPr>
          <w:p w14:paraId="0E4215A4"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tcPr>
          <w:p w14:paraId="1844EAC1" w14:textId="77777777" w:rsidR="000D6813" w:rsidRPr="005417E7" w:rsidRDefault="000D6813" w:rsidP="000D6813">
            <w:pPr>
              <w:suppressAutoHyphens w:val="0"/>
              <w:spacing w:before="40" w:after="40" w:line="220" w:lineRule="exact"/>
              <w:jc w:val="right"/>
              <w:rPr>
                <w:sz w:val="18"/>
                <w:szCs w:val="16"/>
              </w:rPr>
            </w:pPr>
          </w:p>
        </w:tc>
        <w:tc>
          <w:tcPr>
            <w:tcW w:w="1295" w:type="dxa"/>
            <w:shd w:val="clear" w:color="auto" w:fill="auto"/>
          </w:tcPr>
          <w:p w14:paraId="26EEAE1B" w14:textId="77777777" w:rsidR="000D6813" w:rsidRPr="005417E7" w:rsidRDefault="000D6813" w:rsidP="000D6813">
            <w:pPr>
              <w:suppressAutoHyphens w:val="0"/>
              <w:spacing w:before="40" w:after="40" w:line="220" w:lineRule="exact"/>
              <w:jc w:val="right"/>
              <w:rPr>
                <w:sz w:val="18"/>
                <w:szCs w:val="16"/>
              </w:rPr>
            </w:pPr>
          </w:p>
        </w:tc>
      </w:tr>
      <w:tr w:rsidR="00C02224" w:rsidRPr="005417E7" w14:paraId="7DA7A9BB" w14:textId="77777777" w:rsidTr="000D6813">
        <w:trPr>
          <w:cantSplit/>
        </w:trPr>
        <w:tc>
          <w:tcPr>
            <w:tcW w:w="1555" w:type="dxa"/>
            <w:vMerge/>
            <w:shd w:val="clear" w:color="auto" w:fill="auto"/>
          </w:tcPr>
          <w:p w14:paraId="0715FB2D"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7151AD69"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Élaboration d’indicateurs d’autoévaluation de l’application de la Convention et intégration de ces indicateurs dans l’indice de mesure des progrès accomplis dans la mise en œuvre de la directive Seveso de l’Union européenne</w:t>
            </w:r>
          </w:p>
        </w:tc>
        <w:tc>
          <w:tcPr>
            <w:tcW w:w="1190" w:type="dxa"/>
            <w:shd w:val="clear" w:color="auto" w:fill="auto"/>
          </w:tcPr>
          <w:p w14:paraId="65767A98"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20 000</w:t>
            </w:r>
          </w:p>
        </w:tc>
        <w:tc>
          <w:tcPr>
            <w:tcW w:w="1266" w:type="dxa"/>
            <w:shd w:val="clear" w:color="auto" w:fill="auto"/>
          </w:tcPr>
          <w:p w14:paraId="0D4A1754"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2,5</w:t>
            </w:r>
          </w:p>
        </w:tc>
        <w:tc>
          <w:tcPr>
            <w:tcW w:w="1295" w:type="dxa"/>
            <w:shd w:val="clear" w:color="auto" w:fill="auto"/>
          </w:tcPr>
          <w:p w14:paraId="6E6D9986"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w:t>
            </w:r>
          </w:p>
        </w:tc>
      </w:tr>
      <w:tr w:rsidR="000D6813" w:rsidRPr="005417E7" w14:paraId="5E81D96E" w14:textId="77777777" w:rsidTr="000D6813">
        <w:trPr>
          <w:cantSplit/>
        </w:trPr>
        <w:tc>
          <w:tcPr>
            <w:tcW w:w="1555" w:type="dxa"/>
            <w:vMerge/>
            <w:shd w:val="clear" w:color="auto" w:fill="auto"/>
          </w:tcPr>
          <w:p w14:paraId="2427551C"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13F8D57D"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Pays/organisation chef de file </w:t>
            </w:r>
            <w:r w:rsidRPr="005417E7">
              <w:rPr>
                <w:sz w:val="18"/>
                <w:szCs w:val="16"/>
              </w:rPr>
              <w:t>: Centre commun de recherche, en coopération avec la République de Moldova, la Serbie, la Slovénie et l’Ukraine, et avec l’appui du Groupe de travail de l’application</w:t>
            </w:r>
          </w:p>
        </w:tc>
        <w:tc>
          <w:tcPr>
            <w:tcW w:w="1190" w:type="dxa"/>
            <w:shd w:val="clear" w:color="auto" w:fill="auto"/>
          </w:tcPr>
          <w:p w14:paraId="4C22C65F"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tcPr>
          <w:p w14:paraId="6D20F98F" w14:textId="77777777" w:rsidR="000D6813" w:rsidRPr="005417E7" w:rsidRDefault="000D6813" w:rsidP="000D6813">
            <w:pPr>
              <w:suppressAutoHyphens w:val="0"/>
              <w:spacing w:before="40" w:after="40" w:line="220" w:lineRule="exact"/>
              <w:jc w:val="right"/>
              <w:rPr>
                <w:sz w:val="18"/>
                <w:szCs w:val="16"/>
              </w:rPr>
            </w:pPr>
          </w:p>
        </w:tc>
        <w:tc>
          <w:tcPr>
            <w:tcW w:w="1295" w:type="dxa"/>
            <w:shd w:val="clear" w:color="auto" w:fill="auto"/>
          </w:tcPr>
          <w:p w14:paraId="2512D4FE" w14:textId="77777777" w:rsidR="000D6813" w:rsidRPr="005417E7" w:rsidRDefault="000D6813" w:rsidP="000D6813">
            <w:pPr>
              <w:suppressAutoHyphens w:val="0"/>
              <w:spacing w:before="40" w:after="40" w:line="220" w:lineRule="exact"/>
              <w:jc w:val="right"/>
              <w:rPr>
                <w:sz w:val="18"/>
                <w:szCs w:val="16"/>
              </w:rPr>
            </w:pPr>
          </w:p>
        </w:tc>
      </w:tr>
      <w:tr w:rsidR="00C02224" w:rsidRPr="005417E7" w14:paraId="16ACAE9A" w14:textId="77777777" w:rsidTr="000D6813">
        <w:trPr>
          <w:cantSplit/>
        </w:trPr>
        <w:tc>
          <w:tcPr>
            <w:tcW w:w="1555" w:type="dxa"/>
            <w:vMerge/>
            <w:shd w:val="clear" w:color="auto" w:fill="auto"/>
          </w:tcPr>
          <w:p w14:paraId="367F43E7"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4B5CC0D2"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Dialogues sur les politiques nationales relatives à la sécurité industrielle en Asie centrale (phase I : lancement)</w:t>
            </w:r>
          </w:p>
        </w:tc>
        <w:tc>
          <w:tcPr>
            <w:tcW w:w="1190" w:type="dxa"/>
            <w:shd w:val="clear" w:color="auto" w:fill="auto"/>
          </w:tcPr>
          <w:p w14:paraId="405E1234" w14:textId="77777777" w:rsidR="00C02224" w:rsidRPr="005417E7" w:rsidDel="009D3122" w:rsidRDefault="00C02224" w:rsidP="00AC3C80">
            <w:pPr>
              <w:suppressAutoHyphens w:val="0"/>
              <w:spacing w:before="40" w:after="40" w:line="220" w:lineRule="exact"/>
              <w:ind w:right="57"/>
              <w:jc w:val="right"/>
              <w:rPr>
                <w:sz w:val="18"/>
                <w:szCs w:val="16"/>
              </w:rPr>
            </w:pPr>
            <w:r w:rsidRPr="005417E7">
              <w:rPr>
                <w:sz w:val="18"/>
                <w:szCs w:val="16"/>
              </w:rPr>
              <w:t>220 000</w:t>
            </w:r>
          </w:p>
        </w:tc>
        <w:tc>
          <w:tcPr>
            <w:tcW w:w="1266" w:type="dxa"/>
            <w:shd w:val="clear" w:color="auto" w:fill="auto"/>
          </w:tcPr>
          <w:p w14:paraId="73ED2D87"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5,5</w:t>
            </w:r>
          </w:p>
        </w:tc>
        <w:tc>
          <w:tcPr>
            <w:tcW w:w="1295" w:type="dxa"/>
            <w:shd w:val="clear" w:color="auto" w:fill="auto"/>
          </w:tcPr>
          <w:p w14:paraId="6CF88FAC"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2,75</w:t>
            </w:r>
          </w:p>
        </w:tc>
      </w:tr>
      <w:tr w:rsidR="000D6813" w:rsidRPr="005417E7" w14:paraId="18FFF6E3" w14:textId="77777777" w:rsidTr="000D6813">
        <w:trPr>
          <w:cantSplit/>
        </w:trPr>
        <w:tc>
          <w:tcPr>
            <w:tcW w:w="1555" w:type="dxa"/>
            <w:vMerge/>
            <w:shd w:val="clear" w:color="auto" w:fill="auto"/>
          </w:tcPr>
          <w:p w14:paraId="79B2F9D2"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6226F01D"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 chefs de file/d’appui</w:t>
            </w:r>
            <w:r w:rsidRPr="005417E7">
              <w:rPr>
                <w:sz w:val="18"/>
                <w:szCs w:val="16"/>
              </w:rPr>
              <w:t> : Kazakhstan, Kirghizistan, Ouzbékistan, Tadjikistan et Turkménistan, avec le soutien financier de la Fédération de Russie (250</w:t>
            </w:r>
            <w:r>
              <w:rPr>
                <w:sz w:val="18"/>
                <w:szCs w:val="16"/>
              </w:rPr>
              <w:t> </w:t>
            </w:r>
            <w:r w:rsidRPr="005417E7">
              <w:rPr>
                <w:sz w:val="18"/>
                <w:szCs w:val="16"/>
              </w:rPr>
              <w:t>000 dollars É.-U. pour la période 2020-2021)</w:t>
            </w:r>
          </w:p>
        </w:tc>
        <w:tc>
          <w:tcPr>
            <w:tcW w:w="1190" w:type="dxa"/>
            <w:shd w:val="clear" w:color="auto" w:fill="auto"/>
          </w:tcPr>
          <w:p w14:paraId="0AD66813"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tcPr>
          <w:p w14:paraId="5E6344B7" w14:textId="77777777" w:rsidR="000D6813" w:rsidRPr="005417E7" w:rsidRDefault="000D6813" w:rsidP="000D6813">
            <w:pPr>
              <w:suppressAutoHyphens w:val="0"/>
              <w:spacing w:before="40" w:after="40" w:line="220" w:lineRule="exact"/>
              <w:jc w:val="right"/>
              <w:rPr>
                <w:sz w:val="18"/>
                <w:szCs w:val="16"/>
              </w:rPr>
            </w:pPr>
          </w:p>
        </w:tc>
        <w:tc>
          <w:tcPr>
            <w:tcW w:w="1295" w:type="dxa"/>
            <w:shd w:val="clear" w:color="auto" w:fill="auto"/>
          </w:tcPr>
          <w:p w14:paraId="215019F1" w14:textId="77777777" w:rsidR="000D6813" w:rsidRPr="005417E7" w:rsidRDefault="000D6813" w:rsidP="000D6813">
            <w:pPr>
              <w:suppressAutoHyphens w:val="0"/>
              <w:spacing w:before="40" w:after="40" w:line="220" w:lineRule="exact"/>
              <w:jc w:val="right"/>
              <w:rPr>
                <w:sz w:val="18"/>
                <w:szCs w:val="16"/>
              </w:rPr>
            </w:pPr>
          </w:p>
        </w:tc>
      </w:tr>
      <w:tr w:rsidR="00C02224" w:rsidRPr="005417E7" w14:paraId="4A9611AF" w14:textId="77777777" w:rsidTr="000D6813">
        <w:trPr>
          <w:cantSplit/>
        </w:trPr>
        <w:tc>
          <w:tcPr>
            <w:tcW w:w="1555" w:type="dxa"/>
            <w:vMerge/>
            <w:shd w:val="clear" w:color="auto" w:fill="auto"/>
          </w:tcPr>
          <w:p w14:paraId="2EAF2F1E"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11AF64C6"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Dialogues sur les politiques nationales relatives à la sécurité industrielle en Asie centrale (phase II : mise en œuvre, à partir de 2022)</w:t>
            </w:r>
          </w:p>
        </w:tc>
        <w:tc>
          <w:tcPr>
            <w:tcW w:w="1190" w:type="dxa"/>
            <w:shd w:val="clear" w:color="auto" w:fill="auto"/>
          </w:tcPr>
          <w:p w14:paraId="10B9AF5D" w14:textId="77777777" w:rsidR="00C02224" w:rsidRPr="005417E7" w:rsidDel="009D3122" w:rsidRDefault="00C02224" w:rsidP="00AC3C80">
            <w:pPr>
              <w:suppressAutoHyphens w:val="0"/>
              <w:spacing w:before="40" w:after="40" w:line="220" w:lineRule="exact"/>
              <w:ind w:right="57"/>
              <w:jc w:val="right"/>
              <w:rPr>
                <w:sz w:val="18"/>
                <w:szCs w:val="16"/>
              </w:rPr>
            </w:pPr>
            <w:r w:rsidRPr="005417E7">
              <w:rPr>
                <w:sz w:val="18"/>
                <w:szCs w:val="16"/>
              </w:rPr>
              <w:t>220 000</w:t>
            </w:r>
          </w:p>
        </w:tc>
        <w:tc>
          <w:tcPr>
            <w:tcW w:w="1266" w:type="dxa"/>
            <w:shd w:val="clear" w:color="auto" w:fill="auto"/>
          </w:tcPr>
          <w:p w14:paraId="3E893570"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5,5</w:t>
            </w:r>
          </w:p>
        </w:tc>
        <w:tc>
          <w:tcPr>
            <w:tcW w:w="1295" w:type="dxa"/>
            <w:shd w:val="clear" w:color="auto" w:fill="auto"/>
          </w:tcPr>
          <w:p w14:paraId="30D3DB6F"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2,75</w:t>
            </w:r>
          </w:p>
        </w:tc>
      </w:tr>
      <w:tr w:rsidR="000D6813" w:rsidRPr="005417E7" w14:paraId="766B8CC8" w14:textId="77777777" w:rsidTr="000F7509">
        <w:trPr>
          <w:cantSplit/>
        </w:trPr>
        <w:tc>
          <w:tcPr>
            <w:tcW w:w="1555" w:type="dxa"/>
            <w:shd w:val="clear" w:color="auto" w:fill="auto"/>
          </w:tcPr>
          <w:p w14:paraId="7A3130AD"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4C254F56"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 chefs de file/d’appui</w:t>
            </w:r>
            <w:r w:rsidRPr="005417E7">
              <w:rPr>
                <w:sz w:val="18"/>
                <w:szCs w:val="16"/>
              </w:rPr>
              <w:t xml:space="preserve"> : Kazakhstan, Kirghizistan, Ouzbékistan, Tadjikistan et Turkménistan, avec un soutien financier à </w:t>
            </w:r>
            <w:proofErr w:type="spellStart"/>
            <w:r w:rsidRPr="005417E7">
              <w:rPr>
                <w:sz w:val="18"/>
                <w:szCs w:val="16"/>
              </w:rPr>
              <w:t>déterminer</w:t>
            </w:r>
            <w:r w:rsidRPr="000D6813">
              <w:rPr>
                <w:i/>
                <w:iCs/>
                <w:sz w:val="18"/>
                <w:szCs w:val="16"/>
                <w:vertAlign w:val="superscript"/>
              </w:rPr>
              <w:t>d</w:t>
            </w:r>
            <w:proofErr w:type="spellEnd"/>
            <w:r w:rsidRPr="005417E7">
              <w:rPr>
                <w:sz w:val="18"/>
                <w:szCs w:val="16"/>
              </w:rPr>
              <w:t xml:space="preserve"> et en coopération avec l’OCDE</w:t>
            </w:r>
          </w:p>
        </w:tc>
        <w:tc>
          <w:tcPr>
            <w:tcW w:w="1190" w:type="dxa"/>
            <w:shd w:val="clear" w:color="auto" w:fill="auto"/>
            <w:vAlign w:val="bottom"/>
          </w:tcPr>
          <w:p w14:paraId="4E618510"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vAlign w:val="bottom"/>
          </w:tcPr>
          <w:p w14:paraId="0E3A8318" w14:textId="77777777" w:rsidR="000D6813" w:rsidRPr="005417E7" w:rsidRDefault="000D6813" w:rsidP="00106A16">
            <w:pPr>
              <w:suppressAutoHyphens w:val="0"/>
              <w:spacing w:before="40" w:after="40" w:line="220" w:lineRule="exact"/>
              <w:jc w:val="right"/>
              <w:rPr>
                <w:sz w:val="18"/>
                <w:szCs w:val="16"/>
              </w:rPr>
            </w:pPr>
          </w:p>
        </w:tc>
        <w:tc>
          <w:tcPr>
            <w:tcW w:w="1295" w:type="dxa"/>
            <w:shd w:val="clear" w:color="auto" w:fill="auto"/>
            <w:vAlign w:val="bottom"/>
          </w:tcPr>
          <w:p w14:paraId="75C3DFBF" w14:textId="77777777" w:rsidR="000D6813" w:rsidRPr="005417E7" w:rsidRDefault="000D6813" w:rsidP="00106A16">
            <w:pPr>
              <w:suppressAutoHyphens w:val="0"/>
              <w:spacing w:before="40" w:after="40" w:line="220" w:lineRule="exact"/>
              <w:jc w:val="right"/>
              <w:rPr>
                <w:sz w:val="18"/>
                <w:szCs w:val="16"/>
              </w:rPr>
            </w:pPr>
          </w:p>
        </w:tc>
      </w:tr>
      <w:tr w:rsidR="00C02224" w:rsidRPr="005417E7" w14:paraId="1AEE036B" w14:textId="77777777" w:rsidTr="000D6813">
        <w:trPr>
          <w:cantSplit/>
        </w:trPr>
        <w:tc>
          <w:tcPr>
            <w:tcW w:w="1555" w:type="dxa"/>
            <w:shd w:val="clear" w:color="auto" w:fill="auto"/>
          </w:tcPr>
          <w:p w14:paraId="1704D22A"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2EFF5253"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Lancement de dialogues sur les politiques nationales relatives à la sécurité industrielle dans trois pays d’Europe orientale et/ou d’Europe du Sud-Est et du Caucase</w:t>
            </w:r>
          </w:p>
        </w:tc>
        <w:tc>
          <w:tcPr>
            <w:tcW w:w="1190" w:type="dxa"/>
            <w:shd w:val="clear" w:color="auto" w:fill="auto"/>
          </w:tcPr>
          <w:p w14:paraId="1406156B"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150 000</w:t>
            </w:r>
          </w:p>
        </w:tc>
        <w:tc>
          <w:tcPr>
            <w:tcW w:w="1266" w:type="dxa"/>
            <w:shd w:val="clear" w:color="auto" w:fill="auto"/>
          </w:tcPr>
          <w:p w14:paraId="4870667D"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9</w:t>
            </w:r>
          </w:p>
        </w:tc>
        <w:tc>
          <w:tcPr>
            <w:tcW w:w="1295" w:type="dxa"/>
            <w:shd w:val="clear" w:color="auto" w:fill="auto"/>
          </w:tcPr>
          <w:p w14:paraId="1B18A13B" w14:textId="77777777" w:rsidR="00C02224" w:rsidRPr="005417E7" w:rsidRDefault="00C02224" w:rsidP="000D6813">
            <w:pPr>
              <w:suppressAutoHyphens w:val="0"/>
              <w:spacing w:before="40" w:after="40" w:line="220" w:lineRule="exact"/>
              <w:jc w:val="right"/>
              <w:rPr>
                <w:sz w:val="18"/>
                <w:szCs w:val="16"/>
              </w:rPr>
            </w:pPr>
            <w:r w:rsidRPr="005417E7">
              <w:rPr>
                <w:sz w:val="18"/>
                <w:szCs w:val="16"/>
              </w:rPr>
              <w:t>3</w:t>
            </w:r>
          </w:p>
        </w:tc>
      </w:tr>
      <w:tr w:rsidR="000D6813" w:rsidRPr="005417E7" w14:paraId="22B1F49B" w14:textId="77777777" w:rsidTr="000D6813">
        <w:trPr>
          <w:cantSplit/>
        </w:trPr>
        <w:tc>
          <w:tcPr>
            <w:tcW w:w="1555" w:type="dxa"/>
            <w:shd w:val="clear" w:color="auto" w:fill="auto"/>
          </w:tcPr>
          <w:p w14:paraId="3805CF14"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51E5F660"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 chefs de file</w:t>
            </w:r>
            <w:r w:rsidRPr="005417E7">
              <w:rPr>
                <w:sz w:val="18"/>
                <w:szCs w:val="16"/>
              </w:rPr>
              <w:t> : Azerbaïdjan, République de Moldova et éventuellement un autre pays, [avec le soutien financier de la Norvège (à confirmer)], et en coopération avec l’OCDE (estimation basée sur le lancement de dialogues dans trois pays)</w:t>
            </w:r>
          </w:p>
        </w:tc>
        <w:tc>
          <w:tcPr>
            <w:tcW w:w="1190" w:type="dxa"/>
            <w:shd w:val="clear" w:color="auto" w:fill="auto"/>
          </w:tcPr>
          <w:p w14:paraId="7E299EFB"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tcPr>
          <w:p w14:paraId="1DC508C8" w14:textId="77777777" w:rsidR="000D6813" w:rsidRPr="005417E7" w:rsidRDefault="000D6813" w:rsidP="000D6813">
            <w:pPr>
              <w:suppressAutoHyphens w:val="0"/>
              <w:spacing w:before="40" w:after="40" w:line="220" w:lineRule="exact"/>
              <w:jc w:val="right"/>
              <w:rPr>
                <w:sz w:val="18"/>
                <w:szCs w:val="16"/>
              </w:rPr>
            </w:pPr>
          </w:p>
        </w:tc>
        <w:tc>
          <w:tcPr>
            <w:tcW w:w="1295" w:type="dxa"/>
            <w:shd w:val="clear" w:color="auto" w:fill="auto"/>
          </w:tcPr>
          <w:p w14:paraId="2AEEB567" w14:textId="77777777" w:rsidR="000D6813" w:rsidRPr="005417E7" w:rsidRDefault="000D6813" w:rsidP="000D6813">
            <w:pPr>
              <w:suppressAutoHyphens w:val="0"/>
              <w:spacing w:before="40" w:after="40" w:line="220" w:lineRule="exact"/>
              <w:jc w:val="right"/>
              <w:rPr>
                <w:sz w:val="18"/>
                <w:szCs w:val="16"/>
              </w:rPr>
            </w:pPr>
          </w:p>
        </w:tc>
      </w:tr>
      <w:tr w:rsidR="000D6813" w:rsidRPr="005417E7" w14:paraId="1FB205D1" w14:textId="77777777" w:rsidTr="000D6813">
        <w:trPr>
          <w:cantSplit/>
        </w:trPr>
        <w:tc>
          <w:tcPr>
            <w:tcW w:w="1555" w:type="dxa"/>
            <w:shd w:val="clear" w:color="auto" w:fill="auto"/>
          </w:tcPr>
          <w:p w14:paraId="20019D07"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78F1CA4A" w14:textId="77777777" w:rsidR="000D6813" w:rsidRPr="005417E7" w:rsidRDefault="000D6813" w:rsidP="00046DCD">
            <w:pPr>
              <w:suppressAutoHyphens w:val="0"/>
              <w:spacing w:before="40" w:after="40" w:line="220" w:lineRule="exact"/>
              <w:ind w:left="57"/>
              <w:rPr>
                <w:sz w:val="18"/>
                <w:szCs w:val="16"/>
              </w:rPr>
            </w:pPr>
            <w:r w:rsidRPr="005417E7">
              <w:rPr>
                <w:sz w:val="18"/>
                <w:szCs w:val="16"/>
              </w:rPr>
              <w:t>Lancement et mise en œuvre de dialogues sur les politiques nationales en Serbie</w:t>
            </w:r>
          </w:p>
        </w:tc>
        <w:tc>
          <w:tcPr>
            <w:tcW w:w="1190" w:type="dxa"/>
            <w:shd w:val="clear" w:color="auto" w:fill="auto"/>
          </w:tcPr>
          <w:p w14:paraId="6EEA744A" w14:textId="77777777" w:rsidR="000D6813" w:rsidRPr="005417E7" w:rsidRDefault="000D6813" w:rsidP="00AC3C80">
            <w:pPr>
              <w:suppressAutoHyphens w:val="0"/>
              <w:spacing w:before="40" w:after="40" w:line="220" w:lineRule="exact"/>
              <w:ind w:right="57"/>
              <w:jc w:val="right"/>
              <w:rPr>
                <w:sz w:val="18"/>
                <w:szCs w:val="16"/>
              </w:rPr>
            </w:pPr>
            <w:r w:rsidRPr="005417E7">
              <w:rPr>
                <w:sz w:val="18"/>
                <w:szCs w:val="16"/>
              </w:rPr>
              <w:t>100 000</w:t>
            </w:r>
          </w:p>
        </w:tc>
        <w:tc>
          <w:tcPr>
            <w:tcW w:w="1266" w:type="dxa"/>
            <w:shd w:val="clear" w:color="auto" w:fill="auto"/>
          </w:tcPr>
          <w:p w14:paraId="337C1B04" w14:textId="77777777" w:rsidR="000D6813" w:rsidRPr="005417E7" w:rsidRDefault="000D6813" w:rsidP="000D6813">
            <w:pPr>
              <w:suppressAutoHyphens w:val="0"/>
              <w:spacing w:before="40" w:after="40" w:line="220" w:lineRule="exact"/>
              <w:jc w:val="right"/>
              <w:rPr>
                <w:sz w:val="18"/>
                <w:szCs w:val="16"/>
              </w:rPr>
            </w:pPr>
            <w:r>
              <w:rPr>
                <w:sz w:val="18"/>
                <w:szCs w:val="16"/>
              </w:rPr>
              <w:t>4</w:t>
            </w:r>
          </w:p>
        </w:tc>
        <w:tc>
          <w:tcPr>
            <w:tcW w:w="1295" w:type="dxa"/>
            <w:shd w:val="clear" w:color="auto" w:fill="auto"/>
          </w:tcPr>
          <w:p w14:paraId="3B254417" w14:textId="77777777" w:rsidR="000D6813" w:rsidRPr="005417E7" w:rsidRDefault="000D6813" w:rsidP="000D6813">
            <w:pPr>
              <w:suppressAutoHyphens w:val="0"/>
              <w:spacing w:before="40" w:after="40" w:line="220" w:lineRule="exact"/>
              <w:jc w:val="right"/>
              <w:rPr>
                <w:sz w:val="18"/>
                <w:szCs w:val="16"/>
              </w:rPr>
            </w:pPr>
            <w:r>
              <w:rPr>
                <w:sz w:val="18"/>
                <w:szCs w:val="16"/>
              </w:rPr>
              <w:t>1</w:t>
            </w:r>
          </w:p>
        </w:tc>
      </w:tr>
      <w:tr w:rsidR="000D6813" w:rsidRPr="005417E7" w14:paraId="6571B874" w14:textId="77777777" w:rsidTr="000F7509">
        <w:trPr>
          <w:cantSplit/>
        </w:trPr>
        <w:tc>
          <w:tcPr>
            <w:tcW w:w="1555" w:type="dxa"/>
            <w:shd w:val="clear" w:color="auto" w:fill="auto"/>
          </w:tcPr>
          <w:p w14:paraId="0B95E624"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10AAA3EF" w14:textId="77777777" w:rsidR="000D6813" w:rsidRPr="005417E7" w:rsidRDefault="000D6813" w:rsidP="00DC302B">
            <w:pPr>
              <w:suppressAutoHyphens w:val="0"/>
              <w:spacing w:before="40" w:after="80" w:line="220" w:lineRule="exact"/>
              <w:ind w:left="57"/>
              <w:rPr>
                <w:sz w:val="18"/>
                <w:szCs w:val="16"/>
              </w:rPr>
            </w:pPr>
            <w:r w:rsidRPr="000D6813">
              <w:rPr>
                <w:i/>
                <w:iCs/>
                <w:sz w:val="18"/>
                <w:szCs w:val="16"/>
              </w:rPr>
              <w:t>Pays chef de file</w:t>
            </w:r>
            <w:r w:rsidRPr="005417E7">
              <w:rPr>
                <w:sz w:val="18"/>
                <w:szCs w:val="16"/>
              </w:rPr>
              <w:t> : Serbie, avec le soutien financier de la France [ou de la Norvège (à confirmer)], et en coopération avec l’OCDE</w:t>
            </w:r>
          </w:p>
        </w:tc>
        <w:tc>
          <w:tcPr>
            <w:tcW w:w="1190" w:type="dxa"/>
            <w:shd w:val="clear" w:color="auto" w:fill="auto"/>
            <w:vAlign w:val="bottom"/>
          </w:tcPr>
          <w:p w14:paraId="7D5FCBC8"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vAlign w:val="bottom"/>
          </w:tcPr>
          <w:p w14:paraId="5F19AE31" w14:textId="77777777" w:rsidR="000D6813" w:rsidRPr="005417E7" w:rsidRDefault="000D6813" w:rsidP="00106A16">
            <w:pPr>
              <w:suppressAutoHyphens w:val="0"/>
              <w:spacing w:before="40" w:after="40" w:line="220" w:lineRule="exact"/>
              <w:jc w:val="right"/>
              <w:rPr>
                <w:sz w:val="18"/>
                <w:szCs w:val="16"/>
              </w:rPr>
            </w:pPr>
          </w:p>
        </w:tc>
        <w:tc>
          <w:tcPr>
            <w:tcW w:w="1295" w:type="dxa"/>
            <w:shd w:val="clear" w:color="auto" w:fill="auto"/>
            <w:vAlign w:val="bottom"/>
          </w:tcPr>
          <w:p w14:paraId="773C756C" w14:textId="77777777" w:rsidR="000D6813" w:rsidRPr="005417E7" w:rsidRDefault="000D6813" w:rsidP="00106A16">
            <w:pPr>
              <w:suppressAutoHyphens w:val="0"/>
              <w:spacing w:before="40" w:after="40" w:line="220" w:lineRule="exact"/>
              <w:jc w:val="right"/>
              <w:rPr>
                <w:sz w:val="18"/>
                <w:szCs w:val="16"/>
              </w:rPr>
            </w:pPr>
          </w:p>
        </w:tc>
      </w:tr>
      <w:tr w:rsidR="00C02224" w:rsidRPr="005417E7" w14:paraId="5FF11985" w14:textId="77777777" w:rsidTr="00106A16">
        <w:trPr>
          <w:cantSplit/>
        </w:trPr>
        <w:tc>
          <w:tcPr>
            <w:tcW w:w="1555" w:type="dxa"/>
            <w:shd w:val="clear" w:color="auto" w:fill="auto"/>
          </w:tcPr>
          <w:p w14:paraId="56BE1CAC"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565EC6DA"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Projet visant à soutenir les efforts déployés par les pays d’Asie centrale pour renforcer la sécurité des installations de gestion des résidus (</w:t>
            </w:r>
            <w:r w:rsidRPr="00106A16">
              <w:rPr>
                <w:i/>
                <w:iCs/>
                <w:sz w:val="18"/>
                <w:szCs w:val="16"/>
              </w:rPr>
              <w:t>suite</w:t>
            </w:r>
            <w:r w:rsidRPr="005417E7">
              <w:rPr>
                <w:sz w:val="18"/>
                <w:szCs w:val="16"/>
              </w:rPr>
              <w:t>)</w:t>
            </w:r>
          </w:p>
        </w:tc>
        <w:tc>
          <w:tcPr>
            <w:tcW w:w="1190" w:type="dxa"/>
            <w:shd w:val="clear" w:color="auto" w:fill="auto"/>
          </w:tcPr>
          <w:p w14:paraId="0CFF8745"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80 000</w:t>
            </w:r>
          </w:p>
        </w:tc>
        <w:tc>
          <w:tcPr>
            <w:tcW w:w="1266" w:type="dxa"/>
            <w:shd w:val="clear" w:color="auto" w:fill="auto"/>
          </w:tcPr>
          <w:p w14:paraId="41F50F06"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8</w:t>
            </w:r>
          </w:p>
        </w:tc>
        <w:tc>
          <w:tcPr>
            <w:tcW w:w="1295" w:type="dxa"/>
            <w:shd w:val="clear" w:color="auto" w:fill="auto"/>
          </w:tcPr>
          <w:p w14:paraId="714E326B"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2</w:t>
            </w:r>
          </w:p>
        </w:tc>
      </w:tr>
      <w:tr w:rsidR="000D6813" w:rsidRPr="005417E7" w14:paraId="4EE8063E" w14:textId="77777777" w:rsidTr="00106A16">
        <w:trPr>
          <w:cantSplit/>
        </w:trPr>
        <w:tc>
          <w:tcPr>
            <w:tcW w:w="1555" w:type="dxa"/>
            <w:shd w:val="clear" w:color="auto" w:fill="auto"/>
          </w:tcPr>
          <w:p w14:paraId="3F6CFDD3" w14:textId="77777777" w:rsidR="000D6813" w:rsidRPr="005417E7" w:rsidRDefault="000D6813" w:rsidP="00106A16">
            <w:pPr>
              <w:suppressAutoHyphens w:val="0"/>
              <w:spacing w:before="40" w:after="40" w:line="220" w:lineRule="exact"/>
              <w:rPr>
                <w:sz w:val="18"/>
                <w:szCs w:val="16"/>
              </w:rPr>
            </w:pPr>
          </w:p>
        </w:tc>
        <w:tc>
          <w:tcPr>
            <w:tcW w:w="4331" w:type="dxa"/>
            <w:shd w:val="clear" w:color="auto" w:fill="auto"/>
          </w:tcPr>
          <w:p w14:paraId="535260D1" w14:textId="77777777" w:rsidR="000D6813" w:rsidRPr="005417E7" w:rsidRDefault="00106A16" w:rsidP="00DC302B">
            <w:pPr>
              <w:suppressAutoHyphens w:val="0"/>
              <w:spacing w:before="40" w:after="80" w:line="220" w:lineRule="exact"/>
              <w:ind w:left="57"/>
              <w:rPr>
                <w:sz w:val="18"/>
                <w:szCs w:val="16"/>
              </w:rPr>
            </w:pPr>
            <w:r w:rsidRPr="00106A16">
              <w:rPr>
                <w:i/>
                <w:iCs/>
                <w:sz w:val="18"/>
                <w:szCs w:val="16"/>
              </w:rPr>
              <w:t>Pays chefs de file</w:t>
            </w:r>
            <w:r w:rsidRPr="005417E7">
              <w:rPr>
                <w:sz w:val="18"/>
                <w:szCs w:val="16"/>
              </w:rPr>
              <w:t> : Kazakhstan, Ouzbékistan et Tadjikistan, en coopération avec le Kirghizistan, le Turkménistan et la Convention sur l’eau de la CEE, et avec le soutien financier de la Suisse (financement de 250</w:t>
            </w:r>
            <w:r>
              <w:rPr>
                <w:sz w:val="18"/>
                <w:szCs w:val="16"/>
              </w:rPr>
              <w:t> </w:t>
            </w:r>
            <w:r w:rsidRPr="005417E7">
              <w:rPr>
                <w:sz w:val="18"/>
                <w:szCs w:val="16"/>
              </w:rPr>
              <w:t>000</w:t>
            </w:r>
            <w:r>
              <w:rPr>
                <w:sz w:val="18"/>
                <w:szCs w:val="16"/>
              </w:rPr>
              <w:t xml:space="preserve"> </w:t>
            </w:r>
            <w:r w:rsidRPr="005417E7">
              <w:rPr>
                <w:sz w:val="18"/>
                <w:szCs w:val="16"/>
              </w:rPr>
              <w:t>francs suisses fourni à la fin de 2019)</w:t>
            </w:r>
          </w:p>
        </w:tc>
        <w:tc>
          <w:tcPr>
            <w:tcW w:w="1190" w:type="dxa"/>
            <w:shd w:val="clear" w:color="auto" w:fill="auto"/>
          </w:tcPr>
          <w:p w14:paraId="1A59119D" w14:textId="77777777" w:rsidR="000D6813" w:rsidRPr="005417E7" w:rsidRDefault="000D6813" w:rsidP="00AC3C80">
            <w:pPr>
              <w:suppressAutoHyphens w:val="0"/>
              <w:spacing w:before="40" w:after="40" w:line="220" w:lineRule="exact"/>
              <w:ind w:right="57"/>
              <w:jc w:val="right"/>
              <w:rPr>
                <w:sz w:val="18"/>
                <w:szCs w:val="16"/>
              </w:rPr>
            </w:pPr>
          </w:p>
        </w:tc>
        <w:tc>
          <w:tcPr>
            <w:tcW w:w="1266" w:type="dxa"/>
            <w:shd w:val="clear" w:color="auto" w:fill="auto"/>
          </w:tcPr>
          <w:p w14:paraId="660565C9" w14:textId="77777777" w:rsidR="000D6813" w:rsidRPr="005417E7" w:rsidRDefault="000D6813" w:rsidP="00106A16">
            <w:pPr>
              <w:suppressAutoHyphens w:val="0"/>
              <w:spacing w:before="40" w:after="40" w:line="220" w:lineRule="exact"/>
              <w:jc w:val="right"/>
              <w:rPr>
                <w:sz w:val="18"/>
                <w:szCs w:val="16"/>
              </w:rPr>
            </w:pPr>
          </w:p>
        </w:tc>
        <w:tc>
          <w:tcPr>
            <w:tcW w:w="1295" w:type="dxa"/>
            <w:shd w:val="clear" w:color="auto" w:fill="auto"/>
          </w:tcPr>
          <w:p w14:paraId="781EC13C" w14:textId="77777777" w:rsidR="000D6813" w:rsidRPr="005417E7" w:rsidRDefault="000D6813" w:rsidP="00106A16">
            <w:pPr>
              <w:suppressAutoHyphens w:val="0"/>
              <w:spacing w:before="40" w:after="40" w:line="220" w:lineRule="exact"/>
              <w:jc w:val="right"/>
              <w:rPr>
                <w:sz w:val="18"/>
                <w:szCs w:val="16"/>
              </w:rPr>
            </w:pPr>
          </w:p>
        </w:tc>
      </w:tr>
      <w:tr w:rsidR="00C02224" w:rsidRPr="005417E7" w14:paraId="4F0CB02A" w14:textId="77777777" w:rsidTr="00106A16">
        <w:trPr>
          <w:cantSplit/>
        </w:trPr>
        <w:tc>
          <w:tcPr>
            <w:tcW w:w="1555" w:type="dxa"/>
            <w:shd w:val="clear" w:color="auto" w:fill="auto"/>
          </w:tcPr>
          <w:p w14:paraId="364464A5"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78D5EBE6"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Projet de renforcement de la sécurité des installations de gestion des résidus au Tadjikistan (</w:t>
            </w:r>
            <w:r w:rsidRPr="00106A16">
              <w:rPr>
                <w:i/>
                <w:iCs/>
                <w:sz w:val="18"/>
                <w:szCs w:val="16"/>
              </w:rPr>
              <w:t>suite</w:t>
            </w:r>
            <w:r w:rsidRPr="005417E7">
              <w:rPr>
                <w:sz w:val="18"/>
                <w:szCs w:val="16"/>
              </w:rPr>
              <w:t>)</w:t>
            </w:r>
          </w:p>
        </w:tc>
        <w:tc>
          <w:tcPr>
            <w:tcW w:w="1190" w:type="dxa"/>
            <w:shd w:val="clear" w:color="auto" w:fill="auto"/>
          </w:tcPr>
          <w:p w14:paraId="41C7CE37"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30 000</w:t>
            </w:r>
          </w:p>
        </w:tc>
        <w:tc>
          <w:tcPr>
            <w:tcW w:w="1266" w:type="dxa"/>
            <w:shd w:val="clear" w:color="auto" w:fill="auto"/>
          </w:tcPr>
          <w:p w14:paraId="293EF0F8"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3</w:t>
            </w:r>
          </w:p>
        </w:tc>
        <w:tc>
          <w:tcPr>
            <w:tcW w:w="1295" w:type="dxa"/>
            <w:shd w:val="clear" w:color="auto" w:fill="auto"/>
          </w:tcPr>
          <w:p w14:paraId="6EAF1D87"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1,5</w:t>
            </w:r>
          </w:p>
        </w:tc>
      </w:tr>
      <w:tr w:rsidR="00106A16" w:rsidRPr="005417E7" w14:paraId="5AED7BFC" w14:textId="77777777" w:rsidTr="000F7509">
        <w:trPr>
          <w:cantSplit/>
        </w:trPr>
        <w:tc>
          <w:tcPr>
            <w:tcW w:w="1555" w:type="dxa"/>
            <w:shd w:val="clear" w:color="auto" w:fill="auto"/>
          </w:tcPr>
          <w:p w14:paraId="34CF194B" w14:textId="77777777" w:rsidR="00106A16" w:rsidRPr="005417E7" w:rsidRDefault="00106A16" w:rsidP="00106A16">
            <w:pPr>
              <w:suppressAutoHyphens w:val="0"/>
              <w:spacing w:before="40" w:after="40" w:line="220" w:lineRule="exact"/>
              <w:rPr>
                <w:sz w:val="18"/>
                <w:szCs w:val="16"/>
              </w:rPr>
            </w:pPr>
          </w:p>
        </w:tc>
        <w:tc>
          <w:tcPr>
            <w:tcW w:w="4331" w:type="dxa"/>
            <w:shd w:val="clear" w:color="auto" w:fill="auto"/>
          </w:tcPr>
          <w:p w14:paraId="080A2A84" w14:textId="77777777" w:rsidR="00106A16" w:rsidRPr="005417E7" w:rsidRDefault="00106A16" w:rsidP="00DC302B">
            <w:pPr>
              <w:suppressAutoHyphens w:val="0"/>
              <w:spacing w:before="40" w:after="80" w:line="220" w:lineRule="exact"/>
              <w:ind w:left="57"/>
              <w:rPr>
                <w:sz w:val="18"/>
                <w:szCs w:val="16"/>
              </w:rPr>
            </w:pPr>
            <w:r w:rsidRPr="00106A16">
              <w:rPr>
                <w:i/>
                <w:iCs/>
                <w:sz w:val="18"/>
                <w:szCs w:val="16"/>
              </w:rPr>
              <w:t>Pays chef de file</w:t>
            </w:r>
            <w:r w:rsidRPr="005417E7">
              <w:rPr>
                <w:sz w:val="18"/>
                <w:szCs w:val="16"/>
              </w:rPr>
              <w:t> : Tadjikistan, avec le soutien financier de</w:t>
            </w:r>
            <w:r w:rsidR="00BD4260">
              <w:rPr>
                <w:sz w:val="18"/>
                <w:szCs w:val="16"/>
              </w:rPr>
              <w:t> </w:t>
            </w:r>
            <w:r w:rsidRPr="005417E7">
              <w:rPr>
                <w:sz w:val="18"/>
                <w:szCs w:val="16"/>
              </w:rPr>
              <w:t>la Suisse (financement de 100</w:t>
            </w:r>
            <w:r>
              <w:rPr>
                <w:sz w:val="18"/>
                <w:szCs w:val="16"/>
              </w:rPr>
              <w:t> </w:t>
            </w:r>
            <w:r w:rsidRPr="005417E7">
              <w:rPr>
                <w:sz w:val="18"/>
                <w:szCs w:val="16"/>
              </w:rPr>
              <w:t>000 francs suisses fourni fin 2018)</w:t>
            </w:r>
          </w:p>
        </w:tc>
        <w:tc>
          <w:tcPr>
            <w:tcW w:w="1190" w:type="dxa"/>
            <w:shd w:val="clear" w:color="auto" w:fill="auto"/>
            <w:vAlign w:val="bottom"/>
          </w:tcPr>
          <w:p w14:paraId="090DBC62" w14:textId="77777777" w:rsidR="00106A16" w:rsidRPr="005417E7" w:rsidRDefault="00106A16" w:rsidP="00AC3C80">
            <w:pPr>
              <w:suppressAutoHyphens w:val="0"/>
              <w:spacing w:before="40" w:after="40" w:line="220" w:lineRule="exact"/>
              <w:ind w:right="57"/>
              <w:jc w:val="right"/>
              <w:rPr>
                <w:sz w:val="18"/>
                <w:szCs w:val="16"/>
              </w:rPr>
            </w:pPr>
          </w:p>
        </w:tc>
        <w:tc>
          <w:tcPr>
            <w:tcW w:w="1266" w:type="dxa"/>
            <w:shd w:val="clear" w:color="auto" w:fill="auto"/>
            <w:vAlign w:val="bottom"/>
          </w:tcPr>
          <w:p w14:paraId="6F00B871" w14:textId="77777777" w:rsidR="00106A16" w:rsidRPr="005417E7" w:rsidRDefault="00106A16" w:rsidP="00106A16">
            <w:pPr>
              <w:suppressAutoHyphens w:val="0"/>
              <w:spacing w:before="40" w:after="40" w:line="220" w:lineRule="exact"/>
              <w:jc w:val="right"/>
              <w:rPr>
                <w:sz w:val="18"/>
                <w:szCs w:val="16"/>
              </w:rPr>
            </w:pPr>
          </w:p>
        </w:tc>
        <w:tc>
          <w:tcPr>
            <w:tcW w:w="1295" w:type="dxa"/>
            <w:shd w:val="clear" w:color="auto" w:fill="auto"/>
            <w:vAlign w:val="bottom"/>
          </w:tcPr>
          <w:p w14:paraId="09B0B3C6" w14:textId="77777777" w:rsidR="00106A16" w:rsidRPr="005417E7" w:rsidRDefault="00106A16" w:rsidP="00106A16">
            <w:pPr>
              <w:suppressAutoHyphens w:val="0"/>
              <w:spacing w:before="40" w:after="40" w:line="220" w:lineRule="exact"/>
              <w:jc w:val="right"/>
              <w:rPr>
                <w:sz w:val="18"/>
                <w:szCs w:val="16"/>
              </w:rPr>
            </w:pPr>
          </w:p>
        </w:tc>
      </w:tr>
      <w:tr w:rsidR="00C02224" w:rsidRPr="005417E7" w14:paraId="7B96B4E2" w14:textId="77777777" w:rsidTr="00106A16">
        <w:trPr>
          <w:cantSplit/>
        </w:trPr>
        <w:tc>
          <w:tcPr>
            <w:tcW w:w="1555" w:type="dxa"/>
            <w:shd w:val="clear" w:color="auto" w:fill="auto"/>
          </w:tcPr>
          <w:p w14:paraId="63BA5035"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7DA3DD0A"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Ateliers sous-régionaux sur l’aménagement du territoire et la sécurité industrielle en Europe du Sud-Est et en Asie centrale</w:t>
            </w:r>
          </w:p>
        </w:tc>
        <w:tc>
          <w:tcPr>
            <w:tcW w:w="1190" w:type="dxa"/>
            <w:shd w:val="clear" w:color="auto" w:fill="auto"/>
          </w:tcPr>
          <w:p w14:paraId="1263B608"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120 000</w:t>
            </w:r>
          </w:p>
        </w:tc>
        <w:tc>
          <w:tcPr>
            <w:tcW w:w="1266" w:type="dxa"/>
            <w:shd w:val="clear" w:color="auto" w:fill="auto"/>
          </w:tcPr>
          <w:p w14:paraId="164B0BE1"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10</w:t>
            </w:r>
          </w:p>
        </w:tc>
        <w:tc>
          <w:tcPr>
            <w:tcW w:w="1295" w:type="dxa"/>
            <w:shd w:val="clear" w:color="auto" w:fill="auto"/>
          </w:tcPr>
          <w:p w14:paraId="58136857"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5</w:t>
            </w:r>
          </w:p>
        </w:tc>
      </w:tr>
      <w:tr w:rsidR="00106A16" w:rsidRPr="005417E7" w14:paraId="2746F9D8" w14:textId="77777777" w:rsidTr="00106A16">
        <w:trPr>
          <w:cantSplit/>
        </w:trPr>
        <w:tc>
          <w:tcPr>
            <w:tcW w:w="1555" w:type="dxa"/>
            <w:shd w:val="clear" w:color="auto" w:fill="auto"/>
          </w:tcPr>
          <w:p w14:paraId="5FA635CA" w14:textId="77777777" w:rsidR="00106A16" w:rsidRPr="005417E7" w:rsidRDefault="00106A16" w:rsidP="00106A16">
            <w:pPr>
              <w:suppressAutoHyphens w:val="0"/>
              <w:spacing w:before="40" w:after="40" w:line="220" w:lineRule="exact"/>
              <w:rPr>
                <w:sz w:val="18"/>
                <w:szCs w:val="16"/>
              </w:rPr>
            </w:pPr>
          </w:p>
        </w:tc>
        <w:tc>
          <w:tcPr>
            <w:tcW w:w="4331" w:type="dxa"/>
            <w:shd w:val="clear" w:color="auto" w:fill="auto"/>
          </w:tcPr>
          <w:p w14:paraId="066A719C" w14:textId="77777777" w:rsidR="00106A16" w:rsidRPr="005417E7" w:rsidRDefault="00106A16" w:rsidP="00DC302B">
            <w:pPr>
              <w:suppressAutoHyphens w:val="0"/>
              <w:spacing w:before="40" w:after="80" w:line="220" w:lineRule="exact"/>
              <w:ind w:left="57"/>
              <w:rPr>
                <w:sz w:val="18"/>
                <w:szCs w:val="16"/>
              </w:rPr>
            </w:pPr>
            <w:r w:rsidRPr="00106A16">
              <w:rPr>
                <w:i/>
                <w:iCs/>
                <w:sz w:val="18"/>
                <w:szCs w:val="16"/>
              </w:rPr>
              <w:t>Pays chef de file/d’appui</w:t>
            </w:r>
            <w:r w:rsidRPr="005417E7">
              <w:rPr>
                <w:sz w:val="18"/>
                <w:szCs w:val="16"/>
              </w:rPr>
              <w:t> : Serbie et Kirghizistan, [avec le soutien financier de la France (à confirmer) et en coopération avec le Comité du développement urbain, du logement et de l’aménagement du territoire de la CEE]</w:t>
            </w:r>
          </w:p>
        </w:tc>
        <w:tc>
          <w:tcPr>
            <w:tcW w:w="1190" w:type="dxa"/>
            <w:shd w:val="clear" w:color="auto" w:fill="auto"/>
          </w:tcPr>
          <w:p w14:paraId="3C951E60" w14:textId="77777777" w:rsidR="00106A16" w:rsidRPr="005417E7" w:rsidRDefault="00106A16" w:rsidP="00AC3C80">
            <w:pPr>
              <w:suppressAutoHyphens w:val="0"/>
              <w:spacing w:before="40" w:after="40" w:line="220" w:lineRule="exact"/>
              <w:ind w:right="57"/>
              <w:jc w:val="right"/>
              <w:rPr>
                <w:sz w:val="18"/>
                <w:szCs w:val="16"/>
              </w:rPr>
            </w:pPr>
          </w:p>
        </w:tc>
        <w:tc>
          <w:tcPr>
            <w:tcW w:w="1266" w:type="dxa"/>
            <w:shd w:val="clear" w:color="auto" w:fill="auto"/>
          </w:tcPr>
          <w:p w14:paraId="3FBB2543" w14:textId="77777777" w:rsidR="00106A16" w:rsidRPr="005417E7" w:rsidRDefault="00106A16" w:rsidP="00106A16">
            <w:pPr>
              <w:suppressAutoHyphens w:val="0"/>
              <w:spacing w:before="40" w:after="40" w:line="220" w:lineRule="exact"/>
              <w:jc w:val="right"/>
              <w:rPr>
                <w:sz w:val="18"/>
                <w:szCs w:val="16"/>
              </w:rPr>
            </w:pPr>
          </w:p>
        </w:tc>
        <w:tc>
          <w:tcPr>
            <w:tcW w:w="1295" w:type="dxa"/>
            <w:shd w:val="clear" w:color="auto" w:fill="auto"/>
          </w:tcPr>
          <w:p w14:paraId="099153C2" w14:textId="77777777" w:rsidR="00106A16" w:rsidRPr="005417E7" w:rsidRDefault="00106A16" w:rsidP="00106A16">
            <w:pPr>
              <w:suppressAutoHyphens w:val="0"/>
              <w:spacing w:before="40" w:after="40" w:line="220" w:lineRule="exact"/>
              <w:jc w:val="right"/>
              <w:rPr>
                <w:sz w:val="18"/>
                <w:szCs w:val="16"/>
              </w:rPr>
            </w:pPr>
          </w:p>
        </w:tc>
      </w:tr>
      <w:tr w:rsidR="00C02224" w:rsidRPr="005417E7" w14:paraId="5EFE6682" w14:textId="77777777" w:rsidTr="00106A16">
        <w:trPr>
          <w:cantSplit/>
        </w:trPr>
        <w:tc>
          <w:tcPr>
            <w:tcW w:w="1555" w:type="dxa"/>
            <w:shd w:val="clear" w:color="auto" w:fill="auto"/>
          </w:tcPr>
          <w:p w14:paraId="68EB8811" w14:textId="77777777" w:rsidR="00C02224" w:rsidRPr="005417E7" w:rsidRDefault="00C02224" w:rsidP="00106A16">
            <w:pPr>
              <w:suppressAutoHyphens w:val="0"/>
              <w:spacing w:before="40" w:after="40" w:line="220" w:lineRule="exact"/>
              <w:rPr>
                <w:sz w:val="18"/>
                <w:szCs w:val="16"/>
              </w:rPr>
            </w:pPr>
          </w:p>
        </w:tc>
        <w:tc>
          <w:tcPr>
            <w:tcW w:w="4331" w:type="dxa"/>
            <w:shd w:val="clear" w:color="auto" w:fill="auto"/>
          </w:tcPr>
          <w:p w14:paraId="2ECFE1A6" w14:textId="77777777" w:rsidR="00C02224" w:rsidRPr="005417E7" w:rsidRDefault="00C02224" w:rsidP="00046DCD">
            <w:pPr>
              <w:suppressAutoHyphens w:val="0"/>
              <w:spacing w:before="40" w:after="40" w:line="220" w:lineRule="exact"/>
              <w:ind w:left="57"/>
              <w:rPr>
                <w:sz w:val="18"/>
                <w:szCs w:val="16"/>
              </w:rPr>
            </w:pPr>
            <w:r w:rsidRPr="005417E7">
              <w:rPr>
                <w:sz w:val="18"/>
                <w:szCs w:val="16"/>
              </w:rPr>
              <w:t>Atelier(s) national(aux) sur l’aménagement du territoire et la sécurité industrielle</w:t>
            </w:r>
          </w:p>
        </w:tc>
        <w:tc>
          <w:tcPr>
            <w:tcW w:w="1190" w:type="dxa"/>
            <w:shd w:val="clear" w:color="auto" w:fill="auto"/>
          </w:tcPr>
          <w:p w14:paraId="78105F3D" w14:textId="77777777" w:rsidR="00C02224" w:rsidRPr="005417E7" w:rsidRDefault="00C02224" w:rsidP="00AC3C80">
            <w:pPr>
              <w:suppressAutoHyphens w:val="0"/>
              <w:spacing w:before="40" w:after="40" w:line="220" w:lineRule="exact"/>
              <w:ind w:right="57"/>
              <w:jc w:val="right"/>
              <w:rPr>
                <w:sz w:val="18"/>
                <w:szCs w:val="16"/>
              </w:rPr>
            </w:pPr>
            <w:r w:rsidRPr="005417E7">
              <w:rPr>
                <w:sz w:val="18"/>
                <w:szCs w:val="16"/>
              </w:rPr>
              <w:t>30 000</w:t>
            </w:r>
          </w:p>
        </w:tc>
        <w:tc>
          <w:tcPr>
            <w:tcW w:w="1266" w:type="dxa"/>
            <w:shd w:val="clear" w:color="auto" w:fill="auto"/>
          </w:tcPr>
          <w:p w14:paraId="2722A15F"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3</w:t>
            </w:r>
          </w:p>
        </w:tc>
        <w:tc>
          <w:tcPr>
            <w:tcW w:w="1295" w:type="dxa"/>
            <w:shd w:val="clear" w:color="auto" w:fill="auto"/>
          </w:tcPr>
          <w:p w14:paraId="769576E0" w14:textId="77777777" w:rsidR="00C02224" w:rsidRPr="005417E7" w:rsidRDefault="00C02224" w:rsidP="00106A16">
            <w:pPr>
              <w:suppressAutoHyphens w:val="0"/>
              <w:spacing w:before="40" w:after="40" w:line="220" w:lineRule="exact"/>
              <w:jc w:val="right"/>
              <w:rPr>
                <w:sz w:val="18"/>
                <w:szCs w:val="16"/>
              </w:rPr>
            </w:pPr>
            <w:r w:rsidRPr="005417E7">
              <w:rPr>
                <w:sz w:val="18"/>
                <w:szCs w:val="16"/>
              </w:rPr>
              <w:t>1,5</w:t>
            </w:r>
          </w:p>
        </w:tc>
      </w:tr>
      <w:tr w:rsidR="00106A16" w:rsidRPr="005417E7" w14:paraId="7935E0D2" w14:textId="77777777" w:rsidTr="00106A16">
        <w:trPr>
          <w:cantSplit/>
        </w:trPr>
        <w:tc>
          <w:tcPr>
            <w:tcW w:w="1555" w:type="dxa"/>
            <w:tcBorders>
              <w:bottom w:val="single" w:sz="4" w:space="0" w:color="auto"/>
            </w:tcBorders>
            <w:shd w:val="clear" w:color="auto" w:fill="auto"/>
          </w:tcPr>
          <w:p w14:paraId="60AF823C" w14:textId="77777777" w:rsidR="00106A16" w:rsidRPr="005417E7" w:rsidRDefault="00106A16" w:rsidP="00106A16">
            <w:pPr>
              <w:suppressAutoHyphens w:val="0"/>
              <w:spacing w:before="40" w:after="40" w:line="220" w:lineRule="exact"/>
              <w:rPr>
                <w:sz w:val="18"/>
                <w:szCs w:val="16"/>
              </w:rPr>
            </w:pPr>
          </w:p>
        </w:tc>
        <w:tc>
          <w:tcPr>
            <w:tcW w:w="4331" w:type="dxa"/>
            <w:tcBorders>
              <w:bottom w:val="single" w:sz="4" w:space="0" w:color="auto"/>
            </w:tcBorders>
            <w:shd w:val="clear" w:color="auto" w:fill="auto"/>
          </w:tcPr>
          <w:p w14:paraId="48241F0C" w14:textId="77777777" w:rsidR="00106A16" w:rsidRPr="005417E7" w:rsidRDefault="00106A16" w:rsidP="00DC302B">
            <w:pPr>
              <w:suppressAutoHyphens w:val="0"/>
              <w:spacing w:before="40" w:after="80" w:line="220" w:lineRule="exact"/>
              <w:ind w:left="57"/>
              <w:rPr>
                <w:sz w:val="18"/>
                <w:szCs w:val="16"/>
              </w:rPr>
            </w:pPr>
            <w:r w:rsidRPr="00106A16">
              <w:rPr>
                <w:i/>
                <w:iCs/>
                <w:sz w:val="18"/>
                <w:szCs w:val="16"/>
              </w:rPr>
              <w:t>Pays chef de file/d’appui</w:t>
            </w:r>
            <w:r w:rsidRPr="005417E7">
              <w:rPr>
                <w:sz w:val="18"/>
                <w:szCs w:val="16"/>
              </w:rPr>
              <w:t> : Arménie, [avec un soutien financier à confirmer et en coopération avec le Comité du développement urbain, du logement et de l’aménagement du territoire de la CEE]</w:t>
            </w:r>
          </w:p>
        </w:tc>
        <w:tc>
          <w:tcPr>
            <w:tcW w:w="1190" w:type="dxa"/>
            <w:tcBorders>
              <w:bottom w:val="single" w:sz="4" w:space="0" w:color="auto"/>
            </w:tcBorders>
            <w:shd w:val="clear" w:color="auto" w:fill="auto"/>
            <w:vAlign w:val="bottom"/>
          </w:tcPr>
          <w:p w14:paraId="2CC7F4BD" w14:textId="77777777" w:rsidR="00106A16" w:rsidRPr="005417E7" w:rsidRDefault="00106A16" w:rsidP="00AC3C80">
            <w:pPr>
              <w:suppressAutoHyphens w:val="0"/>
              <w:spacing w:before="40" w:after="40" w:line="220" w:lineRule="exact"/>
              <w:ind w:right="57"/>
              <w:jc w:val="right"/>
              <w:rPr>
                <w:sz w:val="18"/>
                <w:szCs w:val="16"/>
              </w:rPr>
            </w:pPr>
          </w:p>
        </w:tc>
        <w:tc>
          <w:tcPr>
            <w:tcW w:w="1266" w:type="dxa"/>
            <w:tcBorders>
              <w:bottom w:val="single" w:sz="4" w:space="0" w:color="auto"/>
            </w:tcBorders>
            <w:shd w:val="clear" w:color="auto" w:fill="auto"/>
            <w:vAlign w:val="bottom"/>
          </w:tcPr>
          <w:p w14:paraId="0E04C749" w14:textId="77777777" w:rsidR="00106A16" w:rsidRPr="005417E7" w:rsidRDefault="00106A16" w:rsidP="00106A16">
            <w:pPr>
              <w:suppressAutoHyphens w:val="0"/>
              <w:spacing w:before="40" w:after="40" w:line="220" w:lineRule="exact"/>
              <w:jc w:val="right"/>
              <w:rPr>
                <w:sz w:val="18"/>
                <w:szCs w:val="16"/>
              </w:rPr>
            </w:pPr>
          </w:p>
        </w:tc>
        <w:tc>
          <w:tcPr>
            <w:tcW w:w="1295" w:type="dxa"/>
            <w:tcBorders>
              <w:bottom w:val="single" w:sz="4" w:space="0" w:color="auto"/>
            </w:tcBorders>
            <w:shd w:val="clear" w:color="auto" w:fill="auto"/>
            <w:vAlign w:val="bottom"/>
          </w:tcPr>
          <w:p w14:paraId="685E0014" w14:textId="77777777" w:rsidR="00106A16" w:rsidRPr="005417E7" w:rsidRDefault="00106A16" w:rsidP="00106A16">
            <w:pPr>
              <w:suppressAutoHyphens w:val="0"/>
              <w:spacing w:before="40" w:after="40" w:line="220" w:lineRule="exact"/>
              <w:jc w:val="right"/>
              <w:rPr>
                <w:sz w:val="18"/>
                <w:szCs w:val="16"/>
              </w:rPr>
            </w:pPr>
          </w:p>
        </w:tc>
      </w:tr>
      <w:tr w:rsidR="00C02224" w:rsidRPr="00106A16" w14:paraId="1D7C532A" w14:textId="77777777" w:rsidTr="00106A16">
        <w:trPr>
          <w:cantSplit/>
        </w:trPr>
        <w:tc>
          <w:tcPr>
            <w:tcW w:w="1555" w:type="dxa"/>
            <w:tcBorders>
              <w:top w:val="single" w:sz="4" w:space="0" w:color="auto"/>
              <w:bottom w:val="single" w:sz="4" w:space="0" w:color="auto"/>
            </w:tcBorders>
            <w:shd w:val="clear" w:color="auto" w:fill="auto"/>
          </w:tcPr>
          <w:p w14:paraId="22FEC529" w14:textId="77777777" w:rsidR="00C02224" w:rsidRPr="00106A16" w:rsidRDefault="00C02224" w:rsidP="00106A16">
            <w:pPr>
              <w:suppressAutoHyphens w:val="0"/>
              <w:spacing w:before="80" w:after="80" w:line="220" w:lineRule="exact"/>
              <w:ind w:left="283"/>
              <w:rPr>
                <w:b/>
                <w:sz w:val="18"/>
                <w:szCs w:val="16"/>
              </w:rPr>
            </w:pPr>
            <w:r w:rsidRPr="00106A16">
              <w:rPr>
                <w:b/>
                <w:bCs/>
                <w:sz w:val="18"/>
                <w:szCs w:val="16"/>
              </w:rPr>
              <w:t>Total partiel</w:t>
            </w:r>
          </w:p>
        </w:tc>
        <w:tc>
          <w:tcPr>
            <w:tcW w:w="4331" w:type="dxa"/>
            <w:tcBorders>
              <w:top w:val="single" w:sz="4" w:space="0" w:color="auto"/>
              <w:bottom w:val="single" w:sz="4" w:space="0" w:color="auto"/>
            </w:tcBorders>
            <w:shd w:val="clear" w:color="auto" w:fill="auto"/>
          </w:tcPr>
          <w:p w14:paraId="22DE8CE3" w14:textId="77777777" w:rsidR="00C02224" w:rsidRPr="00106A16"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4ECFB5E2" w14:textId="77777777" w:rsidR="00C02224" w:rsidRPr="00106A16" w:rsidRDefault="00C02224" w:rsidP="00AC3C80">
            <w:pPr>
              <w:suppressAutoHyphens w:val="0"/>
              <w:spacing w:before="80" w:after="80" w:line="220" w:lineRule="exact"/>
              <w:ind w:right="57"/>
              <w:jc w:val="right"/>
              <w:rPr>
                <w:b/>
                <w:sz w:val="18"/>
                <w:szCs w:val="16"/>
              </w:rPr>
            </w:pPr>
            <w:r w:rsidRPr="00106A16">
              <w:rPr>
                <w:b/>
                <w:bCs/>
                <w:sz w:val="18"/>
                <w:szCs w:val="16"/>
              </w:rPr>
              <w:t>1 060 000</w:t>
            </w:r>
          </w:p>
        </w:tc>
        <w:tc>
          <w:tcPr>
            <w:tcW w:w="1266" w:type="dxa"/>
            <w:tcBorders>
              <w:top w:val="single" w:sz="4" w:space="0" w:color="auto"/>
              <w:bottom w:val="single" w:sz="4" w:space="0" w:color="auto"/>
            </w:tcBorders>
            <w:shd w:val="clear" w:color="auto" w:fill="auto"/>
            <w:vAlign w:val="bottom"/>
          </w:tcPr>
          <w:p w14:paraId="11817BA4" w14:textId="77777777" w:rsidR="00C02224" w:rsidRPr="00106A16" w:rsidRDefault="00C02224" w:rsidP="00106A16">
            <w:pPr>
              <w:suppressAutoHyphens w:val="0"/>
              <w:spacing w:before="80" w:after="80" w:line="220" w:lineRule="exact"/>
              <w:jc w:val="right"/>
              <w:rPr>
                <w:b/>
                <w:sz w:val="18"/>
                <w:szCs w:val="16"/>
              </w:rPr>
            </w:pPr>
            <w:r w:rsidRPr="00106A16">
              <w:rPr>
                <w:b/>
                <w:bCs/>
                <w:sz w:val="18"/>
                <w:szCs w:val="16"/>
              </w:rPr>
              <w:t>58</w:t>
            </w:r>
          </w:p>
        </w:tc>
        <w:tc>
          <w:tcPr>
            <w:tcW w:w="1295" w:type="dxa"/>
            <w:tcBorders>
              <w:top w:val="single" w:sz="4" w:space="0" w:color="auto"/>
              <w:bottom w:val="single" w:sz="4" w:space="0" w:color="auto"/>
            </w:tcBorders>
            <w:shd w:val="clear" w:color="auto" w:fill="auto"/>
            <w:vAlign w:val="bottom"/>
          </w:tcPr>
          <w:p w14:paraId="2F710291" w14:textId="77777777" w:rsidR="00C02224" w:rsidRPr="00106A16" w:rsidRDefault="00C02224" w:rsidP="00106A16">
            <w:pPr>
              <w:suppressAutoHyphens w:val="0"/>
              <w:spacing w:before="80" w:after="80" w:line="220" w:lineRule="exact"/>
              <w:jc w:val="right"/>
              <w:rPr>
                <w:b/>
                <w:sz w:val="18"/>
                <w:szCs w:val="16"/>
              </w:rPr>
            </w:pPr>
            <w:r w:rsidRPr="00106A16">
              <w:rPr>
                <w:b/>
                <w:sz w:val="18"/>
                <w:szCs w:val="16"/>
              </w:rPr>
              <w:t>22,5</w:t>
            </w:r>
          </w:p>
        </w:tc>
      </w:tr>
      <w:tr w:rsidR="00106A16" w:rsidRPr="005417E7" w14:paraId="565C7CB6" w14:textId="77777777" w:rsidTr="00BD4260">
        <w:trPr>
          <w:cantSplit/>
        </w:trPr>
        <w:tc>
          <w:tcPr>
            <w:tcW w:w="1555" w:type="dxa"/>
            <w:vMerge w:val="restart"/>
            <w:tcBorders>
              <w:top w:val="single" w:sz="4" w:space="0" w:color="auto"/>
            </w:tcBorders>
            <w:shd w:val="clear" w:color="auto" w:fill="auto"/>
          </w:tcPr>
          <w:p w14:paraId="458F279B" w14:textId="77777777" w:rsidR="00106A16" w:rsidRPr="00106A16" w:rsidRDefault="00106A16" w:rsidP="00106A16">
            <w:pPr>
              <w:suppressAutoHyphens w:val="0"/>
              <w:spacing w:before="40" w:after="40" w:line="220" w:lineRule="exact"/>
              <w:rPr>
                <w:i/>
                <w:iCs/>
                <w:sz w:val="18"/>
                <w:szCs w:val="16"/>
              </w:rPr>
            </w:pPr>
            <w:r w:rsidRPr="00106A16">
              <w:rPr>
                <w:i/>
                <w:iCs/>
                <w:sz w:val="18"/>
                <w:szCs w:val="16"/>
              </w:rPr>
              <w:t>Activités de sensibilisation et de</w:t>
            </w:r>
            <w:r>
              <w:rPr>
                <w:i/>
                <w:iCs/>
                <w:sz w:val="18"/>
                <w:szCs w:val="16"/>
              </w:rPr>
              <w:t> </w:t>
            </w:r>
            <w:r w:rsidRPr="00106A16">
              <w:rPr>
                <w:i/>
                <w:iCs/>
                <w:sz w:val="18"/>
                <w:szCs w:val="16"/>
              </w:rPr>
              <w:t>communication dans d’autres régions</w:t>
            </w:r>
          </w:p>
        </w:tc>
        <w:tc>
          <w:tcPr>
            <w:tcW w:w="4331" w:type="dxa"/>
            <w:tcBorders>
              <w:top w:val="single" w:sz="4" w:space="0" w:color="auto"/>
            </w:tcBorders>
            <w:shd w:val="clear" w:color="auto" w:fill="auto"/>
          </w:tcPr>
          <w:p w14:paraId="1FEF4BBD" w14:textId="77777777" w:rsidR="00106A16" w:rsidRPr="005417E7" w:rsidRDefault="00106A16" w:rsidP="00046DCD">
            <w:pPr>
              <w:suppressAutoHyphens w:val="0"/>
              <w:spacing w:before="40" w:after="40" w:line="220" w:lineRule="exact"/>
              <w:ind w:left="57"/>
              <w:rPr>
                <w:sz w:val="18"/>
                <w:szCs w:val="16"/>
              </w:rPr>
            </w:pPr>
            <w:r w:rsidRPr="005417E7">
              <w:rPr>
                <w:sz w:val="18"/>
                <w:szCs w:val="16"/>
              </w:rPr>
              <w:t>Activités visant à promouvoir et à faire mieux connaître la Convention, notamment en dehors de la région de la CEE (production de supports d’information et établissement d’un réseau de contacts)</w:t>
            </w:r>
          </w:p>
        </w:tc>
        <w:tc>
          <w:tcPr>
            <w:tcW w:w="1190" w:type="dxa"/>
            <w:tcBorders>
              <w:top w:val="single" w:sz="4" w:space="0" w:color="auto"/>
            </w:tcBorders>
            <w:shd w:val="clear" w:color="auto" w:fill="auto"/>
          </w:tcPr>
          <w:p w14:paraId="3A3950C0" w14:textId="77777777" w:rsidR="00106A16" w:rsidRPr="005417E7" w:rsidRDefault="00106A16" w:rsidP="00BD4260">
            <w:pPr>
              <w:suppressAutoHyphens w:val="0"/>
              <w:spacing w:before="40" w:after="40" w:line="220" w:lineRule="exact"/>
              <w:ind w:right="57"/>
              <w:jc w:val="right"/>
              <w:rPr>
                <w:sz w:val="18"/>
                <w:szCs w:val="16"/>
              </w:rPr>
            </w:pPr>
            <w:r w:rsidRPr="005417E7">
              <w:rPr>
                <w:sz w:val="18"/>
                <w:szCs w:val="16"/>
              </w:rPr>
              <w:t>10 000</w:t>
            </w:r>
          </w:p>
        </w:tc>
        <w:tc>
          <w:tcPr>
            <w:tcW w:w="1266" w:type="dxa"/>
            <w:tcBorders>
              <w:top w:val="single" w:sz="4" w:space="0" w:color="auto"/>
            </w:tcBorders>
            <w:shd w:val="clear" w:color="auto" w:fill="auto"/>
          </w:tcPr>
          <w:p w14:paraId="43DBAD57" w14:textId="77777777" w:rsidR="00106A16" w:rsidRPr="005417E7" w:rsidRDefault="00106A16" w:rsidP="00BD4260">
            <w:pPr>
              <w:suppressAutoHyphens w:val="0"/>
              <w:spacing w:before="40" w:after="40" w:line="220" w:lineRule="exact"/>
              <w:jc w:val="right"/>
              <w:rPr>
                <w:sz w:val="18"/>
                <w:szCs w:val="16"/>
              </w:rPr>
            </w:pPr>
            <w:r w:rsidRPr="005417E7">
              <w:rPr>
                <w:sz w:val="18"/>
                <w:szCs w:val="16"/>
              </w:rPr>
              <w:t>0,5</w:t>
            </w:r>
          </w:p>
        </w:tc>
        <w:tc>
          <w:tcPr>
            <w:tcW w:w="1295" w:type="dxa"/>
            <w:tcBorders>
              <w:top w:val="single" w:sz="4" w:space="0" w:color="auto"/>
            </w:tcBorders>
            <w:shd w:val="clear" w:color="auto" w:fill="auto"/>
          </w:tcPr>
          <w:p w14:paraId="5D95C968" w14:textId="77777777" w:rsidR="00106A16" w:rsidRPr="005417E7" w:rsidRDefault="00106A16" w:rsidP="00BD4260">
            <w:pPr>
              <w:suppressAutoHyphens w:val="0"/>
              <w:spacing w:before="40" w:after="40" w:line="220" w:lineRule="exact"/>
              <w:jc w:val="right"/>
              <w:rPr>
                <w:sz w:val="18"/>
                <w:szCs w:val="16"/>
              </w:rPr>
            </w:pPr>
            <w:r w:rsidRPr="005417E7">
              <w:rPr>
                <w:sz w:val="18"/>
                <w:szCs w:val="16"/>
              </w:rPr>
              <w:t>0,25</w:t>
            </w:r>
          </w:p>
        </w:tc>
      </w:tr>
      <w:tr w:rsidR="00106A16" w:rsidRPr="005417E7" w14:paraId="70F7AC9A" w14:textId="77777777" w:rsidTr="00106A16">
        <w:trPr>
          <w:cantSplit/>
        </w:trPr>
        <w:tc>
          <w:tcPr>
            <w:tcW w:w="1555" w:type="dxa"/>
            <w:vMerge/>
            <w:shd w:val="clear" w:color="auto" w:fill="auto"/>
          </w:tcPr>
          <w:p w14:paraId="35293B78" w14:textId="77777777" w:rsidR="00106A16" w:rsidRPr="00106A16" w:rsidRDefault="00106A16" w:rsidP="00106A16">
            <w:pPr>
              <w:suppressAutoHyphens w:val="0"/>
              <w:spacing w:before="40" w:after="40" w:line="220" w:lineRule="exact"/>
              <w:rPr>
                <w:i/>
                <w:iCs/>
                <w:sz w:val="18"/>
                <w:szCs w:val="16"/>
              </w:rPr>
            </w:pPr>
          </w:p>
        </w:tc>
        <w:tc>
          <w:tcPr>
            <w:tcW w:w="4331" w:type="dxa"/>
            <w:shd w:val="clear" w:color="auto" w:fill="auto"/>
          </w:tcPr>
          <w:p w14:paraId="09DB2CE9" w14:textId="77777777" w:rsidR="00106A16" w:rsidRPr="005417E7" w:rsidRDefault="00106A16" w:rsidP="00DC302B">
            <w:pPr>
              <w:suppressAutoHyphens w:val="0"/>
              <w:spacing w:before="40" w:after="80" w:line="220" w:lineRule="exact"/>
              <w:ind w:left="57"/>
              <w:rPr>
                <w:sz w:val="18"/>
                <w:szCs w:val="16"/>
              </w:rPr>
            </w:pPr>
            <w:r w:rsidRPr="00106A16">
              <w:rPr>
                <w:i/>
                <w:iCs/>
                <w:sz w:val="18"/>
                <w:szCs w:val="16"/>
              </w:rPr>
              <w:t>Organes/organisations d’appui</w:t>
            </w:r>
            <w:r w:rsidRPr="005417E7">
              <w:rPr>
                <w:sz w:val="18"/>
                <w:szCs w:val="16"/>
              </w:rPr>
              <w:t> : CEE et, éventuellement, autres commissions régionales, PNUE et pays chefs de file</w:t>
            </w:r>
          </w:p>
        </w:tc>
        <w:tc>
          <w:tcPr>
            <w:tcW w:w="1190" w:type="dxa"/>
            <w:shd w:val="clear" w:color="auto" w:fill="auto"/>
            <w:vAlign w:val="bottom"/>
          </w:tcPr>
          <w:p w14:paraId="3856909B" w14:textId="77777777" w:rsidR="00106A16" w:rsidRPr="005417E7" w:rsidRDefault="00106A16" w:rsidP="00AC3C80">
            <w:pPr>
              <w:suppressAutoHyphens w:val="0"/>
              <w:spacing w:before="40" w:after="40" w:line="220" w:lineRule="exact"/>
              <w:ind w:right="57"/>
              <w:jc w:val="right"/>
              <w:rPr>
                <w:sz w:val="18"/>
                <w:szCs w:val="16"/>
              </w:rPr>
            </w:pPr>
          </w:p>
        </w:tc>
        <w:tc>
          <w:tcPr>
            <w:tcW w:w="1266" w:type="dxa"/>
            <w:shd w:val="clear" w:color="auto" w:fill="auto"/>
            <w:vAlign w:val="bottom"/>
          </w:tcPr>
          <w:p w14:paraId="6BF6595B" w14:textId="77777777" w:rsidR="00106A16" w:rsidRPr="005417E7" w:rsidRDefault="00106A16" w:rsidP="00106A16">
            <w:pPr>
              <w:suppressAutoHyphens w:val="0"/>
              <w:spacing w:before="40" w:after="40" w:line="220" w:lineRule="exact"/>
              <w:jc w:val="right"/>
              <w:rPr>
                <w:sz w:val="18"/>
                <w:szCs w:val="16"/>
              </w:rPr>
            </w:pPr>
          </w:p>
        </w:tc>
        <w:tc>
          <w:tcPr>
            <w:tcW w:w="1295" w:type="dxa"/>
            <w:shd w:val="clear" w:color="auto" w:fill="auto"/>
            <w:vAlign w:val="bottom"/>
          </w:tcPr>
          <w:p w14:paraId="64CEEA19" w14:textId="77777777" w:rsidR="00106A16" w:rsidRPr="005417E7" w:rsidRDefault="00106A16" w:rsidP="00106A16">
            <w:pPr>
              <w:suppressAutoHyphens w:val="0"/>
              <w:spacing w:before="40" w:after="40" w:line="220" w:lineRule="exact"/>
              <w:jc w:val="right"/>
              <w:rPr>
                <w:sz w:val="18"/>
                <w:szCs w:val="16"/>
              </w:rPr>
            </w:pPr>
          </w:p>
        </w:tc>
      </w:tr>
      <w:tr w:rsidR="00106A16" w:rsidRPr="00DC302B" w14:paraId="72DFBC7B" w14:textId="77777777" w:rsidTr="00106A16">
        <w:trPr>
          <w:cantSplit/>
        </w:trPr>
        <w:tc>
          <w:tcPr>
            <w:tcW w:w="1555" w:type="dxa"/>
            <w:vMerge w:val="restart"/>
            <w:shd w:val="clear" w:color="auto" w:fill="auto"/>
          </w:tcPr>
          <w:p w14:paraId="68A582E2" w14:textId="77777777" w:rsidR="00106A16" w:rsidRPr="00DC302B" w:rsidRDefault="00106A16" w:rsidP="00106A16">
            <w:pPr>
              <w:suppressAutoHyphens w:val="0"/>
              <w:spacing w:before="40" w:after="40" w:line="220" w:lineRule="exact"/>
              <w:rPr>
                <w:i/>
                <w:iCs/>
                <w:sz w:val="18"/>
                <w:szCs w:val="16"/>
              </w:rPr>
            </w:pPr>
            <w:r w:rsidRPr="00DC302B">
              <w:rPr>
                <w:i/>
                <w:iCs/>
                <w:sz w:val="18"/>
                <w:szCs w:val="16"/>
              </w:rPr>
              <w:lastRenderedPageBreak/>
              <w:t>Système de notification des</w:t>
            </w:r>
            <w:r w:rsidR="00AC3C80" w:rsidRPr="00DC302B">
              <w:rPr>
                <w:i/>
                <w:iCs/>
                <w:sz w:val="18"/>
                <w:szCs w:val="16"/>
              </w:rPr>
              <w:t> </w:t>
            </w:r>
            <w:r w:rsidRPr="00DC302B">
              <w:rPr>
                <w:i/>
                <w:iCs/>
                <w:sz w:val="18"/>
                <w:szCs w:val="16"/>
              </w:rPr>
              <w:t>accidents industriels</w:t>
            </w:r>
          </w:p>
        </w:tc>
        <w:tc>
          <w:tcPr>
            <w:tcW w:w="4331" w:type="dxa"/>
            <w:shd w:val="clear" w:color="auto" w:fill="auto"/>
          </w:tcPr>
          <w:p w14:paraId="309B0A85" w14:textId="77777777" w:rsidR="00106A16" w:rsidRPr="00DC302B" w:rsidRDefault="00106A16" w:rsidP="00046DCD">
            <w:pPr>
              <w:suppressAutoHyphens w:val="0"/>
              <w:spacing w:before="40" w:after="40" w:line="220" w:lineRule="exact"/>
              <w:ind w:left="57"/>
              <w:rPr>
                <w:sz w:val="18"/>
                <w:szCs w:val="16"/>
              </w:rPr>
            </w:pPr>
            <w:r w:rsidRPr="00DC302B">
              <w:rPr>
                <w:sz w:val="18"/>
                <w:szCs w:val="16"/>
              </w:rPr>
              <w:t>Consultations électroniques destinées aux points de contact au sujet du Système de notification des accidents industriels de la CEE</w:t>
            </w:r>
          </w:p>
        </w:tc>
        <w:tc>
          <w:tcPr>
            <w:tcW w:w="1190" w:type="dxa"/>
            <w:shd w:val="clear" w:color="auto" w:fill="auto"/>
          </w:tcPr>
          <w:p w14:paraId="46EF51CE" w14:textId="77777777" w:rsidR="00106A16" w:rsidRPr="00DC302B" w:rsidRDefault="00106A16" w:rsidP="00AC3C80">
            <w:pPr>
              <w:suppressAutoHyphens w:val="0"/>
              <w:spacing w:before="40" w:after="40" w:line="220" w:lineRule="exact"/>
              <w:ind w:right="57"/>
              <w:jc w:val="right"/>
              <w:rPr>
                <w:sz w:val="18"/>
                <w:szCs w:val="16"/>
              </w:rPr>
            </w:pPr>
            <w:r w:rsidRPr="00DC302B">
              <w:rPr>
                <w:sz w:val="18"/>
                <w:szCs w:val="16"/>
              </w:rPr>
              <w:t>-</w:t>
            </w:r>
          </w:p>
        </w:tc>
        <w:tc>
          <w:tcPr>
            <w:tcW w:w="1266" w:type="dxa"/>
            <w:shd w:val="clear" w:color="auto" w:fill="auto"/>
          </w:tcPr>
          <w:p w14:paraId="66221C3B" w14:textId="77777777" w:rsidR="00106A16" w:rsidRPr="00DC302B" w:rsidRDefault="00106A16" w:rsidP="00106A16">
            <w:pPr>
              <w:suppressAutoHyphens w:val="0"/>
              <w:spacing w:before="40" w:after="40" w:line="220" w:lineRule="exact"/>
              <w:jc w:val="right"/>
              <w:rPr>
                <w:sz w:val="18"/>
                <w:szCs w:val="16"/>
              </w:rPr>
            </w:pPr>
            <w:r w:rsidRPr="00DC302B">
              <w:rPr>
                <w:sz w:val="18"/>
                <w:szCs w:val="16"/>
              </w:rPr>
              <w:t>1</w:t>
            </w:r>
          </w:p>
        </w:tc>
        <w:tc>
          <w:tcPr>
            <w:tcW w:w="1295" w:type="dxa"/>
            <w:shd w:val="clear" w:color="auto" w:fill="auto"/>
          </w:tcPr>
          <w:p w14:paraId="45A1FFD1" w14:textId="77777777" w:rsidR="00106A16" w:rsidRPr="00DC302B" w:rsidRDefault="00106A16" w:rsidP="00106A16">
            <w:pPr>
              <w:suppressAutoHyphens w:val="0"/>
              <w:spacing w:before="40" w:after="40" w:line="220" w:lineRule="exact"/>
              <w:jc w:val="right"/>
              <w:rPr>
                <w:sz w:val="18"/>
                <w:szCs w:val="16"/>
              </w:rPr>
            </w:pPr>
            <w:r w:rsidRPr="00DC302B">
              <w:rPr>
                <w:sz w:val="18"/>
                <w:szCs w:val="16"/>
              </w:rPr>
              <w:t>0,25</w:t>
            </w:r>
          </w:p>
        </w:tc>
      </w:tr>
      <w:tr w:rsidR="00106A16" w:rsidRPr="00DC302B" w14:paraId="14FC0271" w14:textId="77777777" w:rsidTr="00106A16">
        <w:trPr>
          <w:cantSplit/>
        </w:trPr>
        <w:tc>
          <w:tcPr>
            <w:tcW w:w="1555" w:type="dxa"/>
            <w:vMerge/>
            <w:tcBorders>
              <w:bottom w:val="single" w:sz="4" w:space="0" w:color="auto"/>
            </w:tcBorders>
            <w:shd w:val="clear" w:color="auto" w:fill="auto"/>
          </w:tcPr>
          <w:p w14:paraId="0C4EA66F" w14:textId="77777777" w:rsidR="00106A16" w:rsidRPr="00DC302B" w:rsidRDefault="00106A16" w:rsidP="00106A16">
            <w:pPr>
              <w:suppressAutoHyphens w:val="0"/>
              <w:spacing w:before="40" w:after="40" w:line="220" w:lineRule="exact"/>
              <w:rPr>
                <w:i/>
                <w:iCs/>
                <w:sz w:val="18"/>
                <w:szCs w:val="16"/>
              </w:rPr>
            </w:pPr>
          </w:p>
        </w:tc>
        <w:tc>
          <w:tcPr>
            <w:tcW w:w="4331" w:type="dxa"/>
            <w:tcBorders>
              <w:bottom w:val="single" w:sz="4" w:space="0" w:color="auto"/>
            </w:tcBorders>
            <w:shd w:val="clear" w:color="auto" w:fill="auto"/>
          </w:tcPr>
          <w:p w14:paraId="4053AB98" w14:textId="77777777" w:rsidR="00106A16" w:rsidRPr="00DC302B" w:rsidRDefault="00106A16" w:rsidP="00DC302B">
            <w:pPr>
              <w:suppressAutoHyphens w:val="0"/>
              <w:spacing w:before="40" w:after="80" w:line="220" w:lineRule="exact"/>
              <w:ind w:left="57"/>
              <w:rPr>
                <w:sz w:val="18"/>
                <w:szCs w:val="16"/>
              </w:rPr>
            </w:pPr>
            <w:r w:rsidRPr="00DC302B">
              <w:rPr>
                <w:i/>
                <w:iCs/>
                <w:sz w:val="18"/>
                <w:szCs w:val="16"/>
              </w:rPr>
              <w:t>Pays/organisation chef de file</w:t>
            </w:r>
            <w:r w:rsidRPr="00DC302B">
              <w:rPr>
                <w:sz w:val="18"/>
                <w:szCs w:val="16"/>
              </w:rPr>
              <w:t> : [à déterminer]</w:t>
            </w:r>
          </w:p>
        </w:tc>
        <w:tc>
          <w:tcPr>
            <w:tcW w:w="1190" w:type="dxa"/>
            <w:tcBorders>
              <w:bottom w:val="single" w:sz="4" w:space="0" w:color="auto"/>
            </w:tcBorders>
            <w:shd w:val="clear" w:color="auto" w:fill="auto"/>
            <w:vAlign w:val="bottom"/>
          </w:tcPr>
          <w:p w14:paraId="64EAB3B1" w14:textId="77777777" w:rsidR="00106A16" w:rsidRPr="00DC302B" w:rsidRDefault="00106A16" w:rsidP="00AC3C80">
            <w:pPr>
              <w:suppressAutoHyphens w:val="0"/>
              <w:spacing w:before="40" w:after="40" w:line="220" w:lineRule="exact"/>
              <w:ind w:right="57"/>
              <w:jc w:val="right"/>
              <w:rPr>
                <w:sz w:val="18"/>
                <w:szCs w:val="16"/>
              </w:rPr>
            </w:pPr>
          </w:p>
        </w:tc>
        <w:tc>
          <w:tcPr>
            <w:tcW w:w="1266" w:type="dxa"/>
            <w:tcBorders>
              <w:bottom w:val="single" w:sz="4" w:space="0" w:color="auto"/>
            </w:tcBorders>
            <w:shd w:val="clear" w:color="auto" w:fill="auto"/>
            <w:vAlign w:val="bottom"/>
          </w:tcPr>
          <w:p w14:paraId="1AFC8676" w14:textId="77777777" w:rsidR="00106A16" w:rsidRPr="00DC302B" w:rsidRDefault="00106A16" w:rsidP="00106A16">
            <w:pPr>
              <w:suppressAutoHyphens w:val="0"/>
              <w:spacing w:before="40" w:after="40" w:line="220" w:lineRule="exact"/>
              <w:jc w:val="right"/>
              <w:rPr>
                <w:sz w:val="18"/>
                <w:szCs w:val="16"/>
              </w:rPr>
            </w:pPr>
          </w:p>
        </w:tc>
        <w:tc>
          <w:tcPr>
            <w:tcW w:w="1295" w:type="dxa"/>
            <w:tcBorders>
              <w:bottom w:val="single" w:sz="4" w:space="0" w:color="auto"/>
            </w:tcBorders>
            <w:shd w:val="clear" w:color="auto" w:fill="auto"/>
            <w:vAlign w:val="bottom"/>
          </w:tcPr>
          <w:p w14:paraId="64BF2BB1" w14:textId="77777777" w:rsidR="00106A16" w:rsidRPr="00DC302B" w:rsidRDefault="00106A16" w:rsidP="00106A16">
            <w:pPr>
              <w:suppressAutoHyphens w:val="0"/>
              <w:spacing w:before="40" w:after="40" w:line="220" w:lineRule="exact"/>
              <w:jc w:val="right"/>
              <w:rPr>
                <w:sz w:val="18"/>
                <w:szCs w:val="16"/>
              </w:rPr>
            </w:pPr>
          </w:p>
        </w:tc>
      </w:tr>
      <w:tr w:rsidR="00C02224" w:rsidRPr="00DC302B" w14:paraId="5D01398E" w14:textId="77777777" w:rsidTr="00046DCD">
        <w:trPr>
          <w:cantSplit/>
        </w:trPr>
        <w:tc>
          <w:tcPr>
            <w:tcW w:w="1555" w:type="dxa"/>
            <w:tcBorders>
              <w:top w:val="single" w:sz="4" w:space="0" w:color="auto"/>
              <w:bottom w:val="single" w:sz="4" w:space="0" w:color="auto"/>
            </w:tcBorders>
            <w:shd w:val="clear" w:color="auto" w:fill="auto"/>
          </w:tcPr>
          <w:p w14:paraId="22F65410" w14:textId="77777777" w:rsidR="00C02224" w:rsidRPr="00DC302B" w:rsidRDefault="00C02224" w:rsidP="00106A16">
            <w:pPr>
              <w:suppressAutoHyphens w:val="0"/>
              <w:spacing w:before="80" w:after="80" w:line="220" w:lineRule="exact"/>
              <w:ind w:left="283"/>
              <w:rPr>
                <w:b/>
                <w:sz w:val="18"/>
                <w:szCs w:val="16"/>
              </w:rPr>
            </w:pPr>
            <w:r w:rsidRPr="00DC302B">
              <w:rPr>
                <w:b/>
                <w:bCs/>
                <w:sz w:val="18"/>
                <w:szCs w:val="16"/>
              </w:rPr>
              <w:t>Total partiel</w:t>
            </w:r>
          </w:p>
        </w:tc>
        <w:tc>
          <w:tcPr>
            <w:tcW w:w="4331" w:type="dxa"/>
            <w:tcBorders>
              <w:top w:val="single" w:sz="4" w:space="0" w:color="auto"/>
              <w:bottom w:val="single" w:sz="4" w:space="0" w:color="auto"/>
            </w:tcBorders>
            <w:shd w:val="clear" w:color="auto" w:fill="auto"/>
          </w:tcPr>
          <w:p w14:paraId="5F03A754" w14:textId="77777777" w:rsidR="00C02224" w:rsidRPr="00DC302B" w:rsidRDefault="00C02224" w:rsidP="00046DCD">
            <w:pPr>
              <w:suppressAutoHyphens w:val="0"/>
              <w:spacing w:before="80" w:after="80" w:line="220" w:lineRule="exact"/>
              <w:ind w:left="57"/>
              <w:rPr>
                <w:b/>
                <w:sz w:val="18"/>
                <w:szCs w:val="16"/>
              </w:rPr>
            </w:pPr>
          </w:p>
        </w:tc>
        <w:tc>
          <w:tcPr>
            <w:tcW w:w="1190" w:type="dxa"/>
            <w:tcBorders>
              <w:top w:val="single" w:sz="4" w:space="0" w:color="auto"/>
              <w:bottom w:val="single" w:sz="4" w:space="0" w:color="auto"/>
            </w:tcBorders>
            <w:shd w:val="clear" w:color="auto" w:fill="auto"/>
            <w:vAlign w:val="bottom"/>
          </w:tcPr>
          <w:p w14:paraId="2A37203A" w14:textId="77777777" w:rsidR="00C02224" w:rsidRPr="00DC302B" w:rsidRDefault="00C02224" w:rsidP="00AC3C80">
            <w:pPr>
              <w:suppressAutoHyphens w:val="0"/>
              <w:spacing w:before="80" w:after="80" w:line="220" w:lineRule="exact"/>
              <w:ind w:right="57"/>
              <w:jc w:val="right"/>
              <w:rPr>
                <w:b/>
                <w:sz w:val="18"/>
                <w:szCs w:val="16"/>
              </w:rPr>
            </w:pPr>
            <w:r w:rsidRPr="00DC302B">
              <w:rPr>
                <w:b/>
                <w:bCs/>
                <w:sz w:val="18"/>
                <w:szCs w:val="16"/>
              </w:rPr>
              <w:t>10 000</w:t>
            </w:r>
          </w:p>
        </w:tc>
        <w:tc>
          <w:tcPr>
            <w:tcW w:w="1266" w:type="dxa"/>
            <w:tcBorders>
              <w:top w:val="single" w:sz="4" w:space="0" w:color="auto"/>
              <w:bottom w:val="single" w:sz="4" w:space="0" w:color="auto"/>
            </w:tcBorders>
            <w:shd w:val="clear" w:color="auto" w:fill="auto"/>
            <w:vAlign w:val="bottom"/>
          </w:tcPr>
          <w:p w14:paraId="1FDC1B54" w14:textId="77777777" w:rsidR="00C02224" w:rsidRPr="00DC302B" w:rsidRDefault="00C02224" w:rsidP="00106A16">
            <w:pPr>
              <w:suppressAutoHyphens w:val="0"/>
              <w:spacing w:before="80" w:after="80" w:line="220" w:lineRule="exact"/>
              <w:jc w:val="right"/>
              <w:rPr>
                <w:b/>
                <w:sz w:val="18"/>
                <w:szCs w:val="16"/>
              </w:rPr>
            </w:pPr>
            <w:r w:rsidRPr="00DC302B">
              <w:rPr>
                <w:b/>
                <w:sz w:val="18"/>
                <w:szCs w:val="16"/>
              </w:rPr>
              <w:t>1,5</w:t>
            </w:r>
          </w:p>
        </w:tc>
        <w:tc>
          <w:tcPr>
            <w:tcW w:w="1295" w:type="dxa"/>
            <w:tcBorders>
              <w:top w:val="single" w:sz="4" w:space="0" w:color="auto"/>
              <w:bottom w:val="single" w:sz="4" w:space="0" w:color="auto"/>
            </w:tcBorders>
            <w:shd w:val="clear" w:color="auto" w:fill="auto"/>
            <w:vAlign w:val="bottom"/>
          </w:tcPr>
          <w:p w14:paraId="5A111937" w14:textId="77777777" w:rsidR="00C02224" w:rsidRPr="00DC302B" w:rsidRDefault="00C02224" w:rsidP="00106A16">
            <w:pPr>
              <w:suppressAutoHyphens w:val="0"/>
              <w:spacing w:before="80" w:after="80" w:line="220" w:lineRule="exact"/>
              <w:jc w:val="right"/>
              <w:rPr>
                <w:b/>
                <w:sz w:val="18"/>
                <w:szCs w:val="16"/>
              </w:rPr>
            </w:pPr>
            <w:r w:rsidRPr="00DC302B">
              <w:rPr>
                <w:b/>
                <w:bCs/>
                <w:sz w:val="18"/>
                <w:szCs w:val="16"/>
              </w:rPr>
              <w:t>0,5</w:t>
            </w:r>
          </w:p>
        </w:tc>
      </w:tr>
      <w:tr w:rsidR="00106A16" w:rsidRPr="00DC302B" w14:paraId="3106D942" w14:textId="77777777" w:rsidTr="00046DCD">
        <w:trPr>
          <w:cantSplit/>
        </w:trPr>
        <w:tc>
          <w:tcPr>
            <w:tcW w:w="5886" w:type="dxa"/>
            <w:gridSpan w:val="2"/>
            <w:tcBorders>
              <w:top w:val="single" w:sz="4" w:space="0" w:color="auto"/>
              <w:bottom w:val="single" w:sz="4" w:space="0" w:color="auto"/>
            </w:tcBorders>
            <w:shd w:val="clear" w:color="auto" w:fill="auto"/>
          </w:tcPr>
          <w:p w14:paraId="1309EFFB" w14:textId="77777777" w:rsidR="00C02224" w:rsidRPr="00DC302B" w:rsidRDefault="00C02224" w:rsidP="00046DCD">
            <w:pPr>
              <w:suppressAutoHyphens w:val="0"/>
              <w:spacing w:before="80" w:after="80" w:line="220" w:lineRule="exact"/>
              <w:ind w:left="283"/>
              <w:rPr>
                <w:b/>
                <w:sz w:val="18"/>
                <w:szCs w:val="16"/>
              </w:rPr>
            </w:pPr>
            <w:r w:rsidRPr="00DC302B">
              <w:rPr>
                <w:b/>
                <w:bCs/>
                <w:sz w:val="18"/>
                <w:szCs w:val="16"/>
              </w:rPr>
              <w:t>Total de la section II</w:t>
            </w:r>
          </w:p>
        </w:tc>
        <w:tc>
          <w:tcPr>
            <w:tcW w:w="1190" w:type="dxa"/>
            <w:tcBorders>
              <w:top w:val="single" w:sz="4" w:space="0" w:color="auto"/>
              <w:bottom w:val="single" w:sz="4" w:space="0" w:color="auto"/>
            </w:tcBorders>
            <w:shd w:val="clear" w:color="auto" w:fill="auto"/>
            <w:vAlign w:val="bottom"/>
          </w:tcPr>
          <w:p w14:paraId="7F48192A" w14:textId="77777777" w:rsidR="00C02224" w:rsidRPr="00DC302B" w:rsidRDefault="00C02224" w:rsidP="00AC3C80">
            <w:pPr>
              <w:suppressAutoHyphens w:val="0"/>
              <w:spacing w:before="80" w:after="80" w:line="220" w:lineRule="exact"/>
              <w:ind w:right="57"/>
              <w:jc w:val="right"/>
              <w:rPr>
                <w:b/>
                <w:sz w:val="18"/>
                <w:szCs w:val="16"/>
              </w:rPr>
            </w:pPr>
            <w:r w:rsidRPr="00DC302B">
              <w:rPr>
                <w:b/>
                <w:bCs/>
                <w:sz w:val="18"/>
                <w:szCs w:val="16"/>
              </w:rPr>
              <w:t>1 070 000</w:t>
            </w:r>
          </w:p>
        </w:tc>
        <w:tc>
          <w:tcPr>
            <w:tcW w:w="1266" w:type="dxa"/>
            <w:tcBorders>
              <w:top w:val="single" w:sz="4" w:space="0" w:color="auto"/>
              <w:bottom w:val="single" w:sz="4" w:space="0" w:color="auto"/>
            </w:tcBorders>
            <w:shd w:val="clear" w:color="auto" w:fill="auto"/>
            <w:vAlign w:val="bottom"/>
          </w:tcPr>
          <w:p w14:paraId="0BFA6E2D" w14:textId="77777777" w:rsidR="00C02224" w:rsidRPr="00DC302B" w:rsidRDefault="00C02224" w:rsidP="00046DCD">
            <w:pPr>
              <w:suppressAutoHyphens w:val="0"/>
              <w:spacing w:before="80" w:after="80" w:line="220" w:lineRule="exact"/>
              <w:jc w:val="right"/>
              <w:rPr>
                <w:b/>
                <w:sz w:val="18"/>
                <w:szCs w:val="16"/>
              </w:rPr>
            </w:pPr>
            <w:r w:rsidRPr="00DC302B">
              <w:rPr>
                <w:b/>
                <w:sz w:val="18"/>
                <w:szCs w:val="16"/>
              </w:rPr>
              <w:t>59,5</w:t>
            </w:r>
          </w:p>
        </w:tc>
        <w:tc>
          <w:tcPr>
            <w:tcW w:w="1295" w:type="dxa"/>
            <w:tcBorders>
              <w:top w:val="single" w:sz="4" w:space="0" w:color="auto"/>
              <w:bottom w:val="single" w:sz="4" w:space="0" w:color="auto"/>
            </w:tcBorders>
            <w:shd w:val="clear" w:color="auto" w:fill="auto"/>
            <w:vAlign w:val="bottom"/>
          </w:tcPr>
          <w:p w14:paraId="21616906" w14:textId="77777777" w:rsidR="00C02224" w:rsidRPr="00DC302B" w:rsidRDefault="00C02224" w:rsidP="00046DCD">
            <w:pPr>
              <w:suppressAutoHyphens w:val="0"/>
              <w:spacing w:before="80" w:after="80" w:line="220" w:lineRule="exact"/>
              <w:jc w:val="right"/>
              <w:rPr>
                <w:b/>
                <w:sz w:val="18"/>
                <w:szCs w:val="16"/>
              </w:rPr>
            </w:pPr>
            <w:r w:rsidRPr="00DC302B">
              <w:rPr>
                <w:b/>
                <w:bCs/>
                <w:sz w:val="18"/>
                <w:szCs w:val="16"/>
              </w:rPr>
              <w:t>23</w:t>
            </w:r>
          </w:p>
        </w:tc>
      </w:tr>
      <w:tr w:rsidR="00C02224" w:rsidRPr="00DC302B" w14:paraId="589C9E52" w14:textId="77777777" w:rsidTr="00046DCD">
        <w:trPr>
          <w:cantSplit/>
        </w:trPr>
        <w:tc>
          <w:tcPr>
            <w:tcW w:w="5886" w:type="dxa"/>
            <w:gridSpan w:val="2"/>
            <w:tcBorders>
              <w:top w:val="single" w:sz="4" w:space="0" w:color="auto"/>
              <w:bottom w:val="single" w:sz="12" w:space="0" w:color="auto"/>
            </w:tcBorders>
            <w:shd w:val="clear" w:color="auto" w:fill="auto"/>
          </w:tcPr>
          <w:p w14:paraId="6EC976CA" w14:textId="77777777" w:rsidR="00C02224" w:rsidRPr="00DC302B" w:rsidRDefault="00C02224" w:rsidP="00046DCD">
            <w:pPr>
              <w:suppressAutoHyphens w:val="0"/>
              <w:spacing w:before="80" w:after="80" w:line="220" w:lineRule="exact"/>
              <w:ind w:left="283"/>
              <w:rPr>
                <w:b/>
                <w:bCs/>
                <w:sz w:val="18"/>
                <w:szCs w:val="16"/>
              </w:rPr>
            </w:pPr>
            <w:r w:rsidRPr="00DC302B">
              <w:rPr>
                <w:b/>
                <w:bCs/>
                <w:sz w:val="18"/>
                <w:szCs w:val="16"/>
              </w:rPr>
              <w:t>Total des activités (sections I et II)</w:t>
            </w:r>
          </w:p>
        </w:tc>
        <w:tc>
          <w:tcPr>
            <w:tcW w:w="1190" w:type="dxa"/>
            <w:tcBorders>
              <w:top w:val="single" w:sz="4" w:space="0" w:color="auto"/>
              <w:bottom w:val="single" w:sz="12" w:space="0" w:color="auto"/>
            </w:tcBorders>
            <w:shd w:val="clear" w:color="auto" w:fill="auto"/>
            <w:vAlign w:val="bottom"/>
          </w:tcPr>
          <w:p w14:paraId="41DF1DF7" w14:textId="77777777" w:rsidR="00C02224" w:rsidRPr="00DC302B" w:rsidRDefault="00C02224" w:rsidP="00AC3C80">
            <w:pPr>
              <w:suppressAutoHyphens w:val="0"/>
              <w:spacing w:before="80" w:after="80" w:line="220" w:lineRule="exact"/>
              <w:ind w:right="57"/>
              <w:jc w:val="right"/>
              <w:rPr>
                <w:b/>
                <w:sz w:val="18"/>
                <w:szCs w:val="16"/>
              </w:rPr>
            </w:pPr>
            <w:r w:rsidRPr="00DC302B">
              <w:rPr>
                <w:b/>
                <w:bCs/>
                <w:sz w:val="18"/>
                <w:szCs w:val="16"/>
              </w:rPr>
              <w:t>1 453 000</w:t>
            </w:r>
          </w:p>
        </w:tc>
        <w:tc>
          <w:tcPr>
            <w:tcW w:w="1266" w:type="dxa"/>
            <w:tcBorders>
              <w:top w:val="single" w:sz="4" w:space="0" w:color="auto"/>
              <w:bottom w:val="single" w:sz="12" w:space="0" w:color="auto"/>
            </w:tcBorders>
            <w:shd w:val="clear" w:color="auto" w:fill="auto"/>
            <w:vAlign w:val="bottom"/>
          </w:tcPr>
          <w:p w14:paraId="278D6CDE" w14:textId="77777777" w:rsidR="00C02224" w:rsidRPr="00DC302B" w:rsidRDefault="00C02224" w:rsidP="00046DCD">
            <w:pPr>
              <w:suppressAutoHyphens w:val="0"/>
              <w:spacing w:before="80" w:after="80" w:line="220" w:lineRule="exact"/>
              <w:jc w:val="right"/>
              <w:rPr>
                <w:b/>
                <w:sz w:val="18"/>
                <w:szCs w:val="16"/>
              </w:rPr>
            </w:pPr>
            <w:r w:rsidRPr="00DC302B">
              <w:rPr>
                <w:b/>
                <w:bCs/>
                <w:sz w:val="18"/>
                <w:szCs w:val="16"/>
              </w:rPr>
              <w:t>112</w:t>
            </w:r>
          </w:p>
        </w:tc>
        <w:tc>
          <w:tcPr>
            <w:tcW w:w="1295" w:type="dxa"/>
            <w:tcBorders>
              <w:top w:val="single" w:sz="4" w:space="0" w:color="auto"/>
              <w:bottom w:val="single" w:sz="12" w:space="0" w:color="auto"/>
            </w:tcBorders>
            <w:shd w:val="clear" w:color="auto" w:fill="auto"/>
            <w:vAlign w:val="bottom"/>
          </w:tcPr>
          <w:p w14:paraId="779635D8" w14:textId="77777777" w:rsidR="00C02224" w:rsidRPr="00DC302B" w:rsidRDefault="00C02224" w:rsidP="00046DCD">
            <w:pPr>
              <w:suppressAutoHyphens w:val="0"/>
              <w:spacing w:before="80" w:after="80" w:line="220" w:lineRule="exact"/>
              <w:jc w:val="right"/>
              <w:rPr>
                <w:b/>
                <w:sz w:val="18"/>
                <w:szCs w:val="16"/>
              </w:rPr>
            </w:pPr>
            <w:r w:rsidRPr="00DC302B">
              <w:rPr>
                <w:b/>
                <w:sz w:val="18"/>
                <w:szCs w:val="16"/>
              </w:rPr>
              <w:t>45,75</w:t>
            </w:r>
          </w:p>
        </w:tc>
      </w:tr>
    </w:tbl>
    <w:p w14:paraId="0B729D90" w14:textId="77777777" w:rsidR="00C02224" w:rsidRPr="00DC302B" w:rsidRDefault="00C02224" w:rsidP="00DC302B">
      <w:pPr>
        <w:spacing w:before="120" w:line="220" w:lineRule="exact"/>
        <w:ind w:firstLine="170"/>
        <w:rPr>
          <w:sz w:val="18"/>
          <w:szCs w:val="18"/>
        </w:rPr>
      </w:pPr>
      <w:r w:rsidRPr="00DC302B">
        <w:rPr>
          <w:i/>
          <w:iCs/>
          <w:sz w:val="18"/>
          <w:szCs w:val="18"/>
        </w:rPr>
        <w:t>Abréviations</w:t>
      </w:r>
      <w:r w:rsidRPr="00DC302B">
        <w:rPr>
          <w:sz w:val="18"/>
          <w:szCs w:val="18"/>
        </w:rPr>
        <w:t xml:space="preserve"> : accident </w:t>
      </w:r>
      <w:proofErr w:type="spellStart"/>
      <w:r w:rsidRPr="00DC302B">
        <w:rPr>
          <w:sz w:val="18"/>
          <w:szCs w:val="18"/>
        </w:rPr>
        <w:t>NaTech</w:t>
      </w:r>
      <w:proofErr w:type="spellEnd"/>
      <w:r w:rsidRPr="00DC302B">
        <w:rPr>
          <w:sz w:val="18"/>
          <w:szCs w:val="18"/>
        </w:rPr>
        <w:t xml:space="preserve"> = accident technologique déclenché par un événement naturel ; BO = budget ordinaire ; OCDE = Organisation de coopération et de développement économiques ; OCHA = Bureau de la coordination des affaires humanitaires ; PNUE = Programme des Nations Unies pour l’environnement ; XB = ressources extrabudgétaires.</w:t>
      </w:r>
    </w:p>
    <w:p w14:paraId="471354C2" w14:textId="77777777" w:rsidR="00C02224" w:rsidRPr="00DC302B" w:rsidRDefault="00C02224" w:rsidP="00DC302B">
      <w:pPr>
        <w:spacing w:line="220" w:lineRule="exact"/>
        <w:ind w:firstLine="170"/>
        <w:rPr>
          <w:sz w:val="18"/>
          <w:szCs w:val="18"/>
        </w:rPr>
      </w:pPr>
      <w:proofErr w:type="gramStart"/>
      <w:r w:rsidRPr="00DC302B">
        <w:rPr>
          <w:i/>
          <w:iCs/>
          <w:sz w:val="18"/>
          <w:szCs w:val="18"/>
          <w:vertAlign w:val="superscript"/>
        </w:rPr>
        <w:t>a</w:t>
      </w:r>
      <w:r w:rsidRPr="00DC302B">
        <w:rPr>
          <w:sz w:val="18"/>
          <w:szCs w:val="18"/>
        </w:rPr>
        <w:t xml:space="preserve">  Si</w:t>
      </w:r>
      <w:proofErr w:type="gramEnd"/>
      <w:r w:rsidRPr="00DC302B">
        <w:rPr>
          <w:sz w:val="18"/>
          <w:szCs w:val="18"/>
        </w:rPr>
        <w:t xml:space="preserve"> l’échange de données d’expérience et de bonnes pratiques a lieu dans le cadre de la réunion de la Conférence des Parties, ses incidences financières seront moindres.</w:t>
      </w:r>
    </w:p>
    <w:p w14:paraId="4BA78033" w14:textId="77777777" w:rsidR="00C02224" w:rsidRPr="00DC302B" w:rsidRDefault="00C02224" w:rsidP="00DC302B">
      <w:pPr>
        <w:spacing w:line="220" w:lineRule="exact"/>
        <w:ind w:firstLine="170"/>
        <w:rPr>
          <w:sz w:val="18"/>
          <w:szCs w:val="18"/>
        </w:rPr>
      </w:pPr>
      <w:proofErr w:type="gramStart"/>
      <w:r w:rsidRPr="00DC302B">
        <w:rPr>
          <w:i/>
          <w:iCs/>
          <w:sz w:val="18"/>
          <w:szCs w:val="18"/>
          <w:vertAlign w:val="superscript"/>
        </w:rPr>
        <w:t>b</w:t>
      </w:r>
      <w:r w:rsidRPr="00DC302B">
        <w:rPr>
          <w:sz w:val="18"/>
          <w:szCs w:val="18"/>
        </w:rPr>
        <w:t xml:space="preserve">  Les</w:t>
      </w:r>
      <w:proofErr w:type="gramEnd"/>
      <w:r w:rsidRPr="00DC302B">
        <w:rPr>
          <w:sz w:val="18"/>
          <w:szCs w:val="18"/>
        </w:rPr>
        <w:t xml:space="preserve"> estimations concernant le service des organes intergouvernementaux sont fondées sur le montant indicatif de l’organisation des réunions de tels organes, tel qu’il figure dans le mécanisme financier durable (ECE/CP.TEIA/24, annexe I), en sus des coûts liés à la participation de membres des pays d’Europe orientale et du Sud-Est, du Caucase et d’Asie centrale et du secrétariat aux travaux de ces organes. Un montant de 1</w:t>
      </w:r>
      <w:r w:rsidR="00106A16" w:rsidRPr="00DC302B">
        <w:rPr>
          <w:sz w:val="18"/>
          <w:szCs w:val="18"/>
        </w:rPr>
        <w:t> </w:t>
      </w:r>
      <w:r w:rsidRPr="00DC302B">
        <w:rPr>
          <w:sz w:val="18"/>
          <w:szCs w:val="18"/>
        </w:rPr>
        <w:t>500</w:t>
      </w:r>
      <w:r w:rsidR="00106A16" w:rsidRPr="00DC302B">
        <w:rPr>
          <w:sz w:val="18"/>
          <w:szCs w:val="18"/>
        </w:rPr>
        <w:t xml:space="preserve"> </w:t>
      </w:r>
      <w:r w:rsidRPr="00DC302B">
        <w:rPr>
          <w:sz w:val="18"/>
          <w:szCs w:val="18"/>
        </w:rPr>
        <w:t xml:space="preserve">dollars É.-U. est prévu pour </w:t>
      </w:r>
      <w:r w:rsidR="00106A16" w:rsidRPr="00DC302B">
        <w:rPr>
          <w:sz w:val="18"/>
          <w:szCs w:val="18"/>
        </w:rPr>
        <w:t>2 </w:t>
      </w:r>
      <w:r w:rsidRPr="00DC302B">
        <w:rPr>
          <w:sz w:val="18"/>
          <w:szCs w:val="18"/>
        </w:rPr>
        <w:t xml:space="preserve">membres du Bureau originaires de pays remplissant les conditions requises pour bénéficier de l’aide financière (conformément au projet de décision sur les principes directeurs concernant l’attribution d’une aide financière (ECE/CP.TEIA/2020/10)), </w:t>
      </w:r>
      <w:r w:rsidR="00DC302B">
        <w:rPr>
          <w:sz w:val="18"/>
          <w:szCs w:val="18"/>
        </w:rPr>
        <w:t>2 </w:t>
      </w:r>
      <w:r w:rsidRPr="00DC302B">
        <w:rPr>
          <w:sz w:val="18"/>
          <w:szCs w:val="18"/>
        </w:rPr>
        <w:t>membres du secrétariat chargés du service des réunions du Bureau et 1</w:t>
      </w:r>
      <w:r w:rsidR="00106A16" w:rsidRPr="00DC302B">
        <w:rPr>
          <w:sz w:val="18"/>
          <w:szCs w:val="18"/>
        </w:rPr>
        <w:t> </w:t>
      </w:r>
      <w:r w:rsidRPr="00DC302B">
        <w:rPr>
          <w:sz w:val="18"/>
          <w:szCs w:val="18"/>
        </w:rPr>
        <w:t>membre chargé du service des réunions du Groupe de travail de l’application et du Groupe spécial mixte d’experts de l’eau et des accidents industriels.</w:t>
      </w:r>
    </w:p>
    <w:p w14:paraId="73EE09AD" w14:textId="77777777" w:rsidR="00C02224" w:rsidRPr="00DC302B" w:rsidRDefault="00C02224" w:rsidP="00DC302B">
      <w:pPr>
        <w:spacing w:line="220" w:lineRule="exact"/>
        <w:ind w:firstLine="170"/>
        <w:rPr>
          <w:sz w:val="18"/>
          <w:szCs w:val="18"/>
        </w:rPr>
      </w:pPr>
      <w:proofErr w:type="gramStart"/>
      <w:r w:rsidRPr="00DC302B">
        <w:rPr>
          <w:i/>
          <w:iCs/>
          <w:sz w:val="18"/>
          <w:szCs w:val="18"/>
          <w:vertAlign w:val="superscript"/>
        </w:rPr>
        <w:t>c</w:t>
      </w:r>
      <w:r w:rsidRPr="00DC302B">
        <w:rPr>
          <w:sz w:val="18"/>
          <w:szCs w:val="18"/>
        </w:rPr>
        <w:t xml:space="preserve">  Les</w:t>
      </w:r>
      <w:proofErr w:type="gramEnd"/>
      <w:r w:rsidRPr="00DC302B">
        <w:rPr>
          <w:sz w:val="18"/>
          <w:szCs w:val="18"/>
        </w:rPr>
        <w:t xml:space="preserve"> activités menées au titre du Programme d’aide et de coopération sont fonction des demandes. Leur exécution dépend des autoévaluations, des plans d’action et des propositions de projet présentés par les pays bénéficiaires, ainsi que de la disponibilité des ressources financières. Le Groupe de travail de l’application évalue le bien-fondé des demandes d’assistance et le Bureau décide de l’opportunité d’approuver telle ou telle activité compte tenu des fonds disponibles.</w:t>
      </w:r>
    </w:p>
    <w:p w14:paraId="0DF63A4C" w14:textId="77777777" w:rsidR="00C02224" w:rsidRPr="00DC302B" w:rsidRDefault="00C02224" w:rsidP="00DC302B">
      <w:pPr>
        <w:spacing w:after="240" w:line="220" w:lineRule="exact"/>
        <w:ind w:firstLine="170"/>
        <w:rPr>
          <w:sz w:val="18"/>
          <w:szCs w:val="18"/>
        </w:rPr>
      </w:pPr>
      <w:proofErr w:type="gramStart"/>
      <w:r w:rsidRPr="00DC302B">
        <w:rPr>
          <w:i/>
          <w:iCs/>
          <w:sz w:val="18"/>
          <w:szCs w:val="18"/>
          <w:vertAlign w:val="superscript"/>
        </w:rPr>
        <w:t>d</w:t>
      </w:r>
      <w:r w:rsidRPr="00DC302B">
        <w:rPr>
          <w:sz w:val="18"/>
          <w:szCs w:val="18"/>
        </w:rPr>
        <w:t xml:space="preserve">  Le</w:t>
      </w:r>
      <w:proofErr w:type="gramEnd"/>
      <w:r w:rsidRPr="00DC302B">
        <w:rPr>
          <w:sz w:val="18"/>
          <w:szCs w:val="18"/>
        </w:rPr>
        <w:t xml:space="preserve"> financement de la phase I de ce projet (lancement des dialogues sur les politiques nationales) par la Fédération de Russie est confirmé jusqu’à la fin de l’année 2021. L’idée est de soumettre une nouvelle proposition de financement pour la phase II (mise en œuvre des dialogues sur les politiques nationales), qui s’étalera sur la période 2022-2024. Le budget prévu est une estimation pour la première année de l’exécution de la phase II (2022).</w:t>
      </w:r>
    </w:p>
    <w:bookmarkEnd w:id="1"/>
    <w:p w14:paraId="3A27203F" w14:textId="77777777" w:rsidR="00C02224" w:rsidRPr="00106A16" w:rsidRDefault="00C02224" w:rsidP="00106A16">
      <w:pPr>
        <w:pStyle w:val="Heading1"/>
        <w:ind w:left="0"/>
      </w:pPr>
      <w:r w:rsidRPr="005417E7">
        <w:t>Tableau</w:t>
      </w:r>
      <w:r w:rsidRPr="005417E7">
        <w:rPr>
          <w:bCs/>
        </w:rPr>
        <w:t xml:space="preserve"> 2</w:t>
      </w:r>
    </w:p>
    <w:p w14:paraId="0A0CD1EE" w14:textId="77777777" w:rsidR="00C02224" w:rsidRPr="005417E7" w:rsidRDefault="00C02224" w:rsidP="00C02224">
      <w:pPr>
        <w:pStyle w:val="SingleTxtG"/>
        <w:keepNext/>
        <w:spacing w:after="0"/>
        <w:ind w:left="0"/>
        <w:jc w:val="left"/>
        <w:rPr>
          <w:b/>
        </w:rPr>
      </w:pPr>
      <w:r w:rsidRPr="005417E7">
        <w:rPr>
          <w:b/>
        </w:rPr>
        <w:t>Ressources totales pour 2021-2022</w:t>
      </w:r>
    </w:p>
    <w:p w14:paraId="28DE3E0D" w14:textId="77777777" w:rsidR="00C02224" w:rsidRPr="00DC302B" w:rsidRDefault="00C02224" w:rsidP="00C02224">
      <w:pPr>
        <w:pStyle w:val="SingleTxtG"/>
        <w:spacing w:line="220" w:lineRule="atLeast"/>
        <w:ind w:left="0"/>
        <w:jc w:val="left"/>
        <w:rPr>
          <w:b/>
          <w:sz w:val="16"/>
          <w:szCs w:val="16"/>
        </w:rPr>
      </w:pPr>
      <w:r w:rsidRPr="00DC302B">
        <w:rPr>
          <w:sz w:val="16"/>
          <w:szCs w:val="16"/>
        </w:rPr>
        <w:t>(En dollars des États-Unis)</w:t>
      </w:r>
    </w:p>
    <w:tbl>
      <w:tblPr>
        <w:tblW w:w="9637" w:type="dxa"/>
        <w:tblLayout w:type="fixed"/>
        <w:tblCellMar>
          <w:left w:w="0" w:type="dxa"/>
          <w:right w:w="0" w:type="dxa"/>
        </w:tblCellMar>
        <w:tblLook w:val="01E0" w:firstRow="1" w:lastRow="1" w:firstColumn="1" w:lastColumn="1" w:noHBand="0" w:noVBand="0"/>
      </w:tblPr>
      <w:tblGrid>
        <w:gridCol w:w="6115"/>
        <w:gridCol w:w="1372"/>
        <w:gridCol w:w="1075"/>
        <w:gridCol w:w="1075"/>
      </w:tblGrid>
      <w:tr w:rsidR="00C02224" w:rsidRPr="00046DCD" w14:paraId="1AE10B2D" w14:textId="77777777" w:rsidTr="00046DCD">
        <w:trPr>
          <w:tblHeader/>
        </w:trPr>
        <w:tc>
          <w:tcPr>
            <w:tcW w:w="6115" w:type="dxa"/>
            <w:tcBorders>
              <w:top w:val="single" w:sz="4" w:space="0" w:color="auto"/>
              <w:bottom w:val="single" w:sz="12" w:space="0" w:color="auto"/>
            </w:tcBorders>
            <w:shd w:val="clear" w:color="auto" w:fill="auto"/>
            <w:vAlign w:val="bottom"/>
          </w:tcPr>
          <w:p w14:paraId="70FF411A" w14:textId="77777777" w:rsidR="00C02224" w:rsidRPr="00046DCD" w:rsidRDefault="00C02224" w:rsidP="00046DCD">
            <w:pPr>
              <w:suppressAutoHyphens w:val="0"/>
              <w:spacing w:before="80" w:after="80" w:line="200" w:lineRule="exact"/>
              <w:rPr>
                <w:i/>
                <w:sz w:val="16"/>
              </w:rPr>
            </w:pPr>
            <w:r w:rsidRPr="00046DCD">
              <w:rPr>
                <w:i/>
                <w:sz w:val="16"/>
              </w:rPr>
              <w:t>Postes/activités</w:t>
            </w:r>
          </w:p>
        </w:tc>
        <w:tc>
          <w:tcPr>
            <w:tcW w:w="1372" w:type="dxa"/>
            <w:tcBorders>
              <w:top w:val="single" w:sz="4" w:space="0" w:color="auto"/>
              <w:bottom w:val="single" w:sz="12" w:space="0" w:color="auto"/>
            </w:tcBorders>
            <w:shd w:val="clear" w:color="auto" w:fill="auto"/>
            <w:vAlign w:val="bottom"/>
          </w:tcPr>
          <w:p w14:paraId="0B716E1F" w14:textId="77777777" w:rsidR="00C02224" w:rsidRPr="00046DCD" w:rsidRDefault="00C02224" w:rsidP="00046DCD">
            <w:pPr>
              <w:suppressAutoHyphens w:val="0"/>
              <w:spacing w:before="80" w:after="80" w:line="200" w:lineRule="exact"/>
              <w:jc w:val="right"/>
              <w:rPr>
                <w:i/>
                <w:sz w:val="16"/>
              </w:rPr>
            </w:pPr>
            <w:r w:rsidRPr="00046DCD">
              <w:rPr>
                <w:i/>
                <w:sz w:val="16"/>
              </w:rPr>
              <w:t>Activités de base</w:t>
            </w:r>
          </w:p>
        </w:tc>
        <w:tc>
          <w:tcPr>
            <w:tcW w:w="1075" w:type="dxa"/>
            <w:tcBorders>
              <w:top w:val="single" w:sz="4" w:space="0" w:color="auto"/>
              <w:bottom w:val="single" w:sz="12" w:space="0" w:color="auto"/>
            </w:tcBorders>
            <w:shd w:val="clear" w:color="auto" w:fill="auto"/>
            <w:vAlign w:val="bottom"/>
          </w:tcPr>
          <w:p w14:paraId="199A4F7D" w14:textId="77777777" w:rsidR="00C02224" w:rsidRPr="00046DCD" w:rsidRDefault="00C02224" w:rsidP="00046DCD">
            <w:pPr>
              <w:suppressAutoHyphens w:val="0"/>
              <w:spacing w:before="80" w:after="80" w:line="200" w:lineRule="exact"/>
              <w:jc w:val="right"/>
              <w:rPr>
                <w:i/>
                <w:sz w:val="16"/>
              </w:rPr>
            </w:pPr>
            <w:r w:rsidRPr="00046DCD">
              <w:rPr>
                <w:i/>
                <w:sz w:val="16"/>
              </w:rPr>
              <w:t>Autres activités</w:t>
            </w:r>
          </w:p>
        </w:tc>
        <w:tc>
          <w:tcPr>
            <w:tcW w:w="1075" w:type="dxa"/>
            <w:tcBorders>
              <w:top w:val="single" w:sz="4" w:space="0" w:color="auto"/>
              <w:bottom w:val="single" w:sz="12" w:space="0" w:color="auto"/>
            </w:tcBorders>
            <w:shd w:val="clear" w:color="auto" w:fill="auto"/>
            <w:vAlign w:val="bottom"/>
          </w:tcPr>
          <w:p w14:paraId="4FE8390A" w14:textId="77777777" w:rsidR="00C02224" w:rsidRPr="00046DCD" w:rsidRDefault="00C02224" w:rsidP="00046DCD">
            <w:pPr>
              <w:suppressAutoHyphens w:val="0"/>
              <w:spacing w:before="80" w:after="80" w:line="200" w:lineRule="exact"/>
              <w:jc w:val="right"/>
              <w:rPr>
                <w:i/>
                <w:sz w:val="16"/>
              </w:rPr>
            </w:pPr>
            <w:r w:rsidRPr="00046DCD">
              <w:rPr>
                <w:i/>
                <w:sz w:val="16"/>
              </w:rPr>
              <w:t>Total</w:t>
            </w:r>
          </w:p>
        </w:tc>
      </w:tr>
      <w:tr w:rsidR="00C02224" w:rsidRPr="00046DCD" w14:paraId="2401B725" w14:textId="77777777" w:rsidTr="00046DCD">
        <w:tc>
          <w:tcPr>
            <w:tcW w:w="6115" w:type="dxa"/>
            <w:shd w:val="clear" w:color="auto" w:fill="auto"/>
          </w:tcPr>
          <w:p w14:paraId="46768F52" w14:textId="77777777" w:rsidR="00C02224" w:rsidRPr="00046DCD" w:rsidRDefault="00C02224" w:rsidP="00046DCD">
            <w:pPr>
              <w:suppressAutoHyphens w:val="0"/>
              <w:spacing w:before="40" w:after="40" w:line="220" w:lineRule="exact"/>
              <w:rPr>
                <w:sz w:val="18"/>
                <w:szCs w:val="16"/>
              </w:rPr>
            </w:pPr>
            <w:r w:rsidRPr="00046DCD">
              <w:rPr>
                <w:sz w:val="18"/>
                <w:szCs w:val="16"/>
              </w:rPr>
              <w:t>Activités</w:t>
            </w:r>
          </w:p>
        </w:tc>
        <w:tc>
          <w:tcPr>
            <w:tcW w:w="1372" w:type="dxa"/>
            <w:shd w:val="clear" w:color="auto" w:fill="auto"/>
            <w:vAlign w:val="bottom"/>
          </w:tcPr>
          <w:p w14:paraId="4D650BB0"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383 000</w:t>
            </w:r>
          </w:p>
        </w:tc>
        <w:tc>
          <w:tcPr>
            <w:tcW w:w="1075" w:type="dxa"/>
            <w:shd w:val="clear" w:color="auto" w:fill="auto"/>
            <w:vAlign w:val="bottom"/>
          </w:tcPr>
          <w:p w14:paraId="387E430B"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1 070 000</w:t>
            </w:r>
          </w:p>
        </w:tc>
        <w:tc>
          <w:tcPr>
            <w:tcW w:w="1075" w:type="dxa"/>
            <w:shd w:val="clear" w:color="auto" w:fill="auto"/>
            <w:vAlign w:val="bottom"/>
          </w:tcPr>
          <w:p w14:paraId="5EDECA3F"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1 453 000</w:t>
            </w:r>
          </w:p>
        </w:tc>
      </w:tr>
      <w:tr w:rsidR="00C02224" w:rsidRPr="00046DCD" w14:paraId="5DB3C932" w14:textId="77777777" w:rsidTr="00046DCD">
        <w:tc>
          <w:tcPr>
            <w:tcW w:w="6115" w:type="dxa"/>
            <w:shd w:val="clear" w:color="auto" w:fill="auto"/>
          </w:tcPr>
          <w:p w14:paraId="70DBBB43" w14:textId="77777777" w:rsidR="00C02224" w:rsidRPr="00046DCD" w:rsidRDefault="00C02224" w:rsidP="00046DCD">
            <w:pPr>
              <w:suppressAutoHyphens w:val="0"/>
              <w:spacing w:before="40" w:after="40" w:line="220" w:lineRule="exact"/>
              <w:rPr>
                <w:sz w:val="18"/>
                <w:szCs w:val="16"/>
              </w:rPr>
            </w:pPr>
            <w:r w:rsidRPr="00046DCD">
              <w:rPr>
                <w:sz w:val="18"/>
                <w:szCs w:val="16"/>
              </w:rPr>
              <w:t>Personnel :</w:t>
            </w:r>
          </w:p>
        </w:tc>
        <w:tc>
          <w:tcPr>
            <w:tcW w:w="1372" w:type="dxa"/>
            <w:shd w:val="clear" w:color="auto" w:fill="auto"/>
            <w:vAlign w:val="bottom"/>
          </w:tcPr>
          <w:p w14:paraId="38ABFBB7" w14:textId="77777777" w:rsidR="00C02224" w:rsidRPr="00046DCD" w:rsidRDefault="00C02224" w:rsidP="00046DCD">
            <w:pPr>
              <w:suppressAutoHyphens w:val="0"/>
              <w:spacing w:before="40" w:after="40" w:line="220" w:lineRule="exact"/>
              <w:jc w:val="right"/>
              <w:rPr>
                <w:sz w:val="18"/>
                <w:szCs w:val="16"/>
              </w:rPr>
            </w:pPr>
          </w:p>
        </w:tc>
        <w:tc>
          <w:tcPr>
            <w:tcW w:w="1075" w:type="dxa"/>
            <w:shd w:val="clear" w:color="auto" w:fill="auto"/>
            <w:vAlign w:val="bottom"/>
          </w:tcPr>
          <w:p w14:paraId="38E4776B" w14:textId="77777777" w:rsidR="00C02224" w:rsidRPr="00046DCD" w:rsidRDefault="00C02224" w:rsidP="00046DCD">
            <w:pPr>
              <w:suppressAutoHyphens w:val="0"/>
              <w:spacing w:before="40" w:after="40" w:line="220" w:lineRule="exact"/>
              <w:jc w:val="right"/>
              <w:rPr>
                <w:sz w:val="18"/>
                <w:szCs w:val="16"/>
              </w:rPr>
            </w:pPr>
          </w:p>
        </w:tc>
        <w:tc>
          <w:tcPr>
            <w:tcW w:w="1075" w:type="dxa"/>
            <w:shd w:val="clear" w:color="auto" w:fill="auto"/>
            <w:vAlign w:val="bottom"/>
          </w:tcPr>
          <w:p w14:paraId="2FC618D7" w14:textId="77777777" w:rsidR="00C02224" w:rsidRPr="00046DCD" w:rsidRDefault="00C02224" w:rsidP="00046DCD">
            <w:pPr>
              <w:suppressAutoHyphens w:val="0"/>
              <w:spacing w:before="40" w:after="40" w:line="220" w:lineRule="exact"/>
              <w:jc w:val="right"/>
              <w:rPr>
                <w:sz w:val="18"/>
                <w:szCs w:val="16"/>
              </w:rPr>
            </w:pPr>
          </w:p>
        </w:tc>
      </w:tr>
      <w:tr w:rsidR="00C02224" w:rsidRPr="00046DCD" w14:paraId="059904FC" w14:textId="77777777" w:rsidTr="00046DCD">
        <w:tc>
          <w:tcPr>
            <w:tcW w:w="6115" w:type="dxa"/>
            <w:shd w:val="clear" w:color="auto" w:fill="auto"/>
          </w:tcPr>
          <w:p w14:paraId="553A5BE1" w14:textId="77777777" w:rsidR="00C02224" w:rsidRPr="00046DCD" w:rsidRDefault="00C02224" w:rsidP="00046DCD">
            <w:pPr>
              <w:suppressAutoHyphens w:val="0"/>
              <w:spacing w:before="40" w:after="40" w:line="220" w:lineRule="exact"/>
              <w:ind w:left="284"/>
              <w:rPr>
                <w:sz w:val="18"/>
                <w:szCs w:val="16"/>
              </w:rPr>
            </w:pPr>
            <w:r w:rsidRPr="00046DCD">
              <w:rPr>
                <w:sz w:val="18"/>
                <w:szCs w:val="16"/>
              </w:rPr>
              <w:t>Administrateurs, BO (activités de base : 21 mois de travail)</w:t>
            </w:r>
          </w:p>
        </w:tc>
        <w:tc>
          <w:tcPr>
            <w:tcW w:w="1372" w:type="dxa"/>
            <w:shd w:val="clear" w:color="auto" w:fill="auto"/>
            <w:vAlign w:val="bottom"/>
          </w:tcPr>
          <w:p w14:paraId="3AE3A2FA" w14:textId="77777777" w:rsidR="00C02224" w:rsidRPr="00046DCD" w:rsidRDefault="00C02224" w:rsidP="00046DCD">
            <w:pPr>
              <w:suppressAutoHyphens w:val="0"/>
              <w:spacing w:before="40" w:after="40" w:line="220" w:lineRule="exact"/>
              <w:jc w:val="right"/>
              <w:rPr>
                <w:i/>
                <w:iCs/>
                <w:sz w:val="18"/>
                <w:szCs w:val="16"/>
                <w:vertAlign w:val="superscript"/>
              </w:rPr>
            </w:pPr>
            <w:proofErr w:type="gramStart"/>
            <w:r w:rsidRPr="00046DCD">
              <w:rPr>
                <w:i/>
                <w:iCs/>
                <w:sz w:val="18"/>
                <w:szCs w:val="16"/>
                <w:vertAlign w:val="superscript"/>
              </w:rPr>
              <w:t>a</w:t>
            </w:r>
            <w:proofErr w:type="gramEnd"/>
          </w:p>
        </w:tc>
        <w:tc>
          <w:tcPr>
            <w:tcW w:w="1075" w:type="dxa"/>
            <w:shd w:val="clear" w:color="auto" w:fill="auto"/>
            <w:vAlign w:val="bottom"/>
          </w:tcPr>
          <w:p w14:paraId="49F01B4C" w14:textId="77777777" w:rsidR="00C02224" w:rsidRPr="00046DCD" w:rsidRDefault="00046DCD" w:rsidP="00046DCD">
            <w:pPr>
              <w:suppressAutoHyphens w:val="0"/>
              <w:spacing w:before="40" w:after="40" w:line="220" w:lineRule="exact"/>
              <w:jc w:val="right"/>
              <w:rPr>
                <w:sz w:val="18"/>
                <w:szCs w:val="16"/>
                <w:vertAlign w:val="superscript"/>
              </w:rPr>
            </w:pPr>
            <w:r>
              <w:rPr>
                <w:sz w:val="18"/>
                <w:szCs w:val="16"/>
                <w:vertAlign w:val="superscript"/>
              </w:rPr>
              <w:t>-</w:t>
            </w:r>
          </w:p>
        </w:tc>
        <w:tc>
          <w:tcPr>
            <w:tcW w:w="1075" w:type="dxa"/>
            <w:shd w:val="clear" w:color="auto" w:fill="auto"/>
            <w:vAlign w:val="bottom"/>
          </w:tcPr>
          <w:p w14:paraId="1B542195" w14:textId="77777777" w:rsidR="00C02224" w:rsidRPr="00046DCD" w:rsidRDefault="00046DCD" w:rsidP="00046DCD">
            <w:pPr>
              <w:suppressAutoHyphens w:val="0"/>
              <w:spacing w:before="40" w:after="40" w:line="220" w:lineRule="exact"/>
              <w:jc w:val="right"/>
              <w:rPr>
                <w:sz w:val="18"/>
                <w:szCs w:val="16"/>
                <w:vertAlign w:val="superscript"/>
              </w:rPr>
            </w:pPr>
            <w:r>
              <w:rPr>
                <w:sz w:val="18"/>
                <w:szCs w:val="16"/>
                <w:vertAlign w:val="superscript"/>
              </w:rPr>
              <w:t>-</w:t>
            </w:r>
          </w:p>
        </w:tc>
      </w:tr>
      <w:tr w:rsidR="00C02224" w:rsidRPr="00046DCD" w14:paraId="51C05B08" w14:textId="77777777" w:rsidTr="00046DCD">
        <w:tc>
          <w:tcPr>
            <w:tcW w:w="6115" w:type="dxa"/>
            <w:shd w:val="clear" w:color="auto" w:fill="auto"/>
          </w:tcPr>
          <w:p w14:paraId="5A60DF55" w14:textId="77777777" w:rsidR="00C02224" w:rsidRPr="00046DCD" w:rsidRDefault="00C02224" w:rsidP="00046DCD">
            <w:pPr>
              <w:suppressAutoHyphens w:val="0"/>
              <w:spacing w:before="40" w:after="40" w:line="220" w:lineRule="exact"/>
              <w:ind w:left="284"/>
              <w:rPr>
                <w:sz w:val="18"/>
                <w:szCs w:val="16"/>
              </w:rPr>
            </w:pPr>
            <w:r w:rsidRPr="00046DCD">
              <w:rPr>
                <w:sz w:val="18"/>
                <w:szCs w:val="16"/>
              </w:rPr>
              <w:t>Agents des services généraux, BO (activités de base : 10,5 mois de travail)</w:t>
            </w:r>
          </w:p>
        </w:tc>
        <w:tc>
          <w:tcPr>
            <w:tcW w:w="1372" w:type="dxa"/>
            <w:shd w:val="clear" w:color="auto" w:fill="auto"/>
            <w:vAlign w:val="bottom"/>
          </w:tcPr>
          <w:p w14:paraId="5164AB07" w14:textId="77777777" w:rsidR="00C02224" w:rsidRPr="00046DCD" w:rsidRDefault="00C02224" w:rsidP="00046DCD">
            <w:pPr>
              <w:suppressAutoHyphens w:val="0"/>
              <w:spacing w:before="40" w:after="40" w:line="220" w:lineRule="exact"/>
              <w:jc w:val="right"/>
              <w:rPr>
                <w:i/>
                <w:iCs/>
                <w:sz w:val="18"/>
                <w:szCs w:val="16"/>
                <w:vertAlign w:val="superscript"/>
              </w:rPr>
            </w:pPr>
            <w:proofErr w:type="gramStart"/>
            <w:r w:rsidRPr="00046DCD">
              <w:rPr>
                <w:i/>
                <w:iCs/>
                <w:sz w:val="18"/>
                <w:szCs w:val="16"/>
                <w:vertAlign w:val="superscript"/>
              </w:rPr>
              <w:t>a</w:t>
            </w:r>
            <w:proofErr w:type="gramEnd"/>
          </w:p>
        </w:tc>
        <w:tc>
          <w:tcPr>
            <w:tcW w:w="1075" w:type="dxa"/>
            <w:shd w:val="clear" w:color="auto" w:fill="auto"/>
            <w:vAlign w:val="bottom"/>
          </w:tcPr>
          <w:p w14:paraId="1E01FBA5" w14:textId="77777777" w:rsidR="00C02224" w:rsidRPr="00046DCD" w:rsidRDefault="00046DCD" w:rsidP="00046DCD">
            <w:pPr>
              <w:suppressAutoHyphens w:val="0"/>
              <w:spacing w:before="40" w:after="40" w:line="220" w:lineRule="exact"/>
              <w:jc w:val="right"/>
              <w:rPr>
                <w:sz w:val="18"/>
                <w:szCs w:val="16"/>
                <w:vertAlign w:val="superscript"/>
              </w:rPr>
            </w:pPr>
            <w:r>
              <w:rPr>
                <w:sz w:val="18"/>
                <w:szCs w:val="16"/>
                <w:vertAlign w:val="superscript"/>
              </w:rPr>
              <w:t>-</w:t>
            </w:r>
          </w:p>
        </w:tc>
        <w:tc>
          <w:tcPr>
            <w:tcW w:w="1075" w:type="dxa"/>
            <w:shd w:val="clear" w:color="auto" w:fill="auto"/>
            <w:vAlign w:val="bottom"/>
          </w:tcPr>
          <w:p w14:paraId="4D1FA316" w14:textId="77777777" w:rsidR="00C02224" w:rsidRPr="00046DCD" w:rsidRDefault="00046DCD" w:rsidP="00046DCD">
            <w:pPr>
              <w:suppressAutoHyphens w:val="0"/>
              <w:spacing w:before="40" w:after="40" w:line="220" w:lineRule="exact"/>
              <w:jc w:val="right"/>
              <w:rPr>
                <w:sz w:val="18"/>
                <w:szCs w:val="16"/>
                <w:vertAlign w:val="superscript"/>
              </w:rPr>
            </w:pPr>
            <w:r>
              <w:rPr>
                <w:sz w:val="18"/>
                <w:szCs w:val="16"/>
                <w:vertAlign w:val="superscript"/>
              </w:rPr>
              <w:t>-</w:t>
            </w:r>
          </w:p>
        </w:tc>
      </w:tr>
      <w:tr w:rsidR="00C02224" w:rsidRPr="00046DCD" w14:paraId="34CE0C71" w14:textId="77777777" w:rsidTr="00046DCD">
        <w:tc>
          <w:tcPr>
            <w:tcW w:w="6115" w:type="dxa"/>
            <w:shd w:val="clear" w:color="auto" w:fill="auto"/>
          </w:tcPr>
          <w:p w14:paraId="5B712C27" w14:textId="77777777" w:rsidR="00C02224" w:rsidRPr="00046DCD" w:rsidDel="005F76A2" w:rsidRDefault="00C02224" w:rsidP="00046DCD">
            <w:pPr>
              <w:suppressAutoHyphens w:val="0"/>
              <w:spacing w:before="40" w:after="40" w:line="220" w:lineRule="exact"/>
              <w:ind w:left="284"/>
              <w:rPr>
                <w:sz w:val="18"/>
                <w:szCs w:val="16"/>
              </w:rPr>
            </w:pPr>
            <w:r w:rsidRPr="00046DCD">
              <w:rPr>
                <w:sz w:val="18"/>
                <w:szCs w:val="16"/>
              </w:rPr>
              <w:t>Administrateurs, XB (activités de base : 31,5 mois de travail)</w:t>
            </w:r>
          </w:p>
        </w:tc>
        <w:tc>
          <w:tcPr>
            <w:tcW w:w="1372" w:type="dxa"/>
            <w:shd w:val="clear" w:color="auto" w:fill="auto"/>
            <w:vAlign w:val="bottom"/>
          </w:tcPr>
          <w:p w14:paraId="1FB7C3BD"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519 687</w:t>
            </w:r>
          </w:p>
        </w:tc>
        <w:tc>
          <w:tcPr>
            <w:tcW w:w="1075" w:type="dxa"/>
            <w:shd w:val="clear" w:color="auto" w:fill="auto"/>
            <w:vAlign w:val="bottom"/>
          </w:tcPr>
          <w:p w14:paraId="67DCEEE4" w14:textId="77777777" w:rsidR="00C02224" w:rsidRPr="00046DCD" w:rsidRDefault="00046DCD" w:rsidP="00046DCD">
            <w:pPr>
              <w:suppressAutoHyphens w:val="0"/>
              <w:spacing w:before="40" w:after="40" w:line="220" w:lineRule="exact"/>
              <w:jc w:val="right"/>
              <w:rPr>
                <w:sz w:val="18"/>
                <w:szCs w:val="16"/>
              </w:rPr>
            </w:pPr>
            <w:r>
              <w:rPr>
                <w:sz w:val="18"/>
                <w:szCs w:val="16"/>
              </w:rPr>
              <w:t>-</w:t>
            </w:r>
          </w:p>
        </w:tc>
        <w:tc>
          <w:tcPr>
            <w:tcW w:w="1075" w:type="dxa"/>
            <w:shd w:val="clear" w:color="auto" w:fill="auto"/>
            <w:vAlign w:val="bottom"/>
          </w:tcPr>
          <w:p w14:paraId="21C59ABD"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519 687</w:t>
            </w:r>
          </w:p>
        </w:tc>
      </w:tr>
      <w:tr w:rsidR="00C02224" w:rsidRPr="00046DCD" w14:paraId="314F3534" w14:textId="77777777" w:rsidTr="00046DCD">
        <w:tc>
          <w:tcPr>
            <w:tcW w:w="6115" w:type="dxa"/>
            <w:shd w:val="clear" w:color="auto" w:fill="auto"/>
          </w:tcPr>
          <w:p w14:paraId="5FC02556" w14:textId="77777777" w:rsidR="00C02224" w:rsidRPr="00046DCD" w:rsidRDefault="00C02224" w:rsidP="00046DCD">
            <w:pPr>
              <w:suppressAutoHyphens w:val="0"/>
              <w:spacing w:before="40" w:after="40" w:line="220" w:lineRule="exact"/>
              <w:ind w:left="284"/>
              <w:rPr>
                <w:sz w:val="18"/>
                <w:szCs w:val="16"/>
              </w:rPr>
            </w:pPr>
            <w:r w:rsidRPr="00046DCD">
              <w:rPr>
                <w:sz w:val="18"/>
                <w:szCs w:val="16"/>
              </w:rPr>
              <w:t>Agents des services généraux, XB (activités de base : 12,25 mois de travail)</w:t>
            </w:r>
          </w:p>
        </w:tc>
        <w:tc>
          <w:tcPr>
            <w:tcW w:w="1372" w:type="dxa"/>
            <w:shd w:val="clear" w:color="auto" w:fill="auto"/>
            <w:vAlign w:val="bottom"/>
          </w:tcPr>
          <w:p w14:paraId="69654FB9"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138 425</w:t>
            </w:r>
          </w:p>
        </w:tc>
        <w:tc>
          <w:tcPr>
            <w:tcW w:w="1075" w:type="dxa"/>
            <w:shd w:val="clear" w:color="auto" w:fill="auto"/>
            <w:vAlign w:val="bottom"/>
          </w:tcPr>
          <w:p w14:paraId="6EB0533B" w14:textId="77777777" w:rsidR="00C02224" w:rsidRPr="00046DCD" w:rsidRDefault="00046DCD" w:rsidP="00046DCD">
            <w:pPr>
              <w:suppressAutoHyphens w:val="0"/>
              <w:spacing w:before="40" w:after="40" w:line="220" w:lineRule="exact"/>
              <w:jc w:val="right"/>
              <w:rPr>
                <w:sz w:val="18"/>
                <w:szCs w:val="16"/>
              </w:rPr>
            </w:pPr>
            <w:r>
              <w:rPr>
                <w:sz w:val="18"/>
                <w:szCs w:val="16"/>
              </w:rPr>
              <w:t>-</w:t>
            </w:r>
          </w:p>
        </w:tc>
        <w:tc>
          <w:tcPr>
            <w:tcW w:w="1075" w:type="dxa"/>
            <w:shd w:val="clear" w:color="auto" w:fill="auto"/>
            <w:vAlign w:val="bottom"/>
          </w:tcPr>
          <w:p w14:paraId="7D75F544"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138 425</w:t>
            </w:r>
          </w:p>
        </w:tc>
      </w:tr>
      <w:tr w:rsidR="00C02224" w:rsidRPr="00046DCD" w14:paraId="7837E009" w14:textId="77777777" w:rsidTr="00046DCD">
        <w:tc>
          <w:tcPr>
            <w:tcW w:w="6115" w:type="dxa"/>
            <w:shd w:val="clear" w:color="auto" w:fill="auto"/>
          </w:tcPr>
          <w:p w14:paraId="46B8DD56" w14:textId="77777777" w:rsidR="00C02224" w:rsidRPr="00046DCD" w:rsidRDefault="00C02224" w:rsidP="00046DCD">
            <w:pPr>
              <w:suppressAutoHyphens w:val="0"/>
              <w:spacing w:before="40" w:after="40" w:line="220" w:lineRule="exact"/>
              <w:ind w:left="284"/>
              <w:rPr>
                <w:sz w:val="18"/>
                <w:szCs w:val="16"/>
              </w:rPr>
            </w:pPr>
            <w:r w:rsidRPr="00046DCD">
              <w:rPr>
                <w:sz w:val="18"/>
                <w:szCs w:val="16"/>
              </w:rPr>
              <w:t>Administrateurs, XB (autres activités : 59,5 mois de travail)</w:t>
            </w:r>
          </w:p>
        </w:tc>
        <w:tc>
          <w:tcPr>
            <w:tcW w:w="1372" w:type="dxa"/>
            <w:shd w:val="clear" w:color="auto" w:fill="auto"/>
            <w:vAlign w:val="bottom"/>
          </w:tcPr>
          <w:p w14:paraId="3D101717" w14:textId="77777777" w:rsidR="00C02224" w:rsidRPr="00046DCD" w:rsidRDefault="00046DCD" w:rsidP="00046DCD">
            <w:pPr>
              <w:suppressAutoHyphens w:val="0"/>
              <w:spacing w:before="40" w:after="40" w:line="220" w:lineRule="exact"/>
              <w:jc w:val="right"/>
              <w:rPr>
                <w:sz w:val="18"/>
                <w:szCs w:val="16"/>
              </w:rPr>
            </w:pPr>
            <w:r>
              <w:rPr>
                <w:sz w:val="18"/>
                <w:szCs w:val="16"/>
              </w:rPr>
              <w:t>-</w:t>
            </w:r>
          </w:p>
        </w:tc>
        <w:tc>
          <w:tcPr>
            <w:tcW w:w="1075" w:type="dxa"/>
            <w:shd w:val="clear" w:color="auto" w:fill="auto"/>
            <w:vAlign w:val="bottom"/>
          </w:tcPr>
          <w:p w14:paraId="2D52A7F2"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922 932</w:t>
            </w:r>
          </w:p>
        </w:tc>
        <w:tc>
          <w:tcPr>
            <w:tcW w:w="1075" w:type="dxa"/>
            <w:shd w:val="clear" w:color="auto" w:fill="auto"/>
            <w:vAlign w:val="bottom"/>
          </w:tcPr>
          <w:p w14:paraId="5701B98B"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922 932</w:t>
            </w:r>
          </w:p>
        </w:tc>
      </w:tr>
      <w:tr w:rsidR="00046DCD" w:rsidRPr="00046DCD" w14:paraId="2385B425" w14:textId="77777777" w:rsidTr="00046DCD">
        <w:tc>
          <w:tcPr>
            <w:tcW w:w="6115" w:type="dxa"/>
            <w:tcBorders>
              <w:bottom w:val="single" w:sz="4" w:space="0" w:color="auto"/>
            </w:tcBorders>
            <w:shd w:val="clear" w:color="auto" w:fill="auto"/>
          </w:tcPr>
          <w:p w14:paraId="129AB19C" w14:textId="77777777" w:rsidR="00C02224" w:rsidRPr="00046DCD" w:rsidRDefault="00C02224" w:rsidP="00046DCD">
            <w:pPr>
              <w:suppressAutoHyphens w:val="0"/>
              <w:spacing w:before="40" w:after="40" w:line="220" w:lineRule="exact"/>
              <w:ind w:left="284"/>
              <w:rPr>
                <w:sz w:val="18"/>
                <w:szCs w:val="16"/>
              </w:rPr>
            </w:pPr>
            <w:r w:rsidRPr="00046DCD">
              <w:rPr>
                <w:sz w:val="18"/>
                <w:szCs w:val="16"/>
              </w:rPr>
              <w:t>Agents des services généraux, XB (autres activités : 23 mois de travail)</w:t>
            </w:r>
          </w:p>
        </w:tc>
        <w:tc>
          <w:tcPr>
            <w:tcW w:w="1372" w:type="dxa"/>
            <w:tcBorders>
              <w:bottom w:val="single" w:sz="4" w:space="0" w:color="auto"/>
            </w:tcBorders>
            <w:shd w:val="clear" w:color="auto" w:fill="auto"/>
            <w:vAlign w:val="bottom"/>
          </w:tcPr>
          <w:p w14:paraId="539C565B" w14:textId="77777777" w:rsidR="00C02224" w:rsidRPr="00046DCD" w:rsidRDefault="00046DCD" w:rsidP="00046DCD">
            <w:pPr>
              <w:suppressAutoHyphens w:val="0"/>
              <w:spacing w:before="40" w:after="40" w:line="220" w:lineRule="exact"/>
              <w:jc w:val="right"/>
              <w:rPr>
                <w:sz w:val="18"/>
                <w:szCs w:val="16"/>
              </w:rPr>
            </w:pPr>
            <w:r>
              <w:rPr>
                <w:sz w:val="18"/>
                <w:szCs w:val="16"/>
              </w:rPr>
              <w:t>-</w:t>
            </w:r>
          </w:p>
        </w:tc>
        <w:tc>
          <w:tcPr>
            <w:tcW w:w="1075" w:type="dxa"/>
            <w:tcBorders>
              <w:bottom w:val="single" w:sz="4" w:space="0" w:color="auto"/>
            </w:tcBorders>
            <w:shd w:val="clear" w:color="auto" w:fill="auto"/>
            <w:vAlign w:val="bottom"/>
          </w:tcPr>
          <w:p w14:paraId="2FA9D31A"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259 900</w:t>
            </w:r>
          </w:p>
        </w:tc>
        <w:tc>
          <w:tcPr>
            <w:tcW w:w="1075" w:type="dxa"/>
            <w:tcBorders>
              <w:bottom w:val="single" w:sz="4" w:space="0" w:color="auto"/>
            </w:tcBorders>
            <w:shd w:val="clear" w:color="auto" w:fill="auto"/>
            <w:vAlign w:val="bottom"/>
          </w:tcPr>
          <w:p w14:paraId="21145175" w14:textId="77777777" w:rsidR="00C02224" w:rsidRPr="00046DCD" w:rsidRDefault="00C02224" w:rsidP="00046DCD">
            <w:pPr>
              <w:suppressAutoHyphens w:val="0"/>
              <w:spacing w:before="40" w:after="40" w:line="220" w:lineRule="exact"/>
              <w:jc w:val="right"/>
              <w:rPr>
                <w:sz w:val="18"/>
                <w:szCs w:val="16"/>
              </w:rPr>
            </w:pPr>
            <w:r w:rsidRPr="00046DCD">
              <w:rPr>
                <w:sz w:val="18"/>
                <w:szCs w:val="16"/>
              </w:rPr>
              <w:t>259 900</w:t>
            </w:r>
          </w:p>
        </w:tc>
      </w:tr>
      <w:tr w:rsidR="00C02224" w:rsidRPr="00046DCD" w14:paraId="2150AA70" w14:textId="77777777" w:rsidTr="00046DCD">
        <w:tc>
          <w:tcPr>
            <w:tcW w:w="6115" w:type="dxa"/>
            <w:tcBorders>
              <w:top w:val="single" w:sz="4" w:space="0" w:color="auto"/>
              <w:bottom w:val="single" w:sz="12" w:space="0" w:color="auto"/>
            </w:tcBorders>
            <w:shd w:val="clear" w:color="auto" w:fill="auto"/>
          </w:tcPr>
          <w:p w14:paraId="5B5CC396" w14:textId="77777777" w:rsidR="00C02224" w:rsidRPr="00046DCD" w:rsidRDefault="00C02224" w:rsidP="00046DCD">
            <w:pPr>
              <w:suppressAutoHyphens w:val="0"/>
              <w:spacing w:before="80" w:after="80" w:line="220" w:lineRule="exact"/>
              <w:ind w:left="283"/>
              <w:rPr>
                <w:b/>
                <w:sz w:val="18"/>
                <w:szCs w:val="16"/>
              </w:rPr>
            </w:pPr>
            <w:r w:rsidRPr="00046DCD">
              <w:rPr>
                <w:b/>
                <w:bCs/>
                <w:sz w:val="18"/>
                <w:szCs w:val="16"/>
              </w:rPr>
              <w:t>Total</w:t>
            </w:r>
          </w:p>
        </w:tc>
        <w:tc>
          <w:tcPr>
            <w:tcW w:w="1372" w:type="dxa"/>
            <w:tcBorders>
              <w:top w:val="single" w:sz="4" w:space="0" w:color="auto"/>
              <w:bottom w:val="single" w:sz="12" w:space="0" w:color="auto"/>
            </w:tcBorders>
            <w:shd w:val="clear" w:color="auto" w:fill="auto"/>
            <w:vAlign w:val="bottom"/>
          </w:tcPr>
          <w:p w14:paraId="10C82AA9" w14:textId="77777777" w:rsidR="00C02224" w:rsidRPr="00046DCD" w:rsidRDefault="00C02224" w:rsidP="00046DCD">
            <w:pPr>
              <w:suppressAutoHyphens w:val="0"/>
              <w:spacing w:before="80" w:after="80" w:line="220" w:lineRule="exact"/>
              <w:jc w:val="right"/>
              <w:rPr>
                <w:b/>
                <w:sz w:val="18"/>
                <w:szCs w:val="16"/>
              </w:rPr>
            </w:pPr>
            <w:r w:rsidRPr="00046DCD">
              <w:rPr>
                <w:b/>
                <w:bCs/>
                <w:sz w:val="18"/>
                <w:szCs w:val="16"/>
              </w:rPr>
              <w:t>1 041 112</w:t>
            </w:r>
          </w:p>
        </w:tc>
        <w:tc>
          <w:tcPr>
            <w:tcW w:w="1075" w:type="dxa"/>
            <w:tcBorders>
              <w:top w:val="single" w:sz="4" w:space="0" w:color="auto"/>
              <w:bottom w:val="single" w:sz="12" w:space="0" w:color="auto"/>
            </w:tcBorders>
            <w:shd w:val="clear" w:color="auto" w:fill="auto"/>
            <w:vAlign w:val="bottom"/>
          </w:tcPr>
          <w:p w14:paraId="6A194EB6" w14:textId="77777777" w:rsidR="00C02224" w:rsidRPr="00046DCD" w:rsidRDefault="00C02224" w:rsidP="00046DCD">
            <w:pPr>
              <w:suppressAutoHyphens w:val="0"/>
              <w:spacing w:before="80" w:after="80" w:line="220" w:lineRule="exact"/>
              <w:jc w:val="right"/>
              <w:rPr>
                <w:b/>
                <w:sz w:val="18"/>
                <w:szCs w:val="16"/>
              </w:rPr>
            </w:pPr>
            <w:r w:rsidRPr="00046DCD">
              <w:rPr>
                <w:b/>
                <w:bCs/>
                <w:sz w:val="18"/>
                <w:szCs w:val="16"/>
              </w:rPr>
              <w:t>2 252 832</w:t>
            </w:r>
          </w:p>
        </w:tc>
        <w:tc>
          <w:tcPr>
            <w:tcW w:w="1075" w:type="dxa"/>
            <w:tcBorders>
              <w:top w:val="single" w:sz="4" w:space="0" w:color="auto"/>
              <w:bottom w:val="single" w:sz="12" w:space="0" w:color="auto"/>
            </w:tcBorders>
            <w:shd w:val="clear" w:color="auto" w:fill="auto"/>
            <w:vAlign w:val="bottom"/>
          </w:tcPr>
          <w:p w14:paraId="67ED9A98" w14:textId="77777777" w:rsidR="00C02224" w:rsidRPr="00046DCD" w:rsidRDefault="00C02224" w:rsidP="00046DCD">
            <w:pPr>
              <w:suppressAutoHyphens w:val="0"/>
              <w:spacing w:before="80" w:after="80" w:line="220" w:lineRule="exact"/>
              <w:jc w:val="right"/>
              <w:rPr>
                <w:b/>
                <w:sz w:val="18"/>
                <w:szCs w:val="16"/>
              </w:rPr>
            </w:pPr>
            <w:r w:rsidRPr="00046DCD">
              <w:rPr>
                <w:b/>
                <w:bCs/>
                <w:sz w:val="18"/>
                <w:szCs w:val="16"/>
              </w:rPr>
              <w:t>3 293 944</w:t>
            </w:r>
            <w:r w:rsidRPr="00046DCD">
              <w:rPr>
                <w:b/>
                <w:sz w:val="18"/>
                <w:szCs w:val="16"/>
              </w:rPr>
              <w:t xml:space="preserve"> </w:t>
            </w:r>
          </w:p>
        </w:tc>
      </w:tr>
    </w:tbl>
    <w:p w14:paraId="2EA74FC6" w14:textId="77777777" w:rsidR="00C02224" w:rsidRPr="00DC302B" w:rsidRDefault="00C02224" w:rsidP="00DC302B">
      <w:pPr>
        <w:spacing w:before="120" w:line="220" w:lineRule="exact"/>
        <w:ind w:firstLine="170"/>
        <w:rPr>
          <w:sz w:val="18"/>
          <w:szCs w:val="18"/>
        </w:rPr>
      </w:pPr>
      <w:r w:rsidRPr="00DC302B">
        <w:rPr>
          <w:i/>
          <w:iCs/>
          <w:sz w:val="18"/>
          <w:szCs w:val="18"/>
        </w:rPr>
        <w:t>Note :</w:t>
      </w:r>
      <w:r w:rsidRPr="00DC302B">
        <w:rPr>
          <w:sz w:val="18"/>
          <w:szCs w:val="18"/>
        </w:rPr>
        <w:t xml:space="preserve"> Un poste d’administrateur ou d’agent des services généraux émargeant au budget ordinaire équivaut à </w:t>
      </w:r>
      <w:r w:rsidR="00046DCD" w:rsidRPr="00DC302B">
        <w:rPr>
          <w:sz w:val="18"/>
          <w:szCs w:val="18"/>
        </w:rPr>
        <w:t xml:space="preserve">vingt et un </w:t>
      </w:r>
      <w:r w:rsidRPr="00DC302B">
        <w:rPr>
          <w:sz w:val="18"/>
          <w:szCs w:val="18"/>
        </w:rPr>
        <w:t xml:space="preserve">mois de travail par période biennale, tandis que dans le cas des postes financés au moyen de ressources extrabudgétaires, il faut compter </w:t>
      </w:r>
      <w:r w:rsidR="00046DCD" w:rsidRPr="00DC302B">
        <w:rPr>
          <w:sz w:val="18"/>
          <w:szCs w:val="18"/>
        </w:rPr>
        <w:t xml:space="preserve">vingt-quatre </w:t>
      </w:r>
      <w:r w:rsidRPr="00DC302B">
        <w:rPr>
          <w:sz w:val="18"/>
          <w:szCs w:val="18"/>
        </w:rPr>
        <w:t xml:space="preserve">mois par poste et par période biennale. L’estimation des ressources nécessaires pour financer les dépenses de personnel se fonde sur les taux standards de l’ONU. La mise en œuvre du plan de travail nécessitera un financement extrabudgétaire </w:t>
      </w:r>
      <w:r w:rsidRPr="00DC302B">
        <w:rPr>
          <w:sz w:val="18"/>
          <w:szCs w:val="18"/>
        </w:rPr>
        <w:lastRenderedPageBreak/>
        <w:t>supplémentaire pour couvrir environ 3,5 à 4 postes d’administrateur et 1 poste d’assistant aux programmes (agent des services généraux), en fonction des activités du plan de travail (de base et autres) qui sont financées.</w:t>
      </w:r>
    </w:p>
    <w:p w14:paraId="63AC2489" w14:textId="77777777" w:rsidR="00C02224" w:rsidRPr="00DC302B" w:rsidRDefault="00C02224" w:rsidP="00DC302B">
      <w:pPr>
        <w:spacing w:after="240" w:line="220" w:lineRule="exact"/>
        <w:ind w:firstLine="170"/>
        <w:rPr>
          <w:sz w:val="18"/>
          <w:szCs w:val="18"/>
        </w:rPr>
      </w:pPr>
      <w:proofErr w:type="gramStart"/>
      <w:r w:rsidRPr="00DC302B">
        <w:rPr>
          <w:i/>
          <w:iCs/>
          <w:sz w:val="18"/>
          <w:szCs w:val="18"/>
          <w:vertAlign w:val="superscript"/>
        </w:rPr>
        <w:t>a</w:t>
      </w:r>
      <w:r w:rsidRPr="00DC302B">
        <w:rPr>
          <w:sz w:val="18"/>
          <w:szCs w:val="18"/>
        </w:rPr>
        <w:t xml:space="preserve">  Financé</w:t>
      </w:r>
      <w:proofErr w:type="gramEnd"/>
      <w:r w:rsidRPr="00DC302B">
        <w:rPr>
          <w:sz w:val="18"/>
          <w:szCs w:val="18"/>
        </w:rPr>
        <w:t xml:space="preserve"> par le budget ordinaire de l’ONU. Le titulaire du poste d’administrateur financé par le budget ordinaire est responsable de la supervision du groupe de la sécurité industrielle, du secrétariat de la Convention et de la mise en œuvre du plan de travail (activités de base et autres activités).</w:t>
      </w:r>
    </w:p>
    <w:p w14:paraId="5E029228" w14:textId="77777777" w:rsidR="00C02224" w:rsidRPr="005417E7" w:rsidRDefault="00C02224" w:rsidP="00C02224">
      <w:pPr>
        <w:pStyle w:val="Heading1"/>
        <w:ind w:left="0"/>
        <w:rPr>
          <w:b/>
        </w:rPr>
      </w:pPr>
      <w:r w:rsidRPr="005417E7">
        <w:t>Tableau 3</w:t>
      </w:r>
    </w:p>
    <w:p w14:paraId="23ADE213" w14:textId="77777777" w:rsidR="00C02224" w:rsidRPr="005417E7" w:rsidRDefault="00C02224" w:rsidP="00C02224">
      <w:pPr>
        <w:pStyle w:val="SingleTxtG"/>
        <w:keepNext/>
        <w:ind w:left="0"/>
        <w:jc w:val="left"/>
        <w:rPr>
          <w:b/>
          <w:bCs/>
        </w:rPr>
      </w:pPr>
      <w:r w:rsidRPr="005417E7">
        <w:rPr>
          <w:b/>
          <w:bCs/>
        </w:rPr>
        <w:t>Activités dont l’exécution au cours de la période précédant la douzième réunion de la Conférence des Parties nécessiterait des Parties chefs de file et des ressources supplémentaires</w:t>
      </w:r>
    </w:p>
    <w:tbl>
      <w:tblPr>
        <w:tblW w:w="9637" w:type="dxa"/>
        <w:tblLayout w:type="fixed"/>
        <w:tblCellMar>
          <w:left w:w="0" w:type="dxa"/>
          <w:right w:w="0" w:type="dxa"/>
        </w:tblCellMar>
        <w:tblLook w:val="01E0" w:firstRow="1" w:lastRow="1" w:firstColumn="1" w:lastColumn="1" w:noHBand="0" w:noVBand="0"/>
      </w:tblPr>
      <w:tblGrid>
        <w:gridCol w:w="2268"/>
        <w:gridCol w:w="5725"/>
        <w:gridCol w:w="1644"/>
      </w:tblGrid>
      <w:tr w:rsidR="00C02224" w:rsidRPr="00046DCD" w14:paraId="003AF9C9" w14:textId="77777777" w:rsidTr="00CA1F0A">
        <w:trPr>
          <w:tblHeader/>
        </w:trPr>
        <w:tc>
          <w:tcPr>
            <w:tcW w:w="2268" w:type="dxa"/>
            <w:tcBorders>
              <w:top w:val="single" w:sz="4" w:space="0" w:color="auto"/>
              <w:bottom w:val="single" w:sz="12" w:space="0" w:color="auto"/>
            </w:tcBorders>
            <w:shd w:val="clear" w:color="auto" w:fill="auto"/>
            <w:vAlign w:val="bottom"/>
          </w:tcPr>
          <w:p w14:paraId="60C6A8B3" w14:textId="77777777" w:rsidR="00C02224" w:rsidRPr="00046DCD" w:rsidRDefault="00C02224" w:rsidP="00046DCD">
            <w:pPr>
              <w:suppressAutoHyphens w:val="0"/>
              <w:spacing w:before="80" w:after="80" w:line="200" w:lineRule="exact"/>
              <w:rPr>
                <w:i/>
                <w:sz w:val="16"/>
              </w:rPr>
            </w:pPr>
            <w:r w:rsidRPr="00046DCD">
              <w:rPr>
                <w:i/>
                <w:sz w:val="16"/>
              </w:rPr>
              <w:t xml:space="preserve">Domaine </w:t>
            </w:r>
          </w:p>
        </w:tc>
        <w:tc>
          <w:tcPr>
            <w:tcW w:w="5725" w:type="dxa"/>
            <w:tcBorders>
              <w:top w:val="single" w:sz="4" w:space="0" w:color="auto"/>
              <w:bottom w:val="single" w:sz="12" w:space="0" w:color="auto"/>
            </w:tcBorders>
            <w:shd w:val="clear" w:color="auto" w:fill="auto"/>
            <w:vAlign w:val="bottom"/>
          </w:tcPr>
          <w:p w14:paraId="4042C4E7" w14:textId="77777777" w:rsidR="00C02224" w:rsidRPr="00046DCD" w:rsidRDefault="00C02224" w:rsidP="00046DCD">
            <w:pPr>
              <w:suppressAutoHyphens w:val="0"/>
              <w:spacing w:before="80" w:after="80" w:line="200" w:lineRule="exact"/>
              <w:rPr>
                <w:i/>
                <w:sz w:val="16"/>
              </w:rPr>
            </w:pPr>
            <w:r w:rsidRPr="00046DCD">
              <w:rPr>
                <w:i/>
                <w:sz w:val="16"/>
              </w:rPr>
              <w:t>Activités et pays chefs de file/d’appui</w:t>
            </w:r>
          </w:p>
        </w:tc>
        <w:tc>
          <w:tcPr>
            <w:tcW w:w="1644" w:type="dxa"/>
            <w:tcBorders>
              <w:top w:val="single" w:sz="4" w:space="0" w:color="auto"/>
              <w:bottom w:val="single" w:sz="12" w:space="0" w:color="auto"/>
            </w:tcBorders>
            <w:shd w:val="clear" w:color="auto" w:fill="auto"/>
            <w:vAlign w:val="bottom"/>
          </w:tcPr>
          <w:p w14:paraId="5C889EA5" w14:textId="77777777" w:rsidR="00C02224" w:rsidRPr="00046DCD" w:rsidRDefault="00C02224" w:rsidP="00046DCD">
            <w:pPr>
              <w:suppressAutoHyphens w:val="0"/>
              <w:spacing w:before="80" w:after="80" w:line="200" w:lineRule="exact"/>
              <w:jc w:val="right"/>
              <w:rPr>
                <w:i/>
                <w:sz w:val="16"/>
              </w:rPr>
            </w:pPr>
            <w:r w:rsidRPr="00046DCD">
              <w:rPr>
                <w:i/>
                <w:sz w:val="16"/>
              </w:rPr>
              <w:t>Ressources financières extrabudgétaires (en</w:t>
            </w:r>
            <w:r w:rsidR="00CA1F0A">
              <w:rPr>
                <w:i/>
                <w:sz w:val="16"/>
              </w:rPr>
              <w:t> </w:t>
            </w:r>
            <w:r w:rsidRPr="00046DCD">
              <w:rPr>
                <w:i/>
                <w:sz w:val="16"/>
              </w:rPr>
              <w:t xml:space="preserve">espèces et en nature, en dollars É.-U.) </w:t>
            </w:r>
          </w:p>
        </w:tc>
      </w:tr>
      <w:tr w:rsidR="00C02224" w:rsidRPr="00046DCD" w14:paraId="6A247A04" w14:textId="77777777" w:rsidTr="00CA1F0A">
        <w:tc>
          <w:tcPr>
            <w:tcW w:w="2268" w:type="dxa"/>
            <w:shd w:val="clear" w:color="auto" w:fill="auto"/>
          </w:tcPr>
          <w:p w14:paraId="718D3F53" w14:textId="77777777" w:rsidR="00C02224" w:rsidRPr="00046DCD" w:rsidDel="00B06FB9" w:rsidRDefault="00C02224" w:rsidP="00046DCD">
            <w:pPr>
              <w:suppressAutoHyphens w:val="0"/>
              <w:spacing w:before="40" w:after="40" w:line="220" w:lineRule="exact"/>
              <w:rPr>
                <w:i/>
                <w:iCs/>
                <w:sz w:val="18"/>
                <w:szCs w:val="16"/>
              </w:rPr>
            </w:pPr>
            <w:r w:rsidRPr="00046DCD">
              <w:rPr>
                <w:i/>
                <w:iCs/>
                <w:sz w:val="18"/>
                <w:szCs w:val="16"/>
              </w:rPr>
              <w:t>Programme d’aide et de</w:t>
            </w:r>
            <w:r w:rsidR="00046DCD">
              <w:rPr>
                <w:i/>
                <w:iCs/>
                <w:sz w:val="18"/>
                <w:szCs w:val="16"/>
              </w:rPr>
              <w:t> </w:t>
            </w:r>
            <w:r w:rsidRPr="00046DCD">
              <w:rPr>
                <w:i/>
                <w:iCs/>
                <w:sz w:val="18"/>
                <w:szCs w:val="16"/>
              </w:rPr>
              <w:t>coopération/facilitation de</w:t>
            </w:r>
            <w:r w:rsidR="00046DCD">
              <w:rPr>
                <w:i/>
                <w:iCs/>
                <w:sz w:val="18"/>
                <w:szCs w:val="16"/>
              </w:rPr>
              <w:t> </w:t>
            </w:r>
            <w:r w:rsidRPr="00046DCD">
              <w:rPr>
                <w:i/>
                <w:iCs/>
                <w:sz w:val="18"/>
                <w:szCs w:val="16"/>
              </w:rPr>
              <w:t>l’application</w:t>
            </w:r>
          </w:p>
        </w:tc>
        <w:tc>
          <w:tcPr>
            <w:tcW w:w="5725" w:type="dxa"/>
            <w:shd w:val="clear" w:color="auto" w:fill="auto"/>
            <w:vAlign w:val="bottom"/>
          </w:tcPr>
          <w:p w14:paraId="52C352E8" w14:textId="77777777" w:rsidR="00C02224" w:rsidRPr="00046DCD" w:rsidRDefault="00C02224" w:rsidP="00046DCD">
            <w:pPr>
              <w:suppressAutoHyphens w:val="0"/>
              <w:spacing w:before="40" w:after="40" w:line="220" w:lineRule="exact"/>
              <w:rPr>
                <w:sz w:val="18"/>
                <w:szCs w:val="16"/>
              </w:rPr>
            </w:pPr>
            <w:r w:rsidRPr="00046DCD">
              <w:rPr>
                <w:sz w:val="18"/>
                <w:szCs w:val="16"/>
              </w:rPr>
              <w:t>Phase II du projet relatif au delta du Danube (y compris l’achèvement du plan d’urgence commun, les exercices et l’élaboration d’un protocole entre les trois pays concernés)</w:t>
            </w:r>
          </w:p>
        </w:tc>
        <w:tc>
          <w:tcPr>
            <w:tcW w:w="1644" w:type="dxa"/>
            <w:shd w:val="clear" w:color="auto" w:fill="auto"/>
          </w:tcPr>
          <w:p w14:paraId="2A506AF8" w14:textId="77777777" w:rsidR="00C02224" w:rsidRPr="00046DCD" w:rsidRDefault="00C02224" w:rsidP="00CA1F0A">
            <w:pPr>
              <w:suppressAutoHyphens w:val="0"/>
              <w:spacing w:before="40" w:after="40" w:line="220" w:lineRule="exact"/>
              <w:jc w:val="right"/>
              <w:rPr>
                <w:sz w:val="18"/>
                <w:szCs w:val="16"/>
              </w:rPr>
            </w:pPr>
            <w:r w:rsidRPr="00046DCD">
              <w:rPr>
                <w:sz w:val="18"/>
                <w:szCs w:val="16"/>
              </w:rPr>
              <w:t>600 000</w:t>
            </w:r>
          </w:p>
        </w:tc>
      </w:tr>
      <w:tr w:rsidR="00046DCD" w:rsidRPr="00046DCD" w14:paraId="79830C25" w14:textId="77777777" w:rsidTr="00CA1F0A">
        <w:tc>
          <w:tcPr>
            <w:tcW w:w="2268" w:type="dxa"/>
            <w:shd w:val="clear" w:color="auto" w:fill="auto"/>
          </w:tcPr>
          <w:p w14:paraId="1469E810"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3DF863E9"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chefs de file/d’appui</w:t>
            </w:r>
            <w:r w:rsidRPr="00046DCD">
              <w:rPr>
                <w:sz w:val="18"/>
                <w:szCs w:val="16"/>
              </w:rPr>
              <w:t> : République de Moldova, Roumanie et Ukraine, [avec un soutien financier à déterminer]</w:t>
            </w:r>
          </w:p>
        </w:tc>
        <w:tc>
          <w:tcPr>
            <w:tcW w:w="1644" w:type="dxa"/>
            <w:shd w:val="clear" w:color="auto" w:fill="auto"/>
          </w:tcPr>
          <w:p w14:paraId="7D1DC106" w14:textId="77777777" w:rsidR="00046DCD" w:rsidRPr="00046DCD" w:rsidRDefault="00046DCD" w:rsidP="00DC302B">
            <w:pPr>
              <w:suppressAutoHyphens w:val="0"/>
              <w:spacing w:before="40" w:after="80" w:line="220" w:lineRule="exact"/>
              <w:jc w:val="right"/>
              <w:rPr>
                <w:sz w:val="18"/>
                <w:szCs w:val="16"/>
              </w:rPr>
            </w:pPr>
          </w:p>
        </w:tc>
      </w:tr>
      <w:tr w:rsidR="00C02224" w:rsidRPr="00046DCD" w14:paraId="4DAF57C5" w14:textId="77777777" w:rsidTr="00CA1F0A">
        <w:tc>
          <w:tcPr>
            <w:tcW w:w="2268" w:type="dxa"/>
            <w:shd w:val="clear" w:color="auto" w:fill="auto"/>
          </w:tcPr>
          <w:p w14:paraId="3375E925" w14:textId="77777777" w:rsidR="00C02224" w:rsidRPr="00046DCD" w:rsidRDefault="00C02224" w:rsidP="00046DCD">
            <w:pPr>
              <w:suppressAutoHyphens w:val="0"/>
              <w:spacing w:before="40" w:after="40" w:line="220" w:lineRule="exact"/>
              <w:rPr>
                <w:i/>
                <w:iCs/>
                <w:sz w:val="18"/>
                <w:szCs w:val="16"/>
              </w:rPr>
            </w:pPr>
          </w:p>
        </w:tc>
        <w:tc>
          <w:tcPr>
            <w:tcW w:w="5725" w:type="dxa"/>
            <w:shd w:val="clear" w:color="auto" w:fill="auto"/>
            <w:vAlign w:val="bottom"/>
          </w:tcPr>
          <w:p w14:paraId="4D7DF41A" w14:textId="77777777" w:rsidR="00C02224" w:rsidRPr="00046DCD" w:rsidRDefault="00C02224" w:rsidP="00046DCD">
            <w:pPr>
              <w:suppressAutoHyphens w:val="0"/>
              <w:spacing w:before="40" w:after="40" w:line="220" w:lineRule="exact"/>
              <w:rPr>
                <w:sz w:val="18"/>
                <w:szCs w:val="16"/>
              </w:rPr>
            </w:pPr>
            <w:r w:rsidRPr="00046DCD">
              <w:rPr>
                <w:sz w:val="18"/>
                <w:szCs w:val="16"/>
              </w:rPr>
              <w:t>Projet de dialogues sur les politiques nationales relatives à la sécurité industrielle en Europe du Sud-Est</w:t>
            </w:r>
          </w:p>
        </w:tc>
        <w:tc>
          <w:tcPr>
            <w:tcW w:w="1644" w:type="dxa"/>
            <w:shd w:val="clear" w:color="auto" w:fill="auto"/>
          </w:tcPr>
          <w:p w14:paraId="740A641B" w14:textId="77777777" w:rsidR="00C02224" w:rsidRPr="00046DCD" w:rsidRDefault="00C02224" w:rsidP="00CA1F0A">
            <w:pPr>
              <w:suppressAutoHyphens w:val="0"/>
              <w:spacing w:before="40" w:after="40" w:line="220" w:lineRule="exact"/>
              <w:jc w:val="right"/>
              <w:rPr>
                <w:sz w:val="18"/>
                <w:szCs w:val="16"/>
              </w:rPr>
            </w:pPr>
            <w:r w:rsidRPr="00046DCD">
              <w:rPr>
                <w:sz w:val="18"/>
                <w:szCs w:val="16"/>
              </w:rPr>
              <w:t>500 000</w:t>
            </w:r>
          </w:p>
        </w:tc>
      </w:tr>
      <w:tr w:rsidR="00046DCD" w:rsidRPr="00046DCD" w14:paraId="1032ABC3" w14:textId="77777777" w:rsidTr="00CA1F0A">
        <w:tc>
          <w:tcPr>
            <w:tcW w:w="2268" w:type="dxa"/>
            <w:shd w:val="clear" w:color="auto" w:fill="auto"/>
          </w:tcPr>
          <w:p w14:paraId="5AC6F310"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1D678621"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chefs de file/d’appui</w:t>
            </w:r>
            <w:r w:rsidRPr="00046DCD">
              <w:rPr>
                <w:sz w:val="18"/>
                <w:szCs w:val="16"/>
              </w:rPr>
              <w:t> : Serbie [et d’autres pays d’Europe du Sud-Est, avec un soutien financier à déterminer, et en coopération avec l’OCDE]</w:t>
            </w:r>
          </w:p>
        </w:tc>
        <w:tc>
          <w:tcPr>
            <w:tcW w:w="1644" w:type="dxa"/>
            <w:shd w:val="clear" w:color="auto" w:fill="auto"/>
          </w:tcPr>
          <w:p w14:paraId="2791673F" w14:textId="77777777" w:rsidR="00046DCD" w:rsidRPr="00046DCD" w:rsidRDefault="00046DCD" w:rsidP="00DC302B">
            <w:pPr>
              <w:suppressAutoHyphens w:val="0"/>
              <w:spacing w:before="40" w:after="80" w:line="220" w:lineRule="exact"/>
              <w:jc w:val="right"/>
              <w:rPr>
                <w:sz w:val="18"/>
                <w:szCs w:val="16"/>
              </w:rPr>
            </w:pPr>
          </w:p>
        </w:tc>
      </w:tr>
      <w:tr w:rsidR="00C02224" w:rsidRPr="00046DCD" w14:paraId="5388B47A" w14:textId="77777777" w:rsidTr="00CA1F0A">
        <w:tc>
          <w:tcPr>
            <w:tcW w:w="2268" w:type="dxa"/>
            <w:shd w:val="clear" w:color="auto" w:fill="auto"/>
          </w:tcPr>
          <w:p w14:paraId="02F42372" w14:textId="77777777" w:rsidR="00C02224" w:rsidRPr="00046DCD" w:rsidRDefault="00C02224" w:rsidP="00046DCD">
            <w:pPr>
              <w:suppressAutoHyphens w:val="0"/>
              <w:spacing w:before="40" w:after="40" w:line="220" w:lineRule="exact"/>
              <w:rPr>
                <w:i/>
                <w:iCs/>
                <w:sz w:val="18"/>
                <w:szCs w:val="16"/>
              </w:rPr>
            </w:pPr>
          </w:p>
        </w:tc>
        <w:tc>
          <w:tcPr>
            <w:tcW w:w="5725" w:type="dxa"/>
            <w:shd w:val="clear" w:color="auto" w:fill="auto"/>
            <w:vAlign w:val="bottom"/>
          </w:tcPr>
          <w:p w14:paraId="6B008A74" w14:textId="77777777" w:rsidR="00C02224" w:rsidRPr="00046DCD" w:rsidRDefault="00C02224" w:rsidP="00046DCD">
            <w:pPr>
              <w:suppressAutoHyphens w:val="0"/>
              <w:spacing w:before="40" w:after="40" w:line="220" w:lineRule="exact"/>
              <w:rPr>
                <w:sz w:val="18"/>
                <w:szCs w:val="16"/>
              </w:rPr>
            </w:pPr>
            <w:r w:rsidRPr="00046DCD">
              <w:rPr>
                <w:sz w:val="18"/>
                <w:szCs w:val="16"/>
              </w:rPr>
              <w:t>Projet de dialogues sur les politiques nationales relatives à la sécurité industrielle en Europe orientale et dans le Caucase</w:t>
            </w:r>
          </w:p>
        </w:tc>
        <w:tc>
          <w:tcPr>
            <w:tcW w:w="1644" w:type="dxa"/>
            <w:shd w:val="clear" w:color="auto" w:fill="auto"/>
          </w:tcPr>
          <w:p w14:paraId="0ECC6D45" w14:textId="77777777" w:rsidR="00C02224" w:rsidRPr="00046DCD" w:rsidRDefault="00C02224" w:rsidP="00CA1F0A">
            <w:pPr>
              <w:suppressAutoHyphens w:val="0"/>
              <w:spacing w:before="40" w:after="40" w:line="220" w:lineRule="exact"/>
              <w:jc w:val="right"/>
              <w:rPr>
                <w:sz w:val="18"/>
                <w:szCs w:val="16"/>
              </w:rPr>
            </w:pPr>
            <w:r w:rsidRPr="00046DCD">
              <w:rPr>
                <w:sz w:val="18"/>
                <w:szCs w:val="16"/>
              </w:rPr>
              <w:t>600 000</w:t>
            </w:r>
          </w:p>
        </w:tc>
      </w:tr>
      <w:tr w:rsidR="00046DCD" w:rsidRPr="00046DCD" w14:paraId="658CE192" w14:textId="77777777" w:rsidTr="00CA1F0A">
        <w:tc>
          <w:tcPr>
            <w:tcW w:w="2268" w:type="dxa"/>
            <w:shd w:val="clear" w:color="auto" w:fill="auto"/>
          </w:tcPr>
          <w:p w14:paraId="3E807FF1"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62B90F4C"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chefs de file/d’appui</w:t>
            </w:r>
            <w:r w:rsidRPr="00046DCD">
              <w:rPr>
                <w:sz w:val="18"/>
                <w:szCs w:val="16"/>
              </w:rPr>
              <w:t> : Azerbaïdjan et République de Moldova, [avec un soutien financier à déterminer, et en coopération avec l’OCDE]</w:t>
            </w:r>
          </w:p>
        </w:tc>
        <w:tc>
          <w:tcPr>
            <w:tcW w:w="1644" w:type="dxa"/>
            <w:shd w:val="clear" w:color="auto" w:fill="auto"/>
          </w:tcPr>
          <w:p w14:paraId="708CD323" w14:textId="77777777" w:rsidR="00046DCD" w:rsidRPr="00046DCD" w:rsidRDefault="00046DCD" w:rsidP="00DC302B">
            <w:pPr>
              <w:suppressAutoHyphens w:val="0"/>
              <w:spacing w:before="40" w:after="80" w:line="220" w:lineRule="exact"/>
              <w:jc w:val="right"/>
              <w:rPr>
                <w:sz w:val="18"/>
                <w:szCs w:val="16"/>
              </w:rPr>
            </w:pPr>
          </w:p>
        </w:tc>
      </w:tr>
      <w:tr w:rsidR="00046DCD" w:rsidRPr="00046DCD" w14:paraId="7699155A" w14:textId="77777777" w:rsidTr="00CA1F0A">
        <w:tc>
          <w:tcPr>
            <w:tcW w:w="2268" w:type="dxa"/>
            <w:shd w:val="clear" w:color="auto" w:fill="auto"/>
          </w:tcPr>
          <w:p w14:paraId="68B6819E" w14:textId="77777777" w:rsidR="00046DCD" w:rsidRPr="00046DCD" w:rsidRDefault="00046DCD" w:rsidP="00046DCD">
            <w:pPr>
              <w:suppressAutoHyphens w:val="0"/>
              <w:spacing w:before="40" w:after="40" w:line="220" w:lineRule="exact"/>
              <w:rPr>
                <w:i/>
                <w:iCs/>
                <w:sz w:val="18"/>
                <w:szCs w:val="16"/>
              </w:rPr>
            </w:pPr>
          </w:p>
        </w:tc>
        <w:tc>
          <w:tcPr>
            <w:tcW w:w="5725" w:type="dxa"/>
            <w:shd w:val="clear" w:color="auto" w:fill="auto"/>
            <w:vAlign w:val="bottom"/>
          </w:tcPr>
          <w:p w14:paraId="3C977399" w14:textId="77777777" w:rsidR="00046DCD" w:rsidRPr="00046DCD" w:rsidRDefault="00046DCD" w:rsidP="00046DCD">
            <w:pPr>
              <w:suppressAutoHyphens w:val="0"/>
              <w:spacing w:before="40" w:after="40" w:line="220" w:lineRule="exact"/>
              <w:rPr>
                <w:sz w:val="18"/>
                <w:szCs w:val="16"/>
              </w:rPr>
            </w:pPr>
            <w:r w:rsidRPr="00046DCD">
              <w:rPr>
                <w:sz w:val="18"/>
                <w:szCs w:val="16"/>
              </w:rPr>
              <w:t xml:space="preserve">Projet de renforcement de la gestion des risques d’accident </w:t>
            </w:r>
            <w:proofErr w:type="spellStart"/>
            <w:r w:rsidRPr="00046DCD">
              <w:rPr>
                <w:sz w:val="18"/>
                <w:szCs w:val="16"/>
              </w:rPr>
              <w:t>NaTech</w:t>
            </w:r>
            <w:proofErr w:type="spellEnd"/>
            <w:r w:rsidRPr="00046DCD">
              <w:rPr>
                <w:sz w:val="18"/>
                <w:szCs w:val="16"/>
              </w:rPr>
              <w:t xml:space="preserve"> en Asie centrale, qui pourrait par exemple comprendre l’élaboration et la mise en œuvre de directives ciblées, en coopération avec des organisations partenaires telles que la Convention sur l’eau de la CEE et le Groupe conjoint PNUE/OCHA sur l’environnement</w:t>
            </w:r>
          </w:p>
        </w:tc>
        <w:tc>
          <w:tcPr>
            <w:tcW w:w="1644" w:type="dxa"/>
            <w:shd w:val="clear" w:color="auto" w:fill="auto"/>
          </w:tcPr>
          <w:p w14:paraId="193A8F53" w14:textId="77777777" w:rsidR="00046DCD" w:rsidRPr="00046DCD" w:rsidRDefault="00046DCD" w:rsidP="00CA1F0A">
            <w:pPr>
              <w:suppressAutoHyphens w:val="0"/>
              <w:spacing w:before="40" w:after="40" w:line="220" w:lineRule="exact"/>
              <w:jc w:val="right"/>
              <w:rPr>
                <w:sz w:val="18"/>
                <w:szCs w:val="16"/>
              </w:rPr>
            </w:pPr>
            <w:r w:rsidRPr="00046DCD">
              <w:rPr>
                <w:sz w:val="18"/>
                <w:szCs w:val="16"/>
              </w:rPr>
              <w:t>500 000</w:t>
            </w:r>
          </w:p>
        </w:tc>
      </w:tr>
      <w:tr w:rsidR="00046DCD" w:rsidRPr="00046DCD" w14:paraId="45A2ABC2" w14:textId="77777777" w:rsidTr="00CA1F0A">
        <w:tc>
          <w:tcPr>
            <w:tcW w:w="2268" w:type="dxa"/>
            <w:shd w:val="clear" w:color="auto" w:fill="auto"/>
          </w:tcPr>
          <w:p w14:paraId="69D5125B" w14:textId="77777777" w:rsidR="00046DCD" w:rsidRPr="00046DCD" w:rsidRDefault="00046DCD" w:rsidP="00046DCD">
            <w:pPr>
              <w:suppressAutoHyphens w:val="0"/>
              <w:spacing w:before="40" w:after="40" w:line="220" w:lineRule="exact"/>
              <w:rPr>
                <w:i/>
                <w:iCs/>
                <w:sz w:val="18"/>
                <w:szCs w:val="16"/>
              </w:rPr>
            </w:pPr>
          </w:p>
        </w:tc>
        <w:tc>
          <w:tcPr>
            <w:tcW w:w="5725" w:type="dxa"/>
            <w:shd w:val="clear" w:color="auto" w:fill="auto"/>
            <w:vAlign w:val="bottom"/>
          </w:tcPr>
          <w:p w14:paraId="2E2E2638" w14:textId="77777777" w:rsidR="00046DCD" w:rsidRPr="00046DCD" w:rsidRDefault="00046DCD" w:rsidP="00046DCD">
            <w:pPr>
              <w:suppressAutoHyphens w:val="0"/>
              <w:spacing w:before="40" w:after="40" w:line="220" w:lineRule="exact"/>
              <w:rPr>
                <w:sz w:val="18"/>
                <w:szCs w:val="16"/>
              </w:rPr>
            </w:pPr>
            <w:r w:rsidRPr="00046DCD">
              <w:rPr>
                <w:sz w:val="18"/>
                <w:szCs w:val="16"/>
              </w:rPr>
              <w:t>Renforcement de la sécurité de la gestion des résidus et prévention de la pollution accidentelle des eaux en Europe orientale, en Europe du Sud-Est, dans le Caucase et en Asie centrale</w:t>
            </w:r>
          </w:p>
        </w:tc>
        <w:tc>
          <w:tcPr>
            <w:tcW w:w="1644" w:type="dxa"/>
            <w:shd w:val="clear" w:color="auto" w:fill="auto"/>
          </w:tcPr>
          <w:p w14:paraId="3B7D012B" w14:textId="77777777" w:rsidR="00046DCD" w:rsidRPr="00046DCD" w:rsidRDefault="00046DCD" w:rsidP="00CA1F0A">
            <w:pPr>
              <w:suppressAutoHyphens w:val="0"/>
              <w:spacing w:before="40" w:after="40" w:line="220" w:lineRule="exact"/>
              <w:jc w:val="right"/>
              <w:rPr>
                <w:sz w:val="18"/>
                <w:szCs w:val="16"/>
              </w:rPr>
            </w:pPr>
            <w:r w:rsidRPr="00046DCD">
              <w:rPr>
                <w:sz w:val="18"/>
                <w:szCs w:val="16"/>
              </w:rPr>
              <w:t>600 000</w:t>
            </w:r>
          </w:p>
        </w:tc>
      </w:tr>
      <w:tr w:rsidR="00046DCD" w:rsidRPr="00046DCD" w14:paraId="694C5544" w14:textId="77777777" w:rsidTr="00CA1F0A">
        <w:tc>
          <w:tcPr>
            <w:tcW w:w="2268" w:type="dxa"/>
            <w:shd w:val="clear" w:color="auto" w:fill="auto"/>
          </w:tcPr>
          <w:p w14:paraId="0CA402DA"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0B0E22B7"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chefs de file/d’appui</w:t>
            </w:r>
            <w:r w:rsidRPr="00046DCD">
              <w:rPr>
                <w:sz w:val="18"/>
                <w:szCs w:val="16"/>
              </w:rPr>
              <w:t> : [à déterminer, en coopération avec la Convention sur l’eau de la CEE]</w:t>
            </w:r>
          </w:p>
        </w:tc>
        <w:tc>
          <w:tcPr>
            <w:tcW w:w="1644" w:type="dxa"/>
            <w:shd w:val="clear" w:color="auto" w:fill="auto"/>
          </w:tcPr>
          <w:p w14:paraId="38567ED4" w14:textId="77777777" w:rsidR="00046DCD" w:rsidRPr="00046DCD" w:rsidRDefault="00046DCD" w:rsidP="00DC302B">
            <w:pPr>
              <w:suppressAutoHyphens w:val="0"/>
              <w:spacing w:before="40" w:after="80" w:line="220" w:lineRule="exact"/>
              <w:jc w:val="right"/>
              <w:rPr>
                <w:sz w:val="18"/>
                <w:szCs w:val="16"/>
              </w:rPr>
            </w:pPr>
          </w:p>
        </w:tc>
      </w:tr>
      <w:tr w:rsidR="00046DCD" w:rsidRPr="00046DCD" w14:paraId="0277C5BE" w14:textId="77777777" w:rsidTr="00CA1F0A">
        <w:tc>
          <w:tcPr>
            <w:tcW w:w="2268" w:type="dxa"/>
            <w:shd w:val="clear" w:color="auto" w:fill="auto"/>
          </w:tcPr>
          <w:p w14:paraId="30701222" w14:textId="77777777" w:rsidR="00046DCD" w:rsidRPr="00046DCD" w:rsidRDefault="00046DCD" w:rsidP="00046DCD">
            <w:pPr>
              <w:suppressAutoHyphens w:val="0"/>
              <w:spacing w:before="40" w:after="40" w:line="220" w:lineRule="exact"/>
              <w:rPr>
                <w:i/>
                <w:iCs/>
                <w:sz w:val="18"/>
                <w:szCs w:val="16"/>
              </w:rPr>
            </w:pPr>
          </w:p>
        </w:tc>
        <w:tc>
          <w:tcPr>
            <w:tcW w:w="5725" w:type="dxa"/>
            <w:shd w:val="clear" w:color="auto" w:fill="auto"/>
            <w:vAlign w:val="bottom"/>
          </w:tcPr>
          <w:p w14:paraId="56746290" w14:textId="77777777" w:rsidR="00046DCD" w:rsidRPr="00046DCD" w:rsidRDefault="00046DCD" w:rsidP="00046DCD">
            <w:pPr>
              <w:suppressAutoHyphens w:val="0"/>
              <w:spacing w:before="40" w:after="40" w:line="220" w:lineRule="exact"/>
              <w:rPr>
                <w:sz w:val="18"/>
                <w:szCs w:val="16"/>
              </w:rPr>
            </w:pPr>
            <w:r w:rsidRPr="00046DCD">
              <w:rPr>
                <w:sz w:val="18"/>
                <w:szCs w:val="16"/>
              </w:rPr>
              <w:t>Élaboration de modules de formation (y compris de modules de formation des</w:t>
            </w:r>
            <w:r w:rsidR="008D581D">
              <w:rPr>
                <w:sz w:val="18"/>
                <w:szCs w:val="16"/>
              </w:rPr>
              <w:t> </w:t>
            </w:r>
            <w:r w:rsidRPr="00046DCD">
              <w:rPr>
                <w:sz w:val="18"/>
                <w:szCs w:val="16"/>
              </w:rPr>
              <w:t>formateurs, de manuels, de documents d’orientation, de supports d’apprentissage en ligne et d’outils interactifs) sur l’application de la Convention et ses liens avec d’autres instruments et politiques, dont le Cadre de Sendai</w:t>
            </w:r>
          </w:p>
        </w:tc>
        <w:tc>
          <w:tcPr>
            <w:tcW w:w="1644" w:type="dxa"/>
            <w:shd w:val="clear" w:color="auto" w:fill="auto"/>
          </w:tcPr>
          <w:p w14:paraId="49F621B4" w14:textId="77777777" w:rsidR="00046DCD" w:rsidRPr="00046DCD" w:rsidRDefault="00046DCD" w:rsidP="00CA1F0A">
            <w:pPr>
              <w:suppressAutoHyphens w:val="0"/>
              <w:spacing w:before="40" w:after="40" w:line="220" w:lineRule="exact"/>
              <w:jc w:val="right"/>
              <w:rPr>
                <w:sz w:val="18"/>
                <w:szCs w:val="16"/>
              </w:rPr>
            </w:pPr>
            <w:r w:rsidRPr="00046DCD">
              <w:rPr>
                <w:sz w:val="18"/>
                <w:szCs w:val="16"/>
              </w:rPr>
              <w:t>400 000</w:t>
            </w:r>
          </w:p>
        </w:tc>
      </w:tr>
      <w:tr w:rsidR="00046DCD" w:rsidRPr="00046DCD" w14:paraId="6949BC93" w14:textId="77777777" w:rsidTr="00CA1F0A">
        <w:tc>
          <w:tcPr>
            <w:tcW w:w="2268" w:type="dxa"/>
            <w:shd w:val="clear" w:color="auto" w:fill="auto"/>
          </w:tcPr>
          <w:p w14:paraId="47E9CB36"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6F25B181"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chefs de file/d’appui</w:t>
            </w:r>
            <w:r w:rsidRPr="00046DCD">
              <w:rPr>
                <w:sz w:val="18"/>
                <w:szCs w:val="16"/>
              </w:rPr>
              <w:t> : [à déterminer, en coopération avec les membres du</w:t>
            </w:r>
            <w:r w:rsidR="008D581D">
              <w:rPr>
                <w:sz w:val="18"/>
                <w:szCs w:val="16"/>
              </w:rPr>
              <w:t> </w:t>
            </w:r>
            <w:r w:rsidRPr="00046DCD">
              <w:rPr>
                <w:sz w:val="18"/>
                <w:szCs w:val="16"/>
              </w:rPr>
              <w:t>Groupe de coordination interinstitutions sur les accidents industriels]</w:t>
            </w:r>
          </w:p>
        </w:tc>
        <w:tc>
          <w:tcPr>
            <w:tcW w:w="1644" w:type="dxa"/>
            <w:shd w:val="clear" w:color="auto" w:fill="auto"/>
          </w:tcPr>
          <w:p w14:paraId="14179F5F" w14:textId="77777777" w:rsidR="00046DCD" w:rsidRPr="00046DCD" w:rsidRDefault="00046DCD" w:rsidP="00DC302B">
            <w:pPr>
              <w:suppressAutoHyphens w:val="0"/>
              <w:spacing w:before="40" w:after="80" w:line="220" w:lineRule="exact"/>
              <w:jc w:val="right"/>
              <w:rPr>
                <w:sz w:val="18"/>
                <w:szCs w:val="16"/>
              </w:rPr>
            </w:pPr>
          </w:p>
        </w:tc>
      </w:tr>
      <w:tr w:rsidR="00C02224" w:rsidRPr="00046DCD" w14:paraId="230EE97B" w14:textId="77777777" w:rsidTr="00CA1F0A">
        <w:tc>
          <w:tcPr>
            <w:tcW w:w="2268" w:type="dxa"/>
            <w:shd w:val="clear" w:color="auto" w:fill="auto"/>
          </w:tcPr>
          <w:p w14:paraId="4CD45507" w14:textId="77777777" w:rsidR="00C02224" w:rsidRPr="00046DCD" w:rsidRDefault="00C02224" w:rsidP="00046DCD">
            <w:pPr>
              <w:suppressAutoHyphens w:val="0"/>
              <w:spacing w:before="40" w:after="40" w:line="220" w:lineRule="exact"/>
              <w:rPr>
                <w:i/>
                <w:iCs/>
                <w:sz w:val="18"/>
                <w:szCs w:val="16"/>
              </w:rPr>
            </w:pPr>
            <w:r w:rsidRPr="00046DCD">
              <w:rPr>
                <w:i/>
                <w:iCs/>
                <w:sz w:val="18"/>
                <w:szCs w:val="16"/>
              </w:rPr>
              <w:t>Autres activités d’</w:t>
            </w:r>
            <w:proofErr w:type="spellStart"/>
            <w:r w:rsidRPr="00046DCD">
              <w:rPr>
                <w:i/>
                <w:iCs/>
                <w:sz w:val="18"/>
                <w:szCs w:val="16"/>
              </w:rPr>
              <w:t>assistance</w:t>
            </w:r>
            <w:r w:rsidRPr="00046DCD">
              <w:rPr>
                <w:i/>
                <w:iCs/>
                <w:sz w:val="18"/>
                <w:szCs w:val="16"/>
                <w:vertAlign w:val="superscript"/>
              </w:rPr>
              <w:t>a</w:t>
            </w:r>
            <w:proofErr w:type="spellEnd"/>
          </w:p>
        </w:tc>
        <w:tc>
          <w:tcPr>
            <w:tcW w:w="5725" w:type="dxa"/>
            <w:shd w:val="clear" w:color="auto" w:fill="auto"/>
            <w:vAlign w:val="bottom"/>
          </w:tcPr>
          <w:p w14:paraId="08CED087" w14:textId="77777777" w:rsidR="00C02224" w:rsidRPr="00046DCD" w:rsidRDefault="00C02224" w:rsidP="00046DCD">
            <w:pPr>
              <w:suppressAutoHyphens w:val="0"/>
              <w:spacing w:before="40" w:after="40" w:line="220" w:lineRule="exact"/>
              <w:rPr>
                <w:sz w:val="18"/>
                <w:szCs w:val="16"/>
              </w:rPr>
            </w:pPr>
            <w:r w:rsidRPr="00046DCD">
              <w:rPr>
                <w:sz w:val="18"/>
                <w:szCs w:val="16"/>
              </w:rPr>
              <w:t>Projet sur l’amélioration de la sécurité des installations de gestion des résidus au Kirghizistan − Formation et options législatives</w:t>
            </w:r>
          </w:p>
        </w:tc>
        <w:tc>
          <w:tcPr>
            <w:tcW w:w="1644" w:type="dxa"/>
            <w:shd w:val="clear" w:color="auto" w:fill="auto"/>
          </w:tcPr>
          <w:p w14:paraId="01227C80" w14:textId="77777777" w:rsidR="00C02224" w:rsidRPr="00046DCD" w:rsidRDefault="00C02224" w:rsidP="00CA1F0A">
            <w:pPr>
              <w:suppressAutoHyphens w:val="0"/>
              <w:spacing w:before="40" w:after="40" w:line="220" w:lineRule="exact"/>
              <w:jc w:val="right"/>
              <w:rPr>
                <w:sz w:val="18"/>
                <w:szCs w:val="16"/>
              </w:rPr>
            </w:pPr>
            <w:r w:rsidRPr="00046DCD">
              <w:rPr>
                <w:sz w:val="18"/>
                <w:szCs w:val="16"/>
              </w:rPr>
              <w:t>À confirmer</w:t>
            </w:r>
          </w:p>
        </w:tc>
      </w:tr>
      <w:tr w:rsidR="00046DCD" w:rsidRPr="00046DCD" w14:paraId="7F0A31E9" w14:textId="77777777" w:rsidTr="00CA1F0A">
        <w:tc>
          <w:tcPr>
            <w:tcW w:w="2268" w:type="dxa"/>
            <w:shd w:val="clear" w:color="auto" w:fill="auto"/>
          </w:tcPr>
          <w:p w14:paraId="0E1FE942"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79443239" w14:textId="77777777" w:rsidR="00046DCD" w:rsidRPr="00046DCD" w:rsidRDefault="00046DCD" w:rsidP="00DC302B">
            <w:pPr>
              <w:suppressAutoHyphens w:val="0"/>
              <w:spacing w:before="40" w:after="80" w:line="220" w:lineRule="exact"/>
              <w:rPr>
                <w:sz w:val="18"/>
                <w:szCs w:val="16"/>
              </w:rPr>
            </w:pPr>
            <w:r w:rsidRPr="00046DCD">
              <w:rPr>
                <w:i/>
                <w:iCs/>
                <w:sz w:val="18"/>
                <w:szCs w:val="16"/>
              </w:rPr>
              <w:t>Pays/organisation chef de file/d’appui</w:t>
            </w:r>
            <w:r w:rsidRPr="00046DCD">
              <w:rPr>
                <w:sz w:val="18"/>
                <w:szCs w:val="16"/>
              </w:rPr>
              <w:t> : Kirghizistan, en coopération avec le Kazakhstan et avec le soutien financier de l’Allemagne</w:t>
            </w:r>
          </w:p>
        </w:tc>
        <w:tc>
          <w:tcPr>
            <w:tcW w:w="1644" w:type="dxa"/>
            <w:shd w:val="clear" w:color="auto" w:fill="auto"/>
          </w:tcPr>
          <w:p w14:paraId="4847A177" w14:textId="77777777" w:rsidR="00046DCD" w:rsidRPr="00046DCD" w:rsidRDefault="00046DCD" w:rsidP="00DC302B">
            <w:pPr>
              <w:suppressAutoHyphens w:val="0"/>
              <w:spacing w:before="40" w:after="80" w:line="220" w:lineRule="exact"/>
              <w:jc w:val="right"/>
              <w:rPr>
                <w:sz w:val="18"/>
                <w:szCs w:val="16"/>
              </w:rPr>
            </w:pPr>
          </w:p>
        </w:tc>
      </w:tr>
      <w:tr w:rsidR="00046DCD" w:rsidRPr="00046DCD" w14:paraId="2F9F2653" w14:textId="77777777" w:rsidTr="00CA1F0A">
        <w:tc>
          <w:tcPr>
            <w:tcW w:w="2268" w:type="dxa"/>
            <w:shd w:val="clear" w:color="auto" w:fill="auto"/>
          </w:tcPr>
          <w:p w14:paraId="4529B620" w14:textId="77777777" w:rsidR="00046DCD" w:rsidRPr="00046DCD" w:rsidRDefault="00046DCD" w:rsidP="00046DCD">
            <w:pPr>
              <w:suppressAutoHyphens w:val="0"/>
              <w:spacing w:before="40" w:after="40" w:line="220" w:lineRule="exact"/>
              <w:rPr>
                <w:i/>
                <w:iCs/>
                <w:sz w:val="18"/>
                <w:szCs w:val="16"/>
              </w:rPr>
            </w:pPr>
          </w:p>
        </w:tc>
        <w:tc>
          <w:tcPr>
            <w:tcW w:w="5725" w:type="dxa"/>
            <w:shd w:val="clear" w:color="auto" w:fill="auto"/>
            <w:vAlign w:val="bottom"/>
          </w:tcPr>
          <w:p w14:paraId="6C3CB47A" w14:textId="77777777" w:rsidR="00046DCD" w:rsidRPr="00046DCD" w:rsidRDefault="00046DCD" w:rsidP="00046DCD">
            <w:pPr>
              <w:suppressAutoHyphens w:val="0"/>
              <w:spacing w:before="40" w:after="40" w:line="220" w:lineRule="exact"/>
              <w:rPr>
                <w:sz w:val="18"/>
                <w:szCs w:val="16"/>
              </w:rPr>
            </w:pPr>
            <w:r w:rsidRPr="00046DCD">
              <w:rPr>
                <w:sz w:val="18"/>
                <w:szCs w:val="16"/>
              </w:rPr>
              <w:t>Projet d’élaboration d’une liste de contrôle de la sécurité des conduites de transport d’hydrocarbures sur la base des lignes directrices et des bonnes pratiques de la CEE concernant la sécurité des conduites de transport d’hydrocarbures, et exercice transfrontière</w:t>
            </w:r>
          </w:p>
        </w:tc>
        <w:tc>
          <w:tcPr>
            <w:tcW w:w="1644" w:type="dxa"/>
            <w:shd w:val="clear" w:color="auto" w:fill="auto"/>
          </w:tcPr>
          <w:p w14:paraId="6FE497C4" w14:textId="77777777" w:rsidR="00046DCD" w:rsidRPr="00046DCD" w:rsidRDefault="00046DCD" w:rsidP="00CA1F0A">
            <w:pPr>
              <w:suppressAutoHyphens w:val="0"/>
              <w:spacing w:before="40" w:after="40" w:line="220" w:lineRule="exact"/>
              <w:jc w:val="right"/>
              <w:rPr>
                <w:sz w:val="18"/>
                <w:szCs w:val="16"/>
              </w:rPr>
            </w:pPr>
            <w:r w:rsidRPr="00046DCD">
              <w:rPr>
                <w:sz w:val="18"/>
                <w:szCs w:val="16"/>
              </w:rPr>
              <w:t>À confirmer</w:t>
            </w:r>
          </w:p>
        </w:tc>
      </w:tr>
      <w:tr w:rsidR="00046DCD" w:rsidRPr="00046DCD" w14:paraId="65BDAEFD" w14:textId="77777777" w:rsidTr="00CA1F0A">
        <w:tc>
          <w:tcPr>
            <w:tcW w:w="2268" w:type="dxa"/>
            <w:shd w:val="clear" w:color="auto" w:fill="auto"/>
          </w:tcPr>
          <w:p w14:paraId="078E1C31" w14:textId="77777777" w:rsidR="00046DCD" w:rsidRPr="00046DCD" w:rsidRDefault="00046DCD" w:rsidP="00DC302B">
            <w:pPr>
              <w:suppressAutoHyphens w:val="0"/>
              <w:spacing w:before="40" w:after="80" w:line="220" w:lineRule="exact"/>
              <w:rPr>
                <w:i/>
                <w:iCs/>
                <w:sz w:val="18"/>
                <w:szCs w:val="16"/>
              </w:rPr>
            </w:pPr>
          </w:p>
        </w:tc>
        <w:tc>
          <w:tcPr>
            <w:tcW w:w="5725" w:type="dxa"/>
            <w:shd w:val="clear" w:color="auto" w:fill="auto"/>
            <w:vAlign w:val="bottom"/>
          </w:tcPr>
          <w:p w14:paraId="71DC35B3" w14:textId="77777777" w:rsidR="00046DCD" w:rsidRPr="00046DCD" w:rsidRDefault="00046DCD" w:rsidP="00DC302B">
            <w:pPr>
              <w:suppressAutoHyphens w:val="0"/>
              <w:spacing w:before="40" w:after="80" w:line="220" w:lineRule="exact"/>
              <w:rPr>
                <w:sz w:val="18"/>
                <w:szCs w:val="16"/>
              </w:rPr>
            </w:pPr>
            <w:r w:rsidRPr="00046DCD">
              <w:rPr>
                <w:i/>
                <w:iCs/>
                <w:sz w:val="18"/>
                <w:szCs w:val="16"/>
              </w:rPr>
              <w:t>Pays chef de file/d’appui</w:t>
            </w:r>
            <w:r w:rsidRPr="00046DCD">
              <w:rPr>
                <w:sz w:val="18"/>
                <w:szCs w:val="16"/>
              </w:rPr>
              <w:t> : Bélarus, avec le soutien financier de l’Allemagne et l’appui du Groupe spécial mixte d’experts de l’eau et des accidents industriels</w:t>
            </w:r>
          </w:p>
        </w:tc>
        <w:tc>
          <w:tcPr>
            <w:tcW w:w="1644" w:type="dxa"/>
            <w:shd w:val="clear" w:color="auto" w:fill="auto"/>
          </w:tcPr>
          <w:p w14:paraId="2805132F" w14:textId="77777777" w:rsidR="00046DCD" w:rsidRPr="00046DCD" w:rsidRDefault="00046DCD" w:rsidP="00DC302B">
            <w:pPr>
              <w:suppressAutoHyphens w:val="0"/>
              <w:spacing w:before="40" w:after="80" w:line="220" w:lineRule="exact"/>
              <w:jc w:val="right"/>
              <w:rPr>
                <w:sz w:val="18"/>
                <w:szCs w:val="16"/>
              </w:rPr>
            </w:pPr>
          </w:p>
        </w:tc>
      </w:tr>
      <w:tr w:rsidR="00046DCD" w:rsidRPr="00046DCD" w14:paraId="710E324D" w14:textId="77777777" w:rsidTr="00CA1F0A">
        <w:tc>
          <w:tcPr>
            <w:tcW w:w="2268" w:type="dxa"/>
            <w:vMerge w:val="restart"/>
            <w:shd w:val="clear" w:color="auto" w:fill="auto"/>
          </w:tcPr>
          <w:p w14:paraId="38EF139A" w14:textId="77777777" w:rsidR="00046DCD" w:rsidRPr="00046DCD" w:rsidRDefault="00046DCD" w:rsidP="008D581D">
            <w:pPr>
              <w:keepNext/>
              <w:suppressAutoHyphens w:val="0"/>
              <w:spacing w:before="40" w:after="40" w:line="220" w:lineRule="exact"/>
              <w:rPr>
                <w:i/>
                <w:iCs/>
                <w:sz w:val="18"/>
                <w:szCs w:val="16"/>
              </w:rPr>
            </w:pPr>
            <w:r w:rsidRPr="00046DCD">
              <w:rPr>
                <w:i/>
                <w:iCs/>
                <w:sz w:val="18"/>
                <w:szCs w:val="16"/>
              </w:rPr>
              <w:lastRenderedPageBreak/>
              <w:t>Facilitation de l’application : orientations</w:t>
            </w:r>
          </w:p>
        </w:tc>
        <w:tc>
          <w:tcPr>
            <w:tcW w:w="5725" w:type="dxa"/>
            <w:shd w:val="clear" w:color="auto" w:fill="auto"/>
            <w:vAlign w:val="bottom"/>
          </w:tcPr>
          <w:p w14:paraId="46CFBFCE" w14:textId="77777777" w:rsidR="00046DCD" w:rsidRPr="00046DCD" w:rsidRDefault="00046DCD" w:rsidP="008D581D">
            <w:pPr>
              <w:keepNext/>
              <w:suppressAutoHyphens w:val="0"/>
              <w:spacing w:before="40" w:after="40" w:line="220" w:lineRule="exact"/>
              <w:rPr>
                <w:sz w:val="18"/>
                <w:szCs w:val="16"/>
              </w:rPr>
            </w:pPr>
            <w:r w:rsidRPr="00046DCD">
              <w:rPr>
                <w:sz w:val="18"/>
                <w:szCs w:val="16"/>
              </w:rPr>
              <w:t>Guide d’application de la Convention</w:t>
            </w:r>
          </w:p>
        </w:tc>
        <w:tc>
          <w:tcPr>
            <w:tcW w:w="1644" w:type="dxa"/>
            <w:shd w:val="clear" w:color="auto" w:fill="auto"/>
          </w:tcPr>
          <w:p w14:paraId="2AFE18E7" w14:textId="77777777" w:rsidR="00046DCD" w:rsidRPr="00046DCD" w:rsidRDefault="00046DCD" w:rsidP="008D581D">
            <w:pPr>
              <w:keepNext/>
              <w:suppressAutoHyphens w:val="0"/>
              <w:spacing w:before="40" w:after="40" w:line="220" w:lineRule="exact"/>
              <w:jc w:val="right"/>
              <w:rPr>
                <w:sz w:val="18"/>
                <w:szCs w:val="16"/>
              </w:rPr>
            </w:pPr>
            <w:r w:rsidRPr="00046DCD">
              <w:rPr>
                <w:sz w:val="18"/>
                <w:szCs w:val="16"/>
              </w:rPr>
              <w:t>60 000</w:t>
            </w:r>
          </w:p>
        </w:tc>
      </w:tr>
      <w:tr w:rsidR="00046DCD" w:rsidRPr="00046DCD" w14:paraId="0CBCF4A1" w14:textId="77777777" w:rsidTr="00CA1F0A">
        <w:tc>
          <w:tcPr>
            <w:tcW w:w="2268" w:type="dxa"/>
            <w:vMerge/>
            <w:shd w:val="clear" w:color="auto" w:fill="auto"/>
          </w:tcPr>
          <w:p w14:paraId="48ACB2C0" w14:textId="77777777" w:rsidR="00046DCD" w:rsidRPr="00046DCD" w:rsidRDefault="00046DCD" w:rsidP="008D581D">
            <w:pPr>
              <w:keepNext/>
              <w:suppressAutoHyphens w:val="0"/>
              <w:spacing w:before="40" w:after="40" w:line="220" w:lineRule="exact"/>
              <w:rPr>
                <w:i/>
                <w:iCs/>
                <w:sz w:val="18"/>
                <w:szCs w:val="16"/>
              </w:rPr>
            </w:pPr>
          </w:p>
        </w:tc>
        <w:tc>
          <w:tcPr>
            <w:tcW w:w="5725" w:type="dxa"/>
            <w:shd w:val="clear" w:color="auto" w:fill="auto"/>
            <w:vAlign w:val="bottom"/>
          </w:tcPr>
          <w:p w14:paraId="2452567B" w14:textId="77777777" w:rsidR="00046DCD" w:rsidRPr="00046DCD" w:rsidRDefault="00046DCD" w:rsidP="008D581D">
            <w:pPr>
              <w:keepNext/>
              <w:suppressAutoHyphens w:val="0"/>
              <w:spacing w:before="40" w:after="40" w:line="220" w:lineRule="exact"/>
              <w:rPr>
                <w:sz w:val="18"/>
                <w:szCs w:val="16"/>
              </w:rPr>
            </w:pPr>
            <w:r w:rsidRPr="00046DCD">
              <w:rPr>
                <w:i/>
                <w:iCs/>
                <w:sz w:val="18"/>
                <w:szCs w:val="16"/>
              </w:rPr>
              <w:t>Pays chefs de file/d’appui</w:t>
            </w:r>
            <w:r w:rsidRPr="00046DCD">
              <w:rPr>
                <w:sz w:val="18"/>
                <w:szCs w:val="16"/>
              </w:rPr>
              <w:t> : [à déterminer]</w:t>
            </w:r>
          </w:p>
        </w:tc>
        <w:tc>
          <w:tcPr>
            <w:tcW w:w="1644" w:type="dxa"/>
            <w:shd w:val="clear" w:color="auto" w:fill="auto"/>
          </w:tcPr>
          <w:p w14:paraId="05CC614A" w14:textId="77777777" w:rsidR="00046DCD" w:rsidRPr="00046DCD" w:rsidRDefault="00046DCD" w:rsidP="008D581D">
            <w:pPr>
              <w:keepNext/>
              <w:suppressAutoHyphens w:val="0"/>
              <w:spacing w:before="40" w:after="40" w:line="220" w:lineRule="exact"/>
              <w:jc w:val="right"/>
              <w:rPr>
                <w:sz w:val="18"/>
                <w:szCs w:val="16"/>
              </w:rPr>
            </w:pPr>
          </w:p>
        </w:tc>
      </w:tr>
      <w:tr w:rsidR="00C02224" w:rsidRPr="00046DCD" w14:paraId="550B02B5" w14:textId="77777777" w:rsidTr="00CA1F0A">
        <w:tc>
          <w:tcPr>
            <w:tcW w:w="2268" w:type="dxa"/>
            <w:shd w:val="clear" w:color="auto" w:fill="auto"/>
          </w:tcPr>
          <w:p w14:paraId="4801866D" w14:textId="77777777" w:rsidR="00C02224" w:rsidRPr="00046DCD" w:rsidRDefault="00C02224" w:rsidP="00DC302B">
            <w:pPr>
              <w:keepNext/>
              <w:suppressAutoHyphens w:val="0"/>
              <w:spacing w:before="40" w:after="40" w:line="220" w:lineRule="exact"/>
              <w:rPr>
                <w:i/>
                <w:iCs/>
                <w:sz w:val="18"/>
                <w:szCs w:val="16"/>
              </w:rPr>
            </w:pPr>
            <w:r w:rsidRPr="00046DCD">
              <w:rPr>
                <w:i/>
                <w:iCs/>
                <w:sz w:val="18"/>
                <w:szCs w:val="16"/>
              </w:rPr>
              <w:t>Facilitation de l’application : aménagement du territoire et</w:t>
            </w:r>
            <w:r w:rsidR="00CA1F0A">
              <w:rPr>
                <w:i/>
                <w:iCs/>
                <w:sz w:val="18"/>
                <w:szCs w:val="16"/>
              </w:rPr>
              <w:t> </w:t>
            </w:r>
            <w:r w:rsidRPr="00046DCD">
              <w:rPr>
                <w:i/>
                <w:iCs/>
                <w:sz w:val="18"/>
                <w:szCs w:val="16"/>
              </w:rPr>
              <w:t>sécurité industrielle</w:t>
            </w:r>
          </w:p>
        </w:tc>
        <w:tc>
          <w:tcPr>
            <w:tcW w:w="5725" w:type="dxa"/>
            <w:shd w:val="clear" w:color="auto" w:fill="auto"/>
            <w:vAlign w:val="bottom"/>
          </w:tcPr>
          <w:p w14:paraId="7D8ED770" w14:textId="77777777" w:rsidR="00C02224" w:rsidRPr="00046DCD" w:rsidRDefault="00C02224" w:rsidP="00DC302B">
            <w:pPr>
              <w:keepNext/>
              <w:suppressAutoHyphens w:val="0"/>
              <w:spacing w:before="40" w:after="40" w:line="220" w:lineRule="exact"/>
              <w:rPr>
                <w:sz w:val="18"/>
                <w:szCs w:val="16"/>
              </w:rPr>
            </w:pPr>
            <w:r w:rsidRPr="00046DCD">
              <w:rPr>
                <w:sz w:val="18"/>
                <w:szCs w:val="16"/>
              </w:rPr>
              <w:t xml:space="preserve">Activités consécutives à l’échange d’informations sur l’aménagement du territoire et la sécurité industrielle (séminaires et ateliers organisés entre 2016 et 2020) : séminaire consacré à l’échange de données d’expérience, avec organisation de jeux de rôle, l’accent étant mis sur l’information et la participation du </w:t>
            </w:r>
            <w:proofErr w:type="spellStart"/>
            <w:r w:rsidRPr="00046DCD">
              <w:rPr>
                <w:sz w:val="18"/>
                <w:szCs w:val="16"/>
              </w:rPr>
              <w:t>public</w:t>
            </w:r>
            <w:r w:rsidRPr="00CA1F0A">
              <w:rPr>
                <w:i/>
                <w:iCs/>
                <w:sz w:val="18"/>
                <w:szCs w:val="16"/>
                <w:vertAlign w:val="superscript"/>
              </w:rPr>
              <w:t>b</w:t>
            </w:r>
            <w:proofErr w:type="spellEnd"/>
          </w:p>
        </w:tc>
        <w:tc>
          <w:tcPr>
            <w:tcW w:w="1644" w:type="dxa"/>
            <w:shd w:val="clear" w:color="auto" w:fill="auto"/>
          </w:tcPr>
          <w:p w14:paraId="6BEBEDB4" w14:textId="77777777" w:rsidR="00C02224" w:rsidRPr="00046DCD" w:rsidRDefault="00C02224" w:rsidP="00DC302B">
            <w:pPr>
              <w:keepNext/>
              <w:suppressAutoHyphens w:val="0"/>
              <w:spacing w:before="40" w:after="40" w:line="220" w:lineRule="exact"/>
              <w:jc w:val="right"/>
              <w:rPr>
                <w:sz w:val="18"/>
                <w:szCs w:val="16"/>
              </w:rPr>
            </w:pPr>
            <w:r w:rsidRPr="00046DCD">
              <w:rPr>
                <w:sz w:val="18"/>
                <w:szCs w:val="16"/>
              </w:rPr>
              <w:t>100 000</w:t>
            </w:r>
          </w:p>
        </w:tc>
      </w:tr>
      <w:tr w:rsidR="00CA1F0A" w:rsidRPr="00046DCD" w14:paraId="67F39AC4" w14:textId="77777777" w:rsidTr="00CA1F0A">
        <w:tc>
          <w:tcPr>
            <w:tcW w:w="2268" w:type="dxa"/>
            <w:shd w:val="clear" w:color="auto" w:fill="auto"/>
          </w:tcPr>
          <w:p w14:paraId="2273BE62" w14:textId="77777777" w:rsidR="00CA1F0A" w:rsidRPr="00046DCD" w:rsidRDefault="00CA1F0A" w:rsidP="00DC302B">
            <w:pPr>
              <w:keepNext/>
              <w:suppressAutoHyphens w:val="0"/>
              <w:spacing w:before="40" w:after="80" w:line="220" w:lineRule="exact"/>
              <w:rPr>
                <w:i/>
                <w:iCs/>
                <w:sz w:val="18"/>
                <w:szCs w:val="16"/>
              </w:rPr>
            </w:pPr>
          </w:p>
        </w:tc>
        <w:tc>
          <w:tcPr>
            <w:tcW w:w="5725" w:type="dxa"/>
            <w:shd w:val="clear" w:color="auto" w:fill="auto"/>
            <w:vAlign w:val="bottom"/>
          </w:tcPr>
          <w:p w14:paraId="4D5B8D44" w14:textId="77777777" w:rsidR="00CA1F0A" w:rsidRPr="00046DCD" w:rsidRDefault="00CA1F0A" w:rsidP="00DC302B">
            <w:pPr>
              <w:keepNext/>
              <w:suppressAutoHyphens w:val="0"/>
              <w:spacing w:before="40" w:after="80" w:line="220" w:lineRule="exact"/>
              <w:rPr>
                <w:sz w:val="18"/>
                <w:szCs w:val="16"/>
              </w:rPr>
            </w:pPr>
            <w:r w:rsidRPr="00CA1F0A">
              <w:rPr>
                <w:i/>
                <w:iCs/>
                <w:sz w:val="18"/>
                <w:szCs w:val="16"/>
              </w:rPr>
              <w:t>Pays/organisation chef de file/d’appui</w:t>
            </w:r>
            <w:r w:rsidRPr="00046DCD">
              <w:rPr>
                <w:sz w:val="18"/>
                <w:szCs w:val="16"/>
              </w:rPr>
              <w:t xml:space="preserve"> : [à déterminer, en coopération avec le Comité du développement urbain, du logement et de l’aménagement du territoire de la CEE, la Convention d’Aarhus, ainsi que la Convention d’Espoo et son </w:t>
            </w:r>
            <w:r w:rsidR="008D581D" w:rsidRPr="00046DCD">
              <w:rPr>
                <w:sz w:val="18"/>
                <w:szCs w:val="16"/>
              </w:rPr>
              <w:t xml:space="preserve">Protocole </w:t>
            </w:r>
            <w:r w:rsidRPr="00046DCD">
              <w:rPr>
                <w:sz w:val="18"/>
                <w:szCs w:val="16"/>
              </w:rPr>
              <w:t>relatif à l’évaluation stratégique environnementale]</w:t>
            </w:r>
          </w:p>
        </w:tc>
        <w:tc>
          <w:tcPr>
            <w:tcW w:w="1644" w:type="dxa"/>
            <w:shd w:val="clear" w:color="auto" w:fill="auto"/>
          </w:tcPr>
          <w:p w14:paraId="4C475779" w14:textId="77777777" w:rsidR="00CA1F0A" w:rsidRPr="00046DCD" w:rsidRDefault="00CA1F0A" w:rsidP="00DC302B">
            <w:pPr>
              <w:keepNext/>
              <w:suppressAutoHyphens w:val="0"/>
              <w:spacing w:before="40" w:after="80" w:line="220" w:lineRule="exact"/>
              <w:jc w:val="right"/>
              <w:rPr>
                <w:sz w:val="18"/>
                <w:szCs w:val="16"/>
              </w:rPr>
            </w:pPr>
          </w:p>
        </w:tc>
      </w:tr>
      <w:tr w:rsidR="00CA1F0A" w:rsidRPr="00046DCD" w14:paraId="3EAB15CD" w14:textId="77777777" w:rsidTr="00CA1F0A">
        <w:tc>
          <w:tcPr>
            <w:tcW w:w="2268" w:type="dxa"/>
            <w:vMerge w:val="restart"/>
            <w:shd w:val="clear" w:color="auto" w:fill="auto"/>
          </w:tcPr>
          <w:p w14:paraId="07853AEE" w14:textId="77777777" w:rsidR="00CA1F0A" w:rsidRPr="00046DCD" w:rsidRDefault="00CA1F0A" w:rsidP="00046DCD">
            <w:pPr>
              <w:suppressAutoHyphens w:val="0"/>
              <w:spacing w:before="40" w:after="40" w:line="220" w:lineRule="exact"/>
              <w:rPr>
                <w:i/>
                <w:iCs/>
                <w:sz w:val="18"/>
                <w:szCs w:val="16"/>
              </w:rPr>
            </w:pPr>
            <w:r w:rsidRPr="00046DCD">
              <w:rPr>
                <w:i/>
                <w:iCs/>
                <w:sz w:val="18"/>
                <w:szCs w:val="16"/>
              </w:rPr>
              <w:t>Facilitation de l’application : prévention de la pollution accidentelle des eaux</w:t>
            </w:r>
          </w:p>
        </w:tc>
        <w:tc>
          <w:tcPr>
            <w:tcW w:w="5725" w:type="dxa"/>
            <w:shd w:val="clear" w:color="auto" w:fill="auto"/>
            <w:vAlign w:val="bottom"/>
          </w:tcPr>
          <w:p w14:paraId="1D327B41" w14:textId="77777777" w:rsidR="00CA1F0A" w:rsidRPr="00046DCD" w:rsidRDefault="00CA1F0A" w:rsidP="00CA1F0A">
            <w:pPr>
              <w:suppressAutoHyphens w:val="0"/>
              <w:spacing w:before="40" w:after="40" w:line="220" w:lineRule="exact"/>
              <w:rPr>
                <w:sz w:val="18"/>
                <w:szCs w:val="16"/>
              </w:rPr>
            </w:pPr>
            <w:r w:rsidRPr="00046DCD">
              <w:rPr>
                <w:sz w:val="18"/>
                <w:szCs w:val="16"/>
              </w:rPr>
              <w:t>Création d’un catalogue ou d’une page Web sur les épisodes de pollution accidentelle et les bonnes pratiques des pays et des commissions de bassins hydrographiques, avec des exemples de coopération bilatérale, et organisation d’une réunion sur les bonnes pratiques</w:t>
            </w:r>
          </w:p>
        </w:tc>
        <w:tc>
          <w:tcPr>
            <w:tcW w:w="1644" w:type="dxa"/>
            <w:shd w:val="clear" w:color="auto" w:fill="auto"/>
          </w:tcPr>
          <w:p w14:paraId="34AF2855" w14:textId="77777777" w:rsidR="00CA1F0A" w:rsidRPr="00046DCD" w:rsidRDefault="00CA1F0A" w:rsidP="00CA1F0A">
            <w:pPr>
              <w:suppressAutoHyphens w:val="0"/>
              <w:spacing w:before="40" w:after="40" w:line="220" w:lineRule="exact"/>
              <w:jc w:val="right"/>
              <w:rPr>
                <w:sz w:val="18"/>
                <w:szCs w:val="16"/>
              </w:rPr>
            </w:pPr>
            <w:r w:rsidRPr="00046DCD">
              <w:rPr>
                <w:sz w:val="18"/>
                <w:szCs w:val="16"/>
              </w:rPr>
              <w:t>60 000</w:t>
            </w:r>
          </w:p>
        </w:tc>
      </w:tr>
      <w:tr w:rsidR="00CA1F0A" w:rsidRPr="00046DCD" w14:paraId="01A04E03" w14:textId="77777777" w:rsidTr="00CA1F0A">
        <w:tc>
          <w:tcPr>
            <w:tcW w:w="2268" w:type="dxa"/>
            <w:vMerge/>
            <w:shd w:val="clear" w:color="auto" w:fill="auto"/>
          </w:tcPr>
          <w:p w14:paraId="447039E8" w14:textId="77777777" w:rsidR="00CA1F0A" w:rsidRPr="00046DCD" w:rsidRDefault="00CA1F0A" w:rsidP="00046DCD">
            <w:pPr>
              <w:suppressAutoHyphens w:val="0"/>
              <w:spacing w:before="40" w:after="40" w:line="220" w:lineRule="exact"/>
              <w:rPr>
                <w:i/>
                <w:iCs/>
                <w:sz w:val="18"/>
                <w:szCs w:val="16"/>
              </w:rPr>
            </w:pPr>
          </w:p>
        </w:tc>
        <w:tc>
          <w:tcPr>
            <w:tcW w:w="5725" w:type="dxa"/>
            <w:shd w:val="clear" w:color="auto" w:fill="auto"/>
            <w:vAlign w:val="bottom"/>
          </w:tcPr>
          <w:p w14:paraId="206A4A5B" w14:textId="77777777" w:rsidR="00CA1F0A" w:rsidRPr="00046DCD" w:rsidRDefault="00CA1F0A" w:rsidP="00DC302B">
            <w:pPr>
              <w:suppressAutoHyphens w:val="0"/>
              <w:spacing w:before="40" w:after="80" w:line="220" w:lineRule="exact"/>
              <w:rPr>
                <w:sz w:val="18"/>
                <w:szCs w:val="16"/>
              </w:rPr>
            </w:pPr>
            <w:r w:rsidRPr="00CA1F0A">
              <w:rPr>
                <w:i/>
                <w:iCs/>
                <w:sz w:val="18"/>
                <w:szCs w:val="16"/>
              </w:rPr>
              <w:t>Pays/organisation chefs de file/d’appui</w:t>
            </w:r>
            <w:r w:rsidRPr="00046DCD">
              <w:rPr>
                <w:sz w:val="18"/>
                <w:szCs w:val="16"/>
              </w:rPr>
              <w:t> : [à déterminer], avec l’appui de commissions de bassins hydrographiques et du Groupe spécial mixte d’experts de l’eau et des accidents industriels</w:t>
            </w:r>
          </w:p>
        </w:tc>
        <w:tc>
          <w:tcPr>
            <w:tcW w:w="1644" w:type="dxa"/>
            <w:shd w:val="clear" w:color="auto" w:fill="auto"/>
          </w:tcPr>
          <w:p w14:paraId="28B34D11" w14:textId="77777777" w:rsidR="00CA1F0A" w:rsidRPr="00046DCD" w:rsidRDefault="00CA1F0A" w:rsidP="00CA1F0A">
            <w:pPr>
              <w:suppressAutoHyphens w:val="0"/>
              <w:spacing w:before="40" w:after="40" w:line="220" w:lineRule="exact"/>
              <w:jc w:val="right"/>
              <w:rPr>
                <w:sz w:val="18"/>
                <w:szCs w:val="16"/>
              </w:rPr>
            </w:pPr>
          </w:p>
        </w:tc>
      </w:tr>
      <w:tr w:rsidR="00CA1F0A" w:rsidRPr="00046DCD" w14:paraId="5E183049" w14:textId="77777777" w:rsidTr="00CA1F0A">
        <w:tc>
          <w:tcPr>
            <w:tcW w:w="2268" w:type="dxa"/>
            <w:vMerge w:val="restart"/>
            <w:shd w:val="clear" w:color="auto" w:fill="auto"/>
          </w:tcPr>
          <w:p w14:paraId="7DDD6B7A" w14:textId="77777777" w:rsidR="00CA1F0A" w:rsidRPr="00046DCD" w:rsidRDefault="00CA1F0A" w:rsidP="00046DCD">
            <w:pPr>
              <w:suppressAutoHyphens w:val="0"/>
              <w:spacing w:before="40" w:after="40" w:line="220" w:lineRule="exact"/>
              <w:rPr>
                <w:i/>
                <w:iCs/>
                <w:sz w:val="18"/>
                <w:szCs w:val="16"/>
              </w:rPr>
            </w:pPr>
            <w:r w:rsidRPr="00046DCD">
              <w:rPr>
                <w:i/>
                <w:iCs/>
                <w:sz w:val="18"/>
                <w:szCs w:val="16"/>
              </w:rPr>
              <w:t>Facilitation de l’application : Repères pour l’application de</w:t>
            </w:r>
            <w:r w:rsidR="00AC3C80">
              <w:rPr>
                <w:i/>
                <w:iCs/>
                <w:sz w:val="18"/>
                <w:szCs w:val="16"/>
              </w:rPr>
              <w:t> </w:t>
            </w:r>
            <w:r w:rsidRPr="00046DCD">
              <w:rPr>
                <w:i/>
                <w:iCs/>
                <w:sz w:val="18"/>
                <w:szCs w:val="16"/>
              </w:rPr>
              <w:t>la Convention</w:t>
            </w:r>
          </w:p>
        </w:tc>
        <w:tc>
          <w:tcPr>
            <w:tcW w:w="5725" w:type="dxa"/>
            <w:shd w:val="clear" w:color="auto" w:fill="auto"/>
            <w:vAlign w:val="bottom"/>
          </w:tcPr>
          <w:p w14:paraId="327135D6" w14:textId="77777777" w:rsidR="00CA1F0A" w:rsidRPr="00046DCD" w:rsidRDefault="00CA1F0A" w:rsidP="00CA1F0A">
            <w:pPr>
              <w:suppressAutoHyphens w:val="0"/>
              <w:spacing w:before="40" w:after="40" w:line="220" w:lineRule="exact"/>
              <w:rPr>
                <w:sz w:val="18"/>
                <w:szCs w:val="16"/>
              </w:rPr>
            </w:pPr>
            <w:r w:rsidRPr="00046DCD">
              <w:rPr>
                <w:sz w:val="18"/>
                <w:szCs w:val="16"/>
              </w:rPr>
              <w:t xml:space="preserve">Examen des Repères pour l’application de la Convention et des propositions d’actualisation, principalement en ce qui concerne l’aménagement du territoire, l’information et la participation du public, les accidents </w:t>
            </w:r>
            <w:proofErr w:type="spellStart"/>
            <w:r w:rsidRPr="00046DCD">
              <w:rPr>
                <w:sz w:val="18"/>
                <w:szCs w:val="16"/>
              </w:rPr>
              <w:t>NaTech</w:t>
            </w:r>
            <w:proofErr w:type="spellEnd"/>
            <w:r w:rsidRPr="00046DCD">
              <w:rPr>
                <w:sz w:val="18"/>
                <w:szCs w:val="16"/>
              </w:rPr>
              <w:t xml:space="preserve"> et l’éventuelle élaboration d’indicateurs d’autoévaluation (voir le projet qu’il est proposé de mener conjointement avec le Centre commun de recherche (tableau 1))</w:t>
            </w:r>
          </w:p>
        </w:tc>
        <w:tc>
          <w:tcPr>
            <w:tcW w:w="1644" w:type="dxa"/>
            <w:shd w:val="clear" w:color="auto" w:fill="auto"/>
          </w:tcPr>
          <w:p w14:paraId="3C2B2431" w14:textId="77777777" w:rsidR="00CA1F0A" w:rsidRPr="00046DCD" w:rsidRDefault="00CA1F0A" w:rsidP="00CA1F0A">
            <w:pPr>
              <w:suppressAutoHyphens w:val="0"/>
              <w:spacing w:before="40" w:after="40" w:line="220" w:lineRule="exact"/>
              <w:jc w:val="right"/>
              <w:rPr>
                <w:sz w:val="18"/>
                <w:szCs w:val="16"/>
              </w:rPr>
            </w:pPr>
            <w:r w:rsidRPr="00046DCD">
              <w:rPr>
                <w:sz w:val="18"/>
                <w:szCs w:val="16"/>
              </w:rPr>
              <w:t>60 000</w:t>
            </w:r>
          </w:p>
        </w:tc>
      </w:tr>
      <w:tr w:rsidR="00CA1F0A" w:rsidRPr="00046DCD" w14:paraId="3B9A616D" w14:textId="77777777" w:rsidTr="00CA1F0A">
        <w:tc>
          <w:tcPr>
            <w:tcW w:w="2268" w:type="dxa"/>
            <w:vMerge/>
            <w:shd w:val="clear" w:color="auto" w:fill="auto"/>
          </w:tcPr>
          <w:p w14:paraId="61013B1B" w14:textId="77777777" w:rsidR="00CA1F0A" w:rsidRPr="00046DCD" w:rsidRDefault="00CA1F0A" w:rsidP="00046DCD">
            <w:pPr>
              <w:suppressAutoHyphens w:val="0"/>
              <w:spacing w:before="40" w:after="40" w:line="220" w:lineRule="exact"/>
              <w:rPr>
                <w:i/>
                <w:iCs/>
                <w:sz w:val="18"/>
                <w:szCs w:val="16"/>
              </w:rPr>
            </w:pPr>
          </w:p>
        </w:tc>
        <w:tc>
          <w:tcPr>
            <w:tcW w:w="5725" w:type="dxa"/>
            <w:shd w:val="clear" w:color="auto" w:fill="auto"/>
            <w:vAlign w:val="bottom"/>
          </w:tcPr>
          <w:p w14:paraId="07456BCE" w14:textId="77777777" w:rsidR="00CA1F0A" w:rsidRPr="00046DCD" w:rsidRDefault="00CA1F0A" w:rsidP="00DC302B">
            <w:pPr>
              <w:suppressAutoHyphens w:val="0"/>
              <w:spacing w:before="40" w:after="80" w:line="220" w:lineRule="exact"/>
              <w:rPr>
                <w:sz w:val="18"/>
                <w:szCs w:val="16"/>
              </w:rPr>
            </w:pPr>
            <w:r w:rsidRPr="00CA1F0A">
              <w:rPr>
                <w:i/>
                <w:iCs/>
                <w:sz w:val="18"/>
                <w:szCs w:val="16"/>
              </w:rPr>
              <w:t>Pays/organisation chef de file/d’appui</w:t>
            </w:r>
            <w:r w:rsidRPr="00046DCD">
              <w:rPr>
                <w:sz w:val="18"/>
                <w:szCs w:val="16"/>
              </w:rPr>
              <w:t> : [à déterminer]</w:t>
            </w:r>
          </w:p>
        </w:tc>
        <w:tc>
          <w:tcPr>
            <w:tcW w:w="1644" w:type="dxa"/>
            <w:shd w:val="clear" w:color="auto" w:fill="auto"/>
          </w:tcPr>
          <w:p w14:paraId="0D456E05" w14:textId="77777777" w:rsidR="00CA1F0A" w:rsidRPr="00046DCD" w:rsidRDefault="00CA1F0A" w:rsidP="00CA1F0A">
            <w:pPr>
              <w:suppressAutoHyphens w:val="0"/>
              <w:spacing w:before="40" w:after="40" w:line="220" w:lineRule="exact"/>
              <w:jc w:val="right"/>
              <w:rPr>
                <w:sz w:val="18"/>
                <w:szCs w:val="16"/>
              </w:rPr>
            </w:pPr>
          </w:p>
        </w:tc>
      </w:tr>
      <w:tr w:rsidR="00CA1F0A" w:rsidRPr="00046DCD" w14:paraId="08A91C43" w14:textId="77777777" w:rsidTr="00CA1F0A">
        <w:tc>
          <w:tcPr>
            <w:tcW w:w="2268" w:type="dxa"/>
            <w:vMerge w:val="restart"/>
            <w:shd w:val="clear" w:color="auto" w:fill="auto"/>
          </w:tcPr>
          <w:p w14:paraId="2C986180" w14:textId="77777777" w:rsidR="00CA1F0A" w:rsidRPr="00046DCD" w:rsidRDefault="00CA1F0A" w:rsidP="00046DCD">
            <w:pPr>
              <w:suppressAutoHyphens w:val="0"/>
              <w:spacing w:before="40" w:after="40" w:line="220" w:lineRule="exact"/>
              <w:rPr>
                <w:i/>
                <w:iCs/>
                <w:sz w:val="18"/>
                <w:szCs w:val="16"/>
              </w:rPr>
            </w:pPr>
            <w:r w:rsidRPr="00046DCD">
              <w:rPr>
                <w:i/>
                <w:iCs/>
                <w:sz w:val="18"/>
                <w:szCs w:val="16"/>
              </w:rPr>
              <w:t>Système de notification des</w:t>
            </w:r>
            <w:r w:rsidR="00AC3C80">
              <w:rPr>
                <w:i/>
                <w:iCs/>
                <w:sz w:val="18"/>
                <w:szCs w:val="16"/>
              </w:rPr>
              <w:t> </w:t>
            </w:r>
            <w:r w:rsidRPr="00046DCD">
              <w:rPr>
                <w:i/>
                <w:iCs/>
                <w:sz w:val="18"/>
                <w:szCs w:val="16"/>
              </w:rPr>
              <w:t>accidents industriels de</w:t>
            </w:r>
            <w:r w:rsidR="00AC3C80">
              <w:rPr>
                <w:i/>
                <w:iCs/>
                <w:sz w:val="18"/>
                <w:szCs w:val="16"/>
              </w:rPr>
              <w:t> </w:t>
            </w:r>
            <w:r w:rsidRPr="00046DCD">
              <w:rPr>
                <w:i/>
                <w:iCs/>
                <w:sz w:val="18"/>
                <w:szCs w:val="16"/>
              </w:rPr>
              <w:t>la</w:t>
            </w:r>
            <w:r w:rsidR="00AC3C80">
              <w:rPr>
                <w:i/>
                <w:iCs/>
                <w:sz w:val="18"/>
                <w:szCs w:val="16"/>
              </w:rPr>
              <w:t> </w:t>
            </w:r>
            <w:r w:rsidRPr="00046DCD">
              <w:rPr>
                <w:i/>
                <w:iCs/>
                <w:sz w:val="18"/>
                <w:szCs w:val="16"/>
              </w:rPr>
              <w:t>CEE</w:t>
            </w:r>
          </w:p>
        </w:tc>
        <w:tc>
          <w:tcPr>
            <w:tcW w:w="5725" w:type="dxa"/>
            <w:shd w:val="clear" w:color="auto" w:fill="auto"/>
            <w:vAlign w:val="bottom"/>
          </w:tcPr>
          <w:p w14:paraId="6CE1293D" w14:textId="77777777" w:rsidR="00CA1F0A" w:rsidRPr="00046DCD" w:rsidRDefault="00CA1F0A" w:rsidP="00CA1F0A">
            <w:pPr>
              <w:suppressAutoHyphens w:val="0"/>
              <w:spacing w:before="40" w:after="40" w:line="220" w:lineRule="exact"/>
              <w:rPr>
                <w:sz w:val="18"/>
                <w:szCs w:val="16"/>
              </w:rPr>
            </w:pPr>
            <w:r w:rsidRPr="00046DCD">
              <w:rPr>
                <w:sz w:val="18"/>
                <w:szCs w:val="16"/>
              </w:rPr>
              <w:t>Mise à jour du Système (suppression d’anomalies, amélioration du fonctionnement et du confort d’utilisation, et ajout d’une fonctionnalité permettant la connexion à un téléphone mobile)</w:t>
            </w:r>
          </w:p>
        </w:tc>
        <w:tc>
          <w:tcPr>
            <w:tcW w:w="1644" w:type="dxa"/>
            <w:shd w:val="clear" w:color="auto" w:fill="auto"/>
          </w:tcPr>
          <w:p w14:paraId="14F7FCC7" w14:textId="77777777" w:rsidR="00CA1F0A" w:rsidRPr="00046DCD" w:rsidRDefault="00CA1F0A" w:rsidP="00CA1F0A">
            <w:pPr>
              <w:suppressAutoHyphens w:val="0"/>
              <w:spacing w:before="40" w:after="40" w:line="220" w:lineRule="exact"/>
              <w:jc w:val="right"/>
              <w:rPr>
                <w:sz w:val="18"/>
                <w:szCs w:val="16"/>
              </w:rPr>
            </w:pPr>
            <w:r w:rsidRPr="00046DCD">
              <w:rPr>
                <w:sz w:val="18"/>
                <w:szCs w:val="16"/>
              </w:rPr>
              <w:t>40 000</w:t>
            </w:r>
          </w:p>
        </w:tc>
      </w:tr>
      <w:tr w:rsidR="00CA1F0A" w:rsidRPr="00046DCD" w14:paraId="6B97DB30" w14:textId="77777777" w:rsidTr="00CA1F0A">
        <w:tc>
          <w:tcPr>
            <w:tcW w:w="2268" w:type="dxa"/>
            <w:vMerge/>
            <w:tcBorders>
              <w:bottom w:val="single" w:sz="4" w:space="0" w:color="auto"/>
            </w:tcBorders>
            <w:shd w:val="clear" w:color="auto" w:fill="auto"/>
          </w:tcPr>
          <w:p w14:paraId="5AADF222" w14:textId="77777777" w:rsidR="00CA1F0A" w:rsidRPr="00046DCD" w:rsidRDefault="00CA1F0A" w:rsidP="00046DCD">
            <w:pPr>
              <w:suppressAutoHyphens w:val="0"/>
              <w:spacing w:before="40" w:after="40" w:line="220" w:lineRule="exact"/>
              <w:rPr>
                <w:i/>
                <w:iCs/>
                <w:sz w:val="18"/>
                <w:szCs w:val="16"/>
              </w:rPr>
            </w:pPr>
          </w:p>
        </w:tc>
        <w:tc>
          <w:tcPr>
            <w:tcW w:w="5725" w:type="dxa"/>
            <w:tcBorders>
              <w:bottom w:val="single" w:sz="4" w:space="0" w:color="auto"/>
            </w:tcBorders>
            <w:shd w:val="clear" w:color="auto" w:fill="auto"/>
            <w:vAlign w:val="bottom"/>
          </w:tcPr>
          <w:p w14:paraId="5E2EDA3E" w14:textId="77777777" w:rsidR="00CA1F0A" w:rsidRPr="00046DCD" w:rsidRDefault="00CA1F0A" w:rsidP="00DC302B">
            <w:pPr>
              <w:suppressAutoHyphens w:val="0"/>
              <w:spacing w:before="40" w:after="80" w:line="220" w:lineRule="exact"/>
              <w:rPr>
                <w:sz w:val="18"/>
                <w:szCs w:val="16"/>
              </w:rPr>
            </w:pPr>
            <w:r w:rsidRPr="00CA1F0A">
              <w:rPr>
                <w:i/>
                <w:iCs/>
                <w:sz w:val="18"/>
                <w:szCs w:val="16"/>
              </w:rPr>
              <w:t>Pays/organisation chef de file/d’appui</w:t>
            </w:r>
            <w:r w:rsidRPr="00046DCD">
              <w:rPr>
                <w:sz w:val="18"/>
                <w:szCs w:val="16"/>
              </w:rPr>
              <w:t> : [à déterminer]</w:t>
            </w:r>
          </w:p>
        </w:tc>
        <w:tc>
          <w:tcPr>
            <w:tcW w:w="1644" w:type="dxa"/>
            <w:tcBorders>
              <w:bottom w:val="single" w:sz="4" w:space="0" w:color="auto"/>
            </w:tcBorders>
            <w:shd w:val="clear" w:color="auto" w:fill="auto"/>
          </w:tcPr>
          <w:p w14:paraId="467758D6" w14:textId="77777777" w:rsidR="00CA1F0A" w:rsidRPr="00046DCD" w:rsidRDefault="00CA1F0A" w:rsidP="00CA1F0A">
            <w:pPr>
              <w:suppressAutoHyphens w:val="0"/>
              <w:spacing w:before="40" w:after="40" w:line="220" w:lineRule="exact"/>
              <w:jc w:val="right"/>
              <w:rPr>
                <w:sz w:val="18"/>
                <w:szCs w:val="16"/>
              </w:rPr>
            </w:pPr>
          </w:p>
        </w:tc>
      </w:tr>
      <w:tr w:rsidR="00C02224" w:rsidRPr="00CA1F0A" w14:paraId="3F34A8CC" w14:textId="77777777" w:rsidTr="00CA1F0A">
        <w:tc>
          <w:tcPr>
            <w:tcW w:w="2268" w:type="dxa"/>
            <w:tcBorders>
              <w:top w:val="single" w:sz="4" w:space="0" w:color="auto"/>
              <w:bottom w:val="single" w:sz="12" w:space="0" w:color="auto"/>
            </w:tcBorders>
            <w:shd w:val="clear" w:color="auto" w:fill="auto"/>
          </w:tcPr>
          <w:p w14:paraId="3BC0AB49" w14:textId="77777777" w:rsidR="00C02224" w:rsidRPr="00CA1F0A" w:rsidRDefault="00C02224" w:rsidP="00CA1F0A">
            <w:pPr>
              <w:suppressAutoHyphens w:val="0"/>
              <w:spacing w:before="80" w:after="80" w:line="220" w:lineRule="exact"/>
              <w:ind w:left="283"/>
              <w:rPr>
                <w:b/>
                <w:sz w:val="18"/>
                <w:szCs w:val="16"/>
              </w:rPr>
            </w:pPr>
            <w:r w:rsidRPr="00CA1F0A">
              <w:rPr>
                <w:b/>
                <w:bCs/>
                <w:sz w:val="18"/>
                <w:szCs w:val="16"/>
              </w:rPr>
              <w:t>Total</w:t>
            </w:r>
          </w:p>
        </w:tc>
        <w:tc>
          <w:tcPr>
            <w:tcW w:w="5725" w:type="dxa"/>
            <w:tcBorders>
              <w:top w:val="single" w:sz="4" w:space="0" w:color="auto"/>
              <w:bottom w:val="single" w:sz="12" w:space="0" w:color="auto"/>
            </w:tcBorders>
            <w:shd w:val="clear" w:color="auto" w:fill="auto"/>
            <w:vAlign w:val="bottom"/>
          </w:tcPr>
          <w:p w14:paraId="6977EA41" w14:textId="77777777" w:rsidR="00C02224" w:rsidRPr="00CA1F0A" w:rsidRDefault="00C02224" w:rsidP="00CA1F0A">
            <w:pPr>
              <w:suppressAutoHyphens w:val="0"/>
              <w:spacing w:before="80" w:after="80" w:line="220" w:lineRule="exact"/>
              <w:rPr>
                <w:b/>
                <w:sz w:val="18"/>
                <w:szCs w:val="16"/>
              </w:rPr>
            </w:pPr>
          </w:p>
        </w:tc>
        <w:tc>
          <w:tcPr>
            <w:tcW w:w="1644" w:type="dxa"/>
            <w:tcBorders>
              <w:top w:val="single" w:sz="4" w:space="0" w:color="auto"/>
              <w:bottom w:val="single" w:sz="12" w:space="0" w:color="auto"/>
            </w:tcBorders>
            <w:shd w:val="clear" w:color="auto" w:fill="auto"/>
            <w:vAlign w:val="bottom"/>
          </w:tcPr>
          <w:p w14:paraId="3862BE8B" w14:textId="77777777" w:rsidR="00C02224" w:rsidRPr="00CA1F0A" w:rsidRDefault="00C02224" w:rsidP="00CA1F0A">
            <w:pPr>
              <w:suppressAutoHyphens w:val="0"/>
              <w:spacing w:before="80" w:after="80" w:line="220" w:lineRule="exact"/>
              <w:jc w:val="right"/>
              <w:rPr>
                <w:b/>
                <w:bCs/>
                <w:sz w:val="18"/>
                <w:szCs w:val="16"/>
              </w:rPr>
            </w:pPr>
            <w:r w:rsidRPr="00CA1F0A">
              <w:rPr>
                <w:b/>
                <w:bCs/>
                <w:sz w:val="18"/>
                <w:szCs w:val="16"/>
              </w:rPr>
              <w:t>3 520 000</w:t>
            </w:r>
          </w:p>
        </w:tc>
      </w:tr>
    </w:tbl>
    <w:p w14:paraId="623C6CD4" w14:textId="77777777" w:rsidR="00C02224" w:rsidRPr="00DC302B" w:rsidRDefault="00C02224" w:rsidP="00DC302B">
      <w:pPr>
        <w:pStyle w:val="SingleTxtG"/>
        <w:spacing w:before="120" w:after="0" w:line="220" w:lineRule="exact"/>
        <w:ind w:left="0" w:right="0" w:firstLine="170"/>
        <w:jc w:val="left"/>
        <w:rPr>
          <w:sz w:val="18"/>
          <w:szCs w:val="18"/>
        </w:rPr>
      </w:pPr>
      <w:proofErr w:type="gramStart"/>
      <w:r w:rsidRPr="00DC302B">
        <w:rPr>
          <w:i/>
          <w:iCs/>
          <w:sz w:val="18"/>
          <w:szCs w:val="18"/>
          <w:vertAlign w:val="superscript"/>
        </w:rPr>
        <w:t>a</w:t>
      </w:r>
      <w:r w:rsidRPr="00DC302B">
        <w:rPr>
          <w:sz w:val="18"/>
          <w:szCs w:val="18"/>
        </w:rPr>
        <w:t xml:space="preserve">  Des</w:t>
      </w:r>
      <w:proofErr w:type="gramEnd"/>
      <w:r w:rsidRPr="00DC302B">
        <w:rPr>
          <w:sz w:val="18"/>
          <w:szCs w:val="18"/>
        </w:rPr>
        <w:t xml:space="preserve"> informations sur les ressources financières et les contributions en nature mises à disposition au titre des «</w:t>
      </w:r>
      <w:r w:rsidR="00CA1F0A" w:rsidRPr="00DC302B">
        <w:rPr>
          <w:sz w:val="18"/>
          <w:szCs w:val="18"/>
        </w:rPr>
        <w:t> </w:t>
      </w:r>
      <w:r w:rsidRPr="00DC302B">
        <w:rPr>
          <w:sz w:val="18"/>
          <w:szCs w:val="18"/>
        </w:rPr>
        <w:t>autres activités d’assistance</w:t>
      </w:r>
      <w:r w:rsidR="00CA1F0A" w:rsidRPr="00DC302B">
        <w:rPr>
          <w:sz w:val="18"/>
          <w:szCs w:val="18"/>
        </w:rPr>
        <w:t> </w:t>
      </w:r>
      <w:r w:rsidRPr="00DC302B">
        <w:rPr>
          <w:sz w:val="18"/>
          <w:szCs w:val="18"/>
        </w:rPr>
        <w:t>» pour la période concernée seront communiquées par l’Allemagne dès que l’exécution de ces activités aura été confirmée. Elles figureront dans le rapport sur l’utilisation des ressources financières et en nature en 2021-2022.</w:t>
      </w:r>
    </w:p>
    <w:p w14:paraId="4327EF3C" w14:textId="77777777" w:rsidR="00C02224" w:rsidRPr="00DC302B" w:rsidRDefault="00C02224" w:rsidP="00DC302B">
      <w:pPr>
        <w:pStyle w:val="SingleTxtG"/>
        <w:spacing w:after="0" w:line="220" w:lineRule="exact"/>
        <w:ind w:left="0" w:right="0" w:firstLine="170"/>
        <w:jc w:val="left"/>
        <w:rPr>
          <w:sz w:val="18"/>
          <w:szCs w:val="18"/>
        </w:rPr>
      </w:pPr>
      <w:proofErr w:type="gramStart"/>
      <w:r w:rsidRPr="00DC302B">
        <w:rPr>
          <w:i/>
          <w:iCs/>
          <w:sz w:val="18"/>
          <w:szCs w:val="18"/>
          <w:vertAlign w:val="superscript"/>
        </w:rPr>
        <w:t>b</w:t>
      </w:r>
      <w:r w:rsidRPr="00DC302B">
        <w:rPr>
          <w:sz w:val="18"/>
          <w:szCs w:val="18"/>
        </w:rPr>
        <w:t xml:space="preserve">  Activité</w:t>
      </w:r>
      <w:proofErr w:type="gramEnd"/>
      <w:r w:rsidRPr="00DC302B">
        <w:rPr>
          <w:sz w:val="18"/>
          <w:szCs w:val="18"/>
        </w:rPr>
        <w:t xml:space="preserve"> pouvant relever soit du Programme d’aide et de coopération soit de la facilitation de l’application, selon sa portée.</w:t>
      </w:r>
    </w:p>
    <w:p w14:paraId="6E11B20D" w14:textId="77777777" w:rsidR="00446FE5" w:rsidRPr="00C02224" w:rsidRDefault="00C02224" w:rsidP="00C02224">
      <w:pPr>
        <w:pStyle w:val="SingleTxtG"/>
        <w:spacing w:before="240" w:after="0"/>
        <w:jc w:val="center"/>
        <w:rPr>
          <w:u w:val="single"/>
        </w:rPr>
      </w:pPr>
      <w:r>
        <w:rPr>
          <w:u w:val="single"/>
        </w:rPr>
        <w:tab/>
      </w:r>
      <w:r>
        <w:rPr>
          <w:u w:val="single"/>
        </w:rPr>
        <w:tab/>
      </w:r>
      <w:r>
        <w:rPr>
          <w:u w:val="single"/>
        </w:rPr>
        <w:tab/>
      </w:r>
    </w:p>
    <w:sectPr w:rsidR="00446FE5" w:rsidRPr="00C02224" w:rsidSect="004625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2B34" w14:textId="77777777" w:rsidR="00CD5624" w:rsidRDefault="00CD5624" w:rsidP="00F95C08">
      <w:pPr>
        <w:spacing w:line="240" w:lineRule="auto"/>
      </w:pPr>
    </w:p>
  </w:endnote>
  <w:endnote w:type="continuationSeparator" w:id="0">
    <w:p w14:paraId="4EC68BC7" w14:textId="77777777" w:rsidR="00CD5624" w:rsidRPr="00AC3823" w:rsidRDefault="00CD5624" w:rsidP="00AC3823">
      <w:pPr>
        <w:pStyle w:val="Footer"/>
      </w:pPr>
    </w:p>
  </w:endnote>
  <w:endnote w:type="continuationNotice" w:id="1">
    <w:p w14:paraId="71747657" w14:textId="77777777" w:rsidR="00CD5624" w:rsidRDefault="00CD56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1FA7" w14:textId="77777777" w:rsidR="00106A16" w:rsidRPr="004625FA" w:rsidRDefault="00106A16" w:rsidP="004625FA">
    <w:pPr>
      <w:pStyle w:val="Footer"/>
      <w:tabs>
        <w:tab w:val="right" w:pos="9638"/>
      </w:tabs>
    </w:pPr>
    <w:r w:rsidRPr="004625FA">
      <w:rPr>
        <w:b/>
        <w:sz w:val="18"/>
      </w:rPr>
      <w:fldChar w:fldCharType="begin"/>
    </w:r>
    <w:r w:rsidRPr="004625FA">
      <w:rPr>
        <w:b/>
        <w:sz w:val="18"/>
      </w:rPr>
      <w:instrText xml:space="preserve"> PAGE  \* MERGEFORMAT </w:instrText>
    </w:r>
    <w:r w:rsidRPr="004625FA">
      <w:rPr>
        <w:b/>
        <w:sz w:val="18"/>
      </w:rPr>
      <w:fldChar w:fldCharType="separate"/>
    </w:r>
    <w:r w:rsidRPr="004625FA">
      <w:rPr>
        <w:b/>
        <w:noProof/>
        <w:sz w:val="18"/>
      </w:rPr>
      <w:t>2</w:t>
    </w:r>
    <w:r w:rsidRPr="004625FA">
      <w:rPr>
        <w:b/>
        <w:sz w:val="18"/>
      </w:rPr>
      <w:fldChar w:fldCharType="end"/>
    </w:r>
    <w:r>
      <w:rPr>
        <w:b/>
        <w:sz w:val="18"/>
      </w:rPr>
      <w:tab/>
    </w:r>
    <w:r>
      <w:t>GE.20-12570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ED06" w14:textId="77777777" w:rsidR="00106A16" w:rsidRPr="004625FA" w:rsidRDefault="00106A16" w:rsidP="004625FA">
    <w:pPr>
      <w:pStyle w:val="Footer"/>
      <w:tabs>
        <w:tab w:val="right" w:pos="9638"/>
      </w:tabs>
      <w:rPr>
        <w:b/>
        <w:sz w:val="18"/>
      </w:rPr>
    </w:pPr>
    <w:r>
      <w:t>GE.20-12570</w:t>
    </w:r>
    <w:r>
      <w:tab/>
    </w:r>
    <w:r w:rsidRPr="004625FA">
      <w:rPr>
        <w:b/>
        <w:sz w:val="18"/>
      </w:rPr>
      <w:fldChar w:fldCharType="begin"/>
    </w:r>
    <w:r w:rsidRPr="004625FA">
      <w:rPr>
        <w:b/>
        <w:sz w:val="18"/>
      </w:rPr>
      <w:instrText xml:space="preserve"> PAGE  \* MERGEFORMAT </w:instrText>
    </w:r>
    <w:r w:rsidRPr="004625FA">
      <w:rPr>
        <w:b/>
        <w:sz w:val="18"/>
      </w:rPr>
      <w:fldChar w:fldCharType="separate"/>
    </w:r>
    <w:r w:rsidRPr="004625FA">
      <w:rPr>
        <w:b/>
        <w:noProof/>
        <w:sz w:val="18"/>
      </w:rPr>
      <w:t>3</w:t>
    </w:r>
    <w:r w:rsidRPr="004625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DCA9" w14:textId="77777777" w:rsidR="00106A16" w:rsidRPr="004625FA" w:rsidRDefault="00106A16" w:rsidP="004625FA">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267CAAF0" wp14:editId="17B675CF">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12570  (</w:t>
    </w:r>
    <w:proofErr w:type="gramEnd"/>
    <w:r>
      <w:rPr>
        <w:sz w:val="20"/>
      </w:rPr>
      <w:t>F)    141020    1</w:t>
    </w:r>
    <w:r w:rsidR="008D581D">
      <w:rPr>
        <w:sz w:val="20"/>
      </w:rPr>
      <w:t>6</w:t>
    </w:r>
    <w:r>
      <w:rPr>
        <w:sz w:val="20"/>
      </w:rPr>
      <w:t>1020</w:t>
    </w:r>
    <w:r>
      <w:rPr>
        <w:sz w:val="20"/>
      </w:rPr>
      <w:br/>
    </w:r>
    <w:r w:rsidRPr="004625FA">
      <w:rPr>
        <w:rFonts w:ascii="C39T30Lfz" w:hAnsi="C39T30Lfz"/>
        <w:sz w:val="56"/>
      </w:rPr>
      <w:t>*2012570*</w:t>
    </w:r>
    <w:r>
      <w:rPr>
        <w:noProof/>
        <w:sz w:val="20"/>
      </w:rPr>
      <w:drawing>
        <wp:anchor distT="0" distB="0" distL="114300" distR="114300" simplePos="0" relativeHeight="251658240" behindDoc="0" locked="0" layoutInCell="1" allowOverlap="1" wp14:anchorId="4DD237A7" wp14:editId="14ADD70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A330" w14:textId="77777777" w:rsidR="00CD5624" w:rsidRPr="00AC3823" w:rsidRDefault="00CD5624" w:rsidP="00AC3823">
      <w:pPr>
        <w:pStyle w:val="Footer"/>
        <w:tabs>
          <w:tab w:val="right" w:pos="2155"/>
        </w:tabs>
        <w:spacing w:after="80" w:line="240" w:lineRule="atLeast"/>
        <w:ind w:left="680"/>
        <w:rPr>
          <w:u w:val="single"/>
        </w:rPr>
      </w:pPr>
      <w:r>
        <w:rPr>
          <w:u w:val="single"/>
        </w:rPr>
        <w:tab/>
      </w:r>
    </w:p>
  </w:footnote>
  <w:footnote w:type="continuationSeparator" w:id="0">
    <w:p w14:paraId="60182805" w14:textId="77777777" w:rsidR="00CD5624" w:rsidRPr="00AC3823" w:rsidRDefault="00CD5624" w:rsidP="00AC3823">
      <w:pPr>
        <w:pStyle w:val="Footer"/>
        <w:tabs>
          <w:tab w:val="right" w:pos="2155"/>
        </w:tabs>
        <w:spacing w:after="80" w:line="240" w:lineRule="atLeast"/>
        <w:ind w:left="680"/>
        <w:rPr>
          <w:u w:val="single"/>
        </w:rPr>
      </w:pPr>
      <w:r>
        <w:rPr>
          <w:u w:val="single"/>
        </w:rPr>
        <w:tab/>
      </w:r>
    </w:p>
  </w:footnote>
  <w:footnote w:type="continuationNotice" w:id="1">
    <w:p w14:paraId="15968CD5" w14:textId="77777777" w:rsidR="00CD5624" w:rsidRPr="00AC3823" w:rsidRDefault="00CD5624">
      <w:pPr>
        <w:spacing w:line="240" w:lineRule="auto"/>
        <w:rPr>
          <w:sz w:val="2"/>
          <w:szCs w:val="2"/>
        </w:rPr>
      </w:pPr>
    </w:p>
  </w:footnote>
  <w:footnote w:id="2">
    <w:p w14:paraId="6C1E63A8" w14:textId="77777777" w:rsidR="00106A16" w:rsidRPr="00A116C7" w:rsidRDefault="00106A16" w:rsidP="00C02224">
      <w:pPr>
        <w:pStyle w:val="FootnoteText"/>
        <w:rPr>
          <w:szCs w:val="18"/>
          <w:lang w:val="fr-FR"/>
        </w:rPr>
      </w:pPr>
      <w:r>
        <w:rPr>
          <w:szCs w:val="18"/>
          <w:lang w:val="fr-FR"/>
        </w:rPr>
        <w:tab/>
      </w:r>
      <w:r w:rsidRPr="00B01DF6">
        <w:rPr>
          <w:rStyle w:val="FootnoteReference"/>
        </w:rPr>
        <w:footnoteRef/>
      </w:r>
      <w:r>
        <w:rPr>
          <w:lang w:val="fr-FR"/>
        </w:rPr>
        <w:tab/>
        <w:t>Cible 3.9 : D’ici à 2030, réduire nettement le nombre de décès et de maladies dus à des substances chimiques dangereuses […] ; Cible 3.d : Renforcer les moyens dont disposent tous les pays […] en matière d’alerte rapide, de réduction des risques […] ; Cible 6.3 : D’ici à 2030, améliorer la qualité de l’eau en […] réduisant au minimum les émissions de produits chimiques et de matières dangereuses […] ; Cible 9.1 : Mettre en place une infrastructure de qualité, fiable, durable et résiliente […] ; Cible 9.4 : D’ici à 2030, moderniser l’infrastructure et adapter les industries afin de les rendre durables [...] ; Cible 11.b : D’ici à 2020, accroître nettement le nombre de villes et d’établissements humains qui adoptent et mettent en œuvre des politiques et plans d’action intégrés en faveur de […] la résilience face aux catastrophes, et élaborer et mettre en œuvre, conformément au Cadre de Sendai pour la réduction des risques de catastrophe (2015-2030) une gestion globale des risques de catastrophe à tous les niveaux ; Cible 12.4 : D’ici à 2020, parvenir à une gestion écologiquement rationnelle des produits chimiques […] tout au long de leur cycle de vie, conformément aux principes directeurs arrêtés à l’échelle internationale […] ; Cible 13.1 : Renforcer, dans tous les pays, la résilience et les capacités d’adaptation face aux aléas climatiques et aux catastrophes naturelles liées au climat.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D61C" w14:textId="4169E838" w:rsidR="00106A16" w:rsidRPr="004625FA" w:rsidRDefault="002D401F">
    <w:pPr>
      <w:pStyle w:val="Header"/>
    </w:pPr>
    <w:r>
      <w:fldChar w:fldCharType="begin"/>
    </w:r>
    <w:r>
      <w:instrText xml:space="preserve"> TITLE  \* MERGEFORMAT </w:instrText>
    </w:r>
    <w:r>
      <w:fldChar w:fldCharType="separate"/>
    </w:r>
    <w:r>
      <w:t>ECE/CP.TEIA/2020/9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C1C7" w14:textId="3D8589B6" w:rsidR="00106A16" w:rsidRPr="004625FA" w:rsidRDefault="002D401F" w:rsidP="004625FA">
    <w:pPr>
      <w:pStyle w:val="Header"/>
      <w:jc w:val="right"/>
    </w:pPr>
    <w:fldSimple w:instr=" TITLE  \* MERGEFORMAT ">
      <w:r>
        <w:t>ECE/CP.TEIA/2020/9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2D5"/>
    <w:rsid w:val="00017F94"/>
    <w:rsid w:val="00023842"/>
    <w:rsid w:val="000334F9"/>
    <w:rsid w:val="00046DCD"/>
    <w:rsid w:val="0007796D"/>
    <w:rsid w:val="00082F63"/>
    <w:rsid w:val="000B7790"/>
    <w:rsid w:val="000D3EE9"/>
    <w:rsid w:val="000D6813"/>
    <w:rsid w:val="000F5525"/>
    <w:rsid w:val="000F7509"/>
    <w:rsid w:val="00106A16"/>
    <w:rsid w:val="00111F2F"/>
    <w:rsid w:val="001433FD"/>
    <w:rsid w:val="0014365E"/>
    <w:rsid w:val="001541D3"/>
    <w:rsid w:val="00176178"/>
    <w:rsid w:val="001A09D4"/>
    <w:rsid w:val="001F525A"/>
    <w:rsid w:val="00223272"/>
    <w:rsid w:val="0024779E"/>
    <w:rsid w:val="002832AC"/>
    <w:rsid w:val="00295CCA"/>
    <w:rsid w:val="002D401F"/>
    <w:rsid w:val="002D7C93"/>
    <w:rsid w:val="003854BA"/>
    <w:rsid w:val="00441C3B"/>
    <w:rsid w:val="00446B0A"/>
    <w:rsid w:val="00446FE5"/>
    <w:rsid w:val="00452396"/>
    <w:rsid w:val="004625FA"/>
    <w:rsid w:val="004E468C"/>
    <w:rsid w:val="00506BE1"/>
    <w:rsid w:val="005316B0"/>
    <w:rsid w:val="005505B7"/>
    <w:rsid w:val="00573BE5"/>
    <w:rsid w:val="00586ED3"/>
    <w:rsid w:val="00596AA9"/>
    <w:rsid w:val="005F138B"/>
    <w:rsid w:val="005F2353"/>
    <w:rsid w:val="006F3599"/>
    <w:rsid w:val="00706363"/>
    <w:rsid w:val="0071601D"/>
    <w:rsid w:val="0074674C"/>
    <w:rsid w:val="007A62E6"/>
    <w:rsid w:val="0080684C"/>
    <w:rsid w:val="00871C75"/>
    <w:rsid w:val="008776DC"/>
    <w:rsid w:val="008D581D"/>
    <w:rsid w:val="009705C8"/>
    <w:rsid w:val="009B62D5"/>
    <w:rsid w:val="009C1CF4"/>
    <w:rsid w:val="00A30353"/>
    <w:rsid w:val="00AA113A"/>
    <w:rsid w:val="00AC3823"/>
    <w:rsid w:val="00AC3C80"/>
    <w:rsid w:val="00AE323C"/>
    <w:rsid w:val="00B00181"/>
    <w:rsid w:val="00B00B0D"/>
    <w:rsid w:val="00B765F7"/>
    <w:rsid w:val="00BA0CA9"/>
    <w:rsid w:val="00BD4260"/>
    <w:rsid w:val="00C02224"/>
    <w:rsid w:val="00C02897"/>
    <w:rsid w:val="00CA1F0A"/>
    <w:rsid w:val="00CD5624"/>
    <w:rsid w:val="00D3439C"/>
    <w:rsid w:val="00DB1831"/>
    <w:rsid w:val="00DC302B"/>
    <w:rsid w:val="00DD3BFD"/>
    <w:rsid w:val="00DF6678"/>
    <w:rsid w:val="00EC4649"/>
    <w:rsid w:val="00EF2E22"/>
    <w:rsid w:val="00F660DF"/>
    <w:rsid w:val="00F95C08"/>
    <w:rsid w:val="00FC2A8B"/>
    <w:rsid w:val="00FE35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3790"/>
  <w15:docId w15:val="{C798F5F7-8432-49D9-B4EF-74FD2E0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locked/>
    <w:rsid w:val="00C02224"/>
    <w:rPr>
      <w:rFonts w:ascii="Times New Roman" w:eastAsiaTheme="minorHAnsi" w:hAnsi="Times New Roman" w:cs="Times New Roman"/>
      <w:sz w:val="20"/>
      <w:szCs w:val="20"/>
      <w:lang w:eastAsia="en-US"/>
    </w:rPr>
  </w:style>
  <w:style w:type="character" w:customStyle="1" w:styleId="HChGChar">
    <w:name w:val="_ H _Ch_G Char"/>
    <w:link w:val="HChG"/>
    <w:locked/>
    <w:rsid w:val="00C02224"/>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08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teia.conv@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4698</Words>
  <Characters>26781</Characters>
  <Application>Microsoft Office Word</Application>
  <DocSecurity>0</DocSecurity>
  <Lines>223</Lines>
  <Paragraphs>62</Paragraphs>
  <ScaleCrop>false</ScaleCrop>
  <HeadingPairs>
    <vt:vector size="2" baseType="variant">
      <vt:variant>
        <vt:lpstr>Titre</vt:lpstr>
      </vt:variant>
      <vt:variant>
        <vt:i4>1</vt:i4>
      </vt:variant>
    </vt:vector>
  </HeadingPairs>
  <TitlesOfParts>
    <vt:vector size="1" baseType="lpstr">
      <vt:lpstr>ECE/CP.TEIA/2020/9</vt:lpstr>
    </vt:vector>
  </TitlesOfParts>
  <Company>DCM</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ECE/CP.TEIA/2020/9</dc:title>
  <dc:subject/>
  <dc:creator>Nicolas MORIN</dc:creator>
  <cp:keywords/>
  <cp:lastModifiedBy>Olga Carlos</cp:lastModifiedBy>
  <cp:revision>2</cp:revision>
  <cp:lastPrinted>2020-10-16T07:02:00Z</cp:lastPrinted>
  <dcterms:created xsi:type="dcterms:W3CDTF">2020-10-16T07:15:00Z</dcterms:created>
  <dcterms:modified xsi:type="dcterms:W3CDTF">2020-10-16T07:15:00Z</dcterms:modified>
</cp:coreProperties>
</file>